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8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1"/>
        <w:textAlignment w:val="auto"/>
        <w:outlineLvl w:val="9"/>
        <w:rPr>
          <w:rFonts w:hint="eastAsia" w:ascii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/>
          <w:b/>
          <w:bCs/>
          <w:color w:val="auto"/>
          <w:szCs w:val="32"/>
          <w:lang w:val="en-US" w:eastAsia="zh-CN"/>
        </w:rPr>
        <w:t>检查标准：</w:t>
      </w:r>
    </w:p>
    <w:p w14:paraId="06EA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首页标题：</w:t>
      </w:r>
      <w:r>
        <w:rPr>
          <w:rFonts w:hint="eastAsia" w:ascii="仿宋_GB2312"/>
          <w:color w:val="auto"/>
          <w:sz w:val="32"/>
          <w:lang w:val="en-US" w:eastAsia="zh-CN"/>
        </w:rPr>
        <w:t>检查标准</w:t>
      </w:r>
    </w:p>
    <w:p w14:paraId="00500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副标题：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检查标准</w:t>
      </w:r>
    </w:p>
    <w:p w14:paraId="1A7B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关键词：</w:t>
      </w:r>
      <w:r>
        <w:rPr>
          <w:rFonts w:hint="eastAsia" w:ascii="仿宋_GB2312"/>
          <w:color w:val="auto"/>
          <w:sz w:val="32"/>
          <w:lang w:val="en-US" w:eastAsia="zh-CN"/>
        </w:rPr>
        <w:t>检查标准</w:t>
      </w:r>
    </w:p>
    <w:p w14:paraId="0FBF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摘要内容：</w:t>
      </w:r>
      <w:r>
        <w:rPr>
          <w:rFonts w:hint="eastAsia" w:ascii="仿宋_GB2312"/>
          <w:color w:val="auto"/>
          <w:sz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兽医兽药、生猪屠宰、种子、饲料、化肥、农药、农机、农产品质量、渔政渔港、农村宅基地等领域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的执法检查标准。</w:t>
      </w:r>
    </w:p>
    <w:p w14:paraId="6EB6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1" w:firstLine="640" w:firstLineChars="200"/>
        <w:textAlignment w:val="auto"/>
        <w:outlineLvl w:val="9"/>
        <w:rPr>
          <w:rFonts w:hint="eastAsia" w:ascii="仿宋_GB2312"/>
          <w:color w:val="auto"/>
          <w:sz w:val="32"/>
          <w:lang w:val="en-US" w:eastAsia="zh-CN"/>
        </w:rPr>
      </w:pPr>
      <w:r>
        <w:rPr>
          <w:rFonts w:hint="eastAsia" w:ascii="仿宋_GB2312"/>
          <w:color w:val="auto"/>
        </w:rPr>
        <w:t>检查标准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：《中华人民共和国农产品质量安全法》</w:t>
      </w:r>
      <w:r>
        <w:rPr>
          <w:rFonts w:hint="eastAsia" w:ascii="仿宋_GB2312"/>
          <w:color w:val="auto"/>
          <w:sz w:val="32"/>
          <w:lang w:val="en-US" w:eastAsia="zh-CN"/>
        </w:rPr>
        <w:t>、《农药管理条例实施办法》《农药管理条例》、《中华人民共和国种子法》、《标签管理办法》、《植物检疫条例实施细则》《植物检疫条例》、《吉林省肥料管理办法》、《农业转基因生物安全管理条例》《中华人民共和国食品安全法》、吉林省人参产业条例、《中华人民共和国渔业法》、《吉林省渔业管理条例》、《中华人民共和国渔业法》、《吉林省渔业管理条例》、《农业机械安全监督管理条例》、《吉林省农业机械管理条例》、《生猪屠宰管理条例》、《生猪屠宰质量管理规范》、《中华人民共和国畜牧法》、《中华人民共和国动物防疫法》、《吉林省畜禽屠宰管理条例》、《吉林省无规定动物疫病区建设管理条例》、《畜禽规模养殖污染防治条例》、《动物诊疗机构管理办法》、《中华人民共和国动物防疫法》、《饲料和饲料添加剂管理条例》</w:t>
      </w:r>
    </w:p>
    <w:p w14:paraId="7E88A1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1B3F"/>
    <w:rsid w:val="19D128AD"/>
    <w:rsid w:val="4B0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457</Characters>
  <Lines>0</Lines>
  <Paragraphs>0</Paragraphs>
  <TotalTime>3</TotalTime>
  <ScaleCrop>false</ScaleCrop>
  <LinksUpToDate>false</LinksUpToDate>
  <CharactersWithSpaces>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2025-07-10T01:32:00Z</dcterms:created>
  <dc:creator>hfdn</dc:creator>
  <cp:lastModifiedBy>WPS_1601606604</cp:lastModifiedBy>
  <dcterms:modified xsi:type="dcterms:W3CDTF">2025-07-30T08:07:09Z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eyJoZGlkIjoiODhlNDE2ZWI4ZmFlYWM3YjhjMjJiNmRjMjY1OTM5NjEiLCJ1c2VySWQiOiIxMTI2NjMwNTk1In0=</vt:lpwstr>
  </property>
  <property fmtid="{D5CDD505-2E9C-101B-9397-08002B2CF9AE}" pid="4" name="ICV">
    <vt:lpwstr>A4B6E918C5004B8CA332A961432C45F7_12</vt:lpwstr>
  </property>
</Properties>
</file>