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小标宋简体" w:hAnsi="方正小标宋简体" w:eastAsia="方正小标宋简体" w:cs="方正小标宋简体"/>
          <w:sz w:val="32"/>
          <w:szCs w:val="32"/>
        </w:rPr>
      </w:pPr>
      <w:bookmarkStart w:id="32" w:name="_GoBack"/>
      <w:bookmarkEnd w:id="32"/>
      <w:r>
        <w:rPr>
          <w:rFonts w:hint="eastAsia" w:ascii="方正小标宋简体" w:hAnsi="方正小标宋简体" w:eastAsia="方正小标宋简体" w:cs="方正小标宋简体"/>
          <w:sz w:val="32"/>
          <w:szCs w:val="32"/>
        </w:rPr>
        <w:t>附件1</w:t>
      </w:r>
    </w:p>
    <w:p>
      <w:pPr>
        <w:jc w:val="center"/>
        <w:rPr>
          <w:rFonts w:ascii="方正小标宋简体" w:hAnsi="方正小标宋简体" w:eastAsia="方正小标宋简体" w:cs="方正小标宋简体"/>
          <w:sz w:val="48"/>
          <w:szCs w:val="48"/>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安全生产监督检查重点事项表</w:t>
      </w:r>
    </w:p>
    <w:p/>
    <w:p>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说明：</w:t>
      </w:r>
    </w:p>
    <w:p>
      <w:pPr>
        <w:rPr>
          <w:rFonts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 xml:space="preserve">  </w:t>
      </w:r>
      <w:r>
        <w:rPr>
          <w:rFonts w:hint="eastAsia" w:ascii="方正仿宋简体" w:hAnsi="方正仿宋简体" w:eastAsia="方正仿宋简体" w:cs="方正仿宋简体"/>
          <w:sz w:val="32"/>
          <w:szCs w:val="32"/>
        </w:rPr>
        <w:t xml:space="preserve">  一</w:t>
      </w:r>
      <w:r>
        <w:rPr>
          <w:rFonts w:hint="eastAsia" w:ascii="方正仿宋_GB18030" w:hAnsi="方正仿宋_GB18030" w:eastAsia="方正仿宋_GB18030" w:cs="方正仿宋_GB18030"/>
          <w:sz w:val="32"/>
          <w:szCs w:val="32"/>
        </w:rPr>
        <w:t>、</w:t>
      </w:r>
      <w:r>
        <w:rPr>
          <w:rFonts w:hint="eastAsia" w:ascii="方正仿宋简体" w:hAnsi="方正仿宋简体" w:eastAsia="方正仿宋简体" w:cs="方正仿宋简体"/>
          <w:sz w:val="32"/>
          <w:szCs w:val="32"/>
        </w:rPr>
        <w:t>本表以有关安全生产的法律、行政法规、部门规章或者国家标准、行业标准（以下统称有关法规标准）的强制性规定为依据编制，包括《安全生产监督检查综合事项》1个综合表</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《金属非金属矿山企业监督检查重点事项》等</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个</w:t>
      </w:r>
      <w:r>
        <w:rPr>
          <w:rFonts w:hint="eastAsia" w:ascii="方正仿宋简体" w:hAnsi="方正仿宋简体" w:eastAsia="方正仿宋简体" w:cs="方正仿宋简体"/>
          <w:sz w:val="32"/>
          <w:szCs w:val="32"/>
          <w:lang w:eastAsia="zh-CN"/>
        </w:rPr>
        <w:t>行业领域</w:t>
      </w:r>
      <w:r>
        <w:rPr>
          <w:rFonts w:hint="eastAsia" w:ascii="方正仿宋简体" w:hAnsi="方正仿宋简体" w:eastAsia="方正仿宋简体" w:cs="方正仿宋简体"/>
          <w:sz w:val="32"/>
          <w:szCs w:val="32"/>
        </w:rPr>
        <w:t>专项表</w:t>
      </w:r>
      <w:r>
        <w:rPr>
          <w:rFonts w:hint="eastAsia" w:ascii="方正仿宋简体" w:hAnsi="方正仿宋简体" w:eastAsia="方正仿宋简体" w:cs="方正仿宋简体"/>
          <w:sz w:val="32"/>
          <w:szCs w:val="32"/>
          <w:lang w:eastAsia="zh-CN"/>
        </w:rPr>
        <w:t>，《金属非金属矿山重大生产安全事故隐患》等</w:t>
      </w:r>
      <w:r>
        <w:rPr>
          <w:rFonts w:hint="eastAsia" w:ascii="方正仿宋简体" w:hAnsi="方正仿宋简体" w:eastAsia="方正仿宋简体" w:cs="方正仿宋简体"/>
          <w:sz w:val="32"/>
          <w:szCs w:val="32"/>
          <w:lang w:val="en-US" w:eastAsia="zh-CN"/>
        </w:rPr>
        <w:t>3个重大生产安全事故隐患专项表（有关文件规定的工贸行业重大生产安全事故隐患已全部纳入了相关行业领域专项表，未再单独列出），共3类21个检查表。</w:t>
      </w:r>
      <w:r>
        <w:rPr>
          <w:rFonts w:hint="eastAsia" w:ascii="方正仿宋简体" w:hAnsi="方正仿宋简体" w:eastAsia="方正仿宋简体" w:cs="方正仿宋简体"/>
          <w:sz w:val="32"/>
          <w:szCs w:val="32"/>
        </w:rPr>
        <w:t>应急管理部门应当根据监督检查的实际需要将</w:t>
      </w:r>
      <w:r>
        <w:rPr>
          <w:rFonts w:hint="eastAsia" w:ascii="方正仿宋简体" w:hAnsi="方正仿宋简体" w:eastAsia="方正仿宋简体" w:cs="方正仿宋简体"/>
          <w:sz w:val="32"/>
          <w:szCs w:val="32"/>
          <w:lang w:eastAsia="zh-CN"/>
        </w:rPr>
        <w:t>各类检查表</w:t>
      </w:r>
      <w:r>
        <w:rPr>
          <w:rFonts w:hint="eastAsia" w:ascii="方正仿宋简体" w:hAnsi="方正仿宋简体" w:eastAsia="方正仿宋简体" w:cs="方正仿宋简体"/>
          <w:sz w:val="32"/>
          <w:szCs w:val="32"/>
        </w:rPr>
        <w:t>结合运用，并可以对其中的检查事项、检查内容等进一步细化明确。</w:t>
      </w:r>
    </w:p>
    <w:p>
      <w:pPr>
        <w:rPr>
          <w:rFonts w:hint="eastAsia" w:ascii="方正仿宋简体" w:hAnsi="方正仿宋简体" w:eastAsia="方正仿宋简体" w:cs="方正仿宋简体"/>
          <w:sz w:val="32"/>
          <w:szCs w:val="32"/>
        </w:rPr>
      </w:pPr>
      <w:r>
        <w:rPr>
          <w:rFonts w:hint="eastAsia" w:ascii="方正仿宋_GB18030" w:hAnsi="方正仿宋_GB18030" w:eastAsia="方正仿宋_GB18030" w:cs="方正仿宋_GB18030"/>
          <w:sz w:val="32"/>
          <w:szCs w:val="32"/>
        </w:rPr>
        <w:t xml:space="preserve"> </w:t>
      </w:r>
      <w:r>
        <w:rPr>
          <w:rFonts w:hint="eastAsia" w:ascii="方正仿宋简体" w:hAnsi="方正仿宋简体" w:eastAsia="方正仿宋简体" w:cs="方正仿宋简体"/>
          <w:sz w:val="32"/>
          <w:szCs w:val="32"/>
        </w:rPr>
        <w:t xml:space="preserve">   二、本表所引法规标准涉及多个部门职责的，应急管理部门按照本部门职责对相关事项实施监督检查。</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w:t>
      </w:r>
      <w:r>
        <w:rPr>
          <w:rFonts w:hint="eastAsia" w:ascii="方正仿宋简体" w:hAnsi="方正仿宋简体" w:eastAsia="方正仿宋简体" w:cs="方正仿宋简体"/>
          <w:sz w:val="32"/>
          <w:szCs w:val="32"/>
          <w:lang w:eastAsia="zh-CN"/>
        </w:rPr>
        <w:t>本表检查依据指引和法律责任指引中既规定了上位法依据，也规定了下位法依据的，如果根据上位法的规定进行监督检查的，在有关执法文书中应当援引上位法的相关规定确定法律责任。如果</w:t>
      </w:r>
      <w:r>
        <w:rPr>
          <w:rFonts w:hint="eastAsia" w:ascii="方正仿宋简体" w:hAnsi="方正仿宋简体" w:eastAsia="方正仿宋简体" w:cs="方正仿宋简体"/>
          <w:sz w:val="32"/>
          <w:szCs w:val="32"/>
        </w:rPr>
        <w:t>根据下位法的规定进行监督检查的，</w:t>
      </w:r>
      <w:r>
        <w:rPr>
          <w:rFonts w:hint="eastAsia" w:ascii="方正仿宋简体" w:hAnsi="方正仿宋简体" w:eastAsia="方正仿宋简体" w:cs="方正仿宋简体"/>
          <w:sz w:val="32"/>
          <w:szCs w:val="32"/>
          <w:lang w:eastAsia="zh-CN"/>
        </w:rPr>
        <w:t>在有关执法文书中</w:t>
      </w:r>
      <w:r>
        <w:rPr>
          <w:rFonts w:hint="eastAsia" w:ascii="方正仿宋简体" w:hAnsi="方正仿宋简体" w:eastAsia="方正仿宋简体" w:cs="方正仿宋简体"/>
          <w:sz w:val="32"/>
          <w:szCs w:val="32"/>
        </w:rPr>
        <w:t>应当援引下位法的相关规定确定法律责任</w:t>
      </w:r>
      <w:r>
        <w:rPr>
          <w:rFonts w:hint="eastAsia" w:ascii="方正仿宋简体" w:hAnsi="方正仿宋简体" w:eastAsia="方正仿宋简体" w:cs="方正仿宋简体"/>
          <w:sz w:val="32"/>
          <w:szCs w:val="32"/>
          <w:lang w:eastAsia="zh-CN"/>
        </w:rPr>
        <w:t>，而不能直接援引上位法的法律责任条文</w:t>
      </w:r>
      <w:r>
        <w:rPr>
          <w:rFonts w:hint="eastAsia" w:ascii="方正仿宋简体" w:hAnsi="方正仿宋简体" w:eastAsia="方正仿宋简体" w:cs="方正仿宋简体"/>
          <w:sz w:val="32"/>
          <w:szCs w:val="32"/>
        </w:rPr>
        <w:t>。</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四、本表对现场执法中常见</w:t>
      </w:r>
      <w:r>
        <w:rPr>
          <w:rFonts w:hint="eastAsia" w:ascii="方正仿宋_GB18030" w:hAnsi="方正仿宋_GB18030" w:eastAsia="方正仿宋_GB18030" w:cs="方正仿宋_GB18030"/>
          <w:sz w:val="32"/>
          <w:szCs w:val="32"/>
        </w:rPr>
        <w:t>的违反</w:t>
      </w:r>
      <w:r>
        <w:rPr>
          <w:rFonts w:hint="eastAsia" w:ascii="方正仿宋_GB18030" w:hAnsi="方正仿宋_GB18030" w:eastAsia="方正仿宋_GB18030" w:cs="方正仿宋_GB18030"/>
          <w:sz w:val="32"/>
          <w:szCs w:val="32"/>
          <w:lang w:eastAsia="zh-CN"/>
        </w:rPr>
        <w:t>标准强制性规定</w:t>
      </w:r>
      <w:r>
        <w:rPr>
          <w:rFonts w:hint="eastAsia" w:ascii="方正仿宋_GB18030" w:hAnsi="方正仿宋_GB18030" w:eastAsia="方正仿宋_GB18030" w:cs="方正仿宋_GB18030"/>
          <w:sz w:val="32"/>
          <w:szCs w:val="32"/>
        </w:rPr>
        <w:t>的检查事项，</w:t>
      </w:r>
      <w:r>
        <w:rPr>
          <w:rFonts w:hint="eastAsia" w:ascii="方正仿宋简体" w:hAnsi="方正仿宋简体" w:eastAsia="方正仿宋简体" w:cs="方正仿宋简体"/>
          <w:sz w:val="32"/>
          <w:szCs w:val="32"/>
        </w:rPr>
        <w:t>按照以下原则明确处罚条款：一是法律法规作出规定的，例如警示标志、安全设备，以法律法规的相关</w:t>
      </w:r>
      <w:r>
        <w:rPr>
          <w:rFonts w:hint="eastAsia" w:ascii="方正仿宋简体" w:hAnsi="方正仿宋简体" w:eastAsia="方正仿宋简体" w:cs="方正仿宋简体"/>
          <w:sz w:val="32"/>
          <w:szCs w:val="32"/>
          <w:lang w:eastAsia="zh-CN"/>
        </w:rPr>
        <w:t>罚则</w:t>
      </w:r>
      <w:r>
        <w:rPr>
          <w:rFonts w:hint="eastAsia" w:ascii="方正仿宋简体" w:hAnsi="方正仿宋简体" w:eastAsia="方正仿宋简体" w:cs="方正仿宋简体"/>
          <w:sz w:val="32"/>
          <w:szCs w:val="32"/>
        </w:rPr>
        <w:t>作为处罚依据。二是构成违反</w:t>
      </w:r>
      <w:r>
        <w:rPr>
          <w:rFonts w:hint="eastAsia" w:ascii="方正仿宋简体" w:hAnsi="方正仿宋简体" w:eastAsia="方正仿宋简体" w:cs="方正仿宋简体"/>
          <w:sz w:val="32"/>
          <w:szCs w:val="32"/>
          <w:lang w:eastAsia="zh-CN"/>
        </w:rPr>
        <w:t>操作规程或者</w:t>
      </w:r>
      <w:r>
        <w:rPr>
          <w:rFonts w:hint="eastAsia" w:ascii="方正仿宋简体" w:hAnsi="方正仿宋简体" w:eastAsia="方正仿宋简体" w:cs="方正仿宋简体"/>
          <w:sz w:val="32"/>
          <w:szCs w:val="32"/>
        </w:rPr>
        <w:t>安全管理规定作业的，以部门规章的相关罚则作为处罚依据。三是不属于前两项情形，构成事故隐患的，以《安全生产法》第九十九条作为处罚依据。四是如果涉及不再具备行政许可条件的，应当依法暂扣或者吊销许可证，不得以罚款代替暂扣或者吊销许可证。</w:t>
      </w:r>
    </w:p>
    <w:p>
      <w:pPr>
        <w:rPr>
          <w:rFonts w:ascii="方正仿宋_GB18030" w:hAnsi="方正仿宋_GB18030" w:eastAsia="方正仿宋_GB18030" w:cs="方正仿宋_GB18030"/>
          <w:sz w:val="32"/>
          <w:szCs w:val="32"/>
        </w:rPr>
      </w:pPr>
      <w:r>
        <w:rPr>
          <w:rFonts w:hint="eastAsia" w:ascii="方正仿宋简体" w:hAnsi="方正仿宋简体" w:eastAsia="方正仿宋简体" w:cs="方正仿宋简体"/>
          <w:sz w:val="32"/>
          <w:szCs w:val="32"/>
        </w:rPr>
        <w:t xml:space="preserve">    五、</w:t>
      </w:r>
      <w:r>
        <w:rPr>
          <w:rFonts w:hint="eastAsia" w:ascii="方正仿宋_GB18030" w:hAnsi="方正仿宋_GB18030" w:eastAsia="方正仿宋_GB18030" w:cs="方正仿宋_GB18030"/>
          <w:sz w:val="32"/>
          <w:szCs w:val="32"/>
        </w:rPr>
        <w:t>应急管理部门安全生产行政执法依据（法律、行政法规、部门规章）目录附后。</w:t>
      </w:r>
    </w:p>
    <w:p>
      <w:pPr>
        <w:sectPr>
          <w:footerReference r:id="rId3" w:type="default"/>
          <w:pgSz w:w="11906" w:h="16838"/>
          <w:pgMar w:top="1701" w:right="1418" w:bottom="1474" w:left="1588" w:header="0" w:footer="907" w:gutter="0"/>
          <w:pgNumType w:start="155"/>
          <w:cols w:space="425" w:num="1"/>
          <w:docGrid w:type="lines" w:linePitch="312" w:charSpace="0"/>
        </w:sectPr>
      </w:pPr>
      <w:r>
        <w:rPr>
          <w:rFonts w:hint="eastAsia" w:ascii="方正仿宋_GB18030" w:hAnsi="方正仿宋_GB18030" w:eastAsia="方正仿宋_GB18030" w:cs="方正仿宋_GB18030"/>
          <w:sz w:val="32"/>
          <w:szCs w:val="32"/>
        </w:rPr>
        <w:br w:type="page"/>
      </w:r>
    </w:p>
    <w:p>
      <w:pPr>
        <w:pStyle w:val="27"/>
        <w:spacing w:line="360" w:lineRule="auto"/>
        <w:rPr>
          <w:color w:val="auto"/>
        </w:rPr>
      </w:pPr>
      <w:r>
        <w:rPr>
          <w:color w:val="auto"/>
          <w:lang w:val="zh-CN"/>
        </w:rPr>
        <w:t>目录</w:t>
      </w:r>
    </w:p>
    <w:p>
      <w:pPr>
        <w:pStyle w:val="12"/>
        <w:tabs>
          <w:tab w:val="right" w:leader="dot" w:pos="13653"/>
        </w:tabs>
        <w:spacing w:line="360" w:lineRule="auto"/>
        <w:rPr>
          <w:rFonts w:hint="default" w:eastAsia="宋体" w:asciiTheme="minorHAnsi" w:hAnsiTheme="minorHAnsi" w:cstheme="minorBidi"/>
          <w:lang w:val="en-US" w:eastAsia="zh-CN"/>
        </w:rPr>
      </w:pPr>
      <w:r>
        <w:fldChar w:fldCharType="begin"/>
      </w:r>
      <w:r>
        <w:instrText xml:space="preserve"> TOC \o "1-3" \h \z \u </w:instrText>
      </w:r>
      <w:r>
        <w:fldChar w:fldCharType="separate"/>
      </w:r>
      <w:r>
        <w:fldChar w:fldCharType="begin"/>
      </w:r>
      <w:r>
        <w:instrText xml:space="preserve"> HYPERLINK \l "_Toc499799321" </w:instrText>
      </w:r>
      <w:r>
        <w:fldChar w:fldCharType="separate"/>
      </w:r>
      <w:r>
        <w:rPr>
          <w:rStyle w:val="17"/>
          <w:rFonts w:hint="eastAsia" w:ascii="黑体" w:hAnsi="黑体" w:eastAsia="黑体"/>
          <w:color w:val="auto"/>
        </w:rPr>
        <w:t>表</w:t>
      </w:r>
      <w:r>
        <w:rPr>
          <w:rStyle w:val="17"/>
          <w:rFonts w:ascii="黑体" w:hAnsi="黑体" w:eastAsia="黑体"/>
          <w:color w:val="auto"/>
        </w:rPr>
        <w:t>1</w:t>
      </w:r>
      <w:r>
        <w:rPr>
          <w:rStyle w:val="17"/>
          <w:rFonts w:hint="eastAsia" w:ascii="黑体" w:hAnsi="黑体" w:eastAsia="黑体"/>
          <w:color w:val="auto"/>
        </w:rPr>
        <w:t>安全生产监督检查综合事项</w:t>
      </w:r>
      <w:r>
        <w:tab/>
      </w:r>
      <w:r>
        <w:fldChar w:fldCharType="end"/>
      </w:r>
      <w:r>
        <w:rPr>
          <w:rFonts w:hint="eastAsia"/>
        </w:rPr>
        <w:t>1</w:t>
      </w:r>
      <w:r>
        <w:rPr>
          <w:rFonts w:hint="eastAsia"/>
          <w:lang w:val="en-US" w:eastAsia="zh-CN"/>
        </w:rPr>
        <w:t>59</w:t>
      </w:r>
    </w:p>
    <w:p>
      <w:pPr>
        <w:pStyle w:val="12"/>
        <w:tabs>
          <w:tab w:val="right" w:leader="dot" w:pos="13653"/>
        </w:tabs>
        <w:spacing w:line="360" w:lineRule="auto"/>
        <w:rPr>
          <w:rFonts w:hint="default" w:eastAsia="宋体" w:asciiTheme="minorHAnsi" w:hAnsiTheme="minorHAnsi" w:cstheme="minorBidi"/>
          <w:lang w:val="en-US" w:eastAsia="zh-CN"/>
        </w:rPr>
      </w:pPr>
      <w:r>
        <w:fldChar w:fldCharType="begin"/>
      </w:r>
      <w:r>
        <w:instrText xml:space="preserve"> HYPERLINK \l "_Toc499799323" </w:instrText>
      </w:r>
      <w:r>
        <w:fldChar w:fldCharType="separate"/>
      </w:r>
      <w:r>
        <w:rPr>
          <w:rStyle w:val="17"/>
          <w:rFonts w:hint="eastAsia" w:ascii="黑体" w:hAnsi="黑体" w:eastAsia="黑体"/>
          <w:color w:val="auto"/>
        </w:rPr>
        <w:t>表2金属非金属矿山企业监督检查重点事项</w:t>
      </w:r>
      <w:r>
        <w:tab/>
      </w:r>
      <w:r>
        <w:fldChar w:fldCharType="end"/>
      </w:r>
      <w:r>
        <w:rPr>
          <w:rFonts w:hint="eastAsia"/>
        </w:rPr>
        <w:t>1</w:t>
      </w:r>
      <w:r>
        <w:rPr>
          <w:rFonts w:hint="eastAsia"/>
          <w:lang w:val="en-US" w:eastAsia="zh-CN"/>
        </w:rPr>
        <w:t>85</w:t>
      </w:r>
    </w:p>
    <w:p>
      <w:pPr>
        <w:pStyle w:val="12"/>
        <w:tabs>
          <w:tab w:val="right" w:leader="dot" w:pos="13653"/>
        </w:tabs>
        <w:spacing w:line="360" w:lineRule="auto"/>
        <w:rPr>
          <w:rFonts w:hint="default" w:eastAsia="宋体" w:asciiTheme="minorHAnsi" w:hAnsiTheme="minorHAnsi" w:cstheme="minorBidi"/>
          <w:lang w:val="en-US" w:eastAsia="zh-CN"/>
        </w:rPr>
      </w:pPr>
      <w:r>
        <w:fldChar w:fldCharType="begin"/>
      </w:r>
      <w:r>
        <w:instrText xml:space="preserve"> HYPERLINK \l "_Toc499799324" </w:instrText>
      </w:r>
      <w:r>
        <w:fldChar w:fldCharType="separate"/>
      </w:r>
      <w:r>
        <w:rPr>
          <w:rStyle w:val="17"/>
          <w:rFonts w:hint="eastAsia" w:ascii="黑体" w:hAnsi="黑体" w:eastAsia="黑体"/>
          <w:color w:val="auto"/>
        </w:rPr>
        <w:t>表2</w:t>
      </w:r>
      <w:r>
        <w:rPr>
          <w:rStyle w:val="17"/>
          <w:rFonts w:ascii="黑体" w:hAnsi="黑体" w:eastAsia="黑体"/>
          <w:color w:val="auto"/>
        </w:rPr>
        <w:t xml:space="preserve">-1  </w:t>
      </w:r>
      <w:r>
        <w:rPr>
          <w:rStyle w:val="17"/>
          <w:rFonts w:hint="eastAsia" w:ascii="黑体" w:hAnsi="黑体" w:eastAsia="黑体"/>
          <w:color w:val="auto"/>
        </w:rPr>
        <w:t>金属非金属地下矿山</w:t>
      </w:r>
      <w:r>
        <w:tab/>
      </w:r>
      <w:r>
        <w:fldChar w:fldCharType="end"/>
      </w:r>
      <w:r>
        <w:rPr>
          <w:rFonts w:hint="eastAsia"/>
        </w:rPr>
        <w:t>1</w:t>
      </w:r>
      <w:r>
        <w:rPr>
          <w:rFonts w:hint="eastAsia"/>
          <w:lang w:val="en-US" w:eastAsia="zh-CN"/>
        </w:rPr>
        <w:t>85</w:t>
      </w:r>
    </w:p>
    <w:p>
      <w:pPr>
        <w:pStyle w:val="12"/>
        <w:tabs>
          <w:tab w:val="right" w:leader="dot" w:pos="13653"/>
        </w:tabs>
        <w:spacing w:line="360" w:lineRule="auto"/>
        <w:rPr>
          <w:rFonts w:hint="default" w:eastAsia="宋体" w:asciiTheme="minorHAnsi" w:hAnsiTheme="minorHAnsi" w:cstheme="minorBidi"/>
          <w:lang w:val="en-US" w:eastAsia="zh-CN"/>
        </w:rPr>
      </w:pPr>
      <w:r>
        <w:fldChar w:fldCharType="begin"/>
      </w:r>
      <w:r>
        <w:instrText xml:space="preserve"> HYPERLINK \l "_Toc499799325" </w:instrText>
      </w:r>
      <w:r>
        <w:fldChar w:fldCharType="separate"/>
      </w:r>
      <w:r>
        <w:rPr>
          <w:rStyle w:val="17"/>
          <w:rFonts w:hint="eastAsia" w:ascii="黑体" w:hAnsi="黑体" w:eastAsia="黑体"/>
          <w:color w:val="auto"/>
        </w:rPr>
        <w:t>表2</w:t>
      </w:r>
      <w:r>
        <w:rPr>
          <w:rStyle w:val="17"/>
          <w:rFonts w:ascii="黑体" w:hAnsi="黑体" w:eastAsia="黑体"/>
          <w:color w:val="auto"/>
        </w:rPr>
        <w:t xml:space="preserve">-2  </w:t>
      </w:r>
      <w:r>
        <w:rPr>
          <w:rStyle w:val="17"/>
          <w:rFonts w:hint="eastAsia" w:ascii="黑体" w:hAnsi="黑体" w:eastAsia="黑体"/>
          <w:color w:val="auto"/>
        </w:rPr>
        <w:t>金属非金属露天矿山</w:t>
      </w:r>
      <w:r>
        <w:tab/>
      </w:r>
      <w:r>
        <w:fldChar w:fldCharType="end"/>
      </w:r>
      <w:r>
        <w:rPr>
          <w:rFonts w:hint="eastAsia"/>
        </w:rPr>
        <w:t>2</w:t>
      </w:r>
      <w:r>
        <w:rPr>
          <w:rFonts w:hint="eastAsia"/>
          <w:lang w:val="en-US" w:eastAsia="zh-CN"/>
        </w:rPr>
        <w:t>16</w:t>
      </w:r>
    </w:p>
    <w:p>
      <w:pPr>
        <w:pStyle w:val="12"/>
        <w:tabs>
          <w:tab w:val="right" w:leader="dot" w:pos="13653"/>
        </w:tabs>
        <w:spacing w:line="360" w:lineRule="auto"/>
        <w:rPr>
          <w:rFonts w:hint="default" w:eastAsia="宋体" w:asciiTheme="minorHAnsi" w:hAnsiTheme="minorHAnsi" w:cstheme="minorBidi"/>
          <w:lang w:val="en-US" w:eastAsia="zh-CN"/>
        </w:rPr>
      </w:pPr>
      <w:r>
        <w:fldChar w:fldCharType="begin"/>
      </w:r>
      <w:r>
        <w:instrText xml:space="preserve"> HYPERLINK \l "_Toc499799326" </w:instrText>
      </w:r>
      <w:r>
        <w:fldChar w:fldCharType="separate"/>
      </w:r>
      <w:r>
        <w:rPr>
          <w:rStyle w:val="17"/>
          <w:rFonts w:hint="eastAsia" w:ascii="黑体" w:hAnsi="黑体" w:eastAsia="黑体"/>
          <w:color w:val="auto"/>
        </w:rPr>
        <w:t>表2</w:t>
      </w:r>
      <w:r>
        <w:rPr>
          <w:rStyle w:val="17"/>
          <w:rFonts w:ascii="黑体" w:hAnsi="黑体" w:eastAsia="黑体"/>
          <w:color w:val="auto"/>
        </w:rPr>
        <w:t xml:space="preserve">-3  </w:t>
      </w:r>
      <w:r>
        <w:rPr>
          <w:rStyle w:val="17"/>
          <w:rFonts w:hint="eastAsia" w:ascii="黑体" w:hAnsi="黑体" w:eastAsia="黑体"/>
          <w:color w:val="auto"/>
        </w:rPr>
        <w:t>尾矿库</w:t>
      </w:r>
      <w:r>
        <w:tab/>
      </w:r>
      <w:r>
        <w:fldChar w:fldCharType="end"/>
      </w:r>
      <w:r>
        <w:rPr>
          <w:rFonts w:hint="eastAsia"/>
        </w:rPr>
        <w:t>2</w:t>
      </w:r>
      <w:r>
        <w:rPr>
          <w:rFonts w:hint="eastAsia"/>
          <w:lang w:val="en-US" w:eastAsia="zh-CN"/>
        </w:rPr>
        <w:t>32</w:t>
      </w:r>
    </w:p>
    <w:p>
      <w:pPr>
        <w:pStyle w:val="12"/>
        <w:tabs>
          <w:tab w:val="right" w:leader="dot" w:pos="13653"/>
        </w:tabs>
        <w:spacing w:line="360" w:lineRule="auto"/>
        <w:rPr>
          <w:rFonts w:hint="default" w:eastAsia="宋体" w:asciiTheme="minorHAnsi" w:hAnsiTheme="minorHAnsi" w:cstheme="minorBidi"/>
          <w:lang w:val="en-US" w:eastAsia="zh-CN"/>
        </w:rPr>
      </w:pPr>
      <w:r>
        <w:fldChar w:fldCharType="begin"/>
      </w:r>
      <w:r>
        <w:instrText xml:space="preserve"> HYPERLINK \l "_Toc499799327" </w:instrText>
      </w:r>
      <w:r>
        <w:fldChar w:fldCharType="separate"/>
      </w:r>
      <w:r>
        <w:rPr>
          <w:rStyle w:val="17"/>
          <w:rFonts w:hint="eastAsia" w:ascii="黑体" w:hAnsi="黑体" w:eastAsia="黑体"/>
          <w:color w:val="auto"/>
        </w:rPr>
        <w:t>表3危险化学品生产经营企业监督检查重点事项</w:t>
      </w:r>
      <w:r>
        <w:tab/>
      </w:r>
      <w:r>
        <w:fldChar w:fldCharType="end"/>
      </w:r>
      <w:r>
        <w:rPr>
          <w:rFonts w:hint="eastAsia"/>
        </w:rPr>
        <w:t>2</w:t>
      </w:r>
      <w:r>
        <w:rPr>
          <w:rFonts w:hint="eastAsia"/>
          <w:lang w:val="en-US" w:eastAsia="zh-CN"/>
        </w:rPr>
        <w:t>46</w:t>
      </w:r>
    </w:p>
    <w:p>
      <w:pPr>
        <w:pStyle w:val="12"/>
        <w:tabs>
          <w:tab w:val="right" w:leader="dot" w:pos="13653"/>
        </w:tabs>
        <w:spacing w:line="360" w:lineRule="auto"/>
        <w:rPr>
          <w:rFonts w:hint="default" w:eastAsia="宋体" w:asciiTheme="minorHAnsi" w:hAnsiTheme="minorHAnsi" w:cstheme="minorBidi"/>
          <w:lang w:val="en-US" w:eastAsia="zh-CN"/>
        </w:rPr>
      </w:pPr>
      <w:r>
        <w:fldChar w:fldCharType="begin"/>
      </w:r>
      <w:r>
        <w:instrText xml:space="preserve"> HYPERLINK \l "_Toc499799328" </w:instrText>
      </w:r>
      <w:r>
        <w:fldChar w:fldCharType="separate"/>
      </w:r>
      <w:r>
        <w:rPr>
          <w:rStyle w:val="17"/>
          <w:rFonts w:hint="eastAsia" w:ascii="黑体" w:hAnsi="黑体" w:eastAsia="黑体"/>
          <w:color w:val="auto"/>
        </w:rPr>
        <w:t>表4烟花爆竹企业监督检查重点事项</w:t>
      </w:r>
      <w:r>
        <w:tab/>
      </w:r>
      <w:r>
        <w:fldChar w:fldCharType="end"/>
      </w:r>
      <w:r>
        <w:rPr>
          <w:rFonts w:hint="eastAsia"/>
        </w:rPr>
        <w:t>2</w:t>
      </w:r>
      <w:r>
        <w:rPr>
          <w:rFonts w:hint="eastAsia"/>
          <w:lang w:val="en-US" w:eastAsia="zh-CN"/>
        </w:rPr>
        <w:t>61</w:t>
      </w:r>
    </w:p>
    <w:p>
      <w:pPr>
        <w:pStyle w:val="12"/>
        <w:tabs>
          <w:tab w:val="right" w:leader="dot" w:pos="13653"/>
        </w:tabs>
        <w:spacing w:line="360" w:lineRule="auto"/>
        <w:rPr>
          <w:rFonts w:hint="default" w:eastAsia="宋体" w:asciiTheme="minorHAnsi" w:hAnsiTheme="minorHAnsi" w:cstheme="minorBidi"/>
          <w:lang w:val="en-US" w:eastAsia="zh-CN"/>
        </w:rPr>
      </w:pPr>
      <w:r>
        <w:fldChar w:fldCharType="begin"/>
      </w:r>
      <w:r>
        <w:instrText xml:space="preserve"> HYPERLINK \l "_Toc499799329" </w:instrText>
      </w:r>
      <w:r>
        <w:fldChar w:fldCharType="separate"/>
      </w:r>
      <w:r>
        <w:rPr>
          <w:rStyle w:val="17"/>
          <w:rFonts w:hint="eastAsia" w:ascii="黑体" w:hAnsi="黑体" w:eastAsia="黑体"/>
          <w:color w:val="auto"/>
        </w:rPr>
        <w:t>表4</w:t>
      </w:r>
      <w:r>
        <w:rPr>
          <w:rStyle w:val="17"/>
          <w:rFonts w:ascii="黑体" w:hAnsi="黑体" w:eastAsia="黑体"/>
          <w:color w:val="auto"/>
        </w:rPr>
        <w:t xml:space="preserve">-1  </w:t>
      </w:r>
      <w:r>
        <w:rPr>
          <w:rStyle w:val="17"/>
          <w:rFonts w:hint="eastAsia" w:ascii="黑体" w:hAnsi="黑体" w:eastAsia="黑体"/>
          <w:color w:val="auto"/>
        </w:rPr>
        <w:t>烟花爆竹生产企业</w:t>
      </w:r>
      <w:r>
        <w:tab/>
      </w:r>
      <w:r>
        <w:fldChar w:fldCharType="end"/>
      </w:r>
      <w:r>
        <w:rPr>
          <w:rFonts w:hint="eastAsia"/>
        </w:rPr>
        <w:t>2</w:t>
      </w:r>
      <w:r>
        <w:rPr>
          <w:rFonts w:hint="eastAsia"/>
          <w:lang w:val="en-US" w:eastAsia="zh-CN"/>
        </w:rPr>
        <w:t>61</w:t>
      </w:r>
    </w:p>
    <w:p>
      <w:pPr>
        <w:pStyle w:val="12"/>
        <w:tabs>
          <w:tab w:val="right" w:leader="dot" w:pos="13653"/>
        </w:tabs>
        <w:spacing w:line="360" w:lineRule="auto"/>
        <w:rPr>
          <w:rFonts w:hint="default" w:eastAsia="宋体" w:asciiTheme="minorHAnsi" w:hAnsiTheme="minorHAnsi" w:cstheme="minorBidi"/>
          <w:lang w:val="en-US" w:eastAsia="zh-CN"/>
        </w:rPr>
      </w:pPr>
      <w:r>
        <w:fldChar w:fldCharType="begin"/>
      </w:r>
      <w:r>
        <w:instrText xml:space="preserve"> HYPERLINK \l "_Toc499799330" </w:instrText>
      </w:r>
      <w:r>
        <w:fldChar w:fldCharType="separate"/>
      </w:r>
      <w:r>
        <w:rPr>
          <w:rStyle w:val="17"/>
          <w:rFonts w:hint="eastAsia" w:ascii="黑体" w:hAnsi="黑体" w:eastAsia="黑体"/>
          <w:color w:val="auto"/>
        </w:rPr>
        <w:t>表4</w:t>
      </w:r>
      <w:r>
        <w:rPr>
          <w:rStyle w:val="17"/>
          <w:rFonts w:ascii="黑体" w:hAnsi="黑体" w:eastAsia="黑体"/>
          <w:color w:val="auto"/>
        </w:rPr>
        <w:t xml:space="preserve">-2  </w:t>
      </w:r>
      <w:r>
        <w:rPr>
          <w:rStyle w:val="17"/>
          <w:rFonts w:hint="eastAsia" w:ascii="黑体" w:hAnsi="黑体" w:eastAsia="黑体"/>
          <w:color w:val="auto"/>
        </w:rPr>
        <w:t>烟花爆竹经营企业</w:t>
      </w:r>
      <w:r>
        <w:tab/>
      </w:r>
      <w:r>
        <w:fldChar w:fldCharType="end"/>
      </w:r>
      <w:r>
        <w:rPr>
          <w:rFonts w:hint="eastAsia"/>
        </w:rPr>
        <w:t>2</w:t>
      </w:r>
      <w:r>
        <w:rPr>
          <w:rFonts w:hint="eastAsia"/>
          <w:lang w:val="en-US" w:eastAsia="zh-CN"/>
        </w:rPr>
        <w:t>72</w:t>
      </w:r>
    </w:p>
    <w:p>
      <w:pPr>
        <w:pStyle w:val="12"/>
        <w:tabs>
          <w:tab w:val="right" w:leader="dot" w:pos="13653"/>
        </w:tabs>
        <w:spacing w:line="360" w:lineRule="auto"/>
        <w:rPr>
          <w:rFonts w:hint="default" w:eastAsia="宋体" w:asciiTheme="minorHAnsi" w:hAnsiTheme="minorHAnsi" w:cstheme="minorBidi"/>
          <w:lang w:val="en-US" w:eastAsia="zh-CN"/>
        </w:rPr>
      </w:pPr>
      <w:r>
        <w:fldChar w:fldCharType="begin"/>
      </w:r>
      <w:r>
        <w:instrText xml:space="preserve"> HYPERLINK \l "_Toc499799331" </w:instrText>
      </w:r>
      <w:r>
        <w:fldChar w:fldCharType="separate"/>
      </w:r>
      <w:r>
        <w:rPr>
          <w:rStyle w:val="17"/>
          <w:rFonts w:hint="eastAsia" w:ascii="黑体" w:hAnsi="黑体" w:eastAsia="黑体"/>
          <w:color w:val="auto"/>
        </w:rPr>
        <w:t>表5冶金等工贸企业监督检查重点事项</w:t>
      </w:r>
      <w:r>
        <w:tab/>
      </w:r>
      <w:r>
        <w:fldChar w:fldCharType="end"/>
      </w:r>
      <w:r>
        <w:rPr>
          <w:rFonts w:hint="eastAsia"/>
        </w:rPr>
        <w:t>2</w:t>
      </w:r>
      <w:r>
        <w:rPr>
          <w:rFonts w:hint="eastAsia"/>
          <w:lang w:val="en-US" w:eastAsia="zh-CN"/>
        </w:rPr>
        <w:t>82</w:t>
      </w:r>
    </w:p>
    <w:p>
      <w:pPr>
        <w:pStyle w:val="12"/>
        <w:tabs>
          <w:tab w:val="right" w:leader="dot" w:pos="13653"/>
        </w:tabs>
        <w:spacing w:line="360" w:lineRule="auto"/>
        <w:rPr>
          <w:rFonts w:hint="default" w:eastAsia="宋体" w:asciiTheme="minorHAnsi" w:hAnsiTheme="minorHAnsi" w:cstheme="minorBidi"/>
          <w:lang w:val="en-US" w:eastAsia="zh-CN"/>
        </w:rPr>
      </w:pPr>
      <w:r>
        <w:fldChar w:fldCharType="begin"/>
      </w:r>
      <w:r>
        <w:instrText xml:space="preserve"> HYPERLINK \l "_Toc499799332" </w:instrText>
      </w:r>
      <w:r>
        <w:fldChar w:fldCharType="separate"/>
      </w:r>
      <w:r>
        <w:rPr>
          <w:rStyle w:val="17"/>
          <w:rFonts w:hint="eastAsia" w:ascii="黑体" w:hAnsi="黑体" w:eastAsia="黑体"/>
          <w:color w:val="auto"/>
        </w:rPr>
        <w:t>表5</w:t>
      </w:r>
      <w:r>
        <w:rPr>
          <w:rStyle w:val="17"/>
          <w:rFonts w:ascii="黑体" w:hAnsi="黑体" w:eastAsia="黑体"/>
          <w:color w:val="auto"/>
        </w:rPr>
        <w:t xml:space="preserve">-1  </w:t>
      </w:r>
      <w:r>
        <w:rPr>
          <w:rStyle w:val="17"/>
          <w:rFonts w:hint="eastAsia" w:ascii="黑体" w:hAnsi="黑体" w:eastAsia="黑体"/>
          <w:color w:val="auto"/>
        </w:rPr>
        <w:t>冶金企业</w:t>
      </w:r>
      <w:r>
        <w:tab/>
      </w:r>
      <w:r>
        <w:fldChar w:fldCharType="end"/>
      </w:r>
      <w:r>
        <w:rPr>
          <w:rFonts w:hint="eastAsia"/>
        </w:rPr>
        <w:t>2</w:t>
      </w:r>
      <w:r>
        <w:rPr>
          <w:rFonts w:hint="eastAsia"/>
          <w:lang w:val="en-US" w:eastAsia="zh-CN"/>
        </w:rPr>
        <w:t>82</w:t>
      </w:r>
    </w:p>
    <w:p>
      <w:pPr>
        <w:pStyle w:val="12"/>
        <w:tabs>
          <w:tab w:val="right" w:leader="dot" w:pos="13653"/>
        </w:tabs>
        <w:spacing w:line="360" w:lineRule="auto"/>
        <w:rPr>
          <w:rFonts w:hint="default" w:eastAsia="宋体" w:asciiTheme="minorHAnsi" w:hAnsiTheme="minorHAnsi" w:cstheme="minorBidi"/>
          <w:lang w:val="en-US" w:eastAsia="zh-CN"/>
        </w:rPr>
      </w:pPr>
      <w:r>
        <w:fldChar w:fldCharType="begin"/>
      </w:r>
      <w:r>
        <w:instrText xml:space="preserve"> HYPERLINK \l "_Toc499799333" </w:instrText>
      </w:r>
      <w:r>
        <w:fldChar w:fldCharType="separate"/>
      </w:r>
      <w:r>
        <w:rPr>
          <w:rStyle w:val="17"/>
          <w:rFonts w:hint="eastAsia" w:ascii="黑体" w:hAnsi="黑体" w:eastAsia="黑体"/>
          <w:color w:val="auto"/>
        </w:rPr>
        <w:t>表5</w:t>
      </w:r>
      <w:r>
        <w:rPr>
          <w:rStyle w:val="17"/>
          <w:rFonts w:ascii="黑体" w:hAnsi="黑体" w:eastAsia="黑体"/>
          <w:color w:val="auto"/>
        </w:rPr>
        <w:t xml:space="preserve">-2  </w:t>
      </w:r>
      <w:r>
        <w:rPr>
          <w:rStyle w:val="17"/>
          <w:rFonts w:hint="eastAsia" w:ascii="黑体" w:hAnsi="黑体" w:eastAsia="黑体"/>
          <w:color w:val="auto"/>
        </w:rPr>
        <w:t>有色企业</w:t>
      </w:r>
      <w:r>
        <w:tab/>
      </w:r>
      <w:r>
        <w:fldChar w:fldCharType="end"/>
      </w:r>
      <w:r>
        <w:rPr>
          <w:rFonts w:hint="eastAsia"/>
        </w:rPr>
        <w:t>2</w:t>
      </w:r>
      <w:r>
        <w:rPr>
          <w:rFonts w:hint="eastAsia"/>
          <w:lang w:val="en-US" w:eastAsia="zh-CN"/>
        </w:rPr>
        <w:t>96</w:t>
      </w:r>
    </w:p>
    <w:p>
      <w:pPr>
        <w:pStyle w:val="12"/>
        <w:tabs>
          <w:tab w:val="right" w:leader="dot" w:pos="13653"/>
        </w:tabs>
        <w:spacing w:line="360" w:lineRule="auto"/>
        <w:rPr>
          <w:rFonts w:hint="default" w:eastAsia="宋体" w:asciiTheme="minorHAnsi" w:hAnsiTheme="minorHAnsi" w:cstheme="minorBidi"/>
          <w:lang w:val="en-US" w:eastAsia="zh-CN"/>
        </w:rPr>
      </w:pPr>
      <w:r>
        <w:fldChar w:fldCharType="begin"/>
      </w:r>
      <w:r>
        <w:instrText xml:space="preserve"> HYPERLINK \l "_Toc499799334" </w:instrText>
      </w:r>
      <w:r>
        <w:fldChar w:fldCharType="separate"/>
      </w:r>
      <w:r>
        <w:rPr>
          <w:rStyle w:val="17"/>
          <w:rFonts w:hint="eastAsia" w:ascii="黑体" w:hAnsi="黑体" w:eastAsia="黑体"/>
          <w:color w:val="auto"/>
        </w:rPr>
        <w:t>表5</w:t>
      </w:r>
      <w:r>
        <w:rPr>
          <w:rStyle w:val="17"/>
          <w:rFonts w:ascii="黑体" w:hAnsi="黑体" w:eastAsia="黑体"/>
          <w:color w:val="auto"/>
        </w:rPr>
        <w:t xml:space="preserve">-3  </w:t>
      </w:r>
      <w:r>
        <w:rPr>
          <w:rStyle w:val="17"/>
          <w:rFonts w:hint="eastAsia" w:ascii="黑体" w:hAnsi="黑体" w:eastAsia="黑体"/>
          <w:color w:val="auto"/>
        </w:rPr>
        <w:t>建材企业</w:t>
      </w:r>
      <w:r>
        <w:tab/>
      </w:r>
      <w:r>
        <w:fldChar w:fldCharType="end"/>
      </w:r>
      <w:r>
        <w:rPr>
          <w:rFonts w:hint="eastAsia"/>
          <w:lang w:val="en-US" w:eastAsia="zh-CN"/>
        </w:rPr>
        <w:t>308</w:t>
      </w:r>
    </w:p>
    <w:p>
      <w:pPr>
        <w:pStyle w:val="12"/>
        <w:tabs>
          <w:tab w:val="right" w:leader="dot" w:pos="13653"/>
        </w:tabs>
        <w:spacing w:line="360" w:lineRule="auto"/>
        <w:rPr>
          <w:rFonts w:hint="default" w:eastAsia="宋体" w:asciiTheme="minorHAnsi" w:hAnsiTheme="minorHAnsi" w:cstheme="minorBidi"/>
          <w:lang w:val="en-US" w:eastAsia="zh-CN"/>
        </w:rPr>
      </w:pPr>
      <w:r>
        <w:fldChar w:fldCharType="begin"/>
      </w:r>
      <w:r>
        <w:instrText xml:space="preserve"> HYPERLINK \l "_Toc499799335" </w:instrText>
      </w:r>
      <w:r>
        <w:fldChar w:fldCharType="separate"/>
      </w:r>
      <w:r>
        <w:rPr>
          <w:rStyle w:val="17"/>
          <w:rFonts w:hint="eastAsia" w:ascii="黑体" w:hAnsi="黑体" w:eastAsia="黑体"/>
          <w:color w:val="auto"/>
        </w:rPr>
        <w:t>表5</w:t>
      </w:r>
      <w:r>
        <w:rPr>
          <w:rStyle w:val="17"/>
          <w:rFonts w:ascii="黑体" w:hAnsi="黑体" w:eastAsia="黑体"/>
          <w:color w:val="auto"/>
        </w:rPr>
        <w:t xml:space="preserve">-4  </w:t>
      </w:r>
      <w:r>
        <w:rPr>
          <w:rStyle w:val="17"/>
          <w:rFonts w:hint="eastAsia" w:ascii="黑体" w:hAnsi="黑体" w:eastAsia="黑体"/>
          <w:color w:val="auto"/>
        </w:rPr>
        <w:t>机械企业</w:t>
      </w:r>
      <w:r>
        <w:tab/>
      </w:r>
      <w:r>
        <w:fldChar w:fldCharType="end"/>
      </w:r>
      <w:r>
        <w:rPr>
          <w:rFonts w:hint="eastAsia"/>
        </w:rPr>
        <w:t>3</w:t>
      </w:r>
      <w:r>
        <w:rPr>
          <w:rFonts w:hint="eastAsia"/>
          <w:lang w:val="en-US" w:eastAsia="zh-CN"/>
        </w:rPr>
        <w:t>15</w:t>
      </w:r>
    </w:p>
    <w:p>
      <w:pPr>
        <w:pStyle w:val="12"/>
        <w:tabs>
          <w:tab w:val="right" w:leader="dot" w:pos="13653"/>
        </w:tabs>
        <w:spacing w:line="360" w:lineRule="auto"/>
        <w:rPr>
          <w:rFonts w:hint="default" w:eastAsia="宋体" w:asciiTheme="minorHAnsi" w:hAnsiTheme="minorHAnsi" w:cstheme="minorBidi"/>
          <w:lang w:val="en-US" w:eastAsia="zh-CN"/>
        </w:rPr>
      </w:pPr>
      <w:r>
        <w:fldChar w:fldCharType="begin"/>
      </w:r>
      <w:r>
        <w:instrText xml:space="preserve"> HYPERLINK \l "_Toc499799336" </w:instrText>
      </w:r>
      <w:r>
        <w:fldChar w:fldCharType="separate"/>
      </w:r>
      <w:r>
        <w:rPr>
          <w:rStyle w:val="17"/>
          <w:rFonts w:hint="eastAsia" w:ascii="黑体" w:hAnsi="黑体" w:eastAsia="黑体"/>
          <w:color w:val="auto"/>
        </w:rPr>
        <w:t>表5</w:t>
      </w:r>
      <w:r>
        <w:rPr>
          <w:rStyle w:val="17"/>
          <w:rFonts w:ascii="黑体" w:hAnsi="黑体" w:eastAsia="黑体"/>
          <w:color w:val="auto"/>
        </w:rPr>
        <w:t xml:space="preserve">-5  </w:t>
      </w:r>
      <w:r>
        <w:rPr>
          <w:rStyle w:val="17"/>
          <w:rFonts w:hint="eastAsia" w:ascii="黑体" w:hAnsi="黑体" w:eastAsia="黑体"/>
          <w:color w:val="auto"/>
        </w:rPr>
        <w:t>轻工企业</w:t>
      </w:r>
      <w:r>
        <w:tab/>
      </w:r>
      <w:r>
        <w:fldChar w:fldCharType="end"/>
      </w:r>
      <w:r>
        <w:rPr>
          <w:rFonts w:hint="eastAsia"/>
        </w:rPr>
        <w:t>3</w:t>
      </w:r>
      <w:r>
        <w:rPr>
          <w:rFonts w:hint="eastAsia"/>
          <w:lang w:val="en-US" w:eastAsia="zh-CN"/>
        </w:rPr>
        <w:t>21</w:t>
      </w:r>
    </w:p>
    <w:p>
      <w:pPr>
        <w:pStyle w:val="12"/>
        <w:tabs>
          <w:tab w:val="right" w:leader="dot" w:pos="13653"/>
        </w:tabs>
        <w:spacing w:line="360" w:lineRule="auto"/>
        <w:rPr>
          <w:rFonts w:hint="default" w:eastAsia="宋体" w:asciiTheme="minorHAnsi" w:hAnsiTheme="minorHAnsi" w:cstheme="minorBidi"/>
          <w:lang w:val="en-US" w:eastAsia="zh-CN"/>
        </w:rPr>
      </w:pPr>
      <w:r>
        <w:fldChar w:fldCharType="begin"/>
      </w:r>
      <w:r>
        <w:instrText xml:space="preserve"> HYPERLINK \l "_Toc499799337" </w:instrText>
      </w:r>
      <w:r>
        <w:fldChar w:fldCharType="separate"/>
      </w:r>
      <w:r>
        <w:rPr>
          <w:rStyle w:val="17"/>
          <w:rFonts w:hint="eastAsia" w:ascii="黑体" w:hAnsi="黑体" w:eastAsia="黑体"/>
          <w:color w:val="auto"/>
        </w:rPr>
        <w:t>表5</w:t>
      </w:r>
      <w:r>
        <w:rPr>
          <w:rStyle w:val="17"/>
          <w:rFonts w:ascii="黑体" w:hAnsi="黑体" w:eastAsia="黑体"/>
          <w:color w:val="auto"/>
        </w:rPr>
        <w:t xml:space="preserve">-6  </w:t>
      </w:r>
      <w:r>
        <w:rPr>
          <w:rStyle w:val="17"/>
          <w:rFonts w:hint="eastAsia" w:ascii="黑体" w:hAnsi="黑体" w:eastAsia="黑体"/>
          <w:color w:val="auto"/>
        </w:rPr>
        <w:t>纺织企业</w:t>
      </w:r>
      <w:r>
        <w:tab/>
      </w:r>
      <w:r>
        <w:fldChar w:fldCharType="end"/>
      </w:r>
      <w:r>
        <w:rPr>
          <w:rFonts w:hint="eastAsia"/>
        </w:rPr>
        <w:t>3</w:t>
      </w:r>
      <w:r>
        <w:rPr>
          <w:rFonts w:hint="eastAsia"/>
          <w:lang w:val="en-US" w:eastAsia="zh-CN"/>
        </w:rPr>
        <w:t>25</w:t>
      </w:r>
    </w:p>
    <w:p>
      <w:pPr>
        <w:pStyle w:val="12"/>
        <w:tabs>
          <w:tab w:val="right" w:leader="dot" w:pos="13653"/>
        </w:tabs>
        <w:spacing w:line="360" w:lineRule="auto"/>
        <w:rPr>
          <w:rFonts w:hint="eastAsia" w:eastAsia="宋体" w:asciiTheme="minorHAnsi" w:hAnsiTheme="minorHAnsi" w:cstheme="minorBidi"/>
          <w:lang w:val="en-US" w:eastAsia="zh-CN"/>
        </w:rPr>
      </w:pPr>
      <w:r>
        <w:fldChar w:fldCharType="begin"/>
      </w:r>
      <w:r>
        <w:instrText xml:space="preserve"> HYPERLINK \l "_Toc499799338" </w:instrText>
      </w:r>
      <w:r>
        <w:fldChar w:fldCharType="separate"/>
      </w:r>
      <w:r>
        <w:rPr>
          <w:rStyle w:val="17"/>
          <w:rFonts w:hint="eastAsia" w:ascii="黑体" w:hAnsi="黑体" w:eastAsia="黑体"/>
          <w:color w:val="auto"/>
        </w:rPr>
        <w:t>表5</w:t>
      </w:r>
      <w:r>
        <w:rPr>
          <w:rStyle w:val="17"/>
          <w:rFonts w:ascii="黑体" w:hAnsi="黑体" w:eastAsia="黑体"/>
          <w:color w:val="auto"/>
        </w:rPr>
        <w:t xml:space="preserve">-7  </w:t>
      </w:r>
      <w:r>
        <w:rPr>
          <w:rStyle w:val="17"/>
          <w:rFonts w:hint="eastAsia" w:ascii="黑体" w:hAnsi="黑体" w:eastAsia="黑体"/>
          <w:color w:val="auto"/>
        </w:rPr>
        <w:t>烟草企业</w:t>
      </w:r>
      <w:r>
        <w:tab/>
      </w:r>
      <w:r>
        <w:fldChar w:fldCharType="end"/>
      </w:r>
      <w:r>
        <w:rPr>
          <w:rFonts w:hint="eastAsia"/>
        </w:rPr>
        <w:t>32</w:t>
      </w:r>
      <w:r>
        <w:rPr>
          <w:rFonts w:hint="eastAsia"/>
          <w:lang w:val="en-US" w:eastAsia="zh-CN"/>
        </w:rPr>
        <w:t>7</w:t>
      </w:r>
    </w:p>
    <w:p>
      <w:pPr>
        <w:pStyle w:val="12"/>
        <w:tabs>
          <w:tab w:val="right" w:leader="dot" w:pos="13653"/>
        </w:tabs>
        <w:spacing w:line="360" w:lineRule="auto"/>
        <w:rPr>
          <w:rFonts w:hint="eastAsia" w:eastAsia="宋体" w:asciiTheme="minorHAnsi" w:hAnsiTheme="minorHAnsi" w:cstheme="minorBidi"/>
          <w:lang w:val="en-US" w:eastAsia="zh-CN"/>
        </w:rPr>
      </w:pPr>
      <w:r>
        <w:fldChar w:fldCharType="begin"/>
      </w:r>
      <w:r>
        <w:instrText xml:space="preserve"> HYPERLINK \l "_Toc499799339" </w:instrText>
      </w:r>
      <w:r>
        <w:fldChar w:fldCharType="separate"/>
      </w:r>
      <w:r>
        <w:rPr>
          <w:rStyle w:val="17"/>
          <w:rFonts w:hint="eastAsia" w:ascii="黑体" w:hAnsi="黑体" w:eastAsia="黑体"/>
          <w:color w:val="auto"/>
        </w:rPr>
        <w:t>表5</w:t>
      </w:r>
      <w:r>
        <w:rPr>
          <w:rStyle w:val="17"/>
          <w:rFonts w:ascii="黑体" w:hAnsi="黑体" w:eastAsia="黑体"/>
          <w:color w:val="auto"/>
        </w:rPr>
        <w:t xml:space="preserve">-8  </w:t>
      </w:r>
      <w:r>
        <w:rPr>
          <w:rStyle w:val="17"/>
          <w:rFonts w:hint="eastAsia" w:ascii="黑体" w:hAnsi="黑体" w:eastAsia="黑体"/>
          <w:color w:val="auto"/>
        </w:rPr>
        <w:t>粉尘涉爆企业</w:t>
      </w:r>
      <w:r>
        <w:tab/>
      </w:r>
      <w:r>
        <w:fldChar w:fldCharType="end"/>
      </w:r>
      <w:r>
        <w:rPr>
          <w:rFonts w:hint="eastAsia"/>
        </w:rPr>
        <w:t>32</w:t>
      </w:r>
      <w:r>
        <w:rPr>
          <w:rFonts w:hint="eastAsia"/>
          <w:lang w:val="en-US" w:eastAsia="zh-CN"/>
        </w:rPr>
        <w:t>9</w:t>
      </w:r>
    </w:p>
    <w:p>
      <w:pPr>
        <w:pStyle w:val="12"/>
        <w:tabs>
          <w:tab w:val="right" w:leader="dot" w:pos="13653"/>
        </w:tabs>
        <w:spacing w:line="360" w:lineRule="auto"/>
        <w:rPr>
          <w:rFonts w:hint="eastAsia" w:eastAsia="宋体" w:asciiTheme="minorHAnsi" w:hAnsiTheme="minorHAnsi" w:cstheme="minorBidi"/>
          <w:lang w:val="en-US" w:eastAsia="zh-CN"/>
        </w:rPr>
      </w:pPr>
      <w:r>
        <w:fldChar w:fldCharType="begin"/>
      </w:r>
      <w:r>
        <w:instrText xml:space="preserve"> HYPERLINK \l "_Toc499799340" </w:instrText>
      </w:r>
      <w:r>
        <w:fldChar w:fldCharType="separate"/>
      </w:r>
      <w:r>
        <w:rPr>
          <w:rStyle w:val="17"/>
          <w:rFonts w:hint="eastAsia" w:ascii="黑体" w:hAnsi="黑体" w:eastAsia="黑体"/>
          <w:color w:val="auto"/>
        </w:rPr>
        <w:t>表5</w:t>
      </w:r>
      <w:r>
        <w:rPr>
          <w:rStyle w:val="17"/>
          <w:rFonts w:ascii="黑体" w:hAnsi="黑体" w:eastAsia="黑体"/>
          <w:color w:val="auto"/>
        </w:rPr>
        <w:t xml:space="preserve">-9  </w:t>
      </w:r>
      <w:r>
        <w:rPr>
          <w:rStyle w:val="17"/>
          <w:rFonts w:hint="eastAsia" w:ascii="黑体" w:hAnsi="黑体" w:eastAsia="黑体"/>
          <w:color w:val="auto"/>
        </w:rPr>
        <w:t>液氨制冷企业</w:t>
      </w:r>
      <w:r>
        <w:tab/>
      </w:r>
      <w:r>
        <w:fldChar w:fldCharType="end"/>
      </w:r>
      <w:r>
        <w:rPr>
          <w:rFonts w:hint="eastAsia"/>
        </w:rPr>
        <w:t>33</w:t>
      </w:r>
      <w:r>
        <w:rPr>
          <w:rFonts w:hint="eastAsia"/>
          <w:lang w:val="en-US" w:eastAsia="zh-CN"/>
        </w:rPr>
        <w:t>7</w:t>
      </w:r>
    </w:p>
    <w:p>
      <w:pPr>
        <w:pStyle w:val="12"/>
        <w:tabs>
          <w:tab w:val="right" w:leader="dot" w:pos="13653"/>
        </w:tabs>
        <w:spacing w:line="360" w:lineRule="auto"/>
        <w:rPr>
          <w:rFonts w:hint="eastAsia" w:eastAsia="宋体" w:asciiTheme="minorHAnsi" w:hAnsiTheme="minorHAnsi" w:cstheme="minorBidi"/>
          <w:lang w:val="en-US" w:eastAsia="zh-CN"/>
        </w:rPr>
      </w:pPr>
      <w:r>
        <w:fldChar w:fldCharType="begin"/>
      </w:r>
      <w:r>
        <w:instrText xml:space="preserve"> HYPERLINK \l "_Toc499799341" </w:instrText>
      </w:r>
      <w:r>
        <w:fldChar w:fldCharType="separate"/>
      </w:r>
      <w:r>
        <w:rPr>
          <w:rStyle w:val="17"/>
          <w:rFonts w:hint="eastAsia" w:ascii="黑体" w:hAnsi="黑体" w:eastAsia="黑体"/>
          <w:color w:val="auto"/>
        </w:rPr>
        <w:t>表5</w:t>
      </w:r>
      <w:r>
        <w:rPr>
          <w:rStyle w:val="17"/>
          <w:rFonts w:ascii="黑体" w:hAnsi="黑体" w:eastAsia="黑体"/>
          <w:color w:val="auto"/>
        </w:rPr>
        <w:t xml:space="preserve">-10  </w:t>
      </w:r>
      <w:r>
        <w:rPr>
          <w:rStyle w:val="17"/>
          <w:rFonts w:hint="eastAsia" w:ascii="黑体" w:hAnsi="黑体" w:eastAsia="黑体"/>
          <w:color w:val="auto"/>
        </w:rPr>
        <w:t>存在有限空间作业企业</w:t>
      </w:r>
      <w:r>
        <w:tab/>
      </w:r>
      <w:r>
        <w:fldChar w:fldCharType="end"/>
      </w:r>
      <w:r>
        <w:rPr>
          <w:rFonts w:hint="eastAsia"/>
        </w:rPr>
        <w:t>33</w:t>
      </w:r>
      <w:r>
        <w:rPr>
          <w:rFonts w:hint="eastAsia"/>
          <w:lang w:val="en-US" w:eastAsia="zh-CN"/>
        </w:rPr>
        <w:t>9</w:t>
      </w:r>
    </w:p>
    <w:p>
      <w:pPr>
        <w:pStyle w:val="12"/>
        <w:tabs>
          <w:tab w:val="right" w:leader="dot" w:pos="13653"/>
        </w:tabs>
        <w:spacing w:line="360" w:lineRule="auto"/>
        <w:rPr>
          <w:rFonts w:hint="default" w:eastAsia="宋体" w:asciiTheme="minorHAnsi" w:hAnsiTheme="minorHAnsi" w:cstheme="minorBidi"/>
          <w:lang w:val="en-US" w:eastAsia="zh-CN"/>
        </w:rPr>
      </w:pPr>
      <w:r>
        <w:fldChar w:fldCharType="begin"/>
      </w:r>
      <w:r>
        <w:instrText xml:space="preserve"> HYPERLINK \l "_Toc499799343" </w:instrText>
      </w:r>
      <w:r>
        <w:fldChar w:fldCharType="separate"/>
      </w:r>
      <w:r>
        <w:rPr>
          <w:rStyle w:val="17"/>
          <w:rFonts w:hint="eastAsia" w:ascii="黑体" w:hAnsi="黑体" w:eastAsia="黑体"/>
          <w:color w:val="auto"/>
        </w:rPr>
        <w:t>表6安全评价机构和检测检验机构监督检查重点事项</w:t>
      </w:r>
      <w:r>
        <w:tab/>
      </w:r>
      <w:r>
        <w:fldChar w:fldCharType="end"/>
      </w:r>
      <w:r>
        <w:rPr>
          <w:rFonts w:hint="eastAsia"/>
        </w:rPr>
        <w:t>3</w:t>
      </w:r>
      <w:r>
        <w:rPr>
          <w:rFonts w:hint="eastAsia"/>
          <w:lang w:val="en-US" w:eastAsia="zh-CN"/>
        </w:rPr>
        <w:t>42</w:t>
      </w:r>
    </w:p>
    <w:p>
      <w:pPr>
        <w:pStyle w:val="12"/>
        <w:tabs>
          <w:tab w:val="right" w:leader="dot" w:pos="13653"/>
        </w:tabs>
        <w:spacing w:line="360" w:lineRule="auto"/>
        <w:rPr>
          <w:rStyle w:val="17"/>
          <w:rFonts w:hint="default" w:ascii="黑体" w:hAnsi="黑体" w:eastAsia="宋体"/>
          <w:color w:val="auto"/>
          <w:lang w:val="en-US" w:eastAsia="zh-CN"/>
        </w:rPr>
      </w:pPr>
      <w:r>
        <w:fldChar w:fldCharType="begin"/>
      </w:r>
      <w:r>
        <w:instrText xml:space="preserve"> HYPERLINK \l "_Toc499799344" </w:instrText>
      </w:r>
      <w:r>
        <w:fldChar w:fldCharType="separate"/>
      </w:r>
      <w:r>
        <w:rPr>
          <w:rStyle w:val="17"/>
          <w:rFonts w:hint="eastAsia" w:ascii="黑体" w:hAnsi="黑体" w:eastAsia="黑体"/>
          <w:color w:val="auto"/>
        </w:rPr>
        <w:t>表7重大生产安全事故隐患检查事项</w:t>
      </w:r>
      <w:r>
        <w:tab/>
      </w:r>
      <w:r>
        <w:rPr>
          <w:rFonts w:hint="eastAsia"/>
        </w:rPr>
        <w:t>3</w:t>
      </w:r>
      <w:r>
        <w:rPr>
          <w:rFonts w:hint="eastAsia"/>
          <w:lang w:val="en-US" w:eastAsia="zh-CN"/>
        </w:rPr>
        <w:t>50</w:t>
      </w:r>
    </w:p>
    <w:p>
      <w:pPr>
        <w:pStyle w:val="12"/>
        <w:tabs>
          <w:tab w:val="right" w:leader="dot" w:pos="13653"/>
        </w:tabs>
        <w:spacing w:line="360" w:lineRule="auto"/>
        <w:rPr>
          <w:rFonts w:hint="default" w:eastAsia="宋体"/>
          <w:lang w:val="en-US" w:eastAsia="zh-CN"/>
        </w:rPr>
      </w:pPr>
      <w:r>
        <w:rPr>
          <w:rFonts w:hint="eastAsia" w:ascii="黑体" w:hAnsi="黑体" w:eastAsia="黑体" w:cs="黑体"/>
        </w:rPr>
        <w:t>表</w:t>
      </w:r>
      <w:r>
        <w:rPr>
          <w:rFonts w:ascii="黑体" w:hAnsi="黑体" w:eastAsia="黑体" w:cs="黑体"/>
        </w:rPr>
        <w:t>7-1</w:t>
      </w:r>
      <w:r>
        <w:t xml:space="preserve"> </w:t>
      </w:r>
      <w:r>
        <w:rPr>
          <w:rFonts w:hint="eastAsia" w:ascii="黑体" w:hAnsi="黑体" w:eastAsia="黑体"/>
        </w:rPr>
        <w:t>金属非金属矿山重大生产安全事故隐患</w:t>
      </w:r>
      <w:r>
        <w:tab/>
      </w:r>
      <w:r>
        <w:rPr>
          <w:rFonts w:hint="eastAsia"/>
        </w:rPr>
        <w:t>3</w:t>
      </w:r>
      <w:r>
        <w:rPr>
          <w:rFonts w:hint="eastAsia"/>
          <w:lang w:val="en-US" w:eastAsia="zh-CN"/>
        </w:rPr>
        <w:t>50</w:t>
      </w:r>
    </w:p>
    <w:p>
      <w:pPr>
        <w:pStyle w:val="12"/>
        <w:tabs>
          <w:tab w:val="right" w:leader="dot" w:pos="13653"/>
        </w:tabs>
        <w:spacing w:line="360" w:lineRule="auto"/>
        <w:rPr>
          <w:rFonts w:hint="default" w:eastAsia="宋体"/>
          <w:lang w:val="en-US" w:eastAsia="zh-CN"/>
        </w:rPr>
      </w:pPr>
      <w:r>
        <w:rPr>
          <w:rFonts w:hint="eastAsia" w:ascii="黑体" w:hAnsi="黑体" w:eastAsia="黑体" w:cs="黑体"/>
        </w:rPr>
        <w:t>表</w:t>
      </w:r>
      <w:r>
        <w:rPr>
          <w:rFonts w:ascii="黑体" w:hAnsi="黑体" w:eastAsia="黑体" w:cs="黑体"/>
        </w:rPr>
        <w:t xml:space="preserve">7-2 </w:t>
      </w:r>
      <w:r>
        <w:rPr>
          <w:rFonts w:hint="eastAsia" w:ascii="黑体" w:hAnsi="黑体" w:eastAsia="黑体" w:cs="黑体"/>
        </w:rPr>
        <w:t>化工和危险化学品生产经营单位重大生产安全事故隐患</w:t>
      </w:r>
      <w:r>
        <w:tab/>
      </w:r>
      <w:r>
        <w:rPr>
          <w:rFonts w:hint="eastAsia"/>
        </w:rPr>
        <w:t>3</w:t>
      </w:r>
      <w:r>
        <w:rPr>
          <w:rFonts w:hint="eastAsia"/>
          <w:lang w:val="en-US" w:eastAsia="zh-CN"/>
        </w:rPr>
        <w:t>74</w:t>
      </w:r>
    </w:p>
    <w:p>
      <w:pPr>
        <w:pStyle w:val="12"/>
        <w:tabs>
          <w:tab w:val="right" w:leader="dot" w:pos="13653"/>
        </w:tabs>
        <w:spacing w:line="360" w:lineRule="auto"/>
        <w:rPr>
          <w:rFonts w:hint="eastAsia" w:eastAsia="宋体"/>
          <w:lang w:val="en-US" w:eastAsia="zh-CN"/>
        </w:rPr>
      </w:pPr>
      <w:r>
        <w:rPr>
          <w:rFonts w:hint="eastAsia" w:ascii="黑体" w:hAnsi="黑体" w:eastAsia="黑体" w:cs="黑体"/>
        </w:rPr>
        <w:t>表</w:t>
      </w:r>
      <w:r>
        <w:rPr>
          <w:rFonts w:ascii="黑体" w:hAnsi="黑体" w:eastAsia="黑体" w:cs="黑体"/>
        </w:rPr>
        <w:t>7-3</w:t>
      </w:r>
      <w:r>
        <w:t xml:space="preserve"> </w:t>
      </w:r>
      <w:r>
        <w:rPr>
          <w:rFonts w:hint="eastAsia" w:ascii="黑体" w:hAnsi="黑体" w:eastAsia="黑体"/>
          <w:szCs w:val="21"/>
        </w:rPr>
        <w:t>烟</w:t>
      </w:r>
      <w:r>
        <w:rPr>
          <w:rFonts w:hint="eastAsia" w:ascii="黑体" w:hAnsi="黑体" w:eastAsia="黑体" w:cs="黑体"/>
        </w:rPr>
        <w:t>花爆竹生产经营单位重大生产安全事故隐患</w:t>
      </w:r>
      <w:r>
        <w:tab/>
      </w:r>
      <w:r>
        <w:rPr>
          <w:rFonts w:hint="eastAsia"/>
        </w:rPr>
        <w:t>38</w:t>
      </w:r>
      <w:r>
        <w:rPr>
          <w:rFonts w:hint="eastAsia"/>
          <w:lang w:val="en-US" w:eastAsia="zh-CN"/>
        </w:rPr>
        <w:t>4</w:t>
      </w:r>
    </w:p>
    <w:p>
      <w:pPr>
        <w:pStyle w:val="12"/>
        <w:tabs>
          <w:tab w:val="right" w:leader="dot" w:pos="13653"/>
        </w:tabs>
        <w:spacing w:line="360" w:lineRule="auto"/>
        <w:rPr>
          <w:rFonts w:asciiTheme="minorHAnsi" w:hAnsiTheme="minorHAnsi" w:eastAsiaTheme="minorEastAsia" w:cstheme="minorBidi"/>
        </w:rPr>
      </w:pPr>
      <w:r>
        <w:tab/>
      </w:r>
      <w:r>
        <w:fldChar w:fldCharType="end"/>
      </w:r>
    </w:p>
    <w:p>
      <w:pPr>
        <w:pStyle w:val="12"/>
        <w:tabs>
          <w:tab w:val="right" w:leader="dot" w:pos="13653"/>
        </w:tabs>
        <w:spacing w:line="360" w:lineRule="auto"/>
        <w:rPr>
          <w:rFonts w:hint="eastAsia" w:eastAsia="宋体" w:asciiTheme="minorHAnsi" w:hAnsiTheme="minorHAnsi" w:cstheme="minorBidi"/>
          <w:lang w:val="en-US" w:eastAsia="zh-CN"/>
        </w:rPr>
      </w:pPr>
      <w:r>
        <w:fldChar w:fldCharType="begin"/>
      </w:r>
      <w:r>
        <w:instrText xml:space="preserve"> HYPERLINK \l "_Toc499799347" </w:instrText>
      </w:r>
      <w:r>
        <w:fldChar w:fldCharType="separate"/>
      </w:r>
      <w:r>
        <w:rPr>
          <w:rStyle w:val="17"/>
          <w:rFonts w:hint="eastAsia" w:ascii="黑体" w:hAnsi="黑体" w:eastAsia="黑体"/>
          <w:color w:val="auto"/>
        </w:rPr>
        <w:t>附表</w:t>
      </w:r>
      <w:r>
        <w:tab/>
      </w:r>
      <w:r>
        <w:fldChar w:fldCharType="end"/>
      </w:r>
      <w:r>
        <w:rPr>
          <w:rFonts w:hint="eastAsia"/>
        </w:rPr>
        <w:t>39</w:t>
      </w:r>
      <w:r>
        <w:rPr>
          <w:rFonts w:hint="eastAsia"/>
          <w:lang w:val="en-US" w:eastAsia="zh-CN"/>
        </w:rPr>
        <w:t>4</w:t>
      </w:r>
    </w:p>
    <w:p>
      <w:pPr>
        <w:pStyle w:val="12"/>
        <w:tabs>
          <w:tab w:val="right" w:leader="dot" w:pos="13653"/>
        </w:tabs>
        <w:spacing w:line="360" w:lineRule="auto"/>
        <w:rPr>
          <w:rFonts w:hint="eastAsia" w:eastAsia="宋体" w:asciiTheme="minorHAnsi" w:hAnsiTheme="minorHAnsi" w:cstheme="minorBidi"/>
          <w:lang w:val="en-US" w:eastAsia="zh-CN"/>
        </w:rPr>
      </w:pPr>
      <w:r>
        <w:fldChar w:fldCharType="begin"/>
      </w:r>
      <w:r>
        <w:instrText xml:space="preserve"> HYPERLINK \l "_Toc499799348" </w:instrText>
      </w:r>
      <w:r>
        <w:fldChar w:fldCharType="separate"/>
      </w:r>
      <w:r>
        <w:rPr>
          <w:rStyle w:val="17"/>
          <w:rFonts w:hint="eastAsia" w:ascii="华文中宋" w:hAnsi="华文中宋" w:eastAsia="华文中宋"/>
          <w:color w:val="auto"/>
        </w:rPr>
        <w:t>应急管理部门安全生产行政执法依据（法律、行政法规、部门规章）目录</w:t>
      </w:r>
      <w:r>
        <w:tab/>
      </w:r>
      <w:r>
        <w:fldChar w:fldCharType="end"/>
      </w:r>
      <w:r>
        <w:rPr>
          <w:rFonts w:hint="eastAsia"/>
        </w:rPr>
        <w:t>39</w:t>
      </w:r>
      <w:r>
        <w:rPr>
          <w:rFonts w:hint="eastAsia"/>
          <w:lang w:val="en-US" w:eastAsia="zh-CN"/>
        </w:rPr>
        <w:t>4</w:t>
      </w:r>
    </w:p>
    <w:p>
      <w:pPr>
        <w:pStyle w:val="12"/>
        <w:tabs>
          <w:tab w:val="right" w:leader="dot" w:pos="13653"/>
        </w:tabs>
        <w:spacing w:line="360" w:lineRule="auto"/>
        <w:ind w:left="0" w:leftChars="0"/>
      </w:pPr>
      <w:r>
        <w:fldChar w:fldCharType="end"/>
      </w:r>
    </w:p>
    <w:p/>
    <w:p>
      <w:pPr>
        <w:pStyle w:val="4"/>
        <w:keepNext w:val="0"/>
        <w:keepLines w:val="0"/>
        <w:pageBreakBefore/>
        <w:spacing w:line="240" w:lineRule="auto"/>
      </w:pPr>
      <w:bookmarkStart w:id="0" w:name="_Toc499799321"/>
      <w:r>
        <w:rPr>
          <w:rFonts w:hint="eastAsia" w:ascii="黑体" w:hAnsi="黑体" w:eastAsia="黑体"/>
          <w:b w:val="0"/>
        </w:rPr>
        <w:t>表1  安全生产监督检查综合事项</w:t>
      </w:r>
      <w:bookmarkEnd w:id="0"/>
    </w:p>
    <w:tbl>
      <w:tblPr>
        <w:tblStyle w:val="19"/>
        <w:tblW w:w="13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862"/>
        <w:gridCol w:w="1777"/>
        <w:gridCol w:w="1863"/>
        <w:gridCol w:w="5110"/>
        <w:gridCol w:w="3448"/>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tblHeader/>
          <w:jc w:val="center"/>
        </w:trPr>
        <w:tc>
          <w:tcPr>
            <w:tcW w:w="862"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序号</w:t>
            </w:r>
          </w:p>
        </w:tc>
        <w:tc>
          <w:tcPr>
            <w:tcW w:w="1777"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检查事项</w:t>
            </w:r>
          </w:p>
        </w:tc>
        <w:tc>
          <w:tcPr>
            <w:tcW w:w="1863"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检查内容</w:t>
            </w:r>
          </w:p>
        </w:tc>
        <w:tc>
          <w:tcPr>
            <w:tcW w:w="5110"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检查依据指引</w:t>
            </w:r>
          </w:p>
        </w:tc>
        <w:tc>
          <w:tcPr>
            <w:tcW w:w="3448"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法律责任指引</w:t>
            </w:r>
          </w:p>
        </w:tc>
        <w:tc>
          <w:tcPr>
            <w:tcW w:w="819"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566" w:hRule="atLeast"/>
          <w:jc w:val="center"/>
        </w:trPr>
        <w:tc>
          <w:tcPr>
            <w:tcW w:w="862"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主要负责人履行职责情况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生产经营单位的主要负责人履行对本单位安全生产工作法定职责</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《安全生产法》第十八条  生产经营单位的主要负责人对本单位安全生产工作负有下列职责：</w:t>
            </w:r>
          </w:p>
          <w:p>
            <w:pPr>
              <w:widowControl/>
              <w:adjustRightInd w:val="0"/>
              <w:snapToGrid w:val="0"/>
              <w:rPr>
                <w:rFonts w:ascii="宋体" w:hAnsi="宋体" w:cs="宋体"/>
                <w:kern w:val="0"/>
                <w:szCs w:val="21"/>
              </w:rPr>
            </w:pPr>
            <w:r>
              <w:rPr>
                <w:rFonts w:hint="eastAsia" w:ascii="宋体" w:hAnsi="宋体" w:cs="宋体"/>
                <w:kern w:val="0"/>
                <w:szCs w:val="21"/>
              </w:rPr>
              <w:t xml:space="preserve">  （一）建立、健全本单位安全生产责任制；</w:t>
            </w:r>
          </w:p>
          <w:p>
            <w:pPr>
              <w:widowControl/>
              <w:adjustRightInd w:val="0"/>
              <w:snapToGrid w:val="0"/>
              <w:rPr>
                <w:rFonts w:ascii="宋体" w:hAnsi="宋体" w:cs="宋体"/>
                <w:kern w:val="0"/>
                <w:szCs w:val="21"/>
              </w:rPr>
            </w:pPr>
            <w:r>
              <w:rPr>
                <w:rFonts w:hint="eastAsia" w:ascii="宋体" w:hAnsi="宋体" w:cs="宋体"/>
                <w:kern w:val="0"/>
                <w:szCs w:val="21"/>
              </w:rPr>
              <w:t xml:space="preserve">  （二）组织制定本单位安全生产规章制度和操作规程； </w:t>
            </w:r>
          </w:p>
          <w:p>
            <w:pPr>
              <w:widowControl/>
              <w:adjustRightInd w:val="0"/>
              <w:snapToGrid w:val="0"/>
              <w:rPr>
                <w:rFonts w:ascii="宋体" w:hAnsi="宋体" w:cs="宋体"/>
                <w:kern w:val="0"/>
                <w:szCs w:val="21"/>
              </w:rPr>
            </w:pPr>
            <w:r>
              <w:rPr>
                <w:rFonts w:hint="eastAsia" w:ascii="宋体" w:hAnsi="宋体" w:cs="宋体"/>
                <w:kern w:val="0"/>
                <w:szCs w:val="21"/>
              </w:rPr>
              <w:t xml:space="preserve">  （三）组织制定并实施本单位安全生产教育和培训计划；</w:t>
            </w:r>
          </w:p>
          <w:p>
            <w:pPr>
              <w:widowControl/>
              <w:adjustRightInd w:val="0"/>
              <w:snapToGrid w:val="0"/>
              <w:rPr>
                <w:rFonts w:ascii="宋体" w:hAnsi="宋体" w:cs="宋体"/>
                <w:kern w:val="0"/>
                <w:szCs w:val="21"/>
              </w:rPr>
            </w:pPr>
            <w:r>
              <w:rPr>
                <w:rFonts w:hint="eastAsia" w:ascii="宋体" w:hAnsi="宋体" w:cs="宋体"/>
                <w:kern w:val="0"/>
                <w:szCs w:val="21"/>
              </w:rPr>
              <w:t xml:space="preserve">  （四）保证本单位安全生产投入的有效实施；   </w:t>
            </w:r>
          </w:p>
          <w:p>
            <w:pPr>
              <w:widowControl/>
              <w:adjustRightInd w:val="0"/>
              <w:snapToGrid w:val="0"/>
              <w:rPr>
                <w:rFonts w:ascii="宋体" w:hAnsi="宋体" w:cs="宋体"/>
                <w:kern w:val="0"/>
                <w:szCs w:val="21"/>
              </w:rPr>
            </w:pPr>
            <w:r>
              <w:rPr>
                <w:rFonts w:hint="eastAsia" w:ascii="宋体" w:hAnsi="宋体" w:cs="宋体"/>
                <w:kern w:val="0"/>
                <w:szCs w:val="21"/>
              </w:rPr>
              <w:t xml:space="preserve">  （五）督促、检查本单位的安全生产工作，及时消除生产安全事故隐患；</w:t>
            </w:r>
          </w:p>
          <w:p>
            <w:pPr>
              <w:widowControl/>
              <w:adjustRightInd w:val="0"/>
              <w:snapToGrid w:val="0"/>
              <w:rPr>
                <w:rFonts w:ascii="宋体" w:hAnsi="宋体" w:cs="宋体"/>
                <w:kern w:val="0"/>
                <w:szCs w:val="21"/>
              </w:rPr>
            </w:pPr>
            <w:r>
              <w:rPr>
                <w:rFonts w:hint="eastAsia" w:ascii="宋体" w:hAnsi="宋体" w:cs="宋体"/>
                <w:kern w:val="0"/>
                <w:szCs w:val="21"/>
              </w:rPr>
              <w:t xml:space="preserve">  （六）组织制定并实施本单位的生产安全事故应急救援预案；</w:t>
            </w:r>
          </w:p>
          <w:p>
            <w:pPr>
              <w:widowControl/>
              <w:adjustRightInd w:val="0"/>
              <w:snapToGrid w:val="0"/>
              <w:rPr>
                <w:rFonts w:ascii="宋体" w:hAnsi="宋体" w:cs="宋体"/>
                <w:kern w:val="0"/>
                <w:szCs w:val="21"/>
              </w:rPr>
            </w:pPr>
            <w:r>
              <w:rPr>
                <w:rFonts w:hint="eastAsia" w:ascii="宋体" w:hAnsi="宋体" w:cs="宋体"/>
                <w:kern w:val="0"/>
                <w:szCs w:val="21"/>
              </w:rPr>
              <w:t xml:space="preserve">  （七）及时、如实报告生产安全事故。</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《安全生产法》第九十一条  生产经营单位的主要负责人未履行本法规定的安全生产管理职责的，责令限期改正；逾期未改正的，处二万元以上五万元以下的罚款，责令生产经营单位停产停业整顿。</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生产经营单位的主要负责人有前款违法行为，导致发生生产安全事故的，给予撤职处分；构成犯罪的，依照刑法有关规定追究刑事责任。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005" w:hRule="atLeast"/>
          <w:jc w:val="center"/>
        </w:trPr>
        <w:tc>
          <w:tcPr>
            <w:tcW w:w="862" w:type="dxa"/>
            <w:vMerge w:val="restart"/>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1777"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安全投入保障情况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2.1 资金投入保障</w:t>
            </w:r>
          </w:p>
        </w:tc>
        <w:tc>
          <w:tcPr>
            <w:tcW w:w="5110" w:type="dxa"/>
            <w:vAlign w:val="center"/>
          </w:tcPr>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《安全生产法》第二十条  生产经营单位应当具备的安全生产条件所必需的资金投入，由生产经营单位的决策机构、主要负责人或者个人经营的投资人予以保证，并对由于安全生产所必需的资金投入不足导致的后果承担责任。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有前款违法行为，导致发生生产安全事故的，对生产经营单位的主要负责人给予撤职处分，对个人经营的投资人处二万元以上二十万元以下的罚款；构成犯罪的，依照刑法有关规定追究刑事责任。</w:t>
            </w:r>
          </w:p>
        </w:tc>
        <w:tc>
          <w:tcPr>
            <w:tcW w:w="819" w:type="dxa"/>
            <w:vMerge w:val="restart"/>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904" w:hRule="atLeast"/>
          <w:jc w:val="center"/>
        </w:trPr>
        <w:tc>
          <w:tcPr>
            <w:tcW w:w="862" w:type="dxa"/>
            <w:vMerge w:val="continue"/>
            <w:vAlign w:val="center"/>
          </w:tcPr>
          <w:p>
            <w:pPr>
              <w:widowControl/>
              <w:adjustRightInd w:val="0"/>
              <w:snapToGrid w:val="0"/>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2.2 安全费用提取和使用</w:t>
            </w:r>
          </w:p>
        </w:tc>
        <w:tc>
          <w:tcPr>
            <w:tcW w:w="5110" w:type="dxa"/>
            <w:vAlign w:val="center"/>
          </w:tcPr>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《安全生产法》第二十条 ……</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《企业安全生产费用提取和使用管理办法》（财企〔2012〕16号））</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《安全生产违法行为行政处罚办法》第四十三条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（一）提取或者使用安全生产费用；</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生产经营单位主要负责人、个人经营的投资人有前款违法行为，导致发生生产安全事故的，依照《生产安全事故罚款处罚规定（试行）》的规定给予处罚。</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90" w:hRule="atLeast"/>
          <w:jc w:val="center"/>
        </w:trPr>
        <w:tc>
          <w:tcPr>
            <w:tcW w:w="862" w:type="dxa"/>
            <w:vMerge w:val="continue"/>
            <w:vAlign w:val="center"/>
          </w:tcPr>
          <w:p>
            <w:pPr>
              <w:widowControl/>
              <w:adjustRightInd w:val="0"/>
              <w:snapToGrid w:val="0"/>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2.3 劳动防护用品配备经费</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《安全生产法》第四十四条  生产经营单位应当安排用于配备劳动防护用品、进行安全生产培训的经费。</w:t>
            </w:r>
          </w:p>
        </w:tc>
        <w:tc>
          <w:tcPr>
            <w:tcW w:w="3448" w:type="dxa"/>
            <w:vAlign w:val="center"/>
          </w:tcPr>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《安全生产违法行为行政处罚办法》第四十三条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（二）用于配备劳动防护用品的经费；</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生产经营单位主要负责人、个人经营的投资人有前款违法行为，导致发生生产安全事故的，依照《生产安全事故罚款处罚规定（试行）》的规定给予处罚。</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274" w:hRule="atLeast"/>
          <w:jc w:val="center"/>
        </w:trPr>
        <w:tc>
          <w:tcPr>
            <w:tcW w:w="862" w:type="dxa"/>
            <w:vMerge w:val="continue"/>
            <w:vAlign w:val="center"/>
          </w:tcPr>
          <w:p>
            <w:pPr>
              <w:widowControl/>
              <w:adjustRightInd w:val="0"/>
              <w:snapToGrid w:val="0"/>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2.4 安全生产教育和培训经费</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《安全生产法》第四十四条  生产经营单位应当安排用于配备劳动防护用品、进行安全生产培训的经费。</w:t>
            </w:r>
          </w:p>
        </w:tc>
        <w:tc>
          <w:tcPr>
            <w:tcW w:w="3448" w:type="dxa"/>
            <w:vAlign w:val="center"/>
          </w:tcPr>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《安全生产违法行为行政处罚办法》第四十三条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（三）用于安全生产教育和培训的经费。</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生产经营单位主要负责人、个人经营的投资人有前款违法行为，导致发生生产安全事故的，依照《生产安全事故罚款处罚规定（试行）》的规定给予处罚。</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restart"/>
            <w:vAlign w:val="center"/>
          </w:tcPr>
          <w:p>
            <w:pPr>
              <w:jc w:val="center"/>
              <w:rPr>
                <w:rFonts w:ascii="宋体" w:hAnsi="宋体" w:cs="宋体"/>
                <w:kern w:val="0"/>
                <w:szCs w:val="21"/>
              </w:rPr>
            </w:pPr>
            <w:r>
              <w:rPr>
                <w:rFonts w:hint="eastAsia" w:ascii="宋体" w:hAnsi="宋体" w:cs="宋体"/>
                <w:kern w:val="0"/>
                <w:szCs w:val="21"/>
              </w:rPr>
              <w:t>3</w:t>
            </w:r>
          </w:p>
        </w:tc>
        <w:tc>
          <w:tcPr>
            <w:tcW w:w="1777"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安全生产管理机构人员设置配备及规章制度制定与执行情况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3.1 高危行业生产经营单位设置机构、配备专职人员；其他生产经营单位设置机构、配备专兼职人员</w:t>
            </w:r>
          </w:p>
        </w:tc>
        <w:tc>
          <w:tcPr>
            <w:tcW w:w="5110" w:type="dxa"/>
            <w:vAlign w:val="center"/>
          </w:tcPr>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《安全生产法》第二十一条  矿山、金属冶炼、建筑施工、道路运输单位和危险物品的生产、经营、储存单位，应当设置安全生产管理机构或者配备专职安全生产管理人员。</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前款规定以外的其他生产经营单位，从业人员超过一百人的，应当设置安全生产管理机构或者配备专职安全生产管理人员；从业人员在一百人以下的，应当配备专职或者兼职的安全生产管理人员。</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（一）未按照规定设置安全生产管理机构或者配备安全生产管理人员的；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452"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3.2 危险物品生产经营单位建立专门的安全管理制度，采取可靠的安全措施</w:t>
            </w:r>
          </w:p>
        </w:tc>
        <w:tc>
          <w:tcPr>
            <w:tcW w:w="5110" w:type="dxa"/>
            <w:vAlign w:val="center"/>
          </w:tcPr>
          <w:p>
            <w:pPr>
              <w:widowControl/>
              <w:adjustRightInd w:val="0"/>
              <w:snapToGrid w:val="0"/>
              <w:ind w:firstLine="420" w:firstLineChars="200"/>
              <w:rPr>
                <w:rFonts w:hint="eastAsia" w:ascii="宋体" w:hAnsi="宋体" w:cs="宋体"/>
                <w:kern w:val="0"/>
                <w:szCs w:val="21"/>
                <w:lang w:eastAsia="zh-CN"/>
              </w:rPr>
            </w:pPr>
            <w:r>
              <w:rPr>
                <w:rFonts w:hint="eastAsia" w:ascii="宋体" w:hAnsi="宋体" w:cs="宋体"/>
                <w:kern w:val="0"/>
                <w:szCs w:val="21"/>
              </w:rPr>
              <w:t xml:space="preserve">《安全生产法》第三十六条  </w:t>
            </w:r>
            <w:r>
              <w:rPr>
                <w:rFonts w:hint="eastAsia" w:ascii="宋体" w:hAnsi="宋体" w:cs="宋体"/>
                <w:kern w:val="0"/>
                <w:szCs w:val="21"/>
                <w:lang w:eastAsia="zh-CN"/>
              </w:rPr>
              <w:t>……</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tc>
        <w:tc>
          <w:tcPr>
            <w:tcW w:w="3448" w:type="dxa"/>
            <w:vAlign w:val="center"/>
          </w:tcPr>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《安全生产法》第九十八条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(一)生产、经营、运输、储存、使用危险物品或者处置废弃危险物品，未建立专门安全管理制度、未采取可靠的安全措施的。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711" w:hRule="atLeast"/>
          <w:jc w:val="center"/>
        </w:trPr>
        <w:tc>
          <w:tcPr>
            <w:tcW w:w="862" w:type="dxa"/>
            <w:vMerge w:val="restart"/>
            <w:vAlign w:val="center"/>
          </w:tcPr>
          <w:p>
            <w:pPr>
              <w:jc w:val="center"/>
              <w:rPr>
                <w:rFonts w:ascii="宋体" w:hAnsi="宋体" w:cs="宋体"/>
                <w:kern w:val="0"/>
                <w:szCs w:val="21"/>
              </w:rPr>
            </w:pPr>
            <w:r>
              <w:rPr>
                <w:rFonts w:hint="eastAsia" w:ascii="宋体" w:hAnsi="宋体" w:cs="宋体"/>
                <w:kern w:val="0"/>
                <w:szCs w:val="21"/>
              </w:rPr>
              <w:t>4</w:t>
            </w:r>
          </w:p>
        </w:tc>
        <w:tc>
          <w:tcPr>
            <w:tcW w:w="1777"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从业人员安全生产教育和培训情况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4.1 主要负责人和安全管理人员安全生产知识和管理能力及考核</w:t>
            </w:r>
          </w:p>
        </w:tc>
        <w:tc>
          <w:tcPr>
            <w:tcW w:w="5110" w:type="dxa"/>
            <w:vAlign w:val="center"/>
          </w:tcPr>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《安全生产法》第二十四条  生产经营单位的主要负责人和安全生产管理人员必须具备与本单位所从事的生产经营活动相应的安全生产知识和管理能力。</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3448" w:type="dxa"/>
            <w:vAlign w:val="center"/>
          </w:tcPr>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（二）危险物品的生产、经营、储存单位以及矿山、金属冶炼、建筑施工、道路运输单位的主要负责人和安全生产管理人员未按照规定经考核合格的；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restart"/>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711"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4.2 从业人员安全生产教育培训</w:t>
            </w:r>
          </w:p>
        </w:tc>
        <w:tc>
          <w:tcPr>
            <w:tcW w:w="5110" w:type="dxa"/>
            <w:vAlign w:val="center"/>
          </w:tcPr>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《安全生产法》第二十五条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生产经营单位接收中等职业学校、高等学校学生实习的，应当对实习学生进行相应的安全生产教育和培训，提供必要的劳动防护用品。学校应当协助生产经营单位对实习学生进行安全生产教育和培训。</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生产经营单位应当建立安全生产教育和培训档案，如实记录安全生产教育和培训的时间、内容、参加人员以及考核结果等情况。</w:t>
            </w:r>
          </w:p>
        </w:tc>
        <w:tc>
          <w:tcPr>
            <w:tcW w:w="3448" w:type="dxa"/>
            <w:vAlign w:val="center"/>
          </w:tcPr>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（三）未按照规定对从业人员、被派遣劳动者、实习学生进行安全生产教育和培训，或者未按照规定如实告知有关的安全生产事项的；</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（四）未如实记录安全生产教育和培训情况的；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711"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4.3 从业人员“四新”培训</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《安全生产法》第二十六条  生产经营单位采用新工艺、新技术、新材料或者使用新设备，必须了解、掌握其安全技术特性，采取有效的安全防护措施，并对从业人员进行专门的安全生产教育和培训。</w:t>
            </w:r>
          </w:p>
        </w:tc>
        <w:tc>
          <w:tcPr>
            <w:tcW w:w="3448" w:type="dxa"/>
            <w:vAlign w:val="center"/>
          </w:tcPr>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（三）未按照规定对从业人员、被派遣劳动者、实习学生进行安全生产教育和培训，或者未按照规定如实告知有关的安全生产事项的；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360"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4.4 培训时间</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《安全生产培训管理办法》第十一条  生产经营单位从业人员的培训内容和培训时间，应当符合《生产经营单位安全培训规定》和有关标准的规定。</w:t>
            </w:r>
          </w:p>
        </w:tc>
        <w:tc>
          <w:tcPr>
            <w:tcW w:w="3448" w:type="dxa"/>
            <w:vAlign w:val="center"/>
          </w:tcPr>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《安全生产培训管理办法》第三十六条  生产经营单位有下列情形之一的，责令改正，处3万元以下的罚款：</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（一）从业人员安全培训的时间少于《生产经营单位安全培训规定》或者有关标准规定的；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816"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4.5 告知从业人员安全生产事项</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《安全生产法》第四十一条  生产经营单位应当教育和督促从业人员严格执行本单位的安全生产规章制度和安全操作规程；并向从业人员如实告知作业场所和工作岗位存在的危险因素、防范措施以及事故应急措施。</w:t>
            </w:r>
          </w:p>
        </w:tc>
        <w:tc>
          <w:tcPr>
            <w:tcW w:w="3448" w:type="dxa"/>
            <w:vAlign w:val="center"/>
          </w:tcPr>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（三）未按照规定对从业人员、被派遣劳动者、实习学生进行安全生产教育和培训，或者未按照规定如实告知有关的安全生产事项的；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766"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4.6 新招矿山井下、危险物品作业人员实习上岗</w:t>
            </w:r>
          </w:p>
        </w:tc>
        <w:tc>
          <w:tcPr>
            <w:tcW w:w="5110" w:type="dxa"/>
            <w:vAlign w:val="center"/>
          </w:tcPr>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《安全生产培训管理办法》第十三条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矿山新招的井下作业人员和危险物品生产经营单位新招的危险工艺操作岗位人员，除按照规定进行安全培训外，还应当在有经验的职工带领下实习满2个月后，方可独立上岗作业。</w:t>
            </w:r>
          </w:p>
        </w:tc>
        <w:tc>
          <w:tcPr>
            <w:tcW w:w="3448" w:type="dxa"/>
            <w:vAlign w:val="center"/>
          </w:tcPr>
          <w:p>
            <w:pPr>
              <w:widowControl/>
              <w:adjustRightInd w:val="0"/>
              <w:snapToGrid w:val="0"/>
              <w:ind w:firstLine="420" w:firstLineChars="200"/>
            </w:pPr>
            <w:r>
              <w:rPr>
                <w:rFonts w:hint="eastAsia"/>
              </w:rPr>
              <w:t>《安全生产培训管理办法》第三十六条  生产经营单位有下列情形之一的，责令改正，处</w:t>
            </w:r>
            <w:r>
              <w:rPr>
                <w:rFonts w:hint="eastAsia" w:asciiTheme="minorEastAsia" w:hAnsiTheme="minorEastAsia" w:eastAsiaTheme="minorEastAsia"/>
                <w:highlight w:val="none"/>
              </w:rPr>
              <w:t>3</w:t>
            </w:r>
            <w:r>
              <w:rPr>
                <w:rFonts w:hint="eastAsia"/>
                <w:highlight w:val="none"/>
              </w:rPr>
              <w:t>万</w:t>
            </w:r>
            <w:r>
              <w:rPr>
                <w:rFonts w:hint="eastAsia"/>
              </w:rPr>
              <w:t>元以下的罚款：</w:t>
            </w:r>
          </w:p>
          <w:p>
            <w:pPr>
              <w:widowControl/>
              <w:adjustRightInd w:val="0"/>
              <w:snapToGrid w:val="0"/>
              <w:ind w:firstLine="420" w:firstLineChars="200"/>
            </w:pPr>
            <w:r>
              <w:rPr>
                <w:rFonts w:hint="eastAsia"/>
              </w:rPr>
              <w:t>……</w:t>
            </w:r>
          </w:p>
          <w:p>
            <w:pPr>
              <w:widowControl/>
              <w:numPr>
                <w:ilvl w:val="0"/>
                <w:numId w:val="2"/>
              </w:numPr>
              <w:adjustRightInd w:val="0"/>
              <w:snapToGrid w:val="0"/>
              <w:ind w:firstLine="420" w:firstLineChars="200"/>
            </w:pPr>
            <w:r>
              <w:rPr>
                <w:rFonts w:hint="eastAsia"/>
              </w:rPr>
              <w:t>矿山新招的井下作业人员和危险物品生产经营单位新招的危险工艺操作岗位人员，未经实习期满独立上岗作业的。</w:t>
            </w:r>
          </w:p>
          <w:p>
            <w:pPr>
              <w:pStyle w:val="2"/>
              <w:numPr>
                <w:ilvl w:val="255"/>
                <w:numId w:val="0"/>
              </w:numPr>
              <w:ind w:firstLine="420"/>
              <w:rPr>
                <w:rFonts w:eastAsia="宋体"/>
              </w:rPr>
            </w:pPr>
            <w:r>
              <w:rPr>
                <w:rFonts w:hint="eastAsia" w:ascii="宋体" w:hAnsi="宋体" w:eastAsia="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294" w:hRule="atLeast"/>
          <w:jc w:val="center"/>
        </w:trPr>
        <w:tc>
          <w:tcPr>
            <w:tcW w:w="862" w:type="dxa"/>
            <w:vMerge w:val="restart"/>
            <w:vAlign w:val="center"/>
          </w:tcPr>
          <w:p>
            <w:pPr>
              <w:jc w:val="center"/>
              <w:rPr>
                <w:rFonts w:ascii="宋体" w:hAnsi="宋体" w:cs="宋体"/>
                <w:kern w:val="0"/>
                <w:szCs w:val="21"/>
              </w:rPr>
            </w:pPr>
            <w:r>
              <w:rPr>
                <w:rFonts w:hint="eastAsia" w:ascii="宋体" w:hAnsi="宋体" w:cs="宋体"/>
                <w:kern w:val="0"/>
                <w:szCs w:val="21"/>
              </w:rPr>
              <w:t>5</w:t>
            </w:r>
          </w:p>
        </w:tc>
        <w:tc>
          <w:tcPr>
            <w:tcW w:w="1777"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特种作业人员持证上岗情况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5.1 特种作业人员培训取证</w:t>
            </w:r>
          </w:p>
        </w:tc>
        <w:tc>
          <w:tcPr>
            <w:tcW w:w="5110" w:type="dxa"/>
            <w:vAlign w:val="center"/>
          </w:tcPr>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《安全生产法》第二十七条  生产经营单位的特种作业人员必须按照国家有关规定经专门的安全作业培训，取得相应资格，方可上岗作业。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特种作业人员的范围由国务院安全生产监督管理部门会同国务院有关部门确定。</w:t>
            </w:r>
          </w:p>
        </w:tc>
        <w:tc>
          <w:tcPr>
            <w:tcW w:w="3448" w:type="dxa"/>
            <w:vAlign w:val="center"/>
          </w:tcPr>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（七）特种作业人员未按照规定经专门的安全作业培训并取得相应资格，上岗作业的。</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5.2 特种作业人员证书真实性</w:t>
            </w:r>
          </w:p>
        </w:tc>
        <w:tc>
          <w:tcPr>
            <w:tcW w:w="5110" w:type="dxa"/>
            <w:vAlign w:val="center"/>
          </w:tcPr>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《特种作业人员安全技术培训考核管理规定》第三十六条  ……</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特种作业人员不得伪造、涂改、转借、转让、冒用特种作业操作证或者使用伪造的特种作业操作证。</w:t>
            </w:r>
          </w:p>
        </w:tc>
        <w:tc>
          <w:tcPr>
            <w:tcW w:w="3448" w:type="dxa"/>
            <w:vAlign w:val="center"/>
          </w:tcPr>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《特种作业人员安全技术培训考核管理规定》第四十一条  特种作业人员伪造、涂改特种作业操作证或者使用伪造的特种作业操作证的，给予警告，并处1000元以上5000元以下的罚款。</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特种作业人员转借、转让、冒用特种作业操作证的，给予警告，并处2000元以上1万元以下的罚款。</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035" w:hRule="atLeast"/>
          <w:jc w:val="center"/>
        </w:trPr>
        <w:tc>
          <w:tcPr>
            <w:tcW w:w="862" w:type="dxa"/>
            <w:vMerge w:val="restart"/>
            <w:vAlign w:val="center"/>
          </w:tcPr>
          <w:p>
            <w:pPr>
              <w:jc w:val="center"/>
              <w:rPr>
                <w:rFonts w:ascii="宋体" w:hAnsi="宋体" w:cs="宋体"/>
                <w:kern w:val="0"/>
                <w:szCs w:val="21"/>
              </w:rPr>
            </w:pPr>
            <w:r>
              <w:rPr>
                <w:rFonts w:hint="eastAsia" w:ascii="宋体" w:hAnsi="宋体" w:cs="宋体"/>
                <w:kern w:val="0"/>
                <w:szCs w:val="21"/>
              </w:rPr>
              <w:t>6</w:t>
            </w:r>
          </w:p>
        </w:tc>
        <w:tc>
          <w:tcPr>
            <w:tcW w:w="1777"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建设项目安全评价及建设项目安全设施“三同时”情况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6.1 高危建设项目安全评价</w:t>
            </w:r>
          </w:p>
        </w:tc>
        <w:tc>
          <w:tcPr>
            <w:tcW w:w="5110" w:type="dxa"/>
            <w:vAlign w:val="center"/>
          </w:tcPr>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《安全生产法》第二十九条  矿山、金属冶炼建设项目和用于生产、储存、装卸危险物品的建设项目，应当按照国家有关规定进行安全评价。</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《建设项目安全设施“三同时”监督管理办法》第七条  下列建设项目在进行可行性研究时，生产经营单位应当按照国家规定，进行安全预评价：</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（一）非煤矿矿山建设项目；</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（二）生产、储存危险化学品（包括使用长输管道输送危险化学品，下同）的建设项目；</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（三）生产、储存烟花爆竹的建设项目；</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（四）金属冶炼建设项目；</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（五）使用危险化学品从事生产并且使用量达到规定数量的化工建设项目（属于危险化学品生产的除外，下同）；</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（六）法律、行政法规和国务院规定的其他建设项目。</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《建设项目安全设施“三同时”监督管理办法》第二十二条  本办法第七条规定的建设项目安全设施竣工或者试运行完成后，生产经营单位应当委托具有相应资质的安全评价机构对安全设施进行验收评价，并编制建设项目安全验收评价报告。</w:t>
            </w:r>
          </w:p>
          <w:p>
            <w:pPr>
              <w:widowControl/>
              <w:adjustRightInd w:val="0"/>
              <w:snapToGrid w:val="0"/>
              <w:ind w:firstLine="420" w:firstLineChars="200"/>
            </w:pPr>
            <w:r>
              <w:rPr>
                <w:rFonts w:hint="eastAsia" w:ascii="宋体" w:hAnsi="宋体" w:cs="宋体"/>
                <w:kern w:val="0"/>
                <w:szCs w:val="21"/>
              </w:rPr>
              <w:t>……</w:t>
            </w:r>
          </w:p>
        </w:tc>
        <w:tc>
          <w:tcPr>
            <w:tcW w:w="3448" w:type="dxa"/>
            <w:vAlign w:val="center"/>
          </w:tcPr>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《安全生产法》第九十五条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（一）未按照规定对矿山、金属冶炼建设项目或者用于生产、储存、装卸危险物品的建设项目进行安全评价的；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restart"/>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848"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6.2 高危建设项目安全设施设计审查</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《安全生产法》第三十条  建设项目安全设施的设计人、设计单位应当对安全设施设计负责。</w:t>
            </w:r>
          </w:p>
          <w:p>
            <w:pPr>
              <w:widowControl/>
              <w:adjustRightInd w:val="0"/>
              <w:snapToGrid w:val="0"/>
              <w:rPr>
                <w:rFonts w:ascii="宋体" w:hAnsi="宋体" w:cs="宋体"/>
                <w:kern w:val="0"/>
                <w:szCs w:val="21"/>
              </w:rPr>
            </w:pPr>
            <w:r>
              <w:rPr>
                <w:rFonts w:hint="eastAsia" w:ascii="宋体" w:hAnsi="宋体" w:cs="宋体"/>
                <w:kern w:val="0"/>
                <w:szCs w:val="21"/>
              </w:rPr>
              <w:t xml:space="preserve">    矿山、金属冶炼建设项目和用于生产、储存、装卸危险物品的建设项目的安全设施设计应当按照国家有关规定报经有关部门审查，审查部门及其负责审查的人员对审查结果负责。</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（二）矿山、金属冶炼建设项目或者用于生产、储存、装卸危险物品的建设项目没有安全设施设计或者安全设施设计未按照规定报经有关部门审查同意的；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825"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6.3 高危建设项目安全设施设计重新审查</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《建设项目安全设施“三同时”监督管理办法》第十五条  已经批准的建设项目及其安全设施设计有下列情形之一的，生产经营单位应当报原批准部门审查同意；未经审查同意的，不得开工建设：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（一）建设项目的规模、生产工艺、原料、设备发生重大变更的；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（二）改变安全设施设计且可能降低安全性能的；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（三）在施工期间重新设计的。</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《建设项目安全设施“三同时”监督管理办法》第二十九条  已经批准的建设项目安全设施设计发生重大变更，生产经营单位未报原批准部门审查同意擅自开工建设的，责令限期改正，可以并处1万元以上3万元以下的罚款。</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035"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6.4 高危建设项目安全设施按照批准的设计施工</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《安全生产法》第三十一条  矿山、金属冶炼建设项目和用于生产、储存、装卸危险物品的建设项目的施工单位必须按照批准的安全设施设计施工，并对安全设施的工程质量负责。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（三）矿山、金属冶炼建设项目或者用于生产、储存、装卸危险物品的建设项目的施工单位未按照批准的安全设施设计施工的；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195" w:hRule="atLeast"/>
          <w:jc w:val="center"/>
        </w:trPr>
        <w:tc>
          <w:tcPr>
            <w:tcW w:w="862" w:type="dxa"/>
            <w:vMerge w:val="restart"/>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6.5 高危建设项目安全设施竣工验收</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《安全生产法》第三十一条：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（四）矿山、金属冶炼建设项目或者用于生产、储存危险物品的建设项目竣工投入生产或者使用前，安全设施未经验收合格的。</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035"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6.6 其他建设项目安全设施“三同时”</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《建设项目安全设施“三同时”监督管理办法》第七条  下列建设项目在进行可行性研究时，生产经营单位应当按照国家规定，进行安全预评价：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（一）非煤矿矿山建设项目；</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（二）生产、储存危险化学品（包括使用长输管道输送危险化学品，下同）的建设项目；</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（三）生产、储存烟花爆竹的建设项目；</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（四）金属冶炼建设项目；</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（五）使用危险化学品从事生产并且使用量达到规定数量的化工建设项目（属于危险化学品生产的除外，下同）；</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（六）法律、行政法规和国务院规定的其他建设项目。</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《建设项目安全设施“三同时”监督管理办法》第三十条  本办法第七条第（一）项、第（二）项、第（三）项和第（四）项规定以外的建设项目有下列情形之一的，对有关生产经营单位责令限期改正，可以并处5000元以上3万元以下的罚款：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（一）没有安全设施设计的；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（二）安全设施设计未组织审查，并形成书面审查报告的；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（三）施工单位未按照安全设施设计施工的；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（四）投入生产或者使用前，安全设施未经竣工验收合格，并形成书面报告的。</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329" w:hRule="atLeast"/>
          <w:jc w:val="center"/>
        </w:trPr>
        <w:tc>
          <w:tcPr>
            <w:tcW w:w="862" w:type="dxa"/>
            <w:vAlign w:val="center"/>
          </w:tcPr>
          <w:p>
            <w:pPr>
              <w:jc w:val="center"/>
              <w:rPr>
                <w:rFonts w:ascii="宋体" w:hAnsi="宋体" w:cs="宋体"/>
                <w:kern w:val="0"/>
                <w:szCs w:val="21"/>
              </w:rPr>
            </w:pPr>
            <w:r>
              <w:rPr>
                <w:rFonts w:hint="eastAsia" w:ascii="宋体" w:hAnsi="宋体" w:cs="宋体"/>
                <w:kern w:val="0"/>
                <w:szCs w:val="21"/>
              </w:rPr>
              <w:t>7</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安全警示标志情况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在有较大危险因素的场所和有关设施、设备上设置安全警示标志</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《安全生产法》第三十二条  生产经营单位应当在有较大危险因素的生产经营场所和有关设施、设备上，设置明显的安全警示标志。</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（一）未在有较大危险因素的生产经营场所和有关设施、设备上设置明显的安全警示标志的；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90" w:hRule="atLeast"/>
          <w:jc w:val="center"/>
        </w:trPr>
        <w:tc>
          <w:tcPr>
            <w:tcW w:w="862" w:type="dxa"/>
            <w:vMerge w:val="restart"/>
            <w:vAlign w:val="center"/>
          </w:tcPr>
          <w:p>
            <w:pPr>
              <w:jc w:val="center"/>
              <w:rPr>
                <w:rFonts w:ascii="宋体" w:hAnsi="宋体" w:cs="宋体"/>
                <w:kern w:val="0"/>
                <w:szCs w:val="21"/>
              </w:rPr>
            </w:pPr>
            <w:r>
              <w:rPr>
                <w:rFonts w:hint="eastAsia" w:ascii="宋体" w:hAnsi="宋体" w:cs="宋体"/>
                <w:kern w:val="0"/>
                <w:szCs w:val="21"/>
              </w:rPr>
              <w:t>8</w:t>
            </w:r>
          </w:p>
        </w:tc>
        <w:tc>
          <w:tcPr>
            <w:tcW w:w="1777"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安全设备情况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8.1 安全设备安装、使用、报废</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《安全生产法》第三十三条  安全设备的设计、制造、安装、使用、检测、维修、改造和报废，应当符合国家标准或者行业标准。</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（二）安全设备的安装、使用、检测、改造和报废不符合国家标准或者行业标准的；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restart"/>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795"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8.2 安全设备维护、保养、检测</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《安全生产法》第三十三条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生产经营单位必须对安全设备进行经常性维护、保养，并定期检测，保证正常运转。维护、保养、检测应当作好记录，并由有关人员签字。</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（三）未对安全设备进行经常性维护、保养和定期检测的；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23" w:hRule="atLeast"/>
          <w:jc w:val="center"/>
        </w:trPr>
        <w:tc>
          <w:tcPr>
            <w:tcW w:w="862" w:type="dxa"/>
            <w:vAlign w:val="center"/>
          </w:tcPr>
          <w:p>
            <w:pPr>
              <w:jc w:val="center"/>
              <w:rPr>
                <w:rFonts w:ascii="宋体" w:hAnsi="宋体" w:cs="宋体"/>
                <w:kern w:val="0"/>
                <w:szCs w:val="21"/>
              </w:rPr>
            </w:pPr>
            <w:r>
              <w:rPr>
                <w:rFonts w:hint="eastAsia" w:ascii="宋体" w:hAnsi="宋体" w:cs="宋体"/>
                <w:kern w:val="0"/>
                <w:szCs w:val="21"/>
              </w:rPr>
              <w:t>9</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重大危险源安全管理情况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重大危险源登记建档，定期检测、评估、监控，制定应急预案</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《安全生产法》第三十七条  生产经营单位对重大危险源应当登记建档，进行定期检测、评估、监控，并制定应急预案，告知从业人员和相关人员在紧急情况下应当采取的应急措施。</w:t>
            </w:r>
          </w:p>
          <w:p>
            <w:pPr>
              <w:widowControl/>
              <w:adjustRightInd w:val="0"/>
              <w:snapToGrid w:val="0"/>
              <w:rPr>
                <w:rFonts w:ascii="宋体" w:hAnsi="宋体" w:cs="宋体"/>
                <w:kern w:val="0"/>
                <w:szCs w:val="21"/>
              </w:rPr>
            </w:pPr>
            <w:r>
              <w:rPr>
                <w:rFonts w:hint="eastAsia" w:ascii="宋体" w:hAnsi="宋体" w:cs="宋体"/>
                <w:kern w:val="0"/>
                <w:szCs w:val="21"/>
              </w:rPr>
              <w:t xml:space="preserve">    生产经营单位应当按照国家有关规定将本单位重大危险源及有关安全措施、应急措施报有关地方人民政府安全生产监督管理部门和有关部门备案。</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（二）对重大危险源未登记建档，或者未进行评估、监控，或者未制定应急预案的；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605" w:hRule="atLeast"/>
          <w:jc w:val="center"/>
        </w:trPr>
        <w:tc>
          <w:tcPr>
            <w:tcW w:w="862" w:type="dxa"/>
            <w:vMerge w:val="restart"/>
            <w:vAlign w:val="center"/>
          </w:tcPr>
          <w:p>
            <w:pPr>
              <w:jc w:val="center"/>
              <w:rPr>
                <w:rFonts w:ascii="宋体" w:hAnsi="宋体" w:cs="宋体"/>
                <w:kern w:val="0"/>
                <w:szCs w:val="21"/>
              </w:rPr>
            </w:pPr>
            <w:r>
              <w:rPr>
                <w:rFonts w:hint="eastAsia" w:ascii="宋体" w:hAnsi="宋体" w:cs="宋体"/>
                <w:kern w:val="0"/>
                <w:szCs w:val="21"/>
              </w:rPr>
              <w:t>10</w:t>
            </w:r>
          </w:p>
        </w:tc>
        <w:tc>
          <w:tcPr>
            <w:tcW w:w="1777"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事故隐患排查治理情况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10.1 建立健全生产安全事故隐患排查治理制度</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rPr>
                <w:rFonts w:ascii="宋体" w:hAnsi="宋体" w:cs="宋体"/>
                <w:kern w:val="0"/>
                <w:szCs w:val="21"/>
              </w:rPr>
            </w:pPr>
            <w:r>
              <w:rPr>
                <w:rFonts w:hint="eastAsia" w:ascii="宋体" w:hAnsi="宋体" w:cs="宋体"/>
                <w:kern w:val="0"/>
                <w:szCs w:val="21"/>
              </w:rPr>
              <w:t xml:space="preserve">    ……</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（四）未建立事故隐患排查治理制度的。</w:t>
            </w:r>
          </w:p>
        </w:tc>
        <w:tc>
          <w:tcPr>
            <w:tcW w:w="819" w:type="dxa"/>
            <w:vMerge w:val="restart"/>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878"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10.2 采取措施消除事故隐患</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422"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10.3 如实记录事故隐患排查治理情况并向从业人员通报</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（五）未将事故隐患排查治理情况如实记录或者未向从业人员通报的；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038"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10.4 重大事故隐患报告</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《安全生产事故隐患排查治理暂行规定》第十四条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对于重大事故隐患，生产经营单位除依照前款规定报送外，应当及时向安全监管监察部门和有关部门报告。</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《安全生产事故隐患排查治理暂行规定》第二十六条  生产经营单位违反本规定，有下列行为之一的，由安全监管监察部门给予警告，并处三万元以下的罚款：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（四）重大事故隐患不报或者未及时报告的；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285" w:hRule="atLeast"/>
          <w:jc w:val="center"/>
        </w:trPr>
        <w:tc>
          <w:tcPr>
            <w:tcW w:w="862" w:type="dxa"/>
            <w:vMerge w:val="continue"/>
            <w:vAlign w:val="center"/>
          </w:tcPr>
          <w:p>
            <w:pP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10.5 重大事故隐患整改</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《安全生产事故隐患排查治理暂行规定》第十八条  地方人民政府或者安全监管监察部门及有关部门挂牌督办并责令全部或者局部停产停业治理的重大事故隐患，治理工作结束后，有条件的生产经营单位应当组织本单位的技术人员和专家对重大事故隐患的治理情况进行评估；其他生产经营单位应当委托具备相应资质的安全评价机构对重大事故隐患的治理情况进行评估。</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经治理后符合安全生产条件的，生产经营单位应当向安全监管监察部门和有关部门提出恢复生产的书面申请，经安全监管监察部门和有关部门审查同意后，方可恢复生产经营。申请报告应当包括治理方案的内容、项目和安全评价机构出具的评价报告等。</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《安全生产事故隐患排查治理暂行规定》第二十六条  生产经营单位违反本规定，有下列行为之一的，由安全监管监察部门给予警告，并处三万元以下的罚款：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（六）整改不合格或者未经安全监管监察部门审查同意擅自恢复生产经营的。</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747" w:hRule="atLeast"/>
          <w:jc w:val="center"/>
        </w:trPr>
        <w:tc>
          <w:tcPr>
            <w:tcW w:w="862" w:type="dxa"/>
            <w:vMerge w:val="restart"/>
            <w:vAlign w:val="center"/>
          </w:tcPr>
          <w:p>
            <w:pPr>
              <w:jc w:val="center"/>
              <w:rPr>
                <w:rFonts w:ascii="宋体" w:hAnsi="宋体" w:cs="宋体"/>
                <w:kern w:val="0"/>
                <w:szCs w:val="21"/>
              </w:rPr>
            </w:pPr>
            <w:r>
              <w:rPr>
                <w:rFonts w:hint="eastAsia" w:ascii="宋体" w:hAnsi="宋体" w:cs="宋体"/>
                <w:kern w:val="0"/>
                <w:szCs w:val="21"/>
              </w:rPr>
              <w:t>11</w:t>
            </w:r>
          </w:p>
        </w:tc>
        <w:tc>
          <w:tcPr>
            <w:tcW w:w="1777"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危险场所与员工宿舍安全距离及安全出口管理情况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11.1 危险物品场所与员工宿舍不在同一建筑物且保持安全距离</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《安全生产法》第三十九条  生产、经营、储存、使用危险物品的车间、商店、仓库不得与员工宿舍在同一座建筑物内，并应当与员工宿舍保持安全距离。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3448" w:type="dxa"/>
            <w:vAlign w:val="center"/>
          </w:tcPr>
          <w:p>
            <w:pPr>
              <w:widowControl/>
              <w:adjustRightInd w:val="0"/>
              <w:snapToGrid w:val="0"/>
              <w:ind w:firstLine="420" w:firstLineChars="200"/>
            </w:pPr>
            <w:r>
              <w:rPr>
                <w:rFonts w:hint="eastAsia"/>
              </w:rPr>
              <w:t>《安全生产法》第一百零二条  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pPr>
              <w:widowControl/>
              <w:adjustRightInd w:val="0"/>
              <w:snapToGrid w:val="0"/>
              <w:ind w:firstLine="420" w:firstLineChars="200"/>
            </w:pPr>
            <w:r>
              <w:rPr>
                <w:rFonts w:hint="eastAsia"/>
              </w:rPr>
              <w:t>（一）生产、经营、储存、使用危险物品的车间、商店、仓库与员工宿舍在同一座建筑内，或者与员工宿舍的距离不符合安全要求的；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highlight w:val="none"/>
              </w:rPr>
              <w:t>……</w:t>
            </w:r>
          </w:p>
        </w:tc>
        <w:tc>
          <w:tcPr>
            <w:tcW w:w="819" w:type="dxa"/>
            <w:vMerge w:val="restart"/>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747"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11.2 生产经营场所和员工宿舍安全出口符合疏散要求，禁止锁闭、封堵</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《安全生产法》第三十九条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生产经营场所和员工宿舍应当设有符合紧急疏散要求、标志明显、保持畅通的出口。禁止锁闭、封堵生产经营场所或者员工宿舍的出口。</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《安全生产法》第一百零二条  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（二）生产经营场所和员工宿舍未设有符合紧急疏散需要、标志明显、保持畅通的出口，或者锁闭、封堵生产经营场所或者员工宿舍出口的。</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195" w:hRule="atLeast"/>
          <w:jc w:val="center"/>
        </w:trPr>
        <w:tc>
          <w:tcPr>
            <w:tcW w:w="862" w:type="dxa"/>
            <w:vAlign w:val="center"/>
          </w:tcPr>
          <w:p>
            <w:pPr>
              <w:jc w:val="center"/>
              <w:rPr>
                <w:rFonts w:ascii="宋体" w:hAnsi="宋体" w:cs="宋体"/>
                <w:kern w:val="0"/>
                <w:szCs w:val="21"/>
              </w:rPr>
            </w:pPr>
            <w:r>
              <w:rPr>
                <w:rFonts w:hint="eastAsia" w:ascii="宋体" w:hAnsi="宋体" w:cs="宋体"/>
                <w:kern w:val="0"/>
                <w:szCs w:val="21"/>
              </w:rPr>
              <w:t>12</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危险作业安全管理情况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爆破、吊装以及国务院有关部门规定的其他危险作业安全管理</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《安全生产法》第四十条  生产经营单位进行爆破、吊装以及国务院安全生产监督管理部门会同国务院有关部门规定的其他危险作业，应当安排专门人员进行现场安全管理，确保操作规程的遵守和安全措施的落实。</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（三）进行爆破、吊装以及国务院安全生产监督管理部门会同国务院有关部门规定的其他危险作业，未安排专门人员进行现场安全管理的；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621" w:hRule="atLeast"/>
          <w:jc w:val="center"/>
        </w:trPr>
        <w:tc>
          <w:tcPr>
            <w:tcW w:w="862" w:type="dxa"/>
            <w:vAlign w:val="center"/>
          </w:tcPr>
          <w:p>
            <w:pPr>
              <w:jc w:val="center"/>
              <w:rPr>
                <w:rFonts w:ascii="宋体" w:hAnsi="宋体" w:cs="宋体"/>
                <w:kern w:val="0"/>
                <w:szCs w:val="21"/>
              </w:rPr>
            </w:pPr>
            <w:r>
              <w:rPr>
                <w:rFonts w:hint="eastAsia" w:ascii="宋体" w:hAnsi="宋体" w:cs="宋体"/>
                <w:kern w:val="0"/>
                <w:szCs w:val="21"/>
              </w:rPr>
              <w:t>13</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劳动防护用品管理情况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提供符合国家标准、行业标准的劳动防护用品</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《安全生产法》第四十二条  生产经营单位必须为从业人员提供符合国家标准或者行业标准的劳动防护用品，并监督、教育从业人员按照使用规则佩戴、使用。</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（四）未为从业人员提供符合国家标准或者行业标准的劳动防护用品的；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660" w:hRule="atLeast"/>
          <w:jc w:val="center"/>
        </w:trPr>
        <w:tc>
          <w:tcPr>
            <w:tcW w:w="862" w:type="dxa"/>
            <w:vMerge w:val="restart"/>
            <w:vAlign w:val="center"/>
          </w:tcPr>
          <w:p>
            <w:pPr>
              <w:jc w:val="center"/>
              <w:rPr>
                <w:rFonts w:ascii="宋体" w:hAnsi="宋体" w:cs="宋体"/>
                <w:kern w:val="0"/>
                <w:szCs w:val="21"/>
              </w:rPr>
            </w:pPr>
            <w:r>
              <w:rPr>
                <w:rFonts w:hint="eastAsia" w:ascii="宋体" w:hAnsi="宋体" w:cs="宋体"/>
                <w:kern w:val="0"/>
                <w:szCs w:val="21"/>
              </w:rPr>
              <w:t>14</w:t>
            </w:r>
          </w:p>
        </w:tc>
        <w:tc>
          <w:tcPr>
            <w:tcW w:w="1777"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生产经营项目、场所、设备发包、出租管理情况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14.1 出租给具备条件或者资质的单位或者个人</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《安全生产法》第四十六条  生产经营单位不得将生产经营项目、场所、设备发包或者出租给不具备安全生产条件或者相应资质的单位或者个人。</w:t>
            </w:r>
          </w:p>
          <w:p>
            <w:pPr>
              <w:widowControl/>
              <w:adjustRightInd w:val="0"/>
              <w:snapToGrid w:val="0"/>
              <w:rPr>
                <w:rFonts w:ascii="宋体" w:hAnsi="宋体" w:cs="宋体"/>
                <w:kern w:val="0"/>
                <w:szCs w:val="21"/>
              </w:rPr>
            </w:pPr>
            <w:r>
              <w:rPr>
                <w:rFonts w:hint="eastAsia" w:ascii="宋体" w:hAnsi="宋体" w:cs="宋体"/>
                <w:kern w:val="0"/>
                <w:szCs w:val="21"/>
              </w:rPr>
              <w:t xml:space="preserve">    ……</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《安全生产法》第一百条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highlight w:val="none"/>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727" w:hRule="atLeast"/>
          <w:jc w:val="center"/>
        </w:trPr>
        <w:tc>
          <w:tcPr>
            <w:tcW w:w="862" w:type="dxa"/>
            <w:vMerge w:val="continue"/>
            <w:tcBorders>
              <w:bottom w:val="single" w:color="auto" w:sz="4" w:space="0"/>
            </w:tcBorders>
            <w:vAlign w:val="center"/>
          </w:tcPr>
          <w:p>
            <w:pPr>
              <w:jc w:val="center"/>
              <w:rPr>
                <w:rFonts w:ascii="宋体" w:hAnsi="宋体" w:cs="宋体"/>
                <w:kern w:val="0"/>
                <w:szCs w:val="21"/>
              </w:rPr>
            </w:pPr>
          </w:p>
        </w:tc>
        <w:tc>
          <w:tcPr>
            <w:tcW w:w="1777" w:type="dxa"/>
            <w:vMerge w:val="continue"/>
            <w:tcBorders>
              <w:bottom w:val="single" w:color="auto" w:sz="4" w:space="0"/>
            </w:tcBorders>
            <w:vAlign w:val="center"/>
          </w:tcPr>
          <w:p>
            <w:pPr>
              <w:widowControl/>
              <w:adjustRightInd w:val="0"/>
              <w:snapToGrid w:val="0"/>
              <w:rPr>
                <w:rFonts w:ascii="宋体" w:hAnsi="宋体" w:cs="宋体"/>
                <w:kern w:val="0"/>
                <w:szCs w:val="21"/>
              </w:rPr>
            </w:pPr>
          </w:p>
        </w:tc>
        <w:tc>
          <w:tcPr>
            <w:tcW w:w="1863" w:type="dxa"/>
            <w:tcBorders>
              <w:bottom w:val="single" w:color="auto" w:sz="4" w:space="0"/>
            </w:tcBorders>
            <w:vAlign w:val="center"/>
          </w:tcPr>
          <w:p>
            <w:pPr>
              <w:widowControl/>
              <w:adjustRightInd w:val="0"/>
              <w:snapToGrid w:val="0"/>
              <w:rPr>
                <w:rFonts w:ascii="宋体" w:hAnsi="宋体" w:cs="宋体"/>
                <w:kern w:val="0"/>
                <w:szCs w:val="21"/>
              </w:rPr>
            </w:pPr>
            <w:r>
              <w:rPr>
                <w:rFonts w:hint="eastAsia" w:ascii="宋体" w:hAnsi="宋体" w:cs="宋体"/>
                <w:kern w:val="0"/>
                <w:szCs w:val="21"/>
              </w:rPr>
              <w:t>14.2 安全管理协议和发包方统一协调管理</w:t>
            </w:r>
          </w:p>
        </w:tc>
        <w:tc>
          <w:tcPr>
            <w:tcW w:w="5110" w:type="dxa"/>
            <w:tcBorders>
              <w:bottom w:val="single" w:color="auto" w:sz="4" w:space="0"/>
            </w:tcBorders>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《安全生产法》第四十六条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tc>
        <w:tc>
          <w:tcPr>
            <w:tcW w:w="3448" w:type="dxa"/>
            <w:tcBorders>
              <w:bottom w:val="single" w:color="auto" w:sz="4" w:space="0"/>
            </w:tcBorders>
            <w:vAlign w:val="center"/>
          </w:tcPr>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《安全生产法》第一百条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tc>
        <w:tc>
          <w:tcPr>
            <w:tcW w:w="819" w:type="dxa"/>
            <w:tcBorders>
              <w:bottom w:val="single" w:color="auto" w:sz="4" w:space="0"/>
            </w:tcBorders>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62" w:type="dxa"/>
            <w:vAlign w:val="center"/>
          </w:tcPr>
          <w:p>
            <w:pPr>
              <w:widowControl/>
              <w:adjustRightInd w:val="0"/>
              <w:snapToGrid w:val="0"/>
              <w:spacing w:line="320" w:lineRule="exact"/>
              <w:jc w:val="center"/>
              <w:rPr>
                <w:rFonts w:hint="eastAsia" w:ascii="宋体" w:hAnsi="宋体" w:eastAsia="宋体" w:cs="宋体"/>
                <w:kern w:val="0"/>
                <w:szCs w:val="21"/>
                <w:lang w:val="en-US" w:eastAsia="zh-CN"/>
              </w:rPr>
            </w:pPr>
            <w:r>
              <w:rPr>
                <w:rFonts w:hint="eastAsia" w:ascii="宋体" w:hAnsi="宋体" w:cs="宋体"/>
                <w:kern w:val="0"/>
                <w:szCs w:val="21"/>
              </w:rPr>
              <w:t>1</w:t>
            </w:r>
            <w:r>
              <w:rPr>
                <w:rFonts w:hint="eastAsia" w:ascii="宋体" w:hAnsi="宋体" w:cs="宋体"/>
                <w:kern w:val="0"/>
                <w:szCs w:val="21"/>
                <w:lang w:val="en-US" w:eastAsia="zh-CN"/>
              </w:rPr>
              <w:t>5</w:t>
            </w:r>
          </w:p>
        </w:tc>
        <w:tc>
          <w:tcPr>
            <w:tcW w:w="1777"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应急预案的制定及实施情况</w:t>
            </w:r>
          </w:p>
        </w:tc>
        <w:tc>
          <w:tcPr>
            <w:tcW w:w="1863"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主要负责人组织制定并实施本单位事故应急救援预案</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《安全生产法》第十八条  生产经营单位的主要负责人对本单位安全生产工作负有下列职责：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（六）组织制定并实施本单位的生产安全事故应急救援预案；</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p>
        </w:tc>
        <w:tc>
          <w:tcPr>
            <w:tcW w:w="3448" w:type="dxa"/>
            <w:vAlign w:val="center"/>
          </w:tcPr>
          <w:p>
            <w:pPr>
              <w:widowControl/>
              <w:adjustRightInd w:val="0"/>
              <w:snapToGrid w:val="0"/>
              <w:ind w:firstLine="420" w:firstLineChars="200"/>
              <w:rPr>
                <w:rFonts w:ascii="宋体" w:hAnsi="宋体" w:cs="宋体"/>
                <w:kern w:val="0"/>
                <w:szCs w:val="21"/>
                <w:highlight w:val="none"/>
              </w:rPr>
            </w:pPr>
            <w:r>
              <w:rPr>
                <w:rFonts w:hint="eastAsia" w:ascii="宋体" w:hAnsi="宋体" w:cs="宋体"/>
                <w:kern w:val="0"/>
                <w:szCs w:val="21"/>
                <w:highlight w:val="none"/>
              </w:rPr>
              <w:t>《安全生产法》第九十一条   生产经营单位的主要负责人未履行本法规定的安全生产管理职责的，责令限期改正；逾期未改正的，处二万元以上五万元以下的罚款，责令生产经营单位停产停业整顿。</w:t>
            </w:r>
          </w:p>
          <w:p>
            <w:pPr>
              <w:widowControl/>
              <w:adjustRightInd w:val="0"/>
              <w:snapToGrid w:val="0"/>
              <w:ind w:firstLine="420" w:firstLineChars="200"/>
              <w:rPr>
                <w:rFonts w:ascii="宋体" w:hAnsi="宋体" w:cs="宋体"/>
                <w:kern w:val="0"/>
                <w:szCs w:val="21"/>
                <w:highlight w:val="none"/>
              </w:rPr>
            </w:pPr>
            <w:r>
              <w:rPr>
                <w:rFonts w:hint="eastAsia" w:ascii="宋体" w:hAnsi="宋体" w:cs="宋体"/>
                <w:kern w:val="0"/>
                <w:szCs w:val="21"/>
                <w:highlight w:val="none"/>
              </w:rPr>
              <w:t>生产经营单位的主要负责人有前款违法行为，导致发生生产安全事故的，给予撤职处分；构成犯罪的，依照刑法有关规定追究刑事责任。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highlight w:val="none"/>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819" w:type="dxa"/>
            <w:vAlign w:val="center"/>
          </w:tcPr>
          <w:p>
            <w:pPr>
              <w:widowControl/>
              <w:adjustRightInd w:val="0"/>
              <w:snapToGrid w:val="0"/>
              <w:spacing w:line="320" w:lineRule="exact"/>
              <w:rPr>
                <w:rFonts w:ascii="宋体" w:hAnsi="宋体" w:cs="宋体"/>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01" w:hRule="atLeast"/>
          <w:jc w:val="center"/>
        </w:trPr>
        <w:tc>
          <w:tcPr>
            <w:tcW w:w="862" w:type="dxa"/>
            <w:vAlign w:val="center"/>
          </w:tcPr>
          <w:p>
            <w:pPr>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6</w:t>
            </w:r>
          </w:p>
        </w:tc>
        <w:tc>
          <w:tcPr>
            <w:tcW w:w="1777" w:type="dxa"/>
            <w:vAlign w:val="center"/>
          </w:tcPr>
          <w:p>
            <w:pPr>
              <w:widowControl/>
              <w:adjustRightInd w:val="0"/>
              <w:snapToGrid w:val="0"/>
              <w:spacing w:line="300" w:lineRule="exact"/>
              <w:rPr>
                <w:rFonts w:ascii="宋体" w:hAnsi="宋体" w:cs="宋体"/>
                <w:kern w:val="0"/>
                <w:szCs w:val="21"/>
              </w:rPr>
            </w:pPr>
            <w:r>
              <w:rPr>
                <w:rFonts w:hint="eastAsia" w:ascii="宋体" w:hAnsi="宋体" w:cs="宋体"/>
                <w:kern w:val="0"/>
                <w:szCs w:val="21"/>
              </w:rPr>
              <w:t>应急预案制定演练情况</w:t>
            </w:r>
          </w:p>
        </w:tc>
        <w:tc>
          <w:tcPr>
            <w:tcW w:w="1863" w:type="dxa"/>
            <w:vAlign w:val="center"/>
          </w:tcPr>
          <w:p>
            <w:pPr>
              <w:widowControl/>
              <w:adjustRightInd w:val="0"/>
              <w:snapToGrid w:val="0"/>
              <w:spacing w:line="300" w:lineRule="exact"/>
              <w:rPr>
                <w:rFonts w:ascii="宋体" w:hAnsi="宋体" w:cs="宋体"/>
                <w:kern w:val="0"/>
                <w:szCs w:val="21"/>
              </w:rPr>
            </w:pPr>
            <w:r>
              <w:rPr>
                <w:rFonts w:hint="eastAsia" w:ascii="宋体" w:hAnsi="宋体" w:cs="宋体"/>
                <w:kern w:val="0"/>
                <w:szCs w:val="21"/>
              </w:rPr>
              <w:t>制定本单位事故应急救援预案，与地方人民政府事故应急救援预案相衔接，并定期组织演练</w:t>
            </w:r>
          </w:p>
        </w:tc>
        <w:tc>
          <w:tcPr>
            <w:tcW w:w="5110" w:type="dxa"/>
            <w:vAlign w:val="center"/>
          </w:tcPr>
          <w:p>
            <w:pPr>
              <w:widowControl/>
              <w:adjustRightInd w:val="0"/>
              <w:snapToGrid w:val="0"/>
              <w:spacing w:line="300" w:lineRule="exact"/>
              <w:ind w:firstLine="420" w:firstLineChars="200"/>
              <w:rPr>
                <w:rFonts w:ascii="宋体" w:hAnsi="宋体" w:cs="宋体"/>
                <w:kern w:val="0"/>
                <w:szCs w:val="21"/>
              </w:rPr>
            </w:pPr>
            <w:r>
              <w:rPr>
                <w:rFonts w:hint="eastAsia" w:ascii="宋体" w:hAnsi="宋体" w:cs="宋体"/>
                <w:kern w:val="0"/>
                <w:szCs w:val="21"/>
              </w:rPr>
              <w:t>《安全生产法》第七十八条  生产经营单位应当制定本单位生产安全事故应急救援预案，与所在地县级以上地方人民政府组织制定的生产安全事故应急救援预案相衔接，并定期组织演练。</w:t>
            </w:r>
          </w:p>
          <w:p>
            <w:pPr>
              <w:widowControl/>
              <w:adjustRightInd w:val="0"/>
              <w:snapToGrid w:val="0"/>
              <w:spacing w:line="300" w:lineRule="exact"/>
              <w:ind w:firstLine="420" w:firstLineChars="200"/>
              <w:rPr>
                <w:rFonts w:ascii="宋体" w:hAnsi="宋体" w:cs="宋体"/>
                <w:kern w:val="0"/>
                <w:szCs w:val="21"/>
              </w:rPr>
            </w:pPr>
            <w:r>
              <w:rPr>
                <w:rFonts w:hint="eastAsia" w:ascii="宋体" w:hAnsi="宋体" w:cs="宋体"/>
                <w:kern w:val="0"/>
                <w:szCs w:val="21"/>
              </w:rPr>
              <w:t>《生产安全事故应急预案管理办法》第十二条　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p>
        </w:tc>
        <w:tc>
          <w:tcPr>
            <w:tcW w:w="3448" w:type="dxa"/>
            <w:vAlign w:val="center"/>
          </w:tcPr>
          <w:p>
            <w:pPr>
              <w:widowControl/>
              <w:adjustRightInd w:val="0"/>
              <w:snapToGrid w:val="0"/>
              <w:ind w:firstLine="420" w:firstLineChars="200"/>
            </w:pPr>
            <w:r>
              <w:rPr>
                <w:rFonts w:hint="eastAsia"/>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pPr>
            <w:r>
              <w:rPr>
                <w:rFonts w:hint="eastAsia"/>
              </w:rPr>
              <w:t>……</w:t>
            </w:r>
          </w:p>
          <w:p>
            <w:pPr>
              <w:widowControl/>
              <w:adjustRightInd w:val="0"/>
              <w:snapToGrid w:val="0"/>
              <w:ind w:firstLine="420" w:firstLineChars="200"/>
            </w:pPr>
            <w:r>
              <w:rPr>
                <w:rFonts w:hint="eastAsia"/>
              </w:rPr>
              <w:t>（六）未按照规定制定生产安全事故应急救援预案或者未定期组织演练的；</w:t>
            </w:r>
          </w:p>
          <w:p>
            <w:pPr>
              <w:widowControl/>
              <w:adjustRightInd w:val="0"/>
              <w:snapToGrid w:val="0"/>
              <w:ind w:firstLine="420" w:firstLineChars="200"/>
            </w:pPr>
            <w:r>
              <w:rPr>
                <w:rFonts w:hint="eastAsia"/>
              </w:rPr>
              <w:t>……</w:t>
            </w:r>
          </w:p>
          <w:p>
            <w:pPr>
              <w:widowControl/>
              <w:adjustRightInd w:val="0"/>
              <w:snapToGrid w:val="0"/>
              <w:ind w:firstLine="420" w:firstLineChars="200"/>
              <w:rPr>
                <w:highlight w:val="none"/>
              </w:rPr>
            </w:pPr>
            <w:r>
              <w:rPr>
                <w:rFonts w:hint="eastAsia"/>
              </w:rPr>
              <w:t>《生产安全事故应急预案管理办法》第四十四条</w:t>
            </w:r>
            <w:r>
              <w:rPr>
                <w:rFonts w:hint="eastAsia"/>
                <w:lang w:val="en-US" w:eastAsia="zh-CN"/>
              </w:rPr>
              <w:t xml:space="preserve">  </w:t>
            </w:r>
            <w:r>
              <w:rPr>
                <w:rFonts w:hint="eastAsia"/>
              </w:rPr>
              <w:t>生产经营单位有下列情形之一的，由县级以上人民政府应急管理等部门依照《中华人民共和国安全生产法》第九十四条的规定，责令限期改正</w:t>
            </w:r>
            <w:r>
              <w:rPr>
                <w:rFonts w:hint="eastAsia"/>
                <w:highlight w:val="none"/>
              </w:rPr>
              <w:t>，可以处</w:t>
            </w:r>
            <w:r>
              <w:rPr>
                <w:rFonts w:hint="eastAsia" w:asciiTheme="minorEastAsia" w:hAnsiTheme="minorEastAsia" w:eastAsiaTheme="minorEastAsia"/>
                <w:highlight w:val="none"/>
              </w:rPr>
              <w:t>5</w:t>
            </w:r>
            <w:r>
              <w:rPr>
                <w:rFonts w:hint="eastAsia"/>
                <w:highlight w:val="none"/>
              </w:rPr>
              <w:t>万元以下罚款；逾期未改正的，责令停产停业整顿，并处</w:t>
            </w:r>
            <w:r>
              <w:rPr>
                <w:rFonts w:hint="eastAsia" w:asciiTheme="minorEastAsia" w:hAnsiTheme="minorEastAsia" w:eastAsiaTheme="minorEastAsia"/>
                <w:highlight w:val="none"/>
              </w:rPr>
              <w:t>5</w:t>
            </w:r>
            <w:r>
              <w:rPr>
                <w:rFonts w:hint="eastAsia"/>
                <w:highlight w:val="none"/>
              </w:rPr>
              <w:t>万元以上</w:t>
            </w:r>
            <w:r>
              <w:rPr>
                <w:rFonts w:hint="eastAsia" w:asciiTheme="minorEastAsia" w:hAnsiTheme="minorEastAsia" w:eastAsiaTheme="minorEastAsia"/>
                <w:highlight w:val="none"/>
              </w:rPr>
              <w:t>10</w:t>
            </w:r>
            <w:r>
              <w:rPr>
                <w:rFonts w:hint="eastAsia"/>
                <w:highlight w:val="none"/>
              </w:rPr>
              <w:t>万元以下的罚款，对直接负责的主管人员和其他直接责任人员处</w:t>
            </w:r>
            <w:r>
              <w:rPr>
                <w:rFonts w:hint="eastAsia" w:asciiTheme="minorEastAsia" w:hAnsiTheme="minorEastAsia" w:eastAsiaTheme="minorEastAsia"/>
                <w:highlight w:val="none"/>
              </w:rPr>
              <w:t>1</w:t>
            </w:r>
            <w:r>
              <w:rPr>
                <w:rFonts w:hint="eastAsia"/>
                <w:highlight w:val="none"/>
              </w:rPr>
              <w:t>万元以上</w:t>
            </w:r>
            <w:r>
              <w:rPr>
                <w:rFonts w:hint="eastAsia" w:asciiTheme="minorEastAsia" w:hAnsiTheme="minorEastAsia" w:eastAsiaTheme="minorEastAsia"/>
                <w:highlight w:val="none"/>
              </w:rPr>
              <w:t>2</w:t>
            </w:r>
            <w:r>
              <w:rPr>
                <w:rFonts w:hint="eastAsia"/>
                <w:highlight w:val="none"/>
              </w:rPr>
              <w:t>万元以下的罚款：</w:t>
            </w:r>
          </w:p>
          <w:p>
            <w:pPr>
              <w:widowControl/>
              <w:adjustRightInd w:val="0"/>
              <w:snapToGrid w:val="0"/>
              <w:ind w:firstLine="420" w:firstLineChars="200"/>
              <w:rPr>
                <w:highlight w:val="none"/>
              </w:rPr>
            </w:pPr>
            <w:r>
              <w:rPr>
                <w:rFonts w:hint="eastAsia"/>
                <w:highlight w:val="none"/>
              </w:rPr>
              <w:t>（一）未按照规定编制应急预案的；</w:t>
            </w:r>
          </w:p>
          <w:p>
            <w:pPr>
              <w:pStyle w:val="2"/>
              <w:ind w:firstLine="420"/>
              <w:rPr>
                <w:rFonts w:eastAsia="宋体"/>
              </w:rPr>
            </w:pPr>
            <w:r>
              <w:rPr>
                <w:rFonts w:hint="eastAsia" w:ascii="宋体" w:hAnsi="宋体" w:eastAsia="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62" w:type="dxa"/>
            <w:vAlign w:val="center"/>
          </w:tcPr>
          <w:p>
            <w:pPr>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7</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编制应急预案前风险评估和应急资源调查情况</w:t>
            </w:r>
          </w:p>
        </w:tc>
        <w:tc>
          <w:tcPr>
            <w:tcW w:w="1863" w:type="dxa"/>
            <w:vAlign w:val="center"/>
          </w:tcPr>
          <w:p>
            <w:pPr>
              <w:widowControl/>
              <w:adjustRightInd w:val="0"/>
              <w:snapToGrid w:val="0"/>
              <w:rPr>
                <w:rFonts w:ascii="宋体" w:hAnsi="宋体"/>
                <w:bCs/>
                <w:szCs w:val="21"/>
              </w:rPr>
            </w:pPr>
            <w:r>
              <w:rPr>
                <w:rFonts w:hint="eastAsia" w:ascii="宋体" w:hAnsi="宋体" w:cs="宋体"/>
                <w:kern w:val="0"/>
                <w:szCs w:val="21"/>
              </w:rPr>
              <w:t>编制应急预案前进行事故风险评估和应急资源调查</w:t>
            </w:r>
          </w:p>
        </w:tc>
        <w:tc>
          <w:tcPr>
            <w:tcW w:w="5110" w:type="dxa"/>
            <w:vAlign w:val="center"/>
          </w:tcPr>
          <w:p>
            <w:pPr>
              <w:adjustRightInd w:val="0"/>
              <w:snapToGrid w:val="0"/>
              <w:ind w:firstLine="420" w:firstLineChars="200"/>
              <w:rPr>
                <w:rFonts w:ascii="Times New Roman" w:hAnsi="Times New Roman"/>
              </w:rPr>
            </w:pPr>
            <w:r>
              <w:rPr>
                <w:rFonts w:hint="eastAsia" w:ascii="Times New Roman" w:hAnsi="Times New Roman"/>
              </w:rPr>
              <w:t>《生产安全事故应急预案管理办法》第十条  编制应急预案前，编制单位应当进行事故风险辨识、评估和应急资源调查。</w:t>
            </w:r>
          </w:p>
          <w:p>
            <w:pPr>
              <w:adjustRightInd w:val="0"/>
              <w:snapToGrid w:val="0"/>
              <w:ind w:firstLine="420" w:firstLineChars="200"/>
              <w:rPr>
                <w:rFonts w:ascii="Times New Roman" w:hAnsi="Times New Roman"/>
              </w:rPr>
            </w:pPr>
            <w:r>
              <w:rPr>
                <w:rFonts w:hint="eastAsia" w:ascii="Times New Roman" w:hAnsi="Times New Roman"/>
              </w:rPr>
              <w:t>事故风险辨识、评估，是指针对不同事故种类及特点，识别存在的危险危害因素，分析事故可能产生的直接后果以及次生、衍生后果，评估各种后果的危害程度和影响范围，提出防范和控制事故风险措施的过程。</w:t>
            </w:r>
          </w:p>
          <w:p>
            <w:pPr>
              <w:adjustRightInd w:val="0"/>
              <w:snapToGrid w:val="0"/>
              <w:ind w:firstLine="420" w:firstLineChars="200"/>
              <w:rPr>
                <w:rFonts w:ascii="宋体" w:hAnsi="宋体" w:cs="宋体"/>
                <w:kern w:val="0"/>
                <w:szCs w:val="21"/>
                <w:bdr w:val="single" w:color="auto" w:sz="4" w:space="0"/>
              </w:rPr>
            </w:pPr>
            <w:r>
              <w:rPr>
                <w:rFonts w:hint="eastAsia" w:ascii="Times New Roman" w:hAnsi="Times New Roman"/>
              </w:rPr>
              <w:t>应急资源调查，是指全面调查本地区、本单位第一时间可以调用的应急资源状况和合作区域内可以请求援助的应急资源状况，并结合事故风险辨识评估结论制定应急措施的过程。</w:t>
            </w:r>
          </w:p>
        </w:tc>
        <w:tc>
          <w:tcPr>
            <w:tcW w:w="3448" w:type="dxa"/>
            <w:vAlign w:val="center"/>
          </w:tcPr>
          <w:p>
            <w:pPr>
              <w:widowControl/>
              <w:adjustRightInd w:val="0"/>
              <w:snapToGrid w:val="0"/>
              <w:ind w:firstLine="420" w:firstLineChars="200"/>
              <w:rPr>
                <w:highlight w:val="none"/>
              </w:rPr>
            </w:pPr>
            <w:r>
              <w:rPr>
                <w:rFonts w:hint="eastAsia"/>
              </w:rPr>
              <w:t>《生产安全事故应急预案管理办法》第四十五条  生产经营单位有下列情形之一的，由县级以上人民政府</w:t>
            </w:r>
            <w:r>
              <w:rPr>
                <w:rFonts w:hint="eastAsia"/>
                <w:highlight w:val="none"/>
              </w:rPr>
              <w:t>应急管理部门责令限期改正，可以处</w:t>
            </w:r>
            <w:r>
              <w:rPr>
                <w:rFonts w:hint="eastAsia" w:asciiTheme="minorEastAsia" w:hAnsiTheme="minorEastAsia" w:eastAsiaTheme="minorEastAsia"/>
                <w:highlight w:val="none"/>
              </w:rPr>
              <w:t>1</w:t>
            </w:r>
            <w:r>
              <w:rPr>
                <w:rFonts w:hint="eastAsia"/>
                <w:highlight w:val="none"/>
              </w:rPr>
              <w:t>万元以上</w:t>
            </w:r>
            <w:r>
              <w:rPr>
                <w:rFonts w:hint="eastAsia" w:asciiTheme="minorEastAsia" w:hAnsiTheme="minorEastAsia" w:eastAsiaTheme="minorEastAsia"/>
                <w:highlight w:val="none"/>
              </w:rPr>
              <w:t>3</w:t>
            </w:r>
            <w:r>
              <w:rPr>
                <w:rFonts w:hint="eastAsia"/>
                <w:highlight w:val="none"/>
              </w:rPr>
              <w:t>万元以下的罚款：</w:t>
            </w:r>
          </w:p>
          <w:p>
            <w:pPr>
              <w:widowControl/>
              <w:adjustRightInd w:val="0"/>
              <w:snapToGrid w:val="0"/>
              <w:ind w:firstLine="420" w:firstLineChars="200"/>
            </w:pPr>
            <w:r>
              <w:rPr>
                <w:rFonts w:hint="eastAsia"/>
                <w:highlight w:val="none"/>
              </w:rPr>
              <w:t>（一）在应急预案编制前未按照规定开展风险辨识</w:t>
            </w:r>
            <w:r>
              <w:rPr>
                <w:rFonts w:hint="eastAsia"/>
              </w:rPr>
              <w:t>、评估和应急资源调查的；</w:t>
            </w:r>
          </w:p>
          <w:p>
            <w:pPr>
              <w:pStyle w:val="2"/>
              <w:ind w:firstLine="420"/>
              <w:rPr>
                <w:rFonts w:eastAsia="宋体"/>
              </w:rPr>
            </w:pPr>
            <w:r>
              <w:rPr>
                <w:rFonts w:hint="eastAsia" w:ascii="宋体" w:hAnsi="宋体" w:eastAsia="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62" w:type="dxa"/>
            <w:vAlign w:val="center"/>
          </w:tcPr>
          <w:p>
            <w:pPr>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8</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应急预案评审或者论证情况</w:t>
            </w:r>
          </w:p>
        </w:tc>
        <w:tc>
          <w:tcPr>
            <w:tcW w:w="1863" w:type="dxa"/>
            <w:vAlign w:val="center"/>
          </w:tcPr>
          <w:p>
            <w:pPr>
              <w:widowControl/>
              <w:adjustRightInd w:val="0"/>
              <w:snapToGrid w:val="0"/>
              <w:rPr>
                <w:rFonts w:ascii="宋体" w:hAnsi="宋体"/>
                <w:bCs/>
                <w:szCs w:val="21"/>
              </w:rPr>
            </w:pPr>
            <w:r>
              <w:rPr>
                <w:rFonts w:hint="eastAsia" w:ascii="宋体" w:hAnsi="宋体"/>
                <w:bCs/>
                <w:szCs w:val="21"/>
              </w:rPr>
              <w:t>高危行业生产经营单位进行应急预案评审，其他生产经营单位进行论证</w:t>
            </w:r>
          </w:p>
        </w:tc>
        <w:tc>
          <w:tcPr>
            <w:tcW w:w="5110" w:type="dxa"/>
            <w:vAlign w:val="center"/>
          </w:tcPr>
          <w:p>
            <w:pPr>
              <w:adjustRightInd w:val="0"/>
              <w:snapToGrid w:val="0"/>
              <w:ind w:firstLine="420" w:firstLineChars="200"/>
              <w:rPr>
                <w:rFonts w:ascii="宋体" w:hAnsi="宋体"/>
                <w:bCs/>
                <w:szCs w:val="21"/>
              </w:rPr>
            </w:pPr>
            <w:r>
              <w:rPr>
                <w:rFonts w:hint="eastAsia" w:ascii="宋体" w:hAnsi="宋体"/>
                <w:bCs/>
                <w:szCs w:val="21"/>
              </w:rPr>
              <w:t>《生产安全事故应急预案管理办法》第二十一条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pPr>
              <w:adjustRightInd w:val="0"/>
              <w:snapToGrid w:val="0"/>
              <w:ind w:firstLine="420" w:firstLineChars="200"/>
              <w:rPr>
                <w:rFonts w:ascii="宋体" w:hAnsi="宋体"/>
                <w:bCs/>
                <w:szCs w:val="21"/>
              </w:rPr>
            </w:pPr>
            <w:r>
              <w:rPr>
                <w:rFonts w:hint="eastAsia" w:ascii="宋体" w:hAnsi="宋体"/>
                <w:bCs/>
                <w:szCs w:val="21"/>
              </w:rPr>
              <w:t>前款规定以外的其他生产经营单位可以根据自身需要，对本单位编制的应急预案进行论证。</w:t>
            </w:r>
          </w:p>
          <w:p>
            <w:pPr>
              <w:adjustRightInd w:val="0"/>
              <w:snapToGrid w:val="0"/>
              <w:ind w:firstLine="420" w:firstLineChars="200"/>
              <w:rPr>
                <w:rFonts w:ascii="宋体" w:hAnsi="宋体"/>
                <w:bCs/>
                <w:szCs w:val="21"/>
              </w:rPr>
            </w:pPr>
            <w:r>
              <w:rPr>
                <w:rFonts w:hint="eastAsia" w:ascii="宋体" w:hAnsi="宋体"/>
                <w:bCs/>
                <w:szCs w:val="21"/>
              </w:rPr>
              <w:t>第二十三条  应急预案的评审或者论证应当注重基本要素的完整性、组织体系的合理性、应急处置程序和措施的针对性、应急保障措施的可行性、应急预案的衔接性等内容。</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《生产安全事故应急预案管理办法》第四十五条  生产经营单位有下列情形之一的，由县级以上安全生产监督管理部门责令限期改正，可以处1万元以上3万元以下罚款：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（二）未按照规定开展应急预案评审的；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38" w:hRule="atLeast"/>
          <w:jc w:val="center"/>
        </w:trPr>
        <w:tc>
          <w:tcPr>
            <w:tcW w:w="862"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19</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应急预案备案情况</w:t>
            </w:r>
          </w:p>
        </w:tc>
        <w:tc>
          <w:tcPr>
            <w:tcW w:w="1863" w:type="dxa"/>
            <w:vAlign w:val="center"/>
          </w:tcPr>
          <w:p>
            <w:pPr>
              <w:widowControl/>
              <w:adjustRightInd w:val="0"/>
              <w:snapToGrid w:val="0"/>
              <w:rPr>
                <w:rFonts w:ascii="宋体" w:hAnsi="宋体"/>
                <w:bCs/>
                <w:szCs w:val="21"/>
              </w:rPr>
            </w:pPr>
            <w:r>
              <w:rPr>
                <w:rFonts w:hint="eastAsia" w:ascii="宋体" w:hAnsi="宋体"/>
                <w:bCs/>
                <w:szCs w:val="21"/>
              </w:rPr>
              <w:t>按照生产经营单位隶属关系、行业领域、规模等备案</w:t>
            </w:r>
          </w:p>
        </w:tc>
        <w:tc>
          <w:tcPr>
            <w:tcW w:w="5110" w:type="dxa"/>
            <w:vAlign w:val="center"/>
          </w:tcPr>
          <w:p>
            <w:pPr>
              <w:adjustRightInd w:val="0"/>
              <w:snapToGrid w:val="0"/>
              <w:ind w:firstLine="420" w:firstLineChars="200"/>
              <w:rPr>
                <w:rFonts w:ascii="宋体" w:hAnsi="宋体"/>
                <w:bCs/>
                <w:szCs w:val="21"/>
              </w:rPr>
            </w:pPr>
            <w:r>
              <w:rPr>
                <w:rFonts w:hint="eastAsia" w:ascii="宋体" w:hAnsi="宋体"/>
                <w:bCs/>
                <w:szCs w:val="21"/>
              </w:rPr>
              <w:t>《生产安全事故应急预案管理办法》第二十六条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p>
            <w:pPr>
              <w:adjustRightInd w:val="0"/>
              <w:snapToGrid w:val="0"/>
              <w:ind w:firstLine="420" w:firstLineChars="200"/>
              <w:rPr>
                <w:rFonts w:ascii="宋体" w:hAnsi="宋体"/>
                <w:bCs/>
                <w:szCs w:val="21"/>
              </w:rPr>
            </w:pPr>
            <w:r>
              <w:rPr>
                <w:rFonts w:hint="eastAsia" w:ascii="宋体" w:hAnsi="宋体"/>
                <w:bCs/>
                <w:szCs w:val="21"/>
              </w:rPr>
              <w:t>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p>
          <w:p>
            <w:pPr>
              <w:adjustRightInd w:val="0"/>
              <w:snapToGrid w:val="0"/>
              <w:ind w:firstLine="420" w:firstLineChars="200"/>
              <w:rPr>
                <w:rFonts w:ascii="宋体" w:hAnsi="宋体"/>
                <w:bCs/>
                <w:szCs w:val="21"/>
              </w:rPr>
            </w:pPr>
            <w:r>
              <w:rPr>
                <w:rFonts w:hint="eastAsia" w:ascii="宋体" w:hAnsi="宋体"/>
                <w:bCs/>
                <w:szCs w:val="21"/>
              </w:rPr>
              <w:t>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p>
          <w:p>
            <w:pPr>
              <w:adjustRightInd w:val="0"/>
              <w:snapToGrid w:val="0"/>
              <w:ind w:firstLine="420" w:firstLineChars="200"/>
              <w:rPr>
                <w:rFonts w:ascii="宋体" w:hAnsi="宋体"/>
                <w:bCs/>
                <w:szCs w:val="21"/>
              </w:rPr>
            </w:pPr>
            <w:r>
              <w:rPr>
                <w:rFonts w:hint="eastAsia" w:ascii="宋体" w:hAnsi="宋体"/>
                <w:bCs/>
                <w:szCs w:val="21"/>
              </w:rPr>
              <w:t>油气输送管道运营单位的应急预案，除按照本条第一款、第二款的规定备案外，还应当抄送所经行政区域的县级人民政府应急管理部门。</w:t>
            </w:r>
          </w:p>
          <w:p>
            <w:pPr>
              <w:adjustRightInd w:val="0"/>
              <w:snapToGrid w:val="0"/>
              <w:ind w:firstLine="420" w:firstLineChars="200"/>
              <w:rPr>
                <w:rFonts w:ascii="宋体" w:hAnsi="宋体"/>
                <w:bCs/>
                <w:szCs w:val="21"/>
              </w:rPr>
            </w:pPr>
            <w:r>
              <w:rPr>
                <w:rFonts w:hint="eastAsia" w:ascii="宋体" w:hAnsi="宋体"/>
                <w:bCs/>
                <w:szCs w:val="21"/>
              </w:rPr>
              <w:t>海洋石油开采企业的应急预案，除按照本条第一款、第二款的规定备案外，还应当抄送所经行政区域的县级人民政府应急管理部门和海洋石油安全监管机构。</w:t>
            </w:r>
          </w:p>
          <w:p>
            <w:pPr>
              <w:adjustRightInd w:val="0"/>
              <w:snapToGrid w:val="0"/>
              <w:ind w:firstLine="420" w:firstLineChars="200"/>
              <w:rPr>
                <w:rFonts w:ascii="宋体" w:hAnsi="宋体"/>
                <w:bCs/>
                <w:szCs w:val="21"/>
              </w:rPr>
            </w:pPr>
            <w:r>
              <w:rPr>
                <w:rFonts w:hint="eastAsia" w:ascii="宋体" w:hAnsi="宋体"/>
                <w:bCs/>
                <w:szCs w:val="21"/>
              </w:rPr>
              <w:t>煤矿企业的应急预案除按照本条第一款、第二款的规定备案外，还应当抄送所在地的煤矿安全监察机构。</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《生产安全事故应急预案管理办法》第四十五条  生产经营单位有下列情形之一的，由县级以上安全生产监督管理部门责令限期改正，可以处1万元以上3万元以下罚款：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586" w:hRule="atLeast"/>
          <w:jc w:val="center"/>
        </w:trPr>
        <w:tc>
          <w:tcPr>
            <w:tcW w:w="862" w:type="dxa"/>
            <w:vAlign w:val="center"/>
          </w:tcPr>
          <w:p>
            <w:pPr>
              <w:jc w:val="center"/>
              <w:rPr>
                <w:rFonts w:hint="eastAsia" w:ascii="宋体" w:hAnsi="宋体" w:eastAsia="宋体"/>
                <w:szCs w:val="21"/>
                <w:lang w:val="en-US" w:eastAsia="zh-CN"/>
              </w:rPr>
            </w:pPr>
            <w:r>
              <w:rPr>
                <w:rFonts w:hint="eastAsia" w:ascii="宋体" w:hAnsi="宋体"/>
                <w:szCs w:val="21"/>
              </w:rPr>
              <w:t>2</w:t>
            </w:r>
            <w:r>
              <w:rPr>
                <w:rFonts w:hint="eastAsia" w:ascii="宋体" w:hAnsi="宋体"/>
                <w:szCs w:val="21"/>
                <w:lang w:val="en-US" w:eastAsia="zh-CN"/>
              </w:rPr>
              <w:t>0</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事故风险及应急措施告知情况</w:t>
            </w:r>
          </w:p>
        </w:tc>
        <w:tc>
          <w:tcPr>
            <w:tcW w:w="1863" w:type="dxa"/>
            <w:vAlign w:val="center"/>
          </w:tcPr>
          <w:p>
            <w:pPr>
              <w:widowControl/>
              <w:adjustRightInd w:val="0"/>
              <w:snapToGrid w:val="0"/>
              <w:rPr>
                <w:rFonts w:ascii="宋体" w:hAnsi="宋体"/>
                <w:bCs/>
                <w:szCs w:val="21"/>
              </w:rPr>
            </w:pPr>
            <w:r>
              <w:rPr>
                <w:rFonts w:hint="eastAsia" w:ascii="宋体" w:hAnsi="宋体"/>
                <w:bCs/>
                <w:szCs w:val="21"/>
              </w:rPr>
              <w:t>将有关事故风险的性质、影响范围和应急防范措施告知周边的其他单位和人员</w:t>
            </w:r>
          </w:p>
        </w:tc>
        <w:tc>
          <w:tcPr>
            <w:tcW w:w="5110" w:type="dxa"/>
            <w:vAlign w:val="center"/>
          </w:tcPr>
          <w:p>
            <w:pPr>
              <w:adjustRightInd w:val="0"/>
              <w:snapToGrid w:val="0"/>
              <w:ind w:firstLine="420" w:firstLineChars="200"/>
              <w:rPr>
                <w:rFonts w:ascii="Times New Roman" w:hAnsi="Times New Roman"/>
              </w:rPr>
            </w:pPr>
            <w:r>
              <w:rPr>
                <w:rFonts w:hint="eastAsia" w:ascii="Times New Roman" w:hAnsi="Times New Roman"/>
              </w:rPr>
              <w:t>《生产安全事故应急预案管理办法》第二十四条  ……</w:t>
            </w:r>
          </w:p>
          <w:p>
            <w:pPr>
              <w:adjustRightInd w:val="0"/>
              <w:snapToGrid w:val="0"/>
              <w:ind w:firstLine="420" w:firstLineChars="200"/>
              <w:rPr>
                <w:rFonts w:ascii="宋体" w:hAnsi="宋体"/>
                <w:bCs/>
                <w:szCs w:val="21"/>
              </w:rPr>
            </w:pPr>
            <w:r>
              <w:rPr>
                <w:rFonts w:hint="eastAsia" w:ascii="宋体" w:hAnsi="宋体"/>
                <w:bCs/>
                <w:szCs w:val="21"/>
              </w:rPr>
              <w:t>事故风险可能影响周边其他单位、人员的，生产经营单位应当将有关事故风险的性质、影响范围和应急防范措施告知周边的其他单位和人员。</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《生产安全事故应急预案管理办法》第四十五条  生产经营单位有下列情形之一的，由县级以上安全生产监督管理部门责令限期改正，可以处1万元以上3万元以下罚款：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（三）事故风险可能影响周边单位、人员的，未将事故风险的性质、影响范围和应急防范措施告知周边单位和人员的；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602" w:hRule="atLeast"/>
          <w:jc w:val="center"/>
        </w:trPr>
        <w:tc>
          <w:tcPr>
            <w:tcW w:w="862" w:type="dxa"/>
            <w:vAlign w:val="center"/>
          </w:tcPr>
          <w:p>
            <w:pPr>
              <w:jc w:val="center"/>
              <w:rPr>
                <w:rFonts w:hint="eastAsia" w:ascii="宋体" w:hAnsi="宋体" w:eastAsia="宋体"/>
                <w:szCs w:val="21"/>
                <w:lang w:val="en-US" w:eastAsia="zh-CN"/>
              </w:rPr>
            </w:pPr>
            <w:r>
              <w:rPr>
                <w:rFonts w:hint="eastAsia" w:ascii="宋体" w:hAnsi="宋体"/>
                <w:szCs w:val="21"/>
              </w:rPr>
              <w:t>2</w:t>
            </w:r>
            <w:r>
              <w:rPr>
                <w:rFonts w:hint="eastAsia" w:ascii="宋体" w:hAnsi="宋体"/>
                <w:szCs w:val="21"/>
                <w:lang w:val="en-US" w:eastAsia="zh-CN"/>
              </w:rPr>
              <w:t>1</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应急预案评估情况</w:t>
            </w:r>
          </w:p>
        </w:tc>
        <w:tc>
          <w:tcPr>
            <w:tcW w:w="1863" w:type="dxa"/>
            <w:vAlign w:val="center"/>
          </w:tcPr>
          <w:p>
            <w:pPr>
              <w:adjustRightInd w:val="0"/>
              <w:snapToGrid w:val="0"/>
              <w:rPr>
                <w:rFonts w:ascii="宋体" w:hAnsi="宋体"/>
                <w:bCs/>
                <w:szCs w:val="21"/>
              </w:rPr>
            </w:pPr>
            <w:r>
              <w:rPr>
                <w:rFonts w:hint="eastAsia" w:ascii="Times New Roman" w:hAnsi="Times New Roman"/>
              </w:rPr>
              <w:t>建立应急预案定期评估制度，高危行业领域及中型规模以上生产经营单位每三年进行一次评估</w:t>
            </w:r>
          </w:p>
        </w:tc>
        <w:tc>
          <w:tcPr>
            <w:tcW w:w="5110" w:type="dxa"/>
            <w:vAlign w:val="center"/>
          </w:tcPr>
          <w:p>
            <w:pPr>
              <w:adjustRightInd w:val="0"/>
              <w:snapToGrid w:val="0"/>
              <w:spacing w:line="240" w:lineRule="exact"/>
              <w:ind w:firstLine="420" w:firstLineChars="200"/>
              <w:rPr>
                <w:rFonts w:ascii="Times New Roman" w:hAnsi="Times New Roman"/>
              </w:rPr>
            </w:pPr>
            <w:r>
              <w:rPr>
                <w:rFonts w:hint="eastAsia" w:ascii="Times New Roman" w:hAnsi="Times New Roman"/>
              </w:rPr>
              <w:t>《生产安全事故应急预案管理办法》第三十五条  应急预案编制单位应当建立应急预案定期评估制度，对预案内容的针对性和实用性进行分析，并对应急预案是否需要修订作出结论。</w:t>
            </w:r>
          </w:p>
          <w:p>
            <w:pPr>
              <w:adjustRightInd w:val="0"/>
              <w:snapToGrid w:val="0"/>
              <w:spacing w:line="240" w:lineRule="exact"/>
              <w:ind w:firstLine="420" w:firstLineChars="200"/>
              <w:rPr>
                <w:rFonts w:ascii="Times New Roman" w:hAnsi="Times New Roman"/>
              </w:rPr>
            </w:pPr>
            <w:r>
              <w:rPr>
                <w:rFonts w:hint="eastAsia" w:ascii="Times New Roman" w:hAnsi="Times New Roman"/>
              </w:rPr>
              <w:t>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p>
          <w:p>
            <w:pPr>
              <w:adjustRightInd w:val="0"/>
              <w:snapToGrid w:val="0"/>
              <w:spacing w:line="240" w:lineRule="exact"/>
              <w:ind w:firstLine="420" w:firstLineChars="200"/>
              <w:rPr>
                <w:rFonts w:ascii="宋体" w:hAnsi="宋体"/>
                <w:bCs/>
                <w:szCs w:val="21"/>
              </w:rPr>
            </w:pPr>
            <w:r>
              <w:rPr>
                <w:rFonts w:hint="eastAsia" w:ascii="Times New Roman" w:hAnsi="Times New Roman"/>
              </w:rPr>
              <w:t>应急预案评估可以邀请相关专业机构或者有关专家、有实际应急救援工作经验的人员参加，必要时可以委托安全生产技术服务机构实施。</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《生产安全事故应急预案管理办法》第四十五条  生产经营单位有下列情形之一的，由县级以上安全生产监督管理部门责令限期改正，可以处1万元以上3万元以下罚款：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（四）未按照规定开展应急预案评估的；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288" w:hRule="atLeast"/>
          <w:jc w:val="center"/>
        </w:trPr>
        <w:tc>
          <w:tcPr>
            <w:tcW w:w="862" w:type="dxa"/>
            <w:vAlign w:val="center"/>
          </w:tcPr>
          <w:p>
            <w:pPr>
              <w:jc w:val="center"/>
              <w:rPr>
                <w:rFonts w:hint="eastAsia" w:ascii="宋体" w:hAnsi="宋体" w:eastAsia="宋体"/>
                <w:szCs w:val="21"/>
                <w:lang w:val="en-US" w:eastAsia="zh-CN"/>
              </w:rPr>
            </w:pPr>
            <w:r>
              <w:rPr>
                <w:rFonts w:hint="eastAsia" w:ascii="宋体" w:hAnsi="宋体"/>
                <w:szCs w:val="21"/>
              </w:rPr>
              <w:t>2</w:t>
            </w:r>
            <w:r>
              <w:rPr>
                <w:rFonts w:hint="eastAsia" w:ascii="宋体" w:hAnsi="宋体"/>
                <w:szCs w:val="21"/>
                <w:lang w:val="en-US" w:eastAsia="zh-CN"/>
              </w:rPr>
              <w:t>2</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应急预案修订和重新备案情况</w:t>
            </w:r>
          </w:p>
        </w:tc>
        <w:tc>
          <w:tcPr>
            <w:tcW w:w="1863" w:type="dxa"/>
            <w:vAlign w:val="center"/>
          </w:tcPr>
          <w:p>
            <w:pPr>
              <w:widowControl/>
              <w:adjustRightInd w:val="0"/>
              <w:snapToGrid w:val="0"/>
              <w:rPr>
                <w:rFonts w:ascii="宋体" w:hAnsi="宋体"/>
                <w:bCs/>
                <w:szCs w:val="21"/>
              </w:rPr>
            </w:pPr>
            <w:r>
              <w:rPr>
                <w:rFonts w:hint="eastAsia" w:ascii="Times New Roman" w:hAnsi="Times New Roman"/>
              </w:rPr>
              <w:t>应急预案应当及时修订并归档，并按要求进行备案</w:t>
            </w:r>
          </w:p>
        </w:tc>
        <w:tc>
          <w:tcPr>
            <w:tcW w:w="5110" w:type="dxa"/>
            <w:vAlign w:val="center"/>
          </w:tcPr>
          <w:p>
            <w:pPr>
              <w:adjustRightInd w:val="0"/>
              <w:snapToGrid w:val="0"/>
              <w:spacing w:line="240" w:lineRule="exact"/>
              <w:ind w:firstLine="420" w:firstLineChars="200"/>
              <w:rPr>
                <w:rFonts w:ascii="Times New Roman" w:hAnsi="Times New Roman"/>
              </w:rPr>
            </w:pPr>
            <w:r>
              <w:rPr>
                <w:rFonts w:hint="eastAsia" w:ascii="Times New Roman" w:hAnsi="Times New Roman"/>
              </w:rPr>
              <w:t>《生产安全事故应急预案管理办法》第三十六条  有下列情形之一的，应急预案应当及时修订并归档：</w:t>
            </w:r>
          </w:p>
          <w:p>
            <w:pPr>
              <w:adjustRightInd w:val="0"/>
              <w:snapToGrid w:val="0"/>
              <w:spacing w:line="240" w:lineRule="exact"/>
              <w:ind w:firstLine="420" w:firstLineChars="200"/>
              <w:rPr>
                <w:rFonts w:ascii="Times New Roman" w:hAnsi="Times New Roman"/>
              </w:rPr>
            </w:pPr>
            <w:r>
              <w:rPr>
                <w:rFonts w:hint="eastAsia" w:ascii="Times New Roman" w:hAnsi="Times New Roman"/>
              </w:rPr>
              <w:t>（一）依据的法律、法规、规章、标准及上位预案中的有关规定发生重大变化的；</w:t>
            </w:r>
          </w:p>
          <w:p>
            <w:pPr>
              <w:adjustRightInd w:val="0"/>
              <w:snapToGrid w:val="0"/>
              <w:spacing w:line="240" w:lineRule="exact"/>
              <w:ind w:firstLine="420" w:firstLineChars="200"/>
              <w:rPr>
                <w:rFonts w:ascii="Times New Roman" w:hAnsi="Times New Roman"/>
              </w:rPr>
            </w:pPr>
            <w:r>
              <w:rPr>
                <w:rFonts w:hint="eastAsia" w:ascii="Times New Roman" w:hAnsi="Times New Roman"/>
              </w:rPr>
              <w:t>（二）应急指挥机构及其职责发生调整的；</w:t>
            </w:r>
          </w:p>
          <w:p>
            <w:pPr>
              <w:adjustRightInd w:val="0"/>
              <w:snapToGrid w:val="0"/>
              <w:spacing w:line="240" w:lineRule="exact"/>
              <w:ind w:firstLine="420" w:firstLineChars="200"/>
              <w:rPr>
                <w:rFonts w:ascii="Times New Roman" w:hAnsi="Times New Roman"/>
              </w:rPr>
            </w:pPr>
            <w:r>
              <w:rPr>
                <w:rFonts w:hint="eastAsia" w:ascii="Times New Roman" w:hAnsi="Times New Roman"/>
              </w:rPr>
              <w:t>（三）安全生产面临的风险发生重大变化的；</w:t>
            </w:r>
          </w:p>
          <w:p>
            <w:pPr>
              <w:adjustRightInd w:val="0"/>
              <w:snapToGrid w:val="0"/>
              <w:spacing w:line="240" w:lineRule="exact"/>
              <w:ind w:firstLine="420" w:firstLineChars="200"/>
              <w:rPr>
                <w:rFonts w:ascii="Times New Roman" w:hAnsi="Times New Roman"/>
              </w:rPr>
            </w:pPr>
            <w:r>
              <w:rPr>
                <w:rFonts w:hint="eastAsia" w:ascii="Times New Roman" w:hAnsi="Times New Roman"/>
              </w:rPr>
              <w:t>（四）重要应急资源发生重大变化的；</w:t>
            </w:r>
          </w:p>
          <w:p>
            <w:pPr>
              <w:adjustRightInd w:val="0"/>
              <w:snapToGrid w:val="0"/>
              <w:spacing w:line="240" w:lineRule="exact"/>
              <w:ind w:firstLine="420" w:firstLineChars="200"/>
              <w:rPr>
                <w:rFonts w:ascii="Times New Roman" w:hAnsi="Times New Roman"/>
              </w:rPr>
            </w:pPr>
            <w:r>
              <w:rPr>
                <w:rFonts w:hint="eastAsia" w:ascii="Times New Roman" w:hAnsi="Times New Roman"/>
              </w:rPr>
              <w:t>（五）在应急演练和事故应急救援中发现需要修订预案的重大问题的；</w:t>
            </w:r>
          </w:p>
          <w:p>
            <w:pPr>
              <w:adjustRightInd w:val="0"/>
              <w:snapToGrid w:val="0"/>
              <w:spacing w:line="240" w:lineRule="exact"/>
              <w:ind w:firstLine="420" w:firstLineChars="200"/>
              <w:rPr>
                <w:rFonts w:ascii="Times New Roman" w:hAnsi="Times New Roman"/>
              </w:rPr>
            </w:pPr>
            <w:r>
              <w:rPr>
                <w:rFonts w:hint="eastAsia" w:ascii="Times New Roman" w:hAnsi="Times New Roman"/>
              </w:rPr>
              <w:t>（六）编制单位认为应当修订的其他情况。</w:t>
            </w:r>
          </w:p>
          <w:p>
            <w:pPr>
              <w:adjustRightInd w:val="0"/>
              <w:snapToGrid w:val="0"/>
              <w:spacing w:line="240" w:lineRule="exact"/>
              <w:ind w:firstLine="420" w:firstLineChars="200"/>
              <w:rPr>
                <w:rFonts w:ascii="宋体" w:hAnsi="宋体"/>
                <w:bCs/>
                <w:szCs w:val="21"/>
              </w:rPr>
            </w:pPr>
            <w:r>
              <w:rPr>
                <w:rFonts w:hint="eastAsia" w:ascii="宋体" w:hAnsi="宋体"/>
                <w:bCs/>
                <w:szCs w:val="21"/>
              </w:rPr>
              <w:t>第三十七条　应急预案修订涉及组织指挥体系与职责、应急处置程序、主要处置措施、应急响应分级等内容变更的，修订工作应当参照本办法规定的应急预案编制程序进行，并按照有关应急预案报备程序重新备案。</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Times New Roman" w:hAnsi="Times New Roman"/>
              </w:rPr>
              <w:t>《生产安全事故应急预案管理办法》</w:t>
            </w:r>
            <w:r>
              <w:rPr>
                <w:rFonts w:hint="eastAsia" w:ascii="宋体" w:hAnsi="宋体" w:cs="宋体"/>
                <w:kern w:val="0"/>
                <w:szCs w:val="21"/>
              </w:rPr>
              <w:t>第四十五条  生产经营单位有下列情形之一的，由县级以上安全生产监督管理部门责令限期改正，可以处1万元以上3万元以下罚款：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numPr>
                <w:ilvl w:val="255"/>
                <w:numId w:val="0"/>
              </w:numPr>
              <w:adjustRightInd w:val="0"/>
              <w:snapToGrid w:val="0"/>
              <w:ind w:firstLine="420" w:firstLineChars="200"/>
              <w:rPr>
                <w:rFonts w:ascii="宋体" w:hAnsi="宋体" w:cs="宋体"/>
                <w:kern w:val="0"/>
                <w:szCs w:val="21"/>
              </w:rPr>
            </w:pPr>
            <w:r>
              <w:rPr>
                <w:rFonts w:hint="eastAsia" w:ascii="宋体" w:hAnsi="宋体" w:cs="宋体"/>
                <w:kern w:val="0"/>
                <w:szCs w:val="21"/>
              </w:rPr>
              <w:t>（五）未按照规定进行应急预案修订的；</w:t>
            </w:r>
          </w:p>
          <w:p>
            <w:pPr>
              <w:widowControl/>
              <w:adjustRightInd w:val="0"/>
              <w:snapToGrid w:val="0"/>
              <w:ind w:left="420" w:left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020" w:hRule="atLeast"/>
          <w:jc w:val="center"/>
        </w:trPr>
        <w:tc>
          <w:tcPr>
            <w:tcW w:w="862" w:type="dxa"/>
            <w:vAlign w:val="center"/>
          </w:tcPr>
          <w:p>
            <w:pPr>
              <w:jc w:val="center"/>
              <w:rPr>
                <w:rFonts w:hint="eastAsia" w:ascii="宋体" w:hAnsi="宋体" w:eastAsia="宋体"/>
                <w:szCs w:val="21"/>
                <w:lang w:val="en-US" w:eastAsia="zh-CN"/>
              </w:rPr>
            </w:pPr>
            <w:r>
              <w:rPr>
                <w:rFonts w:hint="eastAsia" w:ascii="宋体" w:hAnsi="宋体"/>
                <w:szCs w:val="21"/>
              </w:rPr>
              <w:t>2</w:t>
            </w:r>
            <w:r>
              <w:rPr>
                <w:rFonts w:hint="eastAsia" w:ascii="宋体" w:hAnsi="宋体"/>
                <w:szCs w:val="21"/>
                <w:lang w:val="en-US" w:eastAsia="zh-CN"/>
              </w:rPr>
              <w:t>3</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应急物资及装备情况</w:t>
            </w:r>
          </w:p>
        </w:tc>
        <w:tc>
          <w:tcPr>
            <w:tcW w:w="1863" w:type="dxa"/>
            <w:vAlign w:val="center"/>
          </w:tcPr>
          <w:p>
            <w:pPr>
              <w:widowControl/>
              <w:adjustRightInd w:val="0"/>
              <w:snapToGrid w:val="0"/>
              <w:rPr>
                <w:rFonts w:ascii="宋体" w:hAnsi="宋体"/>
                <w:bCs/>
                <w:szCs w:val="21"/>
              </w:rPr>
            </w:pPr>
            <w:r>
              <w:rPr>
                <w:rFonts w:hint="eastAsia" w:ascii="宋体" w:hAnsi="宋体"/>
                <w:bCs/>
                <w:szCs w:val="21"/>
              </w:rPr>
              <w:t>按照应急预案的规定，落实应急物资及装备</w:t>
            </w:r>
          </w:p>
        </w:tc>
        <w:tc>
          <w:tcPr>
            <w:tcW w:w="5110" w:type="dxa"/>
            <w:vAlign w:val="center"/>
          </w:tcPr>
          <w:p>
            <w:pPr>
              <w:adjustRightInd w:val="0"/>
              <w:snapToGrid w:val="0"/>
              <w:spacing w:line="240" w:lineRule="exact"/>
              <w:ind w:firstLine="420" w:firstLineChars="200"/>
              <w:rPr>
                <w:rFonts w:ascii="宋体" w:hAnsi="宋体"/>
                <w:bCs/>
                <w:szCs w:val="21"/>
              </w:rPr>
            </w:pPr>
            <w:r>
              <w:rPr>
                <w:rFonts w:hint="eastAsia" w:ascii="Times New Roman" w:hAnsi="Times New Roman"/>
              </w:rPr>
              <w:t>《生产安全事故应急预案管理办法》第三十八条　生产经营单位应当按照应急预案的规定，落实应急指挥体系、应急救援队伍、应急物资及装备，建立应急物资、装备配备及其使用档案，并对应急物资、装备进行定期检测和维护，使其处于适用状态。</w:t>
            </w:r>
          </w:p>
        </w:tc>
        <w:tc>
          <w:tcPr>
            <w:tcW w:w="3448" w:type="dxa"/>
            <w:vAlign w:val="center"/>
          </w:tcPr>
          <w:p>
            <w:pPr>
              <w:widowControl/>
              <w:adjustRightInd w:val="0"/>
              <w:snapToGrid w:val="0"/>
              <w:spacing w:line="240" w:lineRule="exact"/>
              <w:ind w:firstLine="420" w:firstLineChars="200"/>
              <w:rPr>
                <w:rFonts w:ascii="宋体" w:hAnsi="宋体" w:cs="宋体"/>
                <w:kern w:val="0"/>
                <w:szCs w:val="21"/>
              </w:rPr>
            </w:pPr>
            <w:r>
              <w:rPr>
                <w:rFonts w:hint="eastAsia" w:ascii="Times New Roman" w:hAnsi="Times New Roman"/>
              </w:rPr>
              <w:t>《生产安全事故应急预案管理办法》</w:t>
            </w:r>
            <w:r>
              <w:rPr>
                <w:rFonts w:hint="eastAsia" w:ascii="宋体" w:hAnsi="宋体" w:cs="宋体"/>
                <w:kern w:val="0"/>
                <w:szCs w:val="21"/>
              </w:rPr>
              <w:t>第四十五条  生产经营单位有下列情形之一的，由县级以上安全生产监督管理部门责令限期改正，可以处1万元以上3万元以下罚款：</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w:t>
            </w:r>
          </w:p>
          <w:p>
            <w:pPr>
              <w:widowControl/>
              <w:numPr>
                <w:ilvl w:val="255"/>
                <w:numId w:val="0"/>
              </w:numPr>
              <w:adjustRightInd w:val="0"/>
              <w:snapToGrid w:val="0"/>
              <w:spacing w:line="240" w:lineRule="exact"/>
              <w:ind w:firstLine="420" w:firstLineChars="200"/>
              <w:rPr>
                <w:rFonts w:ascii="Times New Roman" w:hAnsi="Times New Roman"/>
              </w:rPr>
            </w:pPr>
            <w:r>
              <w:rPr>
                <w:rFonts w:hint="eastAsia" w:ascii="Times New Roman" w:hAnsi="Times New Roman"/>
              </w:rPr>
              <w:t>（六）未落实应急预案规定的应急物资及装备的。</w:t>
            </w:r>
          </w:p>
          <w:p>
            <w:pPr>
              <w:widowControl/>
              <w:adjustRightInd w:val="0"/>
              <w:snapToGrid w:val="0"/>
              <w:spacing w:line="240" w:lineRule="exact"/>
              <w:ind w:left="420" w:leftChars="200" w:firstLine="210" w:firstLineChars="100"/>
              <w:rPr>
                <w:rFonts w:ascii="Times New Roman" w:hAnsi="Times New Roman"/>
              </w:rPr>
            </w:pPr>
            <w:r>
              <w:rPr>
                <w:rFonts w:hint="eastAsia" w:ascii="Times New Roman" w:hAnsi="Times New Roman"/>
              </w:rPr>
              <w:t>……</w:t>
            </w:r>
          </w:p>
        </w:tc>
        <w:tc>
          <w:tcPr>
            <w:tcW w:w="819" w:type="dxa"/>
            <w:vAlign w:val="center"/>
          </w:tcPr>
          <w:p>
            <w:pPr>
              <w:widowControl/>
              <w:adjustRightInd w:val="0"/>
              <w:snapToGrid w:val="0"/>
              <w:rPr>
                <w:rFonts w:ascii="宋体" w:hAnsi="宋体" w:cs="宋体"/>
                <w:kern w:val="0"/>
                <w:szCs w:val="21"/>
              </w:rPr>
            </w:pPr>
          </w:p>
        </w:tc>
      </w:tr>
    </w:tbl>
    <w:p/>
    <w:p>
      <w:pPr>
        <w:pStyle w:val="4"/>
        <w:keepNext w:val="0"/>
        <w:keepLines w:val="0"/>
        <w:pageBreakBefore/>
        <w:spacing w:line="240" w:lineRule="auto"/>
        <w:rPr>
          <w:rFonts w:ascii="黑体" w:hAnsi="黑体" w:eastAsia="黑体"/>
          <w:b w:val="0"/>
        </w:rPr>
      </w:pPr>
      <w:bookmarkStart w:id="1" w:name="_Toc497087503"/>
      <w:bookmarkStart w:id="2" w:name="_Toc499799323"/>
      <w:r>
        <w:rPr>
          <w:rFonts w:hint="eastAsia" w:ascii="黑体" w:hAnsi="黑体" w:eastAsia="黑体"/>
          <w:b w:val="0"/>
        </w:rPr>
        <w:t>表2  金属非金属矿山企业监督检查重点事项</w:t>
      </w:r>
      <w:bookmarkEnd w:id="1"/>
      <w:bookmarkEnd w:id="2"/>
    </w:p>
    <w:p>
      <w:pPr>
        <w:pStyle w:val="4"/>
        <w:spacing w:line="240" w:lineRule="auto"/>
        <w:rPr>
          <w:rFonts w:ascii="黑体" w:hAnsi="黑体" w:eastAsia="黑体"/>
          <w:b w:val="0"/>
        </w:rPr>
      </w:pPr>
      <w:bookmarkStart w:id="3" w:name="_Toc499799324"/>
      <w:bookmarkStart w:id="4" w:name="_Toc497087504"/>
      <w:r>
        <w:rPr>
          <w:rFonts w:hint="eastAsia" w:ascii="黑体" w:hAnsi="黑体" w:eastAsia="黑体"/>
          <w:b w:val="0"/>
        </w:rPr>
        <w:t>表2-1  金属非金属地下矿山</w:t>
      </w:r>
      <w:bookmarkEnd w:id="3"/>
      <w:bookmarkEnd w:id="4"/>
    </w:p>
    <w:tbl>
      <w:tblPr>
        <w:tblStyle w:val="19"/>
        <w:tblW w:w="13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816"/>
        <w:gridCol w:w="1497"/>
        <w:gridCol w:w="1665"/>
        <w:gridCol w:w="5343"/>
        <w:gridCol w:w="3687"/>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50" w:hRule="atLeast"/>
          <w:tblHeader/>
          <w:jc w:val="center"/>
        </w:trPr>
        <w:tc>
          <w:tcPr>
            <w:tcW w:w="816"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序号</w:t>
            </w:r>
          </w:p>
        </w:tc>
        <w:tc>
          <w:tcPr>
            <w:tcW w:w="1497"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检查事项</w:t>
            </w:r>
          </w:p>
        </w:tc>
        <w:tc>
          <w:tcPr>
            <w:tcW w:w="1665"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检查内容</w:t>
            </w:r>
          </w:p>
        </w:tc>
        <w:tc>
          <w:tcPr>
            <w:tcW w:w="5343"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检查依据指引</w:t>
            </w:r>
          </w:p>
        </w:tc>
        <w:tc>
          <w:tcPr>
            <w:tcW w:w="3687"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法律责任指引</w:t>
            </w:r>
          </w:p>
        </w:tc>
        <w:tc>
          <w:tcPr>
            <w:tcW w:w="871"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086" w:hRule="atLeast"/>
          <w:jc w:val="center"/>
        </w:trPr>
        <w:tc>
          <w:tcPr>
            <w:tcW w:w="816" w:type="dxa"/>
            <w:vMerge w:val="restart"/>
            <w:tcBorders>
              <w:bottom w:val="single" w:color="auto" w:sz="4" w:space="0"/>
            </w:tcBorders>
            <w:vAlign w:val="center"/>
          </w:tcPr>
          <w:p>
            <w:pPr>
              <w:adjustRightInd w:val="0"/>
              <w:snapToGrid w:val="0"/>
              <w:jc w:val="center"/>
              <w:rPr>
                <w:rFonts w:ascii="宋体" w:hAnsi="宋体" w:cs="宋体"/>
                <w:kern w:val="0"/>
                <w:szCs w:val="21"/>
              </w:rPr>
            </w:pPr>
            <w:r>
              <w:rPr>
                <w:rFonts w:hint="eastAsia" w:ascii="宋体" w:hAnsi="宋体" w:cs="宋体"/>
                <w:kern w:val="0"/>
                <w:szCs w:val="21"/>
              </w:rPr>
              <w:t>1</w:t>
            </w:r>
          </w:p>
        </w:tc>
        <w:tc>
          <w:tcPr>
            <w:tcW w:w="1497" w:type="dxa"/>
            <w:vMerge w:val="restart"/>
            <w:tcBorders>
              <w:bottom w:val="single" w:color="auto" w:sz="4" w:space="0"/>
            </w:tcBorders>
            <w:vAlign w:val="center"/>
          </w:tcPr>
          <w:p>
            <w:pPr>
              <w:adjustRightInd w:val="0"/>
              <w:snapToGrid w:val="0"/>
              <w:rPr>
                <w:rFonts w:ascii="宋体" w:hAnsi="宋体" w:cs="宋体"/>
                <w:kern w:val="0"/>
                <w:szCs w:val="21"/>
              </w:rPr>
            </w:pPr>
            <w:r>
              <w:rPr>
                <w:rFonts w:hint="eastAsia" w:ascii="宋体" w:hAnsi="宋体" w:cs="宋体"/>
                <w:kern w:val="0"/>
                <w:szCs w:val="21"/>
              </w:rPr>
              <w:t>许可情况</w:t>
            </w:r>
          </w:p>
        </w:tc>
        <w:tc>
          <w:tcPr>
            <w:tcW w:w="1665" w:type="dxa"/>
            <w:tcBorders>
              <w:bottom w:val="single" w:color="auto" w:sz="4" w:space="0"/>
            </w:tcBorders>
            <w:vAlign w:val="center"/>
          </w:tcPr>
          <w:p>
            <w:pPr>
              <w:adjustRightInd w:val="0"/>
              <w:snapToGrid w:val="0"/>
              <w:rPr>
                <w:rFonts w:ascii="宋体" w:hAnsi="宋体" w:cs="宋体"/>
                <w:kern w:val="0"/>
                <w:szCs w:val="21"/>
              </w:rPr>
            </w:pPr>
            <w:r>
              <w:rPr>
                <w:rFonts w:hint="eastAsia" w:ascii="宋体" w:hAnsi="宋体" w:cs="宋体"/>
                <w:kern w:val="0"/>
                <w:szCs w:val="21"/>
              </w:rPr>
              <w:t>1.1 安全生产许可证取得</w:t>
            </w:r>
          </w:p>
        </w:tc>
        <w:tc>
          <w:tcPr>
            <w:tcW w:w="5343" w:type="dxa"/>
            <w:tcBorders>
              <w:bottom w:val="single" w:color="auto" w:sz="4" w:space="0"/>
            </w:tcBorders>
            <w:vAlign w:val="center"/>
          </w:tcPr>
          <w:p>
            <w:pPr>
              <w:adjustRightInd w:val="0"/>
              <w:snapToGrid w:val="0"/>
              <w:ind w:firstLine="420" w:firstLineChars="200"/>
              <w:rPr>
                <w:rFonts w:ascii="宋体" w:hAnsi="宋体" w:cs="宋体"/>
                <w:kern w:val="0"/>
                <w:szCs w:val="21"/>
              </w:rPr>
            </w:pPr>
            <w:r>
              <w:rPr>
                <w:rFonts w:hint="eastAsia" w:ascii="宋体" w:hAnsi="宋体" w:cs="宋体"/>
                <w:kern w:val="0"/>
                <w:szCs w:val="21"/>
              </w:rPr>
              <w:t>《安全生产许可证条例》第二条  国家对矿山企业、建筑施工企业和危险化学品、烟花爆竹、民用爆炸物品生产企业（以下统称企业）实行安全生产许可制度。</w:t>
            </w:r>
          </w:p>
          <w:p>
            <w:pPr>
              <w:adjustRightInd w:val="0"/>
              <w:snapToGrid w:val="0"/>
              <w:ind w:firstLine="420" w:firstLineChars="200"/>
              <w:rPr>
                <w:rFonts w:ascii="宋体" w:hAnsi="宋体" w:cs="宋体"/>
                <w:kern w:val="0"/>
                <w:szCs w:val="21"/>
              </w:rPr>
            </w:pPr>
            <w:r>
              <w:rPr>
                <w:rFonts w:hint="eastAsia" w:ascii="宋体" w:hAnsi="宋体" w:cs="宋体"/>
                <w:kern w:val="0"/>
                <w:szCs w:val="21"/>
              </w:rPr>
              <w:t>企业未取得安全生产许可证的，不得从事生产活动。</w:t>
            </w:r>
          </w:p>
          <w:p>
            <w:pPr>
              <w:adjustRightInd w:val="0"/>
              <w:snapToGrid w:val="0"/>
              <w:ind w:firstLine="420" w:firstLineChars="200"/>
              <w:rPr>
                <w:rFonts w:ascii="宋体" w:hAnsi="宋体" w:cs="宋体"/>
                <w:kern w:val="0"/>
                <w:szCs w:val="21"/>
              </w:rPr>
            </w:pPr>
            <w:r>
              <w:rPr>
                <w:rFonts w:hint="eastAsia" w:ascii="宋体" w:hAnsi="宋体" w:cs="宋体"/>
                <w:kern w:val="0"/>
                <w:szCs w:val="21"/>
              </w:rPr>
              <w:t>《非煤矿矿山企业安全生产许可证实施办法》第二条  非煤矿矿山企业必须依照本实施办法的规定取得安全生产许可证。</w:t>
            </w:r>
          </w:p>
          <w:p>
            <w:pPr>
              <w:adjustRightInd w:val="0"/>
              <w:snapToGrid w:val="0"/>
              <w:ind w:firstLine="420" w:firstLineChars="200"/>
              <w:rPr>
                <w:rFonts w:ascii="宋体" w:hAnsi="宋体" w:cs="宋体"/>
                <w:kern w:val="0"/>
                <w:szCs w:val="21"/>
              </w:rPr>
            </w:pPr>
            <w:r>
              <w:rPr>
                <w:rFonts w:hint="eastAsia" w:ascii="宋体" w:hAnsi="宋体" w:cs="宋体"/>
                <w:kern w:val="0"/>
                <w:szCs w:val="21"/>
              </w:rPr>
              <w:t>未取得安全生产许可证的，不得从事生产活动。</w:t>
            </w:r>
          </w:p>
        </w:tc>
        <w:tc>
          <w:tcPr>
            <w:tcW w:w="3687" w:type="dxa"/>
            <w:tcBorders>
              <w:bottom w:val="single" w:color="auto" w:sz="4" w:space="0"/>
            </w:tcBorders>
            <w:vAlign w:val="center"/>
          </w:tcPr>
          <w:p>
            <w:pPr>
              <w:adjustRightInd w:val="0"/>
              <w:snapToGrid w:val="0"/>
              <w:ind w:firstLine="420" w:firstLineChars="200"/>
              <w:rPr>
                <w:rFonts w:hint="eastAsia"/>
              </w:rPr>
            </w:pPr>
            <w:r>
              <w:rPr>
                <w:rFonts w:hint="eastAsia"/>
              </w:rPr>
              <w:t>《安全生产许可证条例》第十九条  违反本条例规定，未取得安全生产许可证擅自进行生产的，责令停止生产，没收违法所得，并处10万元以上50万元以下的罚款；造成重大事故或者其他严重后果，构成犯罪的，依法追究刑事责任。</w:t>
            </w:r>
          </w:p>
          <w:p>
            <w:pPr>
              <w:pStyle w:val="2"/>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《非煤矿矿山企业安全生产许可证实施办法》第四十二条</w:t>
            </w:r>
            <w:bookmarkStart w:id="5" w:name="tiao_42_kuan_1"/>
            <w:bookmarkEnd w:id="5"/>
            <w:r>
              <w:rPr>
                <w:rFonts w:hint="eastAsia" w:eastAsia="宋体" w:cs="Times New Roman"/>
                <w:kern w:val="2"/>
                <w:sz w:val="21"/>
                <w:szCs w:val="22"/>
                <w:lang w:val="en-US" w:eastAsia="zh-CN" w:bidi="ar-SA"/>
              </w:rPr>
              <w:t xml:space="preserve">  </w:t>
            </w:r>
            <w:r>
              <w:rPr>
                <w:rFonts w:hint="eastAsia" w:ascii="Calibri" w:hAnsi="Calibri" w:eastAsia="宋体" w:cs="Times New Roman"/>
                <w:kern w:val="2"/>
                <w:sz w:val="21"/>
                <w:szCs w:val="22"/>
                <w:lang w:val="en-US" w:eastAsia="zh-CN" w:bidi="ar-SA"/>
              </w:rPr>
              <w:t>非煤矿矿山企业有下列行为之一的，责令停止生产，没收违法所得，并处10万元以上50万元以下的罚款：</w:t>
            </w:r>
          </w:p>
          <w:p>
            <w:pPr>
              <w:pStyle w:val="2"/>
              <w:rPr>
                <w:rFonts w:hint="eastAsia" w:ascii="Calibri" w:hAnsi="Calibri" w:eastAsia="宋体" w:cs="Times New Roman"/>
                <w:kern w:val="2"/>
                <w:sz w:val="21"/>
                <w:szCs w:val="22"/>
                <w:lang w:val="en-US" w:eastAsia="zh-CN" w:bidi="ar-SA"/>
              </w:rPr>
            </w:pPr>
            <w:bookmarkStart w:id="6" w:name="tiao_42_kuan_1_xiang_1"/>
            <w:bookmarkEnd w:id="6"/>
            <w:r>
              <w:rPr>
                <w:rFonts w:hint="eastAsia" w:ascii="Calibri" w:hAnsi="Calibri" w:eastAsia="宋体" w:cs="Times New Roman"/>
                <w:kern w:val="2"/>
                <w:sz w:val="21"/>
                <w:szCs w:val="22"/>
                <w:lang w:val="en-US" w:eastAsia="zh-CN" w:bidi="ar-SA"/>
              </w:rPr>
              <w:t>（一）未取得安全生产许可证，擅自进行生产的；</w:t>
            </w:r>
          </w:p>
          <w:p>
            <w:pPr>
              <w:pStyle w:val="2"/>
              <w:rPr>
                <w:rFonts w:hint="eastAsia" w:eastAsia="仿宋_GB2312"/>
                <w:lang w:eastAsia="zh-CN"/>
              </w:rPr>
            </w:pPr>
            <w:r>
              <w:rPr>
                <w:rFonts w:hint="eastAsia"/>
                <w:lang w:eastAsia="zh-CN"/>
              </w:rPr>
              <w:t>……</w:t>
            </w:r>
          </w:p>
        </w:tc>
        <w:tc>
          <w:tcPr>
            <w:tcW w:w="871" w:type="dxa"/>
            <w:tcBorders>
              <w:bottom w:val="single" w:color="auto" w:sz="4" w:space="0"/>
            </w:tcBorders>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668"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widowControl/>
              <w:adjustRightInd w:val="0"/>
              <w:snapToGrid w:val="0"/>
              <w:spacing w:after="280"/>
              <w:rPr>
                <w:rFonts w:ascii="宋体" w:hAnsi="宋体" w:cs="宋体"/>
                <w:kern w:val="0"/>
                <w:szCs w:val="21"/>
              </w:rPr>
            </w:pPr>
          </w:p>
        </w:tc>
        <w:tc>
          <w:tcPr>
            <w:tcW w:w="1665"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1.2 安全生产许可证延期</w:t>
            </w:r>
          </w:p>
        </w:tc>
        <w:tc>
          <w:tcPr>
            <w:tcW w:w="5343" w:type="dxa"/>
            <w:vAlign w:val="center"/>
          </w:tcPr>
          <w:p>
            <w:pPr>
              <w:widowControl/>
              <w:adjustRightInd w:val="0"/>
              <w:snapToGrid w:val="0"/>
              <w:ind w:firstLine="420" w:firstLineChars="200"/>
              <w:rPr>
                <w:highlight w:val="none"/>
              </w:rPr>
            </w:pPr>
            <w:r>
              <w:rPr>
                <w:rFonts w:hint="eastAsia"/>
                <w:highlight w:val="none"/>
              </w:rPr>
              <w:t>《安全生产许可证条例》第九条  安全生产许可证的有效期为</w:t>
            </w:r>
            <w:r>
              <w:rPr>
                <w:rFonts w:hint="eastAsia" w:asciiTheme="minorEastAsia" w:hAnsiTheme="minorEastAsia" w:eastAsiaTheme="minorEastAsia"/>
                <w:highlight w:val="none"/>
              </w:rPr>
              <w:t>3</w:t>
            </w:r>
            <w:r>
              <w:rPr>
                <w:rFonts w:hint="eastAsia"/>
                <w:highlight w:val="none"/>
              </w:rPr>
              <w:t>年。安全生产许可证有效期满需要延期的，企业应当于期满</w:t>
            </w:r>
            <w:r>
              <w:rPr>
                <w:rFonts w:hint="eastAsia" w:asciiTheme="minorEastAsia" w:hAnsiTheme="minorEastAsia" w:eastAsiaTheme="minorEastAsia"/>
                <w:highlight w:val="none"/>
              </w:rPr>
              <w:t>前3个月</w:t>
            </w:r>
            <w:r>
              <w:rPr>
                <w:rFonts w:hint="eastAsia"/>
                <w:highlight w:val="none"/>
              </w:rPr>
              <w:t>向原安全生产许可证颁发管理机关办理延期手续。</w:t>
            </w:r>
          </w:p>
          <w:p>
            <w:pPr>
              <w:widowControl/>
              <w:adjustRightInd w:val="0"/>
              <w:snapToGrid w:val="0"/>
              <w:ind w:firstLine="420" w:firstLineChars="200"/>
              <w:rPr>
                <w:highlight w:val="none"/>
              </w:rPr>
            </w:pPr>
            <w:r>
              <w:rPr>
                <w:rFonts w:hint="eastAsia"/>
                <w:highlight w:val="none"/>
              </w:rPr>
              <w:t>……</w:t>
            </w:r>
          </w:p>
          <w:p>
            <w:pPr>
              <w:widowControl/>
              <w:adjustRightInd w:val="0"/>
              <w:snapToGrid w:val="0"/>
              <w:ind w:firstLine="420" w:firstLineChars="200"/>
              <w:rPr>
                <w:highlight w:val="none"/>
              </w:rPr>
            </w:pPr>
            <w:r>
              <w:rPr>
                <w:rFonts w:hint="eastAsia"/>
                <w:highlight w:val="none"/>
              </w:rPr>
              <w:t>《非煤矿矿山企业安全生产许可证实施办法》第十九条  安全生产许可证的有</w:t>
            </w:r>
            <w:r>
              <w:rPr>
                <w:rFonts w:hint="eastAsia" w:asciiTheme="minorEastAsia" w:hAnsiTheme="minorEastAsia" w:eastAsiaTheme="minorEastAsia"/>
                <w:highlight w:val="none"/>
              </w:rPr>
              <w:t>效期为3年。安全生产许可证有效期满后需要延期的，非煤矿矿山企业应当在安全生产许可证有效期届满前3个月向原安全生产许可证颁发管理机关申请办理延期手续，并提交</w:t>
            </w:r>
            <w:r>
              <w:rPr>
                <w:rFonts w:hint="eastAsia"/>
                <w:highlight w:val="none"/>
              </w:rPr>
              <w:t>下列文件、资料：</w:t>
            </w:r>
          </w:p>
          <w:p>
            <w:pPr>
              <w:widowControl/>
              <w:adjustRightInd w:val="0"/>
              <w:snapToGrid w:val="0"/>
              <w:ind w:firstLine="420" w:firstLineChars="200"/>
              <w:rPr>
                <w:highlight w:val="none"/>
              </w:rPr>
            </w:pPr>
            <w:r>
              <w:rPr>
                <w:rFonts w:hint="eastAsia"/>
                <w:highlight w:val="none"/>
              </w:rPr>
              <w:t>（一）延期申请书；</w:t>
            </w:r>
          </w:p>
          <w:p>
            <w:pPr>
              <w:widowControl/>
              <w:adjustRightInd w:val="0"/>
              <w:snapToGrid w:val="0"/>
              <w:ind w:firstLine="420" w:firstLineChars="200"/>
              <w:rPr>
                <w:highlight w:val="none"/>
              </w:rPr>
            </w:pPr>
            <w:r>
              <w:rPr>
                <w:rFonts w:hint="eastAsia"/>
                <w:highlight w:val="none"/>
              </w:rPr>
              <w:t>（二）安全生产许可证正本和副本；</w:t>
            </w:r>
          </w:p>
          <w:p>
            <w:pPr>
              <w:widowControl/>
              <w:adjustRightInd w:val="0"/>
              <w:snapToGrid w:val="0"/>
              <w:ind w:firstLine="420" w:firstLineChars="200"/>
            </w:pPr>
            <w:r>
              <w:rPr>
                <w:rFonts w:hint="eastAsia"/>
                <w:highlight w:val="none"/>
              </w:rPr>
              <w:t>（三）本</w:t>
            </w:r>
            <w:r>
              <w:rPr>
                <w:rFonts w:hint="eastAsia"/>
              </w:rPr>
              <w:t>实施办法第二章规定的相应文件、资料。</w:t>
            </w:r>
          </w:p>
          <w:p>
            <w:pPr>
              <w:pStyle w:val="2"/>
              <w:ind w:firstLine="420"/>
            </w:pPr>
            <w:r>
              <w:rPr>
                <w:rFonts w:hint="eastAsia" w:ascii="宋体" w:hAnsi="宋体" w:cs="宋体"/>
                <w:kern w:val="0"/>
                <w:szCs w:val="21"/>
              </w:rPr>
              <w:t>……</w:t>
            </w:r>
          </w:p>
        </w:tc>
        <w:tc>
          <w:tcPr>
            <w:tcW w:w="3687" w:type="dxa"/>
            <w:vAlign w:val="center"/>
          </w:tcPr>
          <w:p>
            <w:pPr>
              <w:widowControl/>
              <w:adjustRightInd w:val="0"/>
              <w:snapToGrid w:val="0"/>
              <w:ind w:firstLine="420" w:firstLineChars="200"/>
              <w:rPr>
                <w:rFonts w:ascii="宋体" w:hAnsi="宋体" w:cs="宋体"/>
                <w:kern w:val="0"/>
                <w:szCs w:val="21"/>
                <w:highlight w:val="none"/>
              </w:rPr>
            </w:pPr>
            <w:r>
              <w:rPr>
                <w:rFonts w:hint="eastAsia" w:ascii="宋体" w:hAnsi="宋体" w:cs="宋体"/>
                <w:kern w:val="0"/>
                <w:szCs w:val="21"/>
                <w:highlight w:val="none"/>
              </w:rPr>
              <w:t>《安全生产许可证条例》第二十条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pPr>
              <w:widowControl/>
              <w:adjustRightInd w:val="0"/>
              <w:snapToGrid w:val="0"/>
              <w:ind w:firstLine="420" w:firstLineChars="200"/>
              <w:rPr>
                <w:rFonts w:ascii="宋体" w:hAnsi="宋体" w:cs="宋体"/>
                <w:kern w:val="0"/>
                <w:szCs w:val="21"/>
                <w:highlight w:val="yellow"/>
              </w:rPr>
            </w:pPr>
            <w:r>
              <w:rPr>
                <w:rFonts w:hint="eastAsia" w:ascii="宋体" w:hAnsi="宋体" w:cs="宋体"/>
                <w:kern w:val="0"/>
                <w:szCs w:val="21"/>
                <w:highlight w:val="none"/>
              </w:rPr>
              <w:t>《非煤矿矿山企业安全生产许可证实施办法》</w:t>
            </w:r>
            <w:r>
              <w:rPr>
                <w:rFonts w:ascii="宋体" w:hAnsi="宋体" w:cs="宋体"/>
                <w:kern w:val="0"/>
                <w:szCs w:val="21"/>
                <w:highlight w:val="none"/>
              </w:rPr>
              <w:t>第四十五条</w:t>
            </w:r>
            <w:r>
              <w:rPr>
                <w:rFonts w:hint="eastAsia" w:ascii="宋体" w:hAnsi="宋体" w:cs="宋体"/>
                <w:kern w:val="0"/>
                <w:szCs w:val="21"/>
                <w:highlight w:val="none"/>
              </w:rPr>
              <w:t xml:space="preserve">  </w:t>
            </w:r>
            <w:r>
              <w:rPr>
                <w:rFonts w:ascii="宋体" w:hAnsi="宋体" w:cs="宋体"/>
                <w:kern w:val="0"/>
                <w:szCs w:val="21"/>
                <w:highlight w:val="none"/>
              </w:rPr>
              <w:t>非煤矿</w:t>
            </w:r>
            <w:r>
              <w:rPr>
                <w:rFonts w:hint="eastAsia" w:ascii="宋体" w:hAnsi="宋体" w:cs="宋体"/>
                <w:kern w:val="0"/>
                <w:szCs w:val="21"/>
                <w:highlight w:val="none"/>
              </w:rPr>
              <w:t>矿山企业在安全生产许可证有效期满未办理延期手续，继续进行生产的，责令停止生产，限期补办延期手续，没收违法所得，并处</w:t>
            </w:r>
            <w:r>
              <w:rPr>
                <w:rFonts w:ascii="宋体" w:hAnsi="宋体" w:cs="宋体"/>
                <w:kern w:val="0"/>
                <w:szCs w:val="21"/>
                <w:highlight w:val="none"/>
              </w:rPr>
              <w:t>5万元以上10万元以下的罚款；逾期仍不办理延期手续，继续进行生产的，依照本实施办法第四十二条的规定处罚。</w:t>
            </w:r>
          </w:p>
        </w:tc>
        <w:tc>
          <w:tcPr>
            <w:tcW w:w="871" w:type="dxa"/>
            <w:vAlign w:val="center"/>
          </w:tcPr>
          <w:p>
            <w:pPr>
              <w:widowControl/>
              <w:adjustRightInd w:val="0"/>
              <w:snapToGrid w:val="0"/>
              <w:rPr>
                <w:rFonts w:ascii="宋体" w:hAnsi="宋体" w:cs="宋体"/>
                <w:kern w:val="0"/>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668"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widowControl/>
              <w:adjustRightInd w:val="0"/>
              <w:snapToGrid w:val="0"/>
              <w:spacing w:after="280"/>
              <w:rPr>
                <w:rFonts w:ascii="宋体" w:hAnsi="宋体" w:cs="宋体"/>
                <w:kern w:val="0"/>
                <w:szCs w:val="21"/>
              </w:rPr>
            </w:pPr>
          </w:p>
        </w:tc>
        <w:tc>
          <w:tcPr>
            <w:tcW w:w="1665"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1.3 安全生产许可证变更</w:t>
            </w:r>
          </w:p>
        </w:tc>
        <w:tc>
          <w:tcPr>
            <w:tcW w:w="5343"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《非煤矿矿山企业安全生产许可证实施办法》第二十一条  非煤矿矿山企业在安全生产许可证有效期内有下列情形之一的，应当自工商营业执照变更之日起30个工作日内向原安全生产许可证颁发管理机关申请变更安全生产许可证：</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（一）变更单位名称的；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（二）变更主要负责人的；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（三）变更单位地址的；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（四）变更经济类型的；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（五）变更许可范围的。</w:t>
            </w:r>
          </w:p>
        </w:tc>
        <w:tc>
          <w:tcPr>
            <w:tcW w:w="3687"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《非煤矿矿山企业安全生产许可证实施办法》第四十四条  非煤矿矿山企业在安全生产许可证有效期内，出现需要变更安全生产许可证的情形，未按本实施办法第二十一条的规定申请、办理变更手续的，责令限期办理变更手续，并处1万元以上3万元以下罚款。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71" w:type="dxa"/>
            <w:vMerge w:val="restart"/>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668"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widowControl/>
              <w:adjustRightInd w:val="0"/>
              <w:snapToGrid w:val="0"/>
              <w:spacing w:after="280"/>
              <w:rPr>
                <w:rFonts w:ascii="宋体" w:hAnsi="宋体" w:cs="宋体"/>
                <w:kern w:val="0"/>
                <w:szCs w:val="21"/>
              </w:rPr>
            </w:pPr>
          </w:p>
        </w:tc>
        <w:tc>
          <w:tcPr>
            <w:tcW w:w="1665" w:type="dxa"/>
            <w:vAlign w:val="center"/>
          </w:tcPr>
          <w:p>
            <w:pPr>
              <w:widowControl/>
              <w:adjustRightInd w:val="0"/>
              <w:snapToGrid w:val="0"/>
              <w:rPr>
                <w:rFonts w:ascii="宋体" w:hAnsi="宋体" w:cs="宋体"/>
                <w:kern w:val="0"/>
                <w:szCs w:val="21"/>
              </w:rPr>
            </w:pPr>
            <w:r>
              <w:rPr>
                <w:rFonts w:ascii="宋体" w:hAnsi="宋体" w:cs="宋体"/>
                <w:kern w:val="0"/>
                <w:szCs w:val="21"/>
              </w:rPr>
              <w:t>1.4</w:t>
            </w:r>
            <w:r>
              <w:rPr>
                <w:rFonts w:hint="eastAsia" w:ascii="宋体" w:hAnsi="宋体" w:cs="宋体"/>
                <w:kern w:val="0"/>
                <w:szCs w:val="21"/>
              </w:rPr>
              <w:t xml:space="preserve"> </w:t>
            </w:r>
            <w:r>
              <w:rPr>
                <w:rFonts w:ascii="宋体" w:hAnsi="宋体" w:cs="宋体"/>
                <w:kern w:val="0"/>
                <w:szCs w:val="21"/>
              </w:rPr>
              <w:t>因采矿许可证到期及被暂扣、撤销、吊销和注销等交回</w:t>
            </w:r>
            <w:r>
              <w:rPr>
                <w:rFonts w:hint="eastAsia" w:ascii="宋体" w:hAnsi="宋体" w:cs="宋体"/>
                <w:kern w:val="0"/>
                <w:szCs w:val="21"/>
              </w:rPr>
              <w:t>安全生产许可证</w:t>
            </w:r>
          </w:p>
        </w:tc>
        <w:tc>
          <w:tcPr>
            <w:tcW w:w="5343"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《非煤矿矿山企业安全生产许可证条例实施办法》第二十八条  非煤矿矿山企业发现在安全生产许可证有效期内采矿许可证到期失效的，应当在采矿许可证到期前</w:t>
            </w:r>
            <w:r>
              <w:rPr>
                <w:rFonts w:ascii="宋体" w:hAnsi="宋体" w:cs="宋体"/>
                <w:kern w:val="0"/>
                <w:szCs w:val="21"/>
              </w:rPr>
              <w:t>15日内向原安全生产许可证颁发管理机关报告，并交回安全生产许可证正本和副本。</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采矿许可证被暂扣、撤销、吊销和注销的，非煤矿矿山企业应当在暂扣、撤销、吊销和注销后</w:t>
            </w:r>
            <w:r>
              <w:rPr>
                <w:rFonts w:ascii="宋体" w:hAnsi="宋体" w:cs="宋体"/>
                <w:kern w:val="0"/>
                <w:szCs w:val="21"/>
              </w:rPr>
              <w:t>5日内向原安全生产许可证颁发管理机关报告，并交回安全生产许可证正本和副本。</w:t>
            </w:r>
          </w:p>
        </w:tc>
        <w:tc>
          <w:tcPr>
            <w:tcW w:w="3687" w:type="dxa"/>
            <w:vAlign w:val="center"/>
          </w:tcPr>
          <w:p>
            <w:pPr>
              <w:widowControl/>
              <w:adjustRightInd w:val="0"/>
              <w:snapToGrid w:val="0"/>
              <w:ind w:firstLine="420" w:firstLineChars="200"/>
              <w:rPr>
                <w:rFonts w:ascii="宋体" w:hAnsi="宋体" w:cs="宋体"/>
                <w:kern w:val="0"/>
                <w:szCs w:val="21"/>
              </w:rPr>
            </w:pPr>
            <w:r>
              <w:rPr>
                <w:rFonts w:hint="eastAsia"/>
              </w:rPr>
              <w:t>《非煤矿矿山企业安全生产许可证条例实施办法》第四十三条  非煤矿矿山企业在安全生产许可证有效期内出现采矿许可证有效期届满和采矿许可证被暂扣、撤销、吊销、注销的情况，未依照本实施办法第二十八条的规定向安全生产许可证颁发管理机关报告</w:t>
            </w:r>
            <w:r>
              <w:rPr>
                <w:rFonts w:hint="eastAsia" w:ascii="宋体" w:hAnsi="宋体" w:cs="宋体"/>
                <w:kern w:val="0"/>
                <w:szCs w:val="21"/>
              </w:rPr>
              <w:t>并交回安全生产许可证的，处1万元以上3万元以下罚款。</w:t>
            </w:r>
          </w:p>
        </w:tc>
        <w:tc>
          <w:tcPr>
            <w:tcW w:w="871"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94"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widowControl/>
              <w:adjustRightInd w:val="0"/>
              <w:snapToGrid w:val="0"/>
              <w:spacing w:after="280"/>
              <w:rPr>
                <w:rFonts w:ascii="宋体" w:hAnsi="宋体" w:cs="宋体"/>
                <w:kern w:val="0"/>
                <w:szCs w:val="21"/>
              </w:rPr>
            </w:pPr>
          </w:p>
        </w:tc>
        <w:tc>
          <w:tcPr>
            <w:tcW w:w="1665"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1.5 转让、冒用安全生产许可证或者使用伪造的安全生产许可证</w:t>
            </w:r>
          </w:p>
        </w:tc>
        <w:tc>
          <w:tcPr>
            <w:tcW w:w="5343" w:type="dxa"/>
            <w:vAlign w:val="center"/>
          </w:tcPr>
          <w:p>
            <w:pPr>
              <w:widowControl/>
              <w:adjustRightInd w:val="0"/>
              <w:snapToGrid w:val="0"/>
              <w:ind w:firstLine="420" w:firstLineChars="200"/>
              <w:rPr>
                <w:rFonts w:ascii="宋体" w:hAnsi="宋体" w:cs="宋体"/>
                <w:kern w:val="0"/>
                <w:szCs w:val="21"/>
                <w:highlight w:val="none"/>
              </w:rPr>
            </w:pPr>
            <w:r>
              <w:rPr>
                <w:rFonts w:hint="eastAsia" w:ascii="宋体" w:hAnsi="宋体" w:cs="宋体"/>
                <w:kern w:val="0"/>
                <w:szCs w:val="21"/>
                <w:highlight w:val="none"/>
              </w:rPr>
              <w:t>《安全生产许可证条例》第十三条  企业不得转让、冒用安全生产许可证或者使用伪造的安全生产许可证。</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highlight w:val="none"/>
              </w:rPr>
              <w:t>《非煤矿矿山企业安全生产许可证实施办法》第二十七条  非</w:t>
            </w:r>
            <w:r>
              <w:rPr>
                <w:rFonts w:hint="eastAsia" w:ascii="宋体" w:hAnsi="宋体" w:cs="宋体"/>
                <w:kern w:val="0"/>
                <w:szCs w:val="21"/>
              </w:rPr>
              <w:t>煤矿矿山企业不得转让、冒用、买卖、出租、出借或者使用伪造的安全生产许可证。</w:t>
            </w:r>
          </w:p>
        </w:tc>
        <w:tc>
          <w:tcPr>
            <w:tcW w:w="3687" w:type="dxa"/>
            <w:vAlign w:val="center"/>
          </w:tcPr>
          <w:p>
            <w:pPr>
              <w:widowControl/>
              <w:adjustRightInd w:val="0"/>
              <w:snapToGrid w:val="0"/>
              <w:ind w:firstLine="420" w:firstLineChars="200"/>
            </w:pPr>
            <w:r>
              <w:rPr>
                <w:rFonts w:hint="eastAsia"/>
              </w:rPr>
              <w:t>《安全生产许可证条例》第二十一条  违反本条例规定，转让安全生产许可证的，没收违法所得，处10万元以上50万元以下的罚款，并吊销其安全生产许可证；构成犯罪的，依法追究刑事责任；接受转让的，依照本条例第十九条的规定处罚。</w:t>
            </w:r>
          </w:p>
          <w:p>
            <w:pPr>
              <w:widowControl/>
              <w:adjustRightInd w:val="0"/>
              <w:snapToGrid w:val="0"/>
              <w:ind w:firstLine="420" w:firstLineChars="200"/>
              <w:rPr>
                <w:rFonts w:hint="eastAsia"/>
              </w:rPr>
            </w:pPr>
            <w:r>
              <w:rPr>
                <w:rFonts w:hint="eastAsia"/>
              </w:rPr>
              <w:t>冒用安全生产许可证或者使用伪造的安全生产许可证的，依照本条例第十九条的规定处罚。</w:t>
            </w:r>
          </w:p>
          <w:p>
            <w:pPr>
              <w:pStyle w:val="2"/>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《非煤矿矿山企业安全生产许可证实施办法》第四十一条</w:t>
            </w:r>
            <w:bookmarkStart w:id="7" w:name="tiao_41_kuan_1"/>
            <w:bookmarkEnd w:id="7"/>
            <w:r>
              <w:rPr>
                <w:rFonts w:hint="eastAsia" w:eastAsia="宋体" w:cs="Times New Roman"/>
                <w:kern w:val="2"/>
                <w:sz w:val="21"/>
                <w:szCs w:val="22"/>
                <w:lang w:val="en-US" w:eastAsia="zh-CN" w:bidi="ar-SA"/>
              </w:rPr>
              <w:t xml:space="preserve">  </w:t>
            </w:r>
            <w:r>
              <w:rPr>
                <w:rFonts w:hint="eastAsia" w:ascii="Calibri" w:hAnsi="Calibri" w:eastAsia="宋体" w:cs="Times New Roman"/>
                <w:kern w:val="2"/>
                <w:sz w:val="21"/>
                <w:szCs w:val="22"/>
                <w:lang w:val="en-US" w:eastAsia="zh-CN" w:bidi="ar-SA"/>
              </w:rPr>
              <w:t>取得安全生产许可证的非煤矿矿山企业有下列行为之一的，吊销其安全生产许可证：</w:t>
            </w:r>
          </w:p>
          <w:p>
            <w:pPr>
              <w:pStyle w:val="2"/>
              <w:rPr>
                <w:rFonts w:hint="eastAsia" w:ascii="Calibri" w:hAnsi="Calibri" w:eastAsia="宋体" w:cs="Times New Roman"/>
                <w:kern w:val="2"/>
                <w:sz w:val="21"/>
                <w:szCs w:val="22"/>
                <w:lang w:val="en-US" w:eastAsia="zh-CN" w:bidi="ar-SA"/>
              </w:rPr>
            </w:pPr>
            <w:bookmarkStart w:id="8" w:name="tiao_41_kuan_1_xiang_1"/>
            <w:bookmarkEnd w:id="8"/>
            <w:r>
              <w:rPr>
                <w:rFonts w:hint="eastAsia" w:ascii="Calibri" w:hAnsi="Calibri" w:eastAsia="宋体" w:cs="Times New Roman"/>
                <w:kern w:val="2"/>
                <w:sz w:val="21"/>
                <w:szCs w:val="22"/>
                <w:lang w:val="en-US" w:eastAsia="zh-CN" w:bidi="ar-SA"/>
              </w:rPr>
              <w:t>（一）倒卖、出租、出借或者以其他形式非法转让安全生产许可证的；</w:t>
            </w:r>
          </w:p>
          <w:p>
            <w:pPr>
              <w:pStyle w:val="2"/>
              <w:rPr>
                <w:rFonts w:hint="eastAsia" w:eastAsia="宋体" w:cs="Times New Roman"/>
                <w:kern w:val="2"/>
                <w:sz w:val="21"/>
                <w:szCs w:val="22"/>
                <w:lang w:val="en-US" w:eastAsia="zh-CN" w:bidi="ar-SA"/>
              </w:rPr>
            </w:pPr>
            <w:bookmarkStart w:id="9" w:name="tiao_41_kuan_1_xiang_2"/>
            <w:bookmarkEnd w:id="9"/>
            <w:r>
              <w:rPr>
                <w:rFonts w:hint="eastAsia" w:eastAsia="宋体" w:cs="Times New Roman"/>
                <w:kern w:val="2"/>
                <w:sz w:val="21"/>
                <w:szCs w:val="22"/>
                <w:lang w:val="en-US" w:eastAsia="zh-CN" w:bidi="ar-SA"/>
              </w:rPr>
              <w:t>……</w:t>
            </w:r>
          </w:p>
          <w:p>
            <w:pPr>
              <w:widowControl/>
              <w:adjustRightInd w:val="0"/>
              <w:snapToGrid w:val="0"/>
              <w:ind w:firstLine="420" w:firstLineChars="200"/>
              <w:rPr>
                <w:rFonts w:hint="eastAsia"/>
                <w:lang w:val="en-US" w:eastAsia="zh-CN"/>
              </w:rPr>
            </w:pPr>
            <w:r>
              <w:rPr>
                <w:rFonts w:hint="eastAsia"/>
                <w:lang w:val="en-US" w:eastAsia="zh-CN"/>
              </w:rPr>
              <w:t>第四十二条  非煤矿矿山企业有下列行为之一的，责令停止生产，没收违法所得，并处10万元以上50万元以下的罚款：</w:t>
            </w:r>
          </w:p>
          <w:p>
            <w:pPr>
              <w:widowControl/>
              <w:adjustRightInd w:val="0"/>
              <w:snapToGrid w:val="0"/>
              <w:ind w:firstLine="420" w:firstLineChars="200"/>
              <w:rPr>
                <w:rFonts w:hint="eastAsia"/>
                <w:lang w:val="en-US" w:eastAsia="zh-CN"/>
              </w:rPr>
            </w:pPr>
            <w:bookmarkStart w:id="10" w:name="tiao_42_kuan_1_xiang_2"/>
            <w:bookmarkEnd w:id="10"/>
            <w:r>
              <w:rPr>
                <w:rFonts w:hint="eastAsia"/>
                <w:lang w:val="en-US" w:eastAsia="zh-CN"/>
              </w:rPr>
              <w:t>（二）接受转让的安全生产许可证的；</w:t>
            </w:r>
          </w:p>
          <w:p>
            <w:pPr>
              <w:widowControl/>
              <w:adjustRightInd w:val="0"/>
              <w:snapToGrid w:val="0"/>
              <w:ind w:firstLine="420" w:firstLineChars="200"/>
              <w:rPr>
                <w:rFonts w:hint="eastAsia"/>
                <w:lang w:val="en-US" w:eastAsia="zh-CN"/>
              </w:rPr>
            </w:pPr>
            <w:bookmarkStart w:id="11" w:name="tiao_42_kuan_1_xiang_3"/>
            <w:bookmarkEnd w:id="11"/>
            <w:r>
              <w:rPr>
                <w:rFonts w:hint="eastAsia"/>
                <w:lang w:val="en-US" w:eastAsia="zh-CN"/>
              </w:rPr>
              <w:t>（三）冒用安全生产许可证的；</w:t>
            </w:r>
          </w:p>
          <w:p>
            <w:pPr>
              <w:widowControl/>
              <w:adjustRightInd w:val="0"/>
              <w:snapToGrid w:val="0"/>
              <w:ind w:firstLine="420" w:firstLineChars="200"/>
            </w:pPr>
            <w:bookmarkStart w:id="12" w:name="tiao_42_kuan_1_xiang_4"/>
            <w:bookmarkEnd w:id="12"/>
            <w:r>
              <w:rPr>
                <w:rFonts w:hint="eastAsia"/>
                <w:lang w:val="en-US" w:eastAsia="zh-CN"/>
              </w:rPr>
              <w:t>（四）使用伪造的安全生产许可证的。</w:t>
            </w:r>
          </w:p>
        </w:tc>
        <w:tc>
          <w:tcPr>
            <w:tcW w:w="871"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60" w:hRule="atLeast"/>
          <w:jc w:val="center"/>
        </w:trPr>
        <w:tc>
          <w:tcPr>
            <w:tcW w:w="816" w:type="dxa"/>
            <w:vAlign w:val="center"/>
          </w:tcPr>
          <w:p>
            <w:pPr>
              <w:jc w:val="center"/>
              <w:rPr>
                <w:rFonts w:ascii="宋体" w:hAnsi="宋体"/>
                <w:szCs w:val="21"/>
              </w:rPr>
            </w:pPr>
            <w:r>
              <w:rPr>
                <w:rFonts w:hint="eastAsia" w:ascii="宋体" w:hAnsi="宋体"/>
                <w:szCs w:val="21"/>
              </w:rPr>
              <w:t>2</w:t>
            </w:r>
          </w:p>
        </w:tc>
        <w:tc>
          <w:tcPr>
            <w:tcW w:w="1497" w:type="dxa"/>
            <w:vAlign w:val="center"/>
          </w:tcPr>
          <w:p>
            <w:pPr>
              <w:rPr>
                <w:rFonts w:ascii="宋体" w:hAnsi="宋体"/>
                <w:szCs w:val="21"/>
              </w:rPr>
            </w:pPr>
            <w:r>
              <w:rPr>
                <w:rFonts w:hint="eastAsia" w:ascii="宋体" w:hAnsi="宋体"/>
                <w:szCs w:val="21"/>
              </w:rPr>
              <w:t>基本图纸及与实际符合情况</w:t>
            </w:r>
          </w:p>
        </w:tc>
        <w:tc>
          <w:tcPr>
            <w:tcW w:w="1665" w:type="dxa"/>
            <w:vAlign w:val="center"/>
          </w:tcPr>
          <w:p>
            <w:pPr>
              <w:rPr>
                <w:rFonts w:ascii="宋体" w:hAnsi="宋体"/>
                <w:szCs w:val="21"/>
              </w:rPr>
            </w:pPr>
            <w:r>
              <w:rPr>
                <w:rFonts w:hint="eastAsia" w:ascii="思源黑体 CN" w:hAnsi="思源黑体 CN" w:eastAsia="思源黑体 CN" w:cs="思源黑体 CN"/>
                <w:szCs w:val="21"/>
              </w:rPr>
              <w:t>★</w:t>
            </w:r>
            <w:r>
              <w:rPr>
                <w:rFonts w:hint="eastAsia" w:ascii="宋体" w:hAnsi="宋体"/>
                <w:szCs w:val="21"/>
              </w:rPr>
              <w:t>未保存基本图纸或图实不符</w:t>
            </w:r>
          </w:p>
        </w:tc>
        <w:tc>
          <w:tcPr>
            <w:tcW w:w="5343" w:type="dxa"/>
            <w:vAlign w:val="center"/>
          </w:tcPr>
          <w:p>
            <w:r>
              <w:rPr>
                <w:rFonts w:hint="eastAsia"/>
              </w:rPr>
              <w:t xml:space="preserve">    《安全生产法》第三十八条  生产经营单位应当建立健全生产安全事故隐患排查治理制度，采取技术、管理措施，及时发现并消除事故隐患。事故隐患排查治理情况应当如实记录，并向从业人员通报。</w:t>
            </w:r>
          </w:p>
          <w:p>
            <w:r>
              <w:rPr>
                <w:rFonts w:hint="eastAsia"/>
              </w:rPr>
              <w:t xml:space="preserve">    ……</w:t>
            </w:r>
          </w:p>
          <w:p>
            <w:pPr>
              <w:ind w:firstLine="420"/>
              <w:rPr>
                <w:rFonts w:asciiTheme="minorEastAsia" w:hAnsiTheme="minorEastAsia" w:eastAsiaTheme="minorEastAsia" w:cstheme="minorEastAsia"/>
                <w:highlight w:val="none"/>
              </w:rPr>
            </w:pPr>
            <w:r>
              <w:t>《金属非金属矿山安全规程》</w:t>
            </w:r>
            <w:r>
              <w:rPr>
                <w:rFonts w:hint="eastAsia" w:asciiTheme="minorEastAsia" w:hAnsiTheme="minorEastAsia" w:eastAsiaTheme="minorEastAsia" w:cstheme="minorEastAsia"/>
                <w:highlight w:val="none"/>
              </w:rPr>
              <w:t>（GB 16423-2006）</w:t>
            </w:r>
          </w:p>
          <w:p>
            <w:pPr>
              <w:ind w:firstLine="420"/>
              <w:rPr>
                <w:highlight w:val="none"/>
              </w:rPr>
            </w:pPr>
            <w:r>
              <w:rPr>
                <w:rFonts w:asciiTheme="minorEastAsia" w:hAnsiTheme="minorEastAsia" w:eastAsiaTheme="minorEastAsia" w:cstheme="minorEastAsia"/>
                <w:highlight w:val="none"/>
              </w:rPr>
              <w:t xml:space="preserve">4.16 </w:t>
            </w:r>
            <w:r>
              <w:rPr>
                <w:rFonts w:hint="eastAsia"/>
                <w:highlight w:val="none"/>
              </w:rPr>
              <w:t xml:space="preserve"> 地下矿山，应保存下列图纸，并根据实际情况的变化及时更新。</w:t>
            </w:r>
          </w:p>
          <w:p>
            <w:pPr>
              <w:spacing w:line="240" w:lineRule="atLeast"/>
              <w:ind w:firstLine="420"/>
              <w:rPr>
                <w:highlight w:val="none"/>
              </w:rPr>
            </w:pPr>
            <w:r>
              <w:rPr>
                <w:highlight w:val="none"/>
              </w:rPr>
              <w:t>— 矿区地形地质和水文地质图；</w:t>
            </w:r>
          </w:p>
          <w:p>
            <w:pPr>
              <w:spacing w:line="240" w:lineRule="atLeast"/>
              <w:ind w:firstLine="420"/>
            </w:pPr>
            <w:r>
              <w:t>— 井上、井下对照图；</w:t>
            </w:r>
          </w:p>
          <w:p>
            <w:pPr>
              <w:spacing w:line="240" w:lineRule="atLeast"/>
              <w:ind w:firstLine="420"/>
            </w:pPr>
            <w:r>
              <w:t>— 中段平面图；</w:t>
            </w:r>
          </w:p>
          <w:p>
            <w:pPr>
              <w:spacing w:line="240" w:lineRule="atLeast"/>
              <w:ind w:firstLine="420"/>
            </w:pPr>
            <w:r>
              <w:t>— 通风系统图；</w:t>
            </w:r>
          </w:p>
          <w:p>
            <w:pPr>
              <w:spacing w:line="240" w:lineRule="atLeast"/>
              <w:ind w:firstLine="420"/>
            </w:pPr>
            <w:r>
              <w:t>— 提升运输系统图；</w:t>
            </w:r>
          </w:p>
          <w:p>
            <w:pPr>
              <w:spacing w:line="240" w:lineRule="atLeast"/>
              <w:ind w:firstLine="420"/>
            </w:pPr>
            <w:r>
              <w:t>— 风、水管网系统图；</w:t>
            </w:r>
          </w:p>
          <w:p>
            <w:pPr>
              <w:spacing w:line="240" w:lineRule="atLeast"/>
              <w:ind w:firstLine="420"/>
            </w:pPr>
            <w:r>
              <w:t>— 充填系统图；</w:t>
            </w:r>
          </w:p>
          <w:p>
            <w:pPr>
              <w:spacing w:line="240" w:lineRule="atLeast"/>
              <w:ind w:firstLine="420"/>
            </w:pPr>
            <w:r>
              <w:t>— 井下通讯系统图；</w:t>
            </w:r>
          </w:p>
          <w:p>
            <w:pPr>
              <w:spacing w:line="240" w:lineRule="atLeast"/>
              <w:ind w:firstLine="420"/>
            </w:pPr>
            <w:r>
              <w:t>— 井上、井下配电系统图和井下电气设备布置图；</w:t>
            </w:r>
          </w:p>
          <w:p>
            <w:pPr>
              <w:spacing w:line="240" w:lineRule="atLeast"/>
              <w:ind w:firstLine="420"/>
            </w:pPr>
            <w:r>
              <w:t>— 井下避灾路线图。</w:t>
            </w:r>
          </w:p>
          <w:p>
            <w:pPr>
              <w:spacing w:line="240" w:lineRule="atLeast"/>
              <w:ind w:firstLine="420" w:firstLineChars="200"/>
              <w:rPr>
                <w:rFonts w:ascii="宋体" w:hAnsi="宋体" w:cs="宋体"/>
                <w:bCs/>
                <w:kern w:val="0"/>
                <w:szCs w:val="21"/>
                <w:highlight w:val="none"/>
              </w:rPr>
            </w:pPr>
            <w:r>
              <w:rPr>
                <w:rFonts w:hint="eastAsia" w:ascii="宋体" w:hAnsi="宋体" w:cs="宋体"/>
                <w:bCs/>
                <w:kern w:val="0"/>
                <w:szCs w:val="21"/>
                <w:highlight w:val="none"/>
              </w:rPr>
              <w:t>……</w:t>
            </w:r>
          </w:p>
          <w:p>
            <w:pPr>
              <w:pStyle w:val="2"/>
              <w:ind w:firstLine="420"/>
              <w:rPr>
                <w:rFonts w:eastAsia="宋体"/>
                <w:highlight w:val="none"/>
              </w:rPr>
            </w:pPr>
            <w:r>
              <w:rPr>
                <w:rFonts w:hint="eastAsia" w:eastAsia="宋体"/>
                <w:highlight w:val="none"/>
              </w:rPr>
              <w:t>《国家安全监管总局关于印发〈金属非金属矿山重大生产安全事故隐患判定标准（试行）〉的通知》（</w:t>
            </w:r>
            <w:r>
              <w:rPr>
                <w:rFonts w:eastAsia="宋体"/>
                <w:highlight w:val="none"/>
              </w:rPr>
              <w:t>安监总管一</w:t>
            </w:r>
            <w:r>
              <w:rPr>
                <w:rFonts w:asciiTheme="minorEastAsia" w:hAnsiTheme="minorEastAsia" w:eastAsiaTheme="minorEastAsia"/>
                <w:highlight w:val="none"/>
              </w:rPr>
              <w:t>〔2017〕98号</w:t>
            </w:r>
            <w:r>
              <w:rPr>
                <w:rFonts w:hint="eastAsia" w:eastAsia="宋体"/>
                <w:highlight w:val="none"/>
              </w:rPr>
              <w:t>）</w:t>
            </w:r>
          </w:p>
          <w:p>
            <w:pPr>
              <w:pStyle w:val="2"/>
              <w:ind w:firstLine="420"/>
              <w:rPr>
                <w:rFonts w:eastAsia="宋体"/>
              </w:rPr>
            </w:pPr>
            <w:r>
              <w:rPr>
                <w:rFonts w:hint="eastAsia" w:eastAsia="宋体"/>
              </w:rPr>
              <w:t>一、金属非金属地下矿山重大生产安全事故隐患</w:t>
            </w:r>
          </w:p>
          <w:p>
            <w:pPr>
              <w:pStyle w:val="2"/>
              <w:ind w:firstLine="420"/>
            </w:pPr>
            <w:r>
              <w:rPr>
                <w:rFonts w:hint="eastAsia" w:eastAsia="宋体"/>
              </w:rPr>
              <w:t>（四）没有及时填绘图，现状图与实际严重不符。</w:t>
            </w:r>
          </w:p>
        </w:tc>
        <w:tc>
          <w:tcPr>
            <w:tcW w:w="3687" w:type="dxa"/>
            <w:vAlign w:val="center"/>
          </w:tcPr>
          <w:p>
            <w:pPr>
              <w:ind w:firstLine="420" w:firstLineChars="200"/>
              <w:rPr>
                <w:rFonts w:ascii="宋体" w:hAnsi="宋体"/>
                <w:szCs w:val="21"/>
              </w:rPr>
            </w:pPr>
            <w:r>
              <w:rPr>
                <w:rFonts w:hint="eastAsia" w:ascii="宋体" w:hAnsi="宋体"/>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vAlign w:val="center"/>
          </w:tcPr>
          <w:p>
            <w:pPr>
              <w:widowControl/>
              <w:adjustRightInd w:val="0"/>
              <w:snapToGrid w:val="0"/>
              <w:rPr>
                <w:rFonts w:ascii="宋体" w:hAnsi="宋体" w:cs="宋体"/>
                <w:b/>
                <w:kern w:val="0"/>
                <w:szCs w:val="21"/>
              </w:rPr>
            </w:pPr>
            <w:r>
              <w:rPr>
                <w:rFonts w:hint="eastAsia" w:ascii="宋体" w:hAnsi="宋体"/>
                <w:szCs w:val="21"/>
              </w:rPr>
              <w:t>按设计执行。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4" w:hRule="atLeast"/>
          <w:jc w:val="center"/>
        </w:trPr>
        <w:tc>
          <w:tcPr>
            <w:tcW w:w="816" w:type="dxa"/>
            <w:vMerge w:val="restart"/>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3</w:t>
            </w:r>
          </w:p>
        </w:tc>
        <w:tc>
          <w:tcPr>
            <w:tcW w:w="1497" w:type="dxa"/>
            <w:vMerge w:val="restart"/>
            <w:vAlign w:val="center"/>
          </w:tcPr>
          <w:p>
            <w:pPr>
              <w:rPr>
                <w:rFonts w:ascii="宋体" w:hAnsi="宋体"/>
                <w:szCs w:val="21"/>
              </w:rPr>
            </w:pPr>
            <w:r>
              <w:rPr>
                <w:rFonts w:hint="eastAsia" w:ascii="宋体" w:hAnsi="宋体"/>
                <w:szCs w:val="21"/>
              </w:rPr>
              <w:t>采掘系统</w:t>
            </w:r>
          </w:p>
        </w:tc>
        <w:tc>
          <w:tcPr>
            <w:tcW w:w="1665" w:type="dxa"/>
            <w:vAlign w:val="center"/>
          </w:tcPr>
          <w:p>
            <w:pPr>
              <w:spacing w:line="240" w:lineRule="atLeast"/>
              <w:rPr>
                <w:rFonts w:ascii="宋体" w:hAnsi="宋体"/>
                <w:szCs w:val="21"/>
              </w:rPr>
            </w:pPr>
            <w:r>
              <w:rPr>
                <w:rFonts w:hint="eastAsia" w:ascii="思源黑体 CN" w:hAnsi="思源黑体 CN" w:eastAsia="思源黑体 CN" w:cs="思源黑体 CN"/>
                <w:szCs w:val="21"/>
              </w:rPr>
              <w:t>★</w:t>
            </w:r>
            <w:r>
              <w:rPr>
                <w:rFonts w:ascii="宋体" w:hAnsi="宋体"/>
                <w:szCs w:val="21"/>
              </w:rPr>
              <w:t xml:space="preserve">3.1 </w:t>
            </w:r>
            <w:r>
              <w:rPr>
                <w:rFonts w:hint="eastAsia" w:ascii="宋体" w:hAnsi="宋体"/>
                <w:szCs w:val="21"/>
              </w:rPr>
              <w:t>矿井的安全出口</w:t>
            </w:r>
          </w:p>
        </w:tc>
        <w:tc>
          <w:tcPr>
            <w:tcW w:w="534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 xml:space="preserve">    《安全生产法》第三十八条  生产经营单位应当建立健全生产安全事故隐患排查治理制度，采取技术、管理措施，及时发现并消除事故隐患。事故隐患排查治理情况应当如实记录，并向从业人员通报。</w:t>
            </w:r>
          </w:p>
          <w:p>
            <w:pPr>
              <w:spacing w:line="240" w:lineRule="atLeast"/>
              <w:ind w:firstLine="420" w:firstLineChars="200"/>
              <w:rPr>
                <w:rFonts w:ascii="宋体" w:hAnsi="宋体" w:cs="宋体"/>
                <w:bCs/>
                <w:kern w:val="0"/>
                <w:szCs w:val="21"/>
                <w:highlight w:val="none"/>
              </w:rPr>
            </w:pPr>
            <w:r>
              <w:rPr>
                <w:rFonts w:hint="eastAsia" w:ascii="宋体" w:hAnsi="宋体" w:cs="宋体"/>
                <w:bCs/>
                <w:kern w:val="0"/>
                <w:szCs w:val="21"/>
              </w:rPr>
              <w:t>……</w:t>
            </w:r>
          </w:p>
          <w:p>
            <w:pPr>
              <w:ind w:firstLine="420" w:firstLineChars="200"/>
              <w:rPr>
                <w:rFonts w:ascii="宋体" w:hAnsi="宋体"/>
                <w:szCs w:val="21"/>
                <w:highlight w:val="none"/>
              </w:rPr>
            </w:pPr>
            <w:r>
              <w:rPr>
                <w:rFonts w:hint="eastAsia" w:ascii="宋体" w:hAnsi="宋体"/>
                <w:szCs w:val="21"/>
                <w:highlight w:val="none"/>
              </w:rPr>
              <w:t>《金属非金属矿山安全规程》（GB 16423-2006）</w:t>
            </w:r>
          </w:p>
          <w:p>
            <w:pPr>
              <w:ind w:firstLine="420" w:firstLineChars="200"/>
              <w:rPr>
                <w:rFonts w:ascii="宋体" w:hAnsi="宋体"/>
                <w:szCs w:val="21"/>
                <w:highlight w:val="none"/>
              </w:rPr>
            </w:pPr>
            <w:r>
              <w:rPr>
                <w:rFonts w:hint="eastAsia" w:ascii="宋体" w:hAnsi="宋体"/>
                <w:szCs w:val="21"/>
                <w:highlight w:val="none"/>
              </w:rPr>
              <w:t>6.1.1.3  每个矿井至少应有两个独立的直达地面的安全出口，安全出口的间距应不小于30m。</w:t>
            </w:r>
          </w:p>
          <w:p>
            <w:pPr>
              <w:ind w:firstLine="420" w:firstLineChars="200"/>
              <w:rPr>
                <w:rFonts w:ascii="宋体" w:hAnsi="宋体"/>
                <w:szCs w:val="21"/>
              </w:rPr>
            </w:pPr>
            <w:r>
              <w:rPr>
                <w:rFonts w:hint="eastAsia" w:ascii="宋体" w:hAnsi="宋体"/>
                <w:szCs w:val="21"/>
                <w:highlight w:val="none"/>
              </w:rPr>
              <w:t>6.1.1.4  装有两部在动力上互不依</w:t>
            </w:r>
            <w:r>
              <w:rPr>
                <w:rFonts w:hint="eastAsia" w:ascii="宋体" w:hAnsi="宋体"/>
                <w:szCs w:val="21"/>
              </w:rPr>
              <w:t>赖的罐笼设备、且提升机均为双回路供电的竖井，可作为安全出口而不必设梯子间；其他竖井作为安全出口时，应有装备完好的梯子间。</w:t>
            </w:r>
          </w:p>
          <w:p>
            <w:pPr>
              <w:widowControl/>
              <w:adjustRightInd w:val="0"/>
              <w:snapToGrid w:val="0"/>
              <w:rPr>
                <w:rFonts w:ascii="宋体" w:hAnsi="宋体" w:cs="宋体"/>
                <w:bCs/>
                <w:kern w:val="0"/>
                <w:szCs w:val="21"/>
              </w:rPr>
            </w:pPr>
            <w:r>
              <w:rPr>
                <w:rFonts w:hint="eastAsia" w:ascii="宋体" w:hAnsi="宋体" w:cs="宋体"/>
                <w:bCs/>
                <w:kern w:val="0"/>
                <w:szCs w:val="21"/>
              </w:rPr>
              <w:t xml:space="preserve">    《国家安全监管总局关于印发〈金属非金属矿山重大生产安全事故隐患判定标准（试行）〉的通知》(安监总管一〔2017〕98号)</w:t>
            </w:r>
          </w:p>
          <w:p>
            <w:pPr>
              <w:widowControl/>
              <w:adjustRightInd w:val="0"/>
              <w:snapToGrid w:val="0"/>
              <w:ind w:firstLine="405"/>
              <w:rPr>
                <w:rFonts w:ascii="宋体" w:hAnsi="宋体" w:cs="宋体"/>
                <w:bCs/>
                <w:kern w:val="0"/>
                <w:szCs w:val="21"/>
              </w:rPr>
            </w:pPr>
            <w:r>
              <w:rPr>
                <w:rFonts w:hint="eastAsia" w:ascii="宋体" w:hAnsi="宋体" w:cs="宋体"/>
                <w:bCs/>
                <w:kern w:val="0"/>
                <w:szCs w:val="21"/>
              </w:rPr>
              <w:t>一、金属非金属地下矿山重大生产安全事故隐患</w:t>
            </w:r>
          </w:p>
          <w:p>
            <w:pPr>
              <w:widowControl/>
              <w:adjustRightInd w:val="0"/>
              <w:snapToGrid w:val="0"/>
              <w:ind w:firstLine="405"/>
              <w:rPr>
                <w:rFonts w:ascii="宋体" w:hAnsi="宋体"/>
                <w:szCs w:val="21"/>
              </w:rPr>
            </w:pPr>
            <w:r>
              <w:rPr>
                <w:rFonts w:hint="eastAsia" w:ascii="宋体" w:hAnsi="宋体" w:cs="宋体"/>
                <w:bCs/>
                <w:kern w:val="0"/>
                <w:szCs w:val="21"/>
              </w:rPr>
              <w:t>（一）安全出口不符合国家标准、行业标准或设计要求。</w:t>
            </w:r>
          </w:p>
        </w:tc>
        <w:tc>
          <w:tcPr>
            <w:tcW w:w="3687" w:type="dxa"/>
            <w:vAlign w:val="center"/>
          </w:tcPr>
          <w:p>
            <w:pPr>
              <w:rPr>
                <w:rFonts w:ascii="宋体" w:hAnsi="宋体"/>
                <w:szCs w:val="21"/>
              </w:rPr>
            </w:pPr>
            <w:r>
              <w:rPr>
                <w:rFonts w:hint="eastAsia" w:ascii="宋体" w:hAnsi="宋体"/>
                <w:szCs w:val="21"/>
              </w:rPr>
              <w:t xml:space="preserve">    《安全生产法》第九十九条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18"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rPr>
                <w:rFonts w:ascii="宋体" w:hAnsi="宋体"/>
                <w:szCs w:val="21"/>
              </w:rPr>
            </w:pPr>
          </w:p>
        </w:tc>
        <w:tc>
          <w:tcPr>
            <w:tcW w:w="1665" w:type="dxa"/>
            <w:vAlign w:val="center"/>
          </w:tcPr>
          <w:p>
            <w:pPr>
              <w:spacing w:line="240" w:lineRule="atLeast"/>
              <w:rPr>
                <w:rFonts w:ascii="宋体" w:hAnsi="宋体"/>
                <w:szCs w:val="21"/>
              </w:rPr>
            </w:pPr>
            <w:r>
              <w:rPr>
                <w:rFonts w:ascii="宋体" w:hAnsi="宋体"/>
                <w:szCs w:val="21"/>
              </w:rPr>
              <w:t xml:space="preserve">3.2 </w:t>
            </w:r>
            <w:r>
              <w:rPr>
                <w:rFonts w:hint="eastAsia" w:ascii="宋体" w:hAnsi="宋体"/>
                <w:szCs w:val="21"/>
              </w:rPr>
              <w:t>出入井管理</w:t>
            </w:r>
          </w:p>
        </w:tc>
        <w:tc>
          <w:tcPr>
            <w:tcW w:w="5343" w:type="dxa"/>
            <w:vAlign w:val="center"/>
          </w:tcPr>
          <w:p>
            <w:pPr>
              <w:spacing w:line="240" w:lineRule="atLeast"/>
              <w:ind w:firstLine="420" w:firstLineChars="200"/>
              <w:rPr>
                <w:rFonts w:ascii="宋体" w:hAnsi="宋体"/>
                <w:szCs w:val="21"/>
                <w:highlight w:val="none"/>
              </w:rPr>
            </w:pPr>
            <w:r>
              <w:rPr>
                <w:rFonts w:ascii="宋体" w:hAnsi="宋体"/>
                <w:szCs w:val="21"/>
              </w:rPr>
              <w:t>《金属非金属矿山安全规程</w:t>
            </w:r>
            <w:r>
              <w:rPr>
                <w:rFonts w:ascii="宋体" w:hAnsi="宋体"/>
                <w:szCs w:val="21"/>
                <w:highlight w:val="none"/>
              </w:rPr>
              <w:t>》（GB 16423-2006）</w:t>
            </w:r>
          </w:p>
          <w:p>
            <w:pPr>
              <w:spacing w:line="240" w:lineRule="atLeast"/>
              <w:ind w:firstLine="420" w:firstLineChars="200"/>
              <w:rPr>
                <w:rFonts w:ascii="宋体" w:hAnsi="宋体"/>
                <w:szCs w:val="21"/>
              </w:rPr>
            </w:pPr>
            <w:r>
              <w:rPr>
                <w:rFonts w:ascii="宋体" w:hAnsi="宋体"/>
                <w:szCs w:val="21"/>
                <w:highlight w:val="none"/>
              </w:rPr>
              <w:t xml:space="preserve">4.18 </w:t>
            </w:r>
            <w:r>
              <w:rPr>
                <w:rFonts w:hint="eastAsia" w:ascii="宋体" w:hAnsi="宋体"/>
                <w:szCs w:val="21"/>
                <w:highlight w:val="none"/>
              </w:rPr>
              <w:t>地下矿山企业应建立、健全每个作业人员和</w:t>
            </w:r>
            <w:r>
              <w:rPr>
                <w:rFonts w:hint="eastAsia" w:ascii="宋体" w:hAnsi="宋体"/>
                <w:szCs w:val="21"/>
              </w:rPr>
              <w:t>其他下井人员出入矿井的登记和检查制度。入井人员应携带照明灯具。</w:t>
            </w:r>
          </w:p>
        </w:tc>
        <w:tc>
          <w:tcPr>
            <w:tcW w:w="3687" w:type="dxa"/>
            <w:vAlign w:val="center"/>
          </w:tcPr>
          <w:p>
            <w:pPr>
              <w:ind w:firstLine="420" w:firstLineChars="200"/>
              <w:rPr>
                <w:rFonts w:ascii="宋体" w:hAnsi="宋体"/>
                <w:szCs w:val="21"/>
              </w:rPr>
            </w:pPr>
            <w:r>
              <w:rPr>
                <w:rFonts w:hint="eastAsia" w:ascii="宋体" w:hAnsi="宋体"/>
                <w:szCs w:val="21"/>
              </w:rPr>
              <w:t>《安全生产违法行为行政处罚办法》第四十五条  生产经营单位及其主要负责人或者其他人员有下列行为之一的，给予警告，并可以对生产经营单位处</w:t>
            </w:r>
            <w:r>
              <w:rPr>
                <w:rFonts w:ascii="宋体" w:hAnsi="宋体"/>
                <w:szCs w:val="21"/>
              </w:rPr>
              <w:t>1万元以上3万元以下罚款，对其主要负责人、其他有关人员处1千元以上1万元以下的罚款：</w:t>
            </w:r>
          </w:p>
          <w:p>
            <w:pPr>
              <w:ind w:firstLine="420" w:firstLineChars="200"/>
              <w:rPr>
                <w:rFonts w:ascii="宋体" w:hAnsi="宋体"/>
                <w:szCs w:val="21"/>
              </w:rPr>
            </w:pPr>
            <w:r>
              <w:rPr>
                <w:rFonts w:hint="eastAsia" w:ascii="宋体" w:hAnsi="宋体"/>
                <w:szCs w:val="21"/>
              </w:rPr>
              <w:t>（一）违反操作规程或者安全管理规定作业的；</w:t>
            </w:r>
          </w:p>
          <w:p>
            <w:pPr>
              <w:ind w:firstLine="420" w:firstLineChars="200"/>
              <w:rPr>
                <w:rFonts w:ascii="宋体" w:hAnsi="宋体"/>
                <w:szCs w:val="21"/>
              </w:rPr>
            </w:pPr>
            <w:r>
              <w:rPr>
                <w:rFonts w:ascii="宋体" w:hAnsi="宋体"/>
                <w:szCs w:val="21"/>
              </w:rPr>
              <w:t>……</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885"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rPr>
                <w:rFonts w:ascii="宋体" w:hAnsi="宋体"/>
                <w:szCs w:val="21"/>
              </w:rPr>
            </w:pPr>
          </w:p>
        </w:tc>
        <w:tc>
          <w:tcPr>
            <w:tcW w:w="1665" w:type="dxa"/>
            <w:vAlign w:val="center"/>
          </w:tcPr>
          <w:p>
            <w:pPr>
              <w:rPr>
                <w:rFonts w:ascii="宋体" w:hAnsi="宋体"/>
                <w:szCs w:val="21"/>
              </w:rPr>
            </w:pPr>
            <w:r>
              <w:rPr>
                <w:rFonts w:hint="eastAsia" w:ascii="思源黑体 CN" w:hAnsi="思源黑体 CN" w:eastAsia="思源黑体 CN" w:cs="思源黑体 CN"/>
                <w:szCs w:val="21"/>
              </w:rPr>
              <w:t>★</w:t>
            </w:r>
            <w:r>
              <w:rPr>
                <w:rFonts w:hint="eastAsia" w:ascii="宋体" w:hAnsi="宋体"/>
                <w:szCs w:val="21"/>
              </w:rPr>
              <w:t>3.3 顶板分级管理制度或管控措施</w:t>
            </w:r>
          </w:p>
        </w:tc>
        <w:tc>
          <w:tcPr>
            <w:tcW w:w="5343" w:type="dxa"/>
            <w:vAlign w:val="center"/>
          </w:tcPr>
          <w:p>
            <w:pPr>
              <w:ind w:firstLine="420" w:firstLineChars="200"/>
            </w:pPr>
            <w:r>
              <w:rPr>
                <w:rFonts w:hint="eastAsia"/>
              </w:rPr>
              <w:t>《安全生产法》第三十八条  生产经营单位应当建立健全生产安全事故隐患排查治理制度，采取技术、管理措施，及时发现并消除事故隐患。事故隐患排查治理情况应当如实记录，并向从业人员通报。</w:t>
            </w:r>
          </w:p>
          <w:p>
            <w:pPr>
              <w:ind w:firstLine="420" w:firstLineChars="200"/>
            </w:pPr>
            <w:r>
              <w:rPr>
                <w:rFonts w:hint="eastAsia"/>
              </w:rPr>
              <w:t>……</w:t>
            </w:r>
          </w:p>
          <w:p>
            <w:pPr>
              <w:ind w:firstLine="420" w:firstLineChars="200"/>
              <w:rPr>
                <w:highlight w:val="none"/>
              </w:rPr>
            </w:pPr>
            <w:r>
              <w:rPr>
                <w:rFonts w:hint="eastAsia"/>
              </w:rPr>
              <w:t>《金属非金属矿山安全规程</w:t>
            </w:r>
            <w:r>
              <w:rPr>
                <w:rFonts w:hint="eastAsia"/>
                <w:highlight w:val="none"/>
              </w:rPr>
              <w:t>》</w:t>
            </w:r>
            <w:r>
              <w:rPr>
                <w:rFonts w:hint="eastAsia" w:asciiTheme="minorEastAsia" w:hAnsiTheme="minorEastAsia" w:eastAsiaTheme="minorEastAsia" w:cstheme="minorEastAsia"/>
                <w:highlight w:val="none"/>
              </w:rPr>
              <w:t>（GB 16423-2006）</w:t>
            </w:r>
          </w:p>
          <w:p>
            <w:pPr>
              <w:ind w:firstLine="420" w:firstLineChars="200"/>
              <w:rPr>
                <w:highlight w:val="none"/>
              </w:rPr>
            </w:pPr>
            <w:r>
              <w:rPr>
                <w:rFonts w:asciiTheme="minorEastAsia" w:hAnsiTheme="minorEastAsia" w:eastAsiaTheme="minorEastAsia" w:cstheme="minorEastAsia"/>
                <w:highlight w:val="none"/>
              </w:rPr>
              <w:t>6.2.1.8</w:t>
            </w:r>
            <w:r>
              <w:rPr>
                <w:rFonts w:hint="eastAsia"/>
                <w:highlight w:val="none"/>
              </w:rPr>
              <w:t xml:space="preserve">  应建立顶板分级管理制度。对顶板不稳固的采场，应有监控手段和处理措施。</w:t>
            </w:r>
          </w:p>
          <w:p>
            <w:pPr>
              <w:widowControl/>
              <w:ind w:firstLine="420" w:firstLineChars="200"/>
              <w:rPr>
                <w:highlight w:val="none"/>
              </w:rPr>
            </w:pPr>
            <w:r>
              <w:rPr>
                <w:rFonts w:hint="eastAsia"/>
                <w:highlight w:val="none"/>
              </w:rPr>
              <w:t>《国家安全监管总局关于印发〈金属非金属矿山重大生产安全事故隐患判定标准（试行）〉的通知》（安监总管一</w:t>
            </w:r>
            <w:r>
              <w:rPr>
                <w:rFonts w:hint="eastAsia" w:asciiTheme="minorEastAsia" w:hAnsiTheme="minorEastAsia" w:eastAsiaTheme="minorEastAsia"/>
                <w:highlight w:val="none"/>
              </w:rPr>
              <w:t>〔2017〕98号</w:t>
            </w:r>
            <w:r>
              <w:rPr>
                <w:rFonts w:hint="eastAsia"/>
                <w:highlight w:val="none"/>
              </w:rPr>
              <w:t>）</w:t>
            </w:r>
          </w:p>
          <w:p>
            <w:pPr>
              <w:ind w:firstLine="420"/>
              <w:rPr>
                <w:rFonts w:ascii="宋体" w:hAnsi="宋体" w:cs="宋体"/>
                <w:bCs/>
                <w:kern w:val="0"/>
                <w:szCs w:val="21"/>
              </w:rPr>
            </w:pPr>
            <w:r>
              <w:rPr>
                <w:rFonts w:hint="eastAsia"/>
              </w:rPr>
              <w:t>一、</w:t>
            </w:r>
            <w:r>
              <w:rPr>
                <w:rFonts w:hint="eastAsia" w:ascii="宋体" w:hAnsi="宋体" w:cs="宋体"/>
                <w:bCs/>
                <w:kern w:val="0"/>
                <w:szCs w:val="21"/>
              </w:rPr>
              <w:t>金属非金属地下矿山重大生产安全事故隐患</w:t>
            </w:r>
          </w:p>
          <w:p>
            <w:pPr>
              <w:ind w:firstLine="420"/>
            </w:pPr>
            <w:r>
              <w:rPr>
                <w:rFonts w:hint="eastAsia"/>
              </w:rPr>
              <w:t>（十九）巷道或者采场顶板未按照设计要求采取支护措施。</w:t>
            </w:r>
          </w:p>
        </w:tc>
        <w:tc>
          <w:tcPr>
            <w:tcW w:w="3687" w:type="dxa"/>
            <w:vAlign w:val="center"/>
          </w:tcPr>
          <w:p>
            <w:pPr>
              <w:spacing w:line="240" w:lineRule="atLeast"/>
              <w:ind w:firstLine="420" w:firstLineChars="200"/>
              <w:rPr>
                <w:rFonts w:ascii="宋体" w:hAnsi="宋体"/>
                <w:szCs w:val="21"/>
              </w:rPr>
            </w:pPr>
            <w:r>
              <w:rPr>
                <w:rFonts w:hint="eastAsia" w:ascii="宋体" w:hAnsi="宋体"/>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500"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rPr>
                <w:rFonts w:ascii="宋体" w:hAnsi="宋体"/>
                <w:szCs w:val="21"/>
              </w:rPr>
            </w:pPr>
          </w:p>
        </w:tc>
        <w:tc>
          <w:tcPr>
            <w:tcW w:w="1665" w:type="dxa"/>
            <w:vAlign w:val="center"/>
          </w:tcPr>
          <w:p>
            <w:pPr>
              <w:rPr>
                <w:rFonts w:ascii="宋体" w:hAnsi="宋体"/>
                <w:szCs w:val="21"/>
              </w:rPr>
            </w:pPr>
            <w:r>
              <w:rPr>
                <w:rFonts w:hint="eastAsia" w:ascii="思源黑体 CN" w:hAnsi="思源黑体 CN" w:eastAsia="思源黑体 CN" w:cs="思源黑体 CN"/>
                <w:szCs w:val="21"/>
              </w:rPr>
              <w:t>★</w:t>
            </w:r>
            <w:r>
              <w:rPr>
                <w:rFonts w:hint="eastAsia" w:asciiTheme="minorEastAsia" w:hAnsiTheme="minorEastAsia" w:eastAsiaTheme="minorEastAsia"/>
                <w:szCs w:val="21"/>
              </w:rPr>
              <w:t>3.4 按设计要求对</w:t>
            </w:r>
            <w:r>
              <w:rPr>
                <w:rFonts w:asciiTheme="minorEastAsia" w:hAnsiTheme="minorEastAsia" w:eastAsiaTheme="minorEastAsia"/>
                <w:szCs w:val="21"/>
              </w:rPr>
              <w:t>不稳固岩层采掘支护</w:t>
            </w:r>
          </w:p>
        </w:tc>
        <w:tc>
          <w:tcPr>
            <w:tcW w:w="5343" w:type="dxa"/>
            <w:vAlign w:val="center"/>
          </w:tcPr>
          <w:p>
            <w:pPr>
              <w:spacing w:line="300" w:lineRule="exact"/>
              <w:ind w:firstLine="420" w:firstLineChars="200"/>
              <w:rPr>
                <w:rFonts w:ascii="宋体" w:hAnsi="宋体"/>
                <w:szCs w:val="21"/>
                <w:highlight w:val="none"/>
              </w:rPr>
            </w:pPr>
            <w:r>
              <w:rPr>
                <w:rFonts w:hint="eastAsia" w:ascii="宋体" w:hAnsi="宋体"/>
                <w:szCs w:val="21"/>
              </w:rPr>
              <w:t>《安全生产法》第三十八</w:t>
            </w:r>
            <w:r>
              <w:rPr>
                <w:rFonts w:hint="eastAsia" w:ascii="宋体" w:hAnsi="宋体"/>
                <w:szCs w:val="21"/>
                <w:highlight w:val="none"/>
              </w:rPr>
              <w:t>条  生产经营单位应当建立健全生产安全事故隐患排查治理制度，采取技术、管理措施，及时发现并消除事故隐患。事故隐患排查治理情况应当如实记录，并向从业人员通报。</w:t>
            </w:r>
          </w:p>
          <w:p>
            <w:pPr>
              <w:spacing w:line="240" w:lineRule="atLeast"/>
              <w:ind w:firstLine="420" w:firstLineChars="200"/>
              <w:rPr>
                <w:rFonts w:ascii="宋体" w:hAnsi="宋体" w:cs="宋体"/>
                <w:bCs/>
                <w:kern w:val="0"/>
                <w:szCs w:val="21"/>
                <w:highlight w:val="none"/>
              </w:rPr>
            </w:pPr>
            <w:r>
              <w:rPr>
                <w:rFonts w:hint="eastAsia" w:ascii="宋体" w:hAnsi="宋体" w:cs="宋体"/>
                <w:bCs/>
                <w:kern w:val="0"/>
                <w:szCs w:val="21"/>
                <w:highlight w:val="none"/>
              </w:rPr>
              <w:t>……</w:t>
            </w:r>
          </w:p>
          <w:p>
            <w:pPr>
              <w:spacing w:line="300" w:lineRule="exact"/>
              <w:ind w:firstLine="420" w:firstLineChars="200"/>
              <w:rPr>
                <w:rFonts w:ascii="宋体" w:hAnsi="宋体"/>
                <w:szCs w:val="21"/>
                <w:highlight w:val="none"/>
              </w:rPr>
            </w:pPr>
            <w:r>
              <w:rPr>
                <w:rFonts w:hint="eastAsia" w:ascii="宋体" w:hAnsi="宋体"/>
                <w:szCs w:val="21"/>
                <w:highlight w:val="none"/>
              </w:rPr>
              <w:t>《金属非金属矿山安全规程》（GB 16423-2006）</w:t>
            </w:r>
          </w:p>
          <w:p>
            <w:pPr>
              <w:spacing w:line="300" w:lineRule="exact"/>
              <w:ind w:firstLine="420" w:firstLineChars="200"/>
              <w:rPr>
                <w:rFonts w:ascii="宋体" w:hAnsi="宋体"/>
                <w:szCs w:val="21"/>
              </w:rPr>
            </w:pPr>
            <w:r>
              <w:rPr>
                <w:rFonts w:hint="eastAsia" w:ascii="宋体" w:hAnsi="宋体"/>
                <w:szCs w:val="21"/>
                <w:highlight w:val="none"/>
              </w:rPr>
              <w:t>6.1.5.1  在不稳固的岩层中掘进井巷，应进行支护。在松软或流砂岩层中掘进，永久</w:t>
            </w:r>
            <w:r>
              <w:rPr>
                <w:rFonts w:hint="eastAsia" w:ascii="宋体" w:hAnsi="宋体"/>
                <w:szCs w:val="21"/>
              </w:rPr>
              <w:t>性支护至掘进工作面之间，应架设临时支护或特殊支护。</w:t>
            </w:r>
          </w:p>
          <w:p>
            <w:pPr>
              <w:spacing w:line="300" w:lineRule="exact"/>
              <w:ind w:firstLine="420" w:firstLineChars="200"/>
              <w:rPr>
                <w:rFonts w:ascii="宋体" w:hAnsi="宋体"/>
                <w:szCs w:val="21"/>
              </w:rPr>
            </w:pPr>
            <w:r>
              <w:rPr>
                <w:rFonts w:hint="eastAsia" w:ascii="宋体" w:hAnsi="宋体"/>
                <w:szCs w:val="21"/>
              </w:rPr>
              <w:t>6.1.5.2  需要支护的井巷，支护方法、支护与工作面间的距离，应在施工设计中规定；中途停止掘进时，支护应及时跟至工作面。</w:t>
            </w:r>
          </w:p>
          <w:p>
            <w:pPr>
              <w:spacing w:line="300" w:lineRule="exact"/>
              <w:ind w:firstLine="420" w:firstLineChars="200"/>
              <w:rPr>
                <w:rFonts w:ascii="宋体" w:hAnsi="宋体"/>
                <w:szCs w:val="21"/>
              </w:rPr>
            </w:pPr>
            <w:r>
              <w:rPr>
                <w:rFonts w:hint="eastAsia" w:ascii="宋体" w:hAnsi="宋体"/>
                <w:szCs w:val="21"/>
              </w:rPr>
              <w:t>《国家安全监管总局关于印发〈金属非金属矿山重大生产安全事故隐患判定标准（试行）〉的通知》(安监总管一〔2017〕98号)</w:t>
            </w:r>
          </w:p>
          <w:p>
            <w:pPr>
              <w:spacing w:line="300" w:lineRule="exact"/>
              <w:ind w:firstLine="420" w:firstLineChars="200"/>
              <w:rPr>
                <w:rFonts w:ascii="宋体" w:hAnsi="宋体" w:cs="宋体"/>
                <w:bCs/>
                <w:kern w:val="0"/>
                <w:szCs w:val="21"/>
              </w:rPr>
            </w:pPr>
            <w:r>
              <w:rPr>
                <w:rFonts w:hint="eastAsia" w:ascii="宋体" w:hAnsi="宋体"/>
                <w:szCs w:val="21"/>
              </w:rPr>
              <w:t>一、</w:t>
            </w:r>
            <w:r>
              <w:rPr>
                <w:rFonts w:hint="eastAsia" w:ascii="宋体" w:hAnsi="宋体" w:cs="宋体"/>
                <w:bCs/>
                <w:kern w:val="0"/>
                <w:szCs w:val="21"/>
              </w:rPr>
              <w:t>金属非金属地下矿山重大生产安全事故隐患</w:t>
            </w:r>
          </w:p>
          <w:p>
            <w:pPr>
              <w:spacing w:line="300" w:lineRule="exact"/>
              <w:ind w:firstLine="420" w:firstLineChars="200"/>
              <w:rPr>
                <w:rFonts w:ascii="宋体" w:hAnsi="宋体"/>
                <w:szCs w:val="21"/>
              </w:rPr>
            </w:pPr>
            <w:r>
              <w:rPr>
                <w:rFonts w:hint="eastAsia" w:ascii="宋体" w:hAnsi="宋体"/>
                <w:szCs w:val="21"/>
              </w:rPr>
              <w:t>（十九）巷道或者采场顶板未按照设计要求采取支护措施。</w:t>
            </w:r>
          </w:p>
        </w:tc>
        <w:tc>
          <w:tcPr>
            <w:tcW w:w="3687" w:type="dxa"/>
            <w:vAlign w:val="center"/>
          </w:tcPr>
          <w:p>
            <w:pPr>
              <w:ind w:firstLine="420" w:firstLineChars="200"/>
              <w:rPr>
                <w:rFonts w:ascii="宋体" w:hAnsi="宋体"/>
                <w:szCs w:val="21"/>
              </w:rPr>
            </w:pPr>
            <w:r>
              <w:rPr>
                <w:rFonts w:hint="eastAsia" w:ascii="宋体" w:hAnsi="宋体"/>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500"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rPr>
                <w:rFonts w:ascii="宋体" w:hAnsi="宋体"/>
                <w:szCs w:val="21"/>
              </w:rPr>
            </w:pPr>
          </w:p>
        </w:tc>
        <w:tc>
          <w:tcPr>
            <w:tcW w:w="1665" w:type="dxa"/>
            <w:vAlign w:val="center"/>
          </w:tcPr>
          <w:p>
            <w:pPr>
              <w:rPr>
                <w:rFonts w:ascii="宋体" w:hAnsi="宋体"/>
                <w:szCs w:val="21"/>
              </w:rPr>
            </w:pPr>
            <w:r>
              <w:rPr>
                <w:rFonts w:hint="eastAsia" w:ascii="思源黑体 CN" w:hAnsi="思源黑体 CN" w:eastAsia="思源黑体 CN" w:cs="思源黑体 CN"/>
                <w:szCs w:val="21"/>
              </w:rPr>
              <w:t>★</w:t>
            </w:r>
            <w:r>
              <w:rPr>
                <w:rFonts w:hint="eastAsia" w:asciiTheme="minorEastAsia" w:hAnsiTheme="minorEastAsia" w:eastAsiaTheme="minorEastAsia"/>
                <w:szCs w:val="21"/>
              </w:rPr>
              <w:t>3.5 地压管理</w:t>
            </w:r>
          </w:p>
        </w:tc>
        <w:tc>
          <w:tcPr>
            <w:tcW w:w="5343" w:type="dxa"/>
            <w:vAlign w:val="center"/>
          </w:tcPr>
          <w:p>
            <w:pPr>
              <w:ind w:firstLine="420" w:firstLineChars="200"/>
            </w:pPr>
            <w:r>
              <w:rPr>
                <w:rFonts w:hint="eastAsia"/>
              </w:rPr>
              <w:t>《</w:t>
            </w:r>
            <w:r>
              <w:t>安全生产法》第三十八条</w:t>
            </w:r>
            <w:r>
              <w:rPr>
                <w:rFonts w:hint="eastAsia"/>
              </w:rPr>
              <w:t xml:space="preserve">  </w:t>
            </w:r>
            <w:r>
              <w:t>生产经营单位应当建立健全生产安全事故隐患排查治理制度，采取技术、管理措施，及时发现并消除事故隐患。事故隐患排查治理情况应当如实记录，并向从业人员通报。</w:t>
            </w:r>
          </w:p>
          <w:p>
            <w:pPr>
              <w:ind w:firstLine="420" w:firstLineChars="200"/>
            </w:pPr>
            <w:r>
              <w:rPr>
                <w:rFonts w:hint="eastAsia"/>
              </w:rPr>
              <w:t>……</w:t>
            </w:r>
          </w:p>
          <w:p>
            <w:pPr>
              <w:ind w:firstLine="420" w:firstLineChars="200"/>
              <w:rPr>
                <w:highlight w:val="none"/>
              </w:rPr>
            </w:pPr>
            <w:r>
              <w:rPr>
                <w:rFonts w:hint="eastAsia"/>
              </w:rPr>
              <w:t>《金属非金属矿山安全规程》</w:t>
            </w:r>
            <w:r>
              <w:rPr>
                <w:rFonts w:hint="eastAsia" w:asciiTheme="minorEastAsia" w:hAnsiTheme="minorEastAsia" w:eastAsiaTheme="minorEastAsia" w:cstheme="minorEastAsia"/>
                <w:highlight w:val="none"/>
              </w:rPr>
              <w:t>（GB 16423-2006）</w:t>
            </w:r>
          </w:p>
          <w:p>
            <w:pPr>
              <w:ind w:firstLine="420" w:firstLineChars="200"/>
            </w:pPr>
            <w:r>
              <w:rPr>
                <w:rFonts w:asciiTheme="minorEastAsia" w:hAnsiTheme="minorEastAsia" w:eastAsiaTheme="minorEastAsia" w:cstheme="minorEastAsia"/>
                <w:highlight w:val="none"/>
              </w:rPr>
              <w:t>6.2.1.9</w:t>
            </w:r>
            <w:r>
              <w:rPr>
                <w:highlight w:val="none"/>
              </w:rPr>
              <w:t xml:space="preserve"> </w:t>
            </w:r>
            <w:r>
              <w:rPr>
                <w:rFonts w:hint="eastAsia"/>
                <w:highlight w:val="none"/>
              </w:rPr>
              <w:t xml:space="preserve"> 工程地质复杂、有严重地压活动</w:t>
            </w:r>
            <w:r>
              <w:rPr>
                <w:rFonts w:hint="eastAsia"/>
              </w:rPr>
              <w:t>的矿山，应遵守下列规定：</w:t>
            </w:r>
          </w:p>
          <w:p>
            <w:pPr>
              <w:ind w:firstLine="420" w:firstLineChars="200"/>
            </w:pPr>
            <w:r>
              <w:rPr>
                <w:rFonts w:hint="eastAsia"/>
              </w:rPr>
              <w:t>……及时进行现场监测，做好预测、预报工作。</w:t>
            </w:r>
          </w:p>
          <w:p>
            <w:pPr>
              <w:ind w:firstLine="420" w:firstLineChars="200"/>
            </w:pPr>
            <w:r>
              <w:rPr>
                <w:rFonts w:hint="eastAsia"/>
              </w:rPr>
              <w:t>……</w:t>
            </w:r>
          </w:p>
          <w:p>
            <w:pPr>
              <w:widowControl/>
              <w:ind w:firstLine="420" w:firstLineChars="200"/>
              <w:rPr>
                <w:highlight w:val="none"/>
              </w:rPr>
            </w:pPr>
            <w:r>
              <w:rPr>
                <w:rFonts w:hint="eastAsia"/>
              </w:rPr>
              <w:t>《国家安全监管总局关于印发〈金属非金属矿山重大生</w:t>
            </w:r>
            <w:r>
              <w:rPr>
                <w:rFonts w:hint="eastAsia"/>
                <w:highlight w:val="none"/>
              </w:rPr>
              <w:t>产安全事故隐患判定标准（试行）〉的通知》（安监总管一</w:t>
            </w:r>
            <w:r>
              <w:rPr>
                <w:rFonts w:hint="eastAsia" w:asciiTheme="minorEastAsia" w:hAnsiTheme="minorEastAsia" w:eastAsiaTheme="minorEastAsia"/>
                <w:highlight w:val="none"/>
              </w:rPr>
              <w:t>〔2017〕98号</w:t>
            </w:r>
            <w:r>
              <w:rPr>
                <w:rFonts w:hint="eastAsia"/>
                <w:highlight w:val="none"/>
              </w:rPr>
              <w:t>）</w:t>
            </w:r>
          </w:p>
          <w:p>
            <w:pPr>
              <w:widowControl/>
              <w:ind w:firstLine="420" w:firstLineChars="200"/>
              <w:rPr>
                <w:rFonts w:ascii="宋体" w:hAnsi="宋体" w:cs="宋体"/>
                <w:bCs/>
                <w:kern w:val="0"/>
                <w:szCs w:val="21"/>
              </w:rPr>
            </w:pPr>
            <w:r>
              <w:rPr>
                <w:rFonts w:hint="eastAsia"/>
              </w:rPr>
              <w:t>一、</w:t>
            </w:r>
            <w:r>
              <w:rPr>
                <w:rFonts w:hint="eastAsia" w:ascii="宋体" w:hAnsi="宋体" w:cs="宋体"/>
                <w:bCs/>
                <w:kern w:val="0"/>
                <w:szCs w:val="21"/>
              </w:rPr>
              <w:t>金属非金属地下矿山重大生产安全事故隐患</w:t>
            </w:r>
          </w:p>
          <w:p>
            <w:pPr>
              <w:widowControl/>
              <w:ind w:firstLine="420" w:firstLineChars="200"/>
            </w:pPr>
            <w:r>
              <w:rPr>
                <w:rFonts w:hint="eastAsia"/>
              </w:rPr>
              <w:t>（十八）具有严重地压条件，未采取预防地压灾害措施。</w:t>
            </w:r>
          </w:p>
        </w:tc>
        <w:tc>
          <w:tcPr>
            <w:tcW w:w="3687" w:type="dxa"/>
            <w:vAlign w:val="center"/>
          </w:tcPr>
          <w:p>
            <w:pPr>
              <w:ind w:firstLine="420" w:firstLineChars="200"/>
              <w:rPr>
                <w:rFonts w:ascii="宋体" w:hAnsi="宋体"/>
                <w:szCs w:val="21"/>
              </w:rPr>
            </w:pPr>
            <w:r>
              <w:rPr>
                <w:rFonts w:hint="eastAsia" w:asciiTheme="minorEastAsia" w:hAnsiTheme="minorEastAsia" w:eastAsiaTheme="minorEastAsia"/>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60"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rPr>
                <w:rFonts w:ascii="宋体" w:hAnsi="宋体"/>
                <w:szCs w:val="21"/>
              </w:rPr>
            </w:pPr>
          </w:p>
        </w:tc>
        <w:tc>
          <w:tcPr>
            <w:tcW w:w="1665" w:type="dxa"/>
            <w:vAlign w:val="center"/>
          </w:tcPr>
          <w:p>
            <w:pPr>
              <w:rPr>
                <w:rFonts w:ascii="宋体" w:hAnsi="宋体"/>
                <w:szCs w:val="21"/>
              </w:rPr>
            </w:pPr>
            <w:r>
              <w:rPr>
                <w:rFonts w:hint="eastAsia" w:ascii="思源黑体 CN" w:hAnsi="思源黑体 CN" w:eastAsia="思源黑体 CN" w:cs="思源黑体 CN"/>
                <w:szCs w:val="21"/>
              </w:rPr>
              <w:t>★</w:t>
            </w:r>
            <w:r>
              <w:rPr>
                <w:rFonts w:hint="eastAsia" w:asciiTheme="minorEastAsia" w:hAnsiTheme="minorEastAsia" w:eastAsiaTheme="minorEastAsia"/>
                <w:szCs w:val="21"/>
              </w:rPr>
              <w:t>3.6 生产作业区采空区处理</w:t>
            </w:r>
          </w:p>
        </w:tc>
        <w:tc>
          <w:tcPr>
            <w:tcW w:w="5343" w:type="dxa"/>
            <w:vAlign w:val="center"/>
          </w:tcPr>
          <w:p>
            <w:pPr>
              <w:ind w:firstLine="420" w:firstLineChars="200"/>
            </w:pPr>
            <w:r>
              <w:t>《安全生产法》第三十八条</w:t>
            </w:r>
            <w:r>
              <w:rPr>
                <w:rFonts w:hint="eastAsia"/>
              </w:rPr>
              <w:t xml:space="preserve">  </w:t>
            </w:r>
            <w:r>
              <w:t>生产经营单位应当建立健全生产安全事故隐患排查治理制度，采取技术、管理措施，及时发现并消除事故隐患。事故隐患排查治理情况应当如实记录，并向从业人员通报。</w:t>
            </w:r>
          </w:p>
          <w:p>
            <w:pPr>
              <w:ind w:firstLine="420" w:firstLineChars="200"/>
            </w:pPr>
            <w:r>
              <w:rPr>
                <w:rFonts w:hint="eastAsia"/>
              </w:rPr>
              <w:t>……</w:t>
            </w:r>
          </w:p>
          <w:p>
            <w:pPr>
              <w:ind w:firstLine="420" w:firstLineChars="200"/>
              <w:rPr>
                <w:rFonts w:asciiTheme="minorEastAsia" w:hAnsiTheme="minorEastAsia" w:eastAsiaTheme="minorEastAsia" w:cstheme="minorEastAsia"/>
                <w:highlight w:val="none"/>
              </w:rPr>
            </w:pPr>
            <w:r>
              <w:rPr>
                <w:rFonts w:hint="eastAsia"/>
              </w:rPr>
              <w:t>《金属非金属矿山安全规</w:t>
            </w:r>
            <w:r>
              <w:rPr>
                <w:rFonts w:hint="eastAsia"/>
                <w:highlight w:val="none"/>
              </w:rPr>
              <w:t>程》</w:t>
            </w:r>
            <w:r>
              <w:rPr>
                <w:rFonts w:hint="eastAsia" w:asciiTheme="minorEastAsia" w:hAnsiTheme="minorEastAsia" w:eastAsiaTheme="minorEastAsia" w:cstheme="minorEastAsia"/>
                <w:highlight w:val="none"/>
              </w:rPr>
              <w:t>（GB 16423-2006）</w:t>
            </w:r>
          </w:p>
          <w:p>
            <w:pPr>
              <w:ind w:firstLine="420" w:firstLineChars="200"/>
              <w:rPr>
                <w:highlight w:val="none"/>
              </w:rPr>
            </w:pPr>
            <w:r>
              <w:rPr>
                <w:rFonts w:asciiTheme="minorEastAsia" w:hAnsiTheme="minorEastAsia" w:eastAsiaTheme="minorEastAsia" w:cstheme="minorEastAsia"/>
                <w:highlight w:val="none"/>
              </w:rPr>
              <w:t xml:space="preserve">6.2.1.10  </w:t>
            </w:r>
            <w:r>
              <w:rPr>
                <w:rFonts w:hint="eastAsia"/>
                <w:highlight w:val="none"/>
              </w:rPr>
              <w:t>采用留矿法、空场法采矿的矿山，应采取充填、隔离或强制崩落围岩的措施，及时处理采空区；较小、较薄和孤立的采空区，是否需要及时处理，由主管矿长决定。</w:t>
            </w:r>
          </w:p>
          <w:p>
            <w:pPr>
              <w:pStyle w:val="2"/>
              <w:ind w:firstLine="420"/>
              <w:jc w:val="both"/>
              <w:rPr>
                <w:rFonts w:eastAsia="宋体"/>
                <w:highlight w:val="none"/>
              </w:rPr>
            </w:pPr>
            <w:r>
              <w:rPr>
                <w:rFonts w:hint="eastAsia" w:eastAsia="宋体"/>
                <w:highlight w:val="none"/>
              </w:rPr>
              <w:t>《国家安全监管总局关于印发〈金属非金属矿山重大生产安全事故隐患判定标准（试行）〉的通知》</w:t>
            </w:r>
            <w:r>
              <w:rPr>
                <w:rFonts w:eastAsia="宋体"/>
                <w:highlight w:val="none"/>
              </w:rPr>
              <w:t>(</w:t>
            </w:r>
            <w:r>
              <w:rPr>
                <w:rFonts w:hint="eastAsia" w:eastAsia="宋体"/>
                <w:highlight w:val="none"/>
              </w:rPr>
              <w:t>安监总管一</w:t>
            </w:r>
            <w:r>
              <w:rPr>
                <w:rFonts w:hint="eastAsia" w:asciiTheme="minorEastAsia" w:hAnsiTheme="minorEastAsia" w:eastAsiaTheme="minorEastAsia"/>
                <w:highlight w:val="none"/>
              </w:rPr>
              <w:t>〔</w:t>
            </w:r>
            <w:r>
              <w:rPr>
                <w:rFonts w:asciiTheme="minorEastAsia" w:hAnsiTheme="minorEastAsia" w:eastAsiaTheme="minorEastAsia"/>
                <w:highlight w:val="none"/>
              </w:rPr>
              <w:t>2017</w:t>
            </w:r>
            <w:r>
              <w:rPr>
                <w:rFonts w:hint="eastAsia" w:asciiTheme="minorEastAsia" w:hAnsiTheme="minorEastAsia" w:eastAsiaTheme="minorEastAsia"/>
                <w:highlight w:val="none"/>
              </w:rPr>
              <w:t>〕</w:t>
            </w:r>
            <w:r>
              <w:rPr>
                <w:rFonts w:asciiTheme="minorEastAsia" w:hAnsiTheme="minorEastAsia" w:eastAsiaTheme="minorEastAsia"/>
                <w:highlight w:val="none"/>
              </w:rPr>
              <w:t>98</w:t>
            </w:r>
            <w:r>
              <w:rPr>
                <w:rFonts w:hint="eastAsia" w:asciiTheme="minorEastAsia" w:hAnsiTheme="minorEastAsia" w:eastAsiaTheme="minorEastAsia"/>
                <w:highlight w:val="none"/>
              </w:rPr>
              <w:t>号</w:t>
            </w:r>
            <w:r>
              <w:rPr>
                <w:rFonts w:eastAsia="宋体"/>
                <w:highlight w:val="none"/>
              </w:rPr>
              <w:t>)</w:t>
            </w:r>
          </w:p>
          <w:p>
            <w:pPr>
              <w:pStyle w:val="2"/>
              <w:ind w:firstLine="420"/>
              <w:jc w:val="both"/>
              <w:rPr>
                <w:rFonts w:eastAsia="宋体"/>
              </w:rPr>
            </w:pPr>
            <w:r>
              <w:rPr>
                <w:rFonts w:hint="eastAsia" w:eastAsia="宋体"/>
              </w:rPr>
              <w:t>一、金属非金属地下矿山重大生产安全事故隐患</w:t>
            </w:r>
          </w:p>
          <w:p>
            <w:pPr>
              <w:pStyle w:val="2"/>
              <w:ind w:firstLine="420"/>
              <w:jc w:val="both"/>
            </w:pPr>
            <w:r>
              <w:rPr>
                <w:rFonts w:hint="eastAsia" w:eastAsia="宋体"/>
              </w:rPr>
              <w:t>（十七）未按照设计要求对生产形成的采空区进行处理。</w:t>
            </w:r>
          </w:p>
        </w:tc>
        <w:tc>
          <w:tcPr>
            <w:tcW w:w="3687" w:type="dxa"/>
            <w:vAlign w:val="center"/>
          </w:tcPr>
          <w:p>
            <w:pPr>
              <w:ind w:firstLine="420" w:firstLineChars="200"/>
              <w:rPr>
                <w:rFonts w:ascii="宋体" w:hAnsi="宋体"/>
                <w:szCs w:val="21"/>
              </w:rPr>
            </w:pPr>
            <w:r>
              <w:rPr>
                <w:rFonts w:hint="eastAsia" w:asciiTheme="minorEastAsia" w:hAnsiTheme="minorEastAsia" w:eastAsiaTheme="minorEastAsia"/>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27"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rPr>
                <w:rFonts w:ascii="宋体" w:hAnsi="宋体"/>
                <w:szCs w:val="21"/>
              </w:rPr>
            </w:pPr>
          </w:p>
        </w:tc>
        <w:tc>
          <w:tcPr>
            <w:tcW w:w="1665" w:type="dxa"/>
            <w:vAlign w:val="center"/>
          </w:tcPr>
          <w:p>
            <w:pPr>
              <w:rPr>
                <w:rFonts w:asciiTheme="minorEastAsia" w:hAnsiTheme="minorEastAsia" w:eastAsiaTheme="minorEastAsia"/>
                <w:szCs w:val="21"/>
              </w:rPr>
            </w:pPr>
            <w:r>
              <w:rPr>
                <w:rFonts w:hint="eastAsia" w:ascii="思源黑体 CN" w:hAnsi="思源黑体 CN" w:eastAsia="思源黑体 CN" w:cs="思源黑体 CN"/>
                <w:szCs w:val="21"/>
              </w:rPr>
              <w:t>★</w:t>
            </w:r>
            <w:r>
              <w:rPr>
                <w:rFonts w:ascii="宋体" w:hAnsi="宋体"/>
                <w:szCs w:val="21"/>
              </w:rPr>
              <w:t>3.</w:t>
            </w:r>
            <w:r>
              <w:rPr>
                <w:rFonts w:hint="eastAsia" w:ascii="宋体" w:hAnsi="宋体"/>
                <w:szCs w:val="21"/>
              </w:rPr>
              <w:t>7</w:t>
            </w:r>
            <w:r>
              <w:rPr>
                <w:rFonts w:ascii="宋体" w:hAnsi="宋体"/>
                <w:szCs w:val="21"/>
              </w:rPr>
              <w:t xml:space="preserve"> 保安矿柱</w:t>
            </w:r>
          </w:p>
        </w:tc>
        <w:tc>
          <w:tcPr>
            <w:tcW w:w="5343" w:type="dxa"/>
            <w:vAlign w:val="center"/>
          </w:tcPr>
          <w:p>
            <w:pPr>
              <w:ind w:firstLine="420" w:firstLineChars="200"/>
              <w:rPr>
                <w:rFonts w:ascii="宋体" w:hAnsi="宋体"/>
                <w:szCs w:val="21"/>
              </w:rPr>
            </w:pPr>
            <w:r>
              <w:rPr>
                <w:rFonts w:ascii="宋体" w:hAnsi="宋体"/>
                <w:szCs w:val="21"/>
              </w:rPr>
              <w:t xml:space="preserve">《安全生产法》第三十八条  生产经营单位应当建立健全生产安全事故隐患排查治理制度，采取技术、管理措施，及时发现并消除事故隐患。事故隐患排查治理情况应当如实记录，并向从业人员通报。 </w:t>
            </w:r>
          </w:p>
          <w:p>
            <w:pPr>
              <w:ind w:firstLine="420" w:firstLineChars="200"/>
              <w:rPr>
                <w:rFonts w:asciiTheme="minorEastAsia" w:hAnsiTheme="minorEastAsia" w:eastAsiaTheme="minorEastAsia"/>
                <w:szCs w:val="21"/>
                <w:highlight w:val="none"/>
              </w:rPr>
            </w:pPr>
            <w:r>
              <w:rPr>
                <w:rFonts w:hint="eastAsia" w:ascii="宋体" w:hAnsi="宋体"/>
                <w:szCs w:val="21"/>
              </w:rPr>
              <w:t>……</w:t>
            </w:r>
          </w:p>
          <w:p>
            <w:pPr>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szCs w:val="21"/>
                <w:highlight w:val="none"/>
              </w:rPr>
              <w:t>《金属非金属矿山安全规程》</w:t>
            </w:r>
            <w:r>
              <w:rPr>
                <w:rFonts w:hint="eastAsia" w:asciiTheme="minorEastAsia" w:hAnsiTheme="minorEastAsia" w:eastAsiaTheme="minorEastAsia" w:cstheme="minorEastAsia"/>
                <w:highlight w:val="none"/>
              </w:rPr>
              <w:t>（</w:t>
            </w:r>
            <w:r>
              <w:rPr>
                <w:rFonts w:asciiTheme="minorEastAsia" w:hAnsiTheme="minorEastAsia" w:eastAsiaTheme="minorEastAsia" w:cstheme="minorEastAsia"/>
                <w:highlight w:val="none"/>
              </w:rPr>
              <w:t>GB 16423-2006）</w:t>
            </w:r>
          </w:p>
          <w:p>
            <w:pPr>
              <w:ind w:firstLine="420" w:firstLineChars="200"/>
              <w:rPr>
                <w:rFonts w:asciiTheme="minorEastAsia" w:hAnsiTheme="minorEastAsia" w:eastAsiaTheme="minorEastAsia"/>
                <w:szCs w:val="21"/>
                <w:highlight w:val="none"/>
              </w:rPr>
            </w:pPr>
            <w:r>
              <w:rPr>
                <w:rFonts w:asciiTheme="minorEastAsia" w:hAnsiTheme="minorEastAsia" w:eastAsiaTheme="minorEastAsia" w:cstheme="minorEastAsia"/>
                <w:highlight w:val="none"/>
              </w:rPr>
              <w:t xml:space="preserve">6.2.1.4 </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应严格保持矿柱</w:t>
            </w:r>
            <w:r>
              <w:rPr>
                <w:rFonts w:asciiTheme="minorEastAsia" w:hAnsiTheme="minorEastAsia" w:eastAsiaTheme="minorEastAsia"/>
                <w:szCs w:val="21"/>
                <w:highlight w:val="none"/>
              </w:rPr>
              <w:t>(含顶柱、底柱和间柱等)的尺寸、形状和直立度</w:t>
            </w:r>
            <w:r>
              <w:rPr>
                <w:rFonts w:hint="eastAsia" w:asciiTheme="minorEastAsia" w:hAnsiTheme="minorEastAsia" w:eastAsiaTheme="minorEastAsia"/>
                <w:szCs w:val="21"/>
                <w:highlight w:val="none"/>
              </w:rPr>
              <w:t>……。</w:t>
            </w:r>
          </w:p>
          <w:p>
            <w:pPr>
              <w:spacing w:line="240" w:lineRule="atLeast"/>
              <w:ind w:firstLine="420" w:firstLineChars="200"/>
              <w:rPr>
                <w:rFonts w:ascii="宋体" w:hAnsi="宋体"/>
                <w:bCs/>
                <w:szCs w:val="21"/>
              </w:rPr>
            </w:pPr>
            <w:r>
              <w:rPr>
                <w:rFonts w:hint="eastAsia" w:ascii="宋体" w:hAnsi="宋体"/>
                <w:bCs/>
                <w:szCs w:val="21"/>
                <w:highlight w:val="none"/>
              </w:rPr>
              <w:t>《国家安全监管总局关于印发〈金属非金属矿山重大生产安全事故隐患判定标准（试行</w:t>
            </w:r>
            <w:r>
              <w:rPr>
                <w:rFonts w:hint="eastAsia" w:ascii="宋体" w:hAnsi="宋体"/>
                <w:bCs/>
                <w:szCs w:val="21"/>
              </w:rPr>
              <w:t>）〉的通知》(安监总管一〔2017〕98号)</w:t>
            </w:r>
          </w:p>
          <w:p>
            <w:pPr>
              <w:ind w:firstLine="420" w:firstLineChars="200"/>
              <w:rPr>
                <w:rFonts w:ascii="宋体" w:hAnsi="宋体" w:cs="宋体"/>
                <w:bCs/>
                <w:kern w:val="0"/>
                <w:szCs w:val="21"/>
              </w:rPr>
            </w:pPr>
            <w:r>
              <w:rPr>
                <w:rFonts w:hint="eastAsia" w:ascii="宋体" w:hAnsi="宋体" w:cs="宋体"/>
                <w:bCs/>
                <w:kern w:val="0"/>
                <w:szCs w:val="21"/>
              </w:rPr>
              <w:t>一、金属非金属地下矿山重大生产安全事故隐患</w:t>
            </w:r>
          </w:p>
          <w:p>
            <w:pPr>
              <w:ind w:firstLine="420" w:firstLineChars="200"/>
              <w:rPr>
                <w:rFonts w:asciiTheme="minorEastAsia" w:hAnsiTheme="minorEastAsia" w:eastAsiaTheme="minorEastAsia"/>
                <w:szCs w:val="21"/>
              </w:rPr>
            </w:pPr>
            <w:r>
              <w:rPr>
                <w:rFonts w:hint="eastAsia" w:ascii="宋体" w:hAnsi="宋体" w:cs="宋体"/>
                <w:bCs/>
                <w:kern w:val="0"/>
                <w:szCs w:val="21"/>
              </w:rPr>
              <w:t>（十六）擅自开采各种保安矿柱或其形式及参数劣于设计值</w:t>
            </w:r>
          </w:p>
        </w:tc>
        <w:tc>
          <w:tcPr>
            <w:tcW w:w="3687" w:type="dxa"/>
            <w:vAlign w:val="center"/>
          </w:tcPr>
          <w:p>
            <w:pPr>
              <w:ind w:firstLine="420" w:firstLineChars="200"/>
              <w:rPr>
                <w:rFonts w:asciiTheme="minorEastAsia" w:hAnsiTheme="minorEastAsia" w:eastAsiaTheme="minorEastAsia"/>
                <w:szCs w:val="21"/>
              </w:rPr>
            </w:pPr>
            <w:r>
              <w:rPr>
                <w:rFonts w:asciiTheme="minorEastAsia" w:hAnsiTheme="minorEastAsia" w:eastAsiaTheme="minorEastAsia"/>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687"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rPr>
                <w:rFonts w:ascii="宋体" w:hAnsi="宋体"/>
                <w:szCs w:val="21"/>
              </w:rPr>
            </w:pPr>
          </w:p>
        </w:tc>
        <w:tc>
          <w:tcPr>
            <w:tcW w:w="1665" w:type="dxa"/>
            <w:vAlign w:val="center"/>
          </w:tcPr>
          <w:p>
            <w:pPr>
              <w:widowControl/>
              <w:adjustRightInd w:val="0"/>
              <w:snapToGrid w:val="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8</w:t>
            </w:r>
            <w:r>
              <w:rPr>
                <w:rFonts w:ascii="宋体" w:hAnsi="宋体" w:cs="宋体"/>
                <w:kern w:val="0"/>
                <w:szCs w:val="21"/>
              </w:rPr>
              <w:t xml:space="preserve"> </w:t>
            </w:r>
            <w:r>
              <w:rPr>
                <w:rFonts w:hint="eastAsia" w:ascii="宋体" w:hAnsi="宋体" w:cs="宋体"/>
                <w:kern w:val="0"/>
                <w:szCs w:val="21"/>
              </w:rPr>
              <w:t>发包单位与外包单位安全生产管理协议</w:t>
            </w:r>
          </w:p>
        </w:tc>
        <w:tc>
          <w:tcPr>
            <w:tcW w:w="5343" w:type="dxa"/>
            <w:vAlign w:val="center"/>
          </w:tcPr>
          <w:p>
            <w:pPr>
              <w:widowControl/>
              <w:adjustRightInd w:val="0"/>
              <w:snapToGrid w:val="0"/>
              <w:ind w:firstLine="420" w:firstLineChars="200"/>
              <w:rPr>
                <w:szCs w:val="21"/>
                <w:highlight w:val="none"/>
              </w:rPr>
            </w:pPr>
            <w:r>
              <w:rPr>
                <w:rFonts w:hint="eastAsia"/>
                <w:szCs w:val="21"/>
              </w:rPr>
              <w:t>《安全生产法》第四十六条</w:t>
            </w:r>
            <w:r>
              <w:rPr>
                <w:rFonts w:hint="eastAsia"/>
                <w:szCs w:val="21"/>
                <w:highlight w:val="none"/>
              </w:rPr>
              <w:t xml:space="preserve">  </w:t>
            </w:r>
            <w:r>
              <w:rPr>
                <w:rFonts w:hint="eastAsia" w:asciiTheme="minorEastAsia" w:hAnsiTheme="minorEastAsia" w:eastAsiaTheme="minorEastAsia"/>
                <w:szCs w:val="21"/>
                <w:highlight w:val="none"/>
              </w:rPr>
              <w:t>……</w:t>
            </w:r>
          </w:p>
          <w:p>
            <w:pPr>
              <w:widowControl/>
              <w:adjustRightInd w:val="0"/>
              <w:snapToGrid w:val="0"/>
              <w:ind w:firstLine="420" w:firstLineChars="200"/>
              <w:rPr>
                <w:szCs w:val="21"/>
              </w:rPr>
            </w:pPr>
            <w:r>
              <w:rPr>
                <w:rFonts w:hint="eastAsia"/>
                <w:szCs w:val="21"/>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widowControl/>
              <w:adjustRightInd w:val="0"/>
              <w:snapToGrid w:val="0"/>
              <w:ind w:firstLine="420" w:firstLineChars="200"/>
              <w:rPr>
                <w:szCs w:val="21"/>
              </w:rPr>
            </w:pPr>
            <w:r>
              <w:rPr>
                <w:rFonts w:hint="eastAsia"/>
                <w:szCs w:val="21"/>
              </w:rPr>
              <w:t>《非煤矿山外包工程安全管理暂行办法》第八条  发包单位应当与承包单位签订安全生产管理协议，明确各自的安全生产管理职责。安全生产管理协议应当包括下列内容：</w:t>
            </w:r>
          </w:p>
          <w:p>
            <w:pPr>
              <w:widowControl/>
              <w:adjustRightInd w:val="0"/>
              <w:snapToGrid w:val="0"/>
              <w:ind w:firstLine="420" w:firstLineChars="200"/>
              <w:rPr>
                <w:szCs w:val="21"/>
              </w:rPr>
            </w:pPr>
            <w:r>
              <w:rPr>
                <w:rFonts w:hint="eastAsia"/>
                <w:szCs w:val="21"/>
              </w:rPr>
              <w:t>（一）安全投入保障；</w:t>
            </w:r>
          </w:p>
          <w:p>
            <w:pPr>
              <w:widowControl/>
              <w:adjustRightInd w:val="0"/>
              <w:snapToGrid w:val="0"/>
              <w:ind w:firstLine="420" w:firstLineChars="200"/>
              <w:rPr>
                <w:szCs w:val="21"/>
              </w:rPr>
            </w:pPr>
            <w:r>
              <w:rPr>
                <w:rFonts w:hint="eastAsia"/>
                <w:szCs w:val="21"/>
              </w:rPr>
              <w:t>（二）安全设施和施工条件；</w:t>
            </w:r>
          </w:p>
          <w:p>
            <w:pPr>
              <w:widowControl/>
              <w:adjustRightInd w:val="0"/>
              <w:snapToGrid w:val="0"/>
              <w:ind w:firstLine="420" w:firstLineChars="200"/>
              <w:rPr>
                <w:szCs w:val="21"/>
              </w:rPr>
            </w:pPr>
            <w:r>
              <w:rPr>
                <w:rFonts w:hint="eastAsia"/>
                <w:szCs w:val="21"/>
              </w:rPr>
              <w:t>（三）隐患排查与治理；</w:t>
            </w:r>
          </w:p>
          <w:p>
            <w:pPr>
              <w:widowControl/>
              <w:adjustRightInd w:val="0"/>
              <w:snapToGrid w:val="0"/>
              <w:ind w:firstLine="420" w:firstLineChars="200"/>
              <w:rPr>
                <w:szCs w:val="21"/>
              </w:rPr>
            </w:pPr>
            <w:r>
              <w:rPr>
                <w:rFonts w:hint="eastAsia"/>
                <w:szCs w:val="21"/>
              </w:rPr>
              <w:t>（四）安全教育与培训；</w:t>
            </w:r>
          </w:p>
          <w:p>
            <w:pPr>
              <w:widowControl/>
              <w:adjustRightInd w:val="0"/>
              <w:snapToGrid w:val="0"/>
              <w:ind w:firstLine="420" w:firstLineChars="200"/>
              <w:rPr>
                <w:szCs w:val="21"/>
              </w:rPr>
            </w:pPr>
            <w:r>
              <w:rPr>
                <w:rFonts w:hint="eastAsia"/>
                <w:szCs w:val="21"/>
              </w:rPr>
              <w:t>（五）事故应急救援；</w:t>
            </w:r>
          </w:p>
          <w:p>
            <w:pPr>
              <w:widowControl/>
              <w:adjustRightInd w:val="0"/>
              <w:snapToGrid w:val="0"/>
              <w:ind w:firstLine="420" w:firstLineChars="200"/>
              <w:rPr>
                <w:szCs w:val="21"/>
              </w:rPr>
            </w:pPr>
            <w:r>
              <w:rPr>
                <w:rFonts w:hint="eastAsia"/>
                <w:szCs w:val="21"/>
              </w:rPr>
              <w:t>（六）安全检查与考评；</w:t>
            </w:r>
          </w:p>
          <w:p>
            <w:pPr>
              <w:widowControl/>
              <w:adjustRightInd w:val="0"/>
              <w:snapToGrid w:val="0"/>
              <w:ind w:firstLine="420" w:firstLineChars="200"/>
              <w:rPr>
                <w:szCs w:val="21"/>
              </w:rPr>
            </w:pPr>
            <w:r>
              <w:rPr>
                <w:rFonts w:hint="eastAsia"/>
                <w:szCs w:val="21"/>
              </w:rPr>
              <w:t>（七）违约责任。</w:t>
            </w:r>
          </w:p>
          <w:p>
            <w:pPr>
              <w:widowControl/>
              <w:adjustRightInd w:val="0"/>
              <w:snapToGrid w:val="0"/>
              <w:ind w:firstLine="420" w:firstLineChars="200"/>
              <w:rPr>
                <w:rFonts w:ascii="宋体" w:hAnsi="宋体" w:cs="宋体"/>
                <w:kern w:val="0"/>
                <w:szCs w:val="21"/>
              </w:rPr>
            </w:pPr>
            <w:r>
              <w:rPr>
                <w:rFonts w:hint="eastAsia"/>
                <w:szCs w:val="21"/>
              </w:rPr>
              <w:t>安全生产管理协议的文本格式由国家安全生产监督管理总局另行制定。</w:t>
            </w:r>
          </w:p>
        </w:tc>
        <w:tc>
          <w:tcPr>
            <w:tcW w:w="3687" w:type="dxa"/>
            <w:vAlign w:val="center"/>
          </w:tcPr>
          <w:p>
            <w:pPr>
              <w:ind w:firstLine="420" w:firstLineChars="200"/>
              <w:rPr>
                <w:rFonts w:hint="eastAsia"/>
              </w:rPr>
            </w:pPr>
            <w:r>
              <w:rPr>
                <w:rFonts w:hint="eastAsia"/>
              </w:rPr>
              <w:t>《安全生产法》第一百条  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pPr>
              <w:pStyle w:val="2"/>
            </w:pPr>
            <w:r>
              <w:rPr>
                <w:rFonts w:hint="eastAsia" w:ascii="Calibri" w:hAnsi="Calibri" w:eastAsia="宋体" w:cs="Times New Roman"/>
                <w:kern w:val="2"/>
                <w:sz w:val="21"/>
                <w:szCs w:val="22"/>
                <w:lang w:val="en-US" w:eastAsia="zh-CN" w:bidi="ar-SA"/>
              </w:rPr>
              <w:t>《非煤矿山外包工程安全管理暂行办法》第三十三条</w:t>
            </w:r>
            <w:bookmarkStart w:id="13" w:name="tiao_33_kuan_1"/>
            <w:bookmarkEnd w:id="13"/>
            <w:r>
              <w:rPr>
                <w:rFonts w:hint="eastAsia" w:eastAsia="宋体" w:cs="Times New Roman"/>
                <w:kern w:val="2"/>
                <w:sz w:val="21"/>
                <w:szCs w:val="22"/>
                <w:lang w:val="en-US" w:eastAsia="zh-CN" w:bidi="ar-SA"/>
              </w:rPr>
              <w:t xml:space="preserve">  </w:t>
            </w:r>
            <w:r>
              <w:rPr>
                <w:rFonts w:hint="eastAsia" w:ascii="Calibri" w:hAnsi="Calibri" w:eastAsia="宋体" w:cs="Times New Roman"/>
                <w:kern w:val="2"/>
                <w:sz w:val="21"/>
                <w:szCs w:val="22"/>
                <w:lang w:val="en-US" w:eastAsia="zh-CN" w:bidi="ar-SA"/>
              </w:rPr>
              <w:t>发包单位与承包单位、总承包单位与分项承包单位未依照本办法第八条规定签订安全生产管理协议的，责令限期改正，可以处5万元以下的罚款，对其直接负责的主管人员和其他直接责任人员可以处以1万元以下罚款；逾期未改正的，责令停产停业整顿。</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687"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rPr>
                <w:rFonts w:ascii="宋体" w:hAnsi="宋体"/>
                <w:szCs w:val="21"/>
              </w:rPr>
            </w:pPr>
          </w:p>
        </w:tc>
        <w:tc>
          <w:tcPr>
            <w:tcW w:w="1665" w:type="dxa"/>
            <w:vAlign w:val="center"/>
          </w:tcPr>
          <w:p>
            <w:pPr>
              <w:widowControl/>
              <w:adjustRightInd w:val="0"/>
              <w:snapToGrid w:val="0"/>
              <w:rPr>
                <w:rFonts w:ascii="宋体" w:hAnsi="宋体" w:cs="宋体"/>
                <w:kern w:val="0"/>
                <w:szCs w:val="21"/>
              </w:rPr>
            </w:pPr>
            <w:r>
              <w:rPr>
                <w:rFonts w:hint="eastAsia" w:ascii="宋体" w:hAnsi="宋体" w:cs="宋体"/>
                <w:kern w:val="0"/>
                <w:szCs w:val="21"/>
              </w:rPr>
              <w:t>3.9 地下矿山主要系统分包管理</w:t>
            </w:r>
          </w:p>
        </w:tc>
        <w:tc>
          <w:tcPr>
            <w:tcW w:w="5343" w:type="dxa"/>
            <w:vAlign w:val="center"/>
          </w:tcPr>
          <w:p>
            <w:pPr>
              <w:ind w:firstLine="420" w:firstLineChars="200"/>
              <w:rPr>
                <w:rFonts w:hint="eastAsia" w:asciiTheme="minorEastAsia" w:hAnsiTheme="minorEastAsia" w:eastAsiaTheme="minorEastAsia" w:cstheme="minorEastAsia"/>
                <w:szCs w:val="21"/>
                <w:highlight w:val="none"/>
              </w:rPr>
            </w:pPr>
            <w:r>
              <w:rPr>
                <w:rFonts w:hint="eastAsia"/>
                <w:szCs w:val="21"/>
              </w:rPr>
              <w:t>《非煤矿山外包工程安全管理暂行办法》第十二条  金属非金属矿山总发包单位对地下矿山一个生产系统进行分项发包的，承包单位原则上不得超</w:t>
            </w:r>
            <w:r>
              <w:rPr>
                <w:rFonts w:hint="eastAsia" w:asciiTheme="minorEastAsia" w:hAnsiTheme="minorEastAsia" w:eastAsiaTheme="minorEastAsia" w:cstheme="minorEastAsia"/>
                <w:szCs w:val="21"/>
                <w:highlight w:val="none"/>
              </w:rPr>
              <w:t>过3家，避免相互影响生产、作业安全。</w:t>
            </w:r>
          </w:p>
          <w:p>
            <w:pPr>
              <w:widowControl/>
              <w:adjustRightInd w:val="0"/>
              <w:snapToGrid w:val="0"/>
              <w:ind w:firstLine="420" w:firstLineChars="200"/>
              <w:rPr>
                <w:rFonts w:ascii="宋体" w:hAnsi="宋体" w:cs="宋体"/>
                <w:kern w:val="0"/>
                <w:szCs w:val="21"/>
              </w:rPr>
            </w:pPr>
            <w:r>
              <w:rPr>
                <w:rFonts w:hint="eastAsia"/>
                <w:szCs w:val="21"/>
              </w:rPr>
              <w:t>前款规定的发包单位在地下矿山正常生产期间，不得将主通风、主提升、供排水、供配电、主供风系统及其设备设施的运行管理进行分项发包。</w:t>
            </w:r>
          </w:p>
        </w:tc>
        <w:tc>
          <w:tcPr>
            <w:tcW w:w="3687" w:type="dxa"/>
            <w:vAlign w:val="center"/>
          </w:tcPr>
          <w:p>
            <w:pPr>
              <w:widowControl/>
              <w:adjustRightInd w:val="0"/>
              <w:snapToGrid w:val="0"/>
              <w:ind w:firstLine="420" w:firstLineChars="200"/>
              <w:rPr>
                <w:rFonts w:ascii="宋体" w:hAnsi="宋体" w:cs="宋体"/>
                <w:kern w:val="0"/>
                <w:szCs w:val="21"/>
              </w:rPr>
            </w:pPr>
            <w:r>
              <w:rPr>
                <w:rFonts w:hint="eastAsia"/>
                <w:szCs w:val="21"/>
              </w:rPr>
              <w:t>《非煤矿山外包工程安全管理暂行办法》第三十五条  对地下矿山实行分项发包的发包单位违反本办法第十二条的规定，在地下矿山正常生产期间，将主通风、主提升、供排水、供配</w:t>
            </w:r>
            <w:r>
              <w:rPr>
                <w:rFonts w:hint="eastAsia" w:asciiTheme="majorEastAsia" w:hAnsiTheme="majorEastAsia" w:eastAsiaTheme="majorEastAsia" w:cstheme="majorEastAsia"/>
                <w:szCs w:val="21"/>
              </w:rPr>
              <w:t>电、主供风系统及其设备设施的运行管理进行分项发包的，责令限期改正，处2万元以上3万元以下罚款。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restart"/>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4</w:t>
            </w:r>
          </w:p>
        </w:tc>
        <w:tc>
          <w:tcPr>
            <w:tcW w:w="1497" w:type="dxa"/>
            <w:vMerge w:val="restart"/>
            <w:vAlign w:val="center"/>
          </w:tcPr>
          <w:p>
            <w:pPr>
              <w:rPr>
                <w:rFonts w:ascii="宋体" w:hAnsi="宋体"/>
                <w:szCs w:val="21"/>
              </w:rPr>
            </w:pPr>
            <w:r>
              <w:rPr>
                <w:rFonts w:hint="eastAsia" w:ascii="宋体" w:hAnsi="宋体"/>
                <w:szCs w:val="21"/>
              </w:rPr>
              <w:t>提升系统</w:t>
            </w:r>
          </w:p>
        </w:tc>
        <w:tc>
          <w:tcPr>
            <w:tcW w:w="1665" w:type="dxa"/>
            <w:vAlign w:val="center"/>
          </w:tcPr>
          <w:p>
            <w:pPr>
              <w:rPr>
                <w:rFonts w:ascii="宋体" w:hAnsi="宋体"/>
                <w:szCs w:val="21"/>
              </w:rPr>
            </w:pPr>
            <w:r>
              <w:rPr>
                <w:rFonts w:hint="eastAsia" w:ascii="宋体" w:hAnsi="宋体"/>
                <w:szCs w:val="21"/>
              </w:rPr>
              <w:t xml:space="preserve">4.1 </w:t>
            </w:r>
            <w:r>
              <w:rPr>
                <w:rFonts w:ascii="宋体" w:hAnsi="宋体"/>
                <w:szCs w:val="21"/>
              </w:rPr>
              <w:t>竖井与各中段连接处栅栏</w:t>
            </w:r>
            <w:r>
              <w:rPr>
                <w:rFonts w:hint="eastAsia" w:ascii="宋体" w:hAnsi="宋体"/>
                <w:szCs w:val="21"/>
              </w:rPr>
              <w:t>、阻车器</w:t>
            </w:r>
            <w:r>
              <w:rPr>
                <w:rFonts w:ascii="宋体" w:hAnsi="宋体"/>
                <w:szCs w:val="21"/>
              </w:rPr>
              <w:t>等</w:t>
            </w:r>
            <w:r>
              <w:rPr>
                <w:rFonts w:hint="eastAsia" w:ascii="宋体" w:hAnsi="宋体"/>
                <w:szCs w:val="21"/>
              </w:rPr>
              <w:t>设置</w:t>
            </w:r>
          </w:p>
        </w:tc>
        <w:tc>
          <w:tcPr>
            <w:tcW w:w="5343" w:type="dxa"/>
            <w:vAlign w:val="center"/>
          </w:tcPr>
          <w:p>
            <w:pPr>
              <w:ind w:firstLine="420" w:firstLineChars="200"/>
              <w:rPr>
                <w:rFonts w:ascii="宋体" w:hAnsi="宋体"/>
                <w:szCs w:val="21"/>
              </w:rPr>
            </w:pPr>
            <w:r>
              <w:rPr>
                <w:rFonts w:hint="eastAsia" w:ascii="宋体" w:hAnsi="宋体"/>
                <w:szCs w:val="21"/>
              </w:rPr>
              <w:t xml:space="preserve">《安全生产法》第三十三条  安全设备的设计、制造、安装、使用、检测、改造和报废，应当符合国家标准或者行业标准。 </w:t>
            </w:r>
          </w:p>
          <w:p>
            <w:pPr>
              <w:ind w:firstLine="420" w:firstLineChars="200"/>
              <w:rPr>
                <w:rFonts w:ascii="宋体" w:hAnsi="宋体"/>
                <w:szCs w:val="21"/>
              </w:rPr>
            </w:pPr>
            <w:r>
              <w:rPr>
                <w:rFonts w:hint="eastAsia" w:ascii="宋体" w:hAnsi="宋体"/>
                <w:szCs w:val="21"/>
              </w:rPr>
              <w:t>……</w:t>
            </w:r>
          </w:p>
          <w:p>
            <w:pPr>
              <w:ind w:firstLine="420" w:firstLineChars="200"/>
              <w:rPr>
                <w:rFonts w:ascii="宋体" w:hAnsi="宋体"/>
                <w:szCs w:val="21"/>
                <w:highlight w:val="none"/>
              </w:rPr>
            </w:pPr>
            <w:r>
              <w:rPr>
                <w:rFonts w:ascii="宋体" w:hAnsi="宋体"/>
                <w:szCs w:val="21"/>
              </w:rPr>
              <w:t>《金属非金属矿山安全规程</w:t>
            </w:r>
            <w:r>
              <w:rPr>
                <w:rFonts w:ascii="宋体" w:hAnsi="宋体"/>
                <w:szCs w:val="21"/>
                <w:highlight w:val="none"/>
              </w:rPr>
              <w:t>》（GB 16423-2006）</w:t>
            </w:r>
          </w:p>
          <w:p>
            <w:pPr>
              <w:ind w:firstLine="420" w:firstLineChars="200"/>
              <w:rPr>
                <w:rFonts w:ascii="宋体" w:hAnsi="宋体"/>
                <w:szCs w:val="21"/>
              </w:rPr>
            </w:pPr>
            <w:r>
              <w:rPr>
                <w:rFonts w:ascii="宋体" w:hAnsi="宋体"/>
                <w:szCs w:val="21"/>
                <w:highlight w:val="none"/>
              </w:rPr>
              <w:t>6.</w:t>
            </w: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7</w:t>
            </w:r>
            <w:r>
              <w:rPr>
                <w:rFonts w:ascii="宋体" w:hAnsi="宋体"/>
                <w:szCs w:val="21"/>
                <w:highlight w:val="none"/>
              </w:rPr>
              <w:t>.</w:t>
            </w:r>
            <w:r>
              <w:rPr>
                <w:rFonts w:hint="eastAsia" w:ascii="宋体" w:hAnsi="宋体"/>
                <w:szCs w:val="21"/>
                <w:highlight w:val="none"/>
              </w:rPr>
              <w:t>1竖井与各中段的连接处，应有足够的照明和</w:t>
            </w:r>
            <w:r>
              <w:rPr>
                <w:rFonts w:hint="eastAsia" w:ascii="宋体" w:hAnsi="宋体"/>
                <w:szCs w:val="21"/>
              </w:rPr>
              <w:t>设置高度不小于1.5m的栅栏或金属网，并应设置阻车器，进出口设栅栏门。栅栏门只准在通过人员或车辆时打开。井筒与水平大巷连接处，应设绕道，人员不得通过提升间。</w:t>
            </w:r>
          </w:p>
        </w:tc>
        <w:tc>
          <w:tcPr>
            <w:tcW w:w="3687" w:type="dxa"/>
            <w:vAlign w:val="center"/>
          </w:tcPr>
          <w:p>
            <w:pPr>
              <w:spacing w:line="240" w:lineRule="exact"/>
              <w:ind w:firstLine="420" w:firstLineChars="200"/>
              <w:rPr>
                <w:rFonts w:ascii="宋体" w:hAnsi="宋体"/>
                <w:szCs w:val="21"/>
              </w:rPr>
            </w:pPr>
            <w:r>
              <w:rPr>
                <w:rFonts w:asciiTheme="minorEastAsia" w:hAnsiTheme="minorEastAsia" w:eastAsiaTheme="minorEastAsia"/>
                <w:szCs w:val="21"/>
              </w:rPr>
              <w:t>《安全生产法》</w:t>
            </w:r>
            <w:r>
              <w:rPr>
                <w:rFonts w:hint="eastAsia" w:ascii="宋体" w:hAnsi="宋体"/>
                <w:szCs w:val="21"/>
              </w:rPr>
              <w:t>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240" w:lineRule="exact"/>
              <w:ind w:firstLine="420" w:firstLineChars="200"/>
              <w:rPr>
                <w:rFonts w:ascii="宋体" w:hAnsi="宋体"/>
                <w:szCs w:val="21"/>
              </w:rPr>
            </w:pPr>
            <w:r>
              <w:rPr>
                <w:rFonts w:hint="eastAsia" w:ascii="宋体" w:hAnsi="宋体"/>
                <w:szCs w:val="21"/>
              </w:rPr>
              <w:t>……</w:t>
            </w:r>
          </w:p>
          <w:p>
            <w:pPr>
              <w:spacing w:line="240" w:lineRule="exact"/>
              <w:ind w:firstLine="420" w:firstLineChars="200"/>
              <w:rPr>
                <w:rFonts w:ascii="宋体" w:hAnsi="宋体"/>
                <w:szCs w:val="21"/>
              </w:rPr>
            </w:pPr>
            <w:r>
              <w:rPr>
                <w:rFonts w:hint="eastAsia" w:ascii="宋体" w:hAnsi="宋体"/>
                <w:szCs w:val="21"/>
              </w:rPr>
              <w:t>（二）安全设备的安装、使用、检测、改造和报废不符合国家标准或者行业标准的；</w:t>
            </w:r>
          </w:p>
          <w:p>
            <w:pPr>
              <w:spacing w:line="240" w:lineRule="exact"/>
              <w:ind w:firstLine="420" w:firstLineChars="200"/>
              <w:rPr>
                <w:rFonts w:ascii="宋体" w:hAnsi="宋体"/>
                <w:szCs w:val="21"/>
              </w:rPr>
            </w:pPr>
            <w:r>
              <w:rPr>
                <w:rFonts w:hint="eastAsia" w:ascii="宋体" w:hAnsi="宋体"/>
                <w:szCs w:val="21"/>
              </w:rPr>
              <w:t>……</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671"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rPr>
                <w:rFonts w:ascii="宋体" w:hAnsi="宋体"/>
                <w:szCs w:val="21"/>
              </w:rPr>
            </w:pPr>
          </w:p>
        </w:tc>
        <w:tc>
          <w:tcPr>
            <w:tcW w:w="1665" w:type="dxa"/>
            <w:vAlign w:val="center"/>
          </w:tcPr>
          <w:p>
            <w:pPr>
              <w:rPr>
                <w:rFonts w:ascii="宋体" w:hAnsi="宋体"/>
                <w:szCs w:val="21"/>
              </w:rPr>
            </w:pPr>
            <w:r>
              <w:rPr>
                <w:rFonts w:hint="eastAsia" w:ascii="宋体" w:hAnsi="宋体"/>
                <w:szCs w:val="21"/>
              </w:rPr>
              <w:t>4</w:t>
            </w:r>
            <w:r>
              <w:rPr>
                <w:rFonts w:ascii="宋体" w:hAnsi="宋体"/>
                <w:szCs w:val="21"/>
              </w:rPr>
              <w:t>.2 过卷保护装置及</w:t>
            </w:r>
            <w:r>
              <w:rPr>
                <w:rFonts w:hint="eastAsia" w:ascii="宋体" w:hAnsi="宋体"/>
                <w:szCs w:val="21"/>
              </w:rPr>
              <w:t>防坠装置</w:t>
            </w:r>
          </w:p>
        </w:tc>
        <w:tc>
          <w:tcPr>
            <w:tcW w:w="5343" w:type="dxa"/>
            <w:vAlign w:val="center"/>
          </w:tcPr>
          <w:p>
            <w:pPr>
              <w:ind w:firstLine="420" w:firstLineChars="200"/>
              <w:rPr>
                <w:rFonts w:ascii="宋体" w:hAnsi="宋体"/>
                <w:szCs w:val="21"/>
              </w:rPr>
            </w:pPr>
            <w:r>
              <w:rPr>
                <w:rFonts w:hint="eastAsia" w:ascii="宋体" w:hAnsi="宋体"/>
                <w:szCs w:val="21"/>
              </w:rPr>
              <w:t xml:space="preserve">《安全生产法》第三十三条  安全设备的设计、制造、安装、使用、检测、改造和报废，应当符合国家标准或者行业标准。 </w:t>
            </w:r>
          </w:p>
          <w:p>
            <w:pPr>
              <w:ind w:firstLine="420" w:firstLineChars="200"/>
              <w:rPr>
                <w:rFonts w:ascii="宋体" w:hAnsi="宋体"/>
                <w:szCs w:val="21"/>
                <w:highlight w:val="none"/>
              </w:rPr>
            </w:pPr>
            <w:r>
              <w:rPr>
                <w:rFonts w:hint="eastAsia" w:ascii="宋体" w:hAnsi="宋体"/>
                <w:szCs w:val="21"/>
              </w:rPr>
              <w:t>……</w:t>
            </w:r>
          </w:p>
          <w:p>
            <w:pPr>
              <w:ind w:firstLine="420" w:firstLineChars="200"/>
              <w:rPr>
                <w:rFonts w:ascii="宋体" w:hAnsi="宋体"/>
                <w:szCs w:val="21"/>
                <w:highlight w:val="none"/>
              </w:rPr>
            </w:pPr>
            <w:r>
              <w:rPr>
                <w:rFonts w:hint="eastAsia" w:ascii="宋体" w:hAnsi="宋体"/>
                <w:szCs w:val="21"/>
                <w:highlight w:val="none"/>
              </w:rPr>
              <w:t>《金属非金属矿山安全规程》（GB 16423-2006）</w:t>
            </w:r>
          </w:p>
          <w:p>
            <w:pPr>
              <w:ind w:firstLine="420" w:firstLineChars="200"/>
              <w:rPr>
                <w:rFonts w:ascii="宋体" w:hAnsi="宋体"/>
                <w:szCs w:val="21"/>
                <w:highlight w:val="none"/>
              </w:rPr>
            </w:pPr>
            <w:r>
              <w:rPr>
                <w:rFonts w:ascii="宋体" w:hAnsi="宋体"/>
                <w:szCs w:val="21"/>
                <w:highlight w:val="none"/>
              </w:rPr>
              <w:t>6.3.3.21竖井提升系统应设过卷保护装置，过卷高度应符合下列规定：</w:t>
            </w:r>
          </w:p>
          <w:p>
            <w:pPr>
              <w:ind w:firstLine="420" w:firstLineChars="200"/>
              <w:rPr>
                <w:rFonts w:ascii="宋体" w:hAnsi="宋体"/>
                <w:szCs w:val="21"/>
              </w:rPr>
            </w:pPr>
            <w:r>
              <w:rPr>
                <w:rFonts w:hint="eastAsia" w:ascii="宋体" w:hAnsi="宋体"/>
                <w:szCs w:val="21"/>
                <w:highlight w:val="none"/>
              </w:rPr>
              <w:t>——提升速度低于</w:t>
            </w:r>
            <w:r>
              <w:rPr>
                <w:rFonts w:ascii="宋体" w:hAnsi="宋体"/>
                <w:szCs w:val="21"/>
                <w:highlight w:val="none"/>
              </w:rPr>
              <w:t>3m／s时，不小于</w:t>
            </w:r>
            <w:r>
              <w:rPr>
                <w:rFonts w:ascii="宋体" w:hAnsi="宋体"/>
                <w:szCs w:val="21"/>
              </w:rPr>
              <w:t>4m；</w:t>
            </w:r>
          </w:p>
          <w:p>
            <w:pPr>
              <w:ind w:firstLine="420" w:firstLineChars="200"/>
              <w:rPr>
                <w:rFonts w:ascii="宋体" w:hAnsi="宋体"/>
                <w:szCs w:val="21"/>
              </w:rPr>
            </w:pPr>
            <w:r>
              <w:rPr>
                <w:rFonts w:hint="eastAsia" w:ascii="宋体" w:hAnsi="宋体"/>
                <w:szCs w:val="21"/>
              </w:rPr>
              <w:t>——提升速度为</w:t>
            </w:r>
            <w:r>
              <w:rPr>
                <w:rFonts w:ascii="宋体" w:hAnsi="宋体"/>
                <w:szCs w:val="21"/>
              </w:rPr>
              <w:t>3～6m／s时，不小于6m；</w:t>
            </w:r>
          </w:p>
          <w:p>
            <w:pPr>
              <w:ind w:firstLine="420" w:firstLineChars="200"/>
              <w:rPr>
                <w:rFonts w:ascii="宋体" w:hAnsi="宋体"/>
                <w:szCs w:val="21"/>
              </w:rPr>
            </w:pPr>
            <w:r>
              <w:rPr>
                <w:rFonts w:ascii="宋体" w:hAnsi="宋体"/>
                <w:szCs w:val="21"/>
              </w:rPr>
              <w:t>——提升速度高于6m／s、低于或等于10m／s时，不小于最高提升速度下运行1s的提升高度；</w:t>
            </w:r>
          </w:p>
          <w:p>
            <w:pPr>
              <w:ind w:firstLine="420" w:firstLineChars="200"/>
              <w:rPr>
                <w:rFonts w:ascii="宋体" w:hAnsi="宋体"/>
                <w:szCs w:val="21"/>
              </w:rPr>
            </w:pPr>
            <w:r>
              <w:rPr>
                <w:rFonts w:hint="eastAsia" w:ascii="宋体" w:hAnsi="宋体"/>
                <w:szCs w:val="21"/>
              </w:rPr>
              <w:t>——提升速度高于</w:t>
            </w:r>
            <w:r>
              <w:rPr>
                <w:rFonts w:ascii="宋体" w:hAnsi="宋体"/>
                <w:szCs w:val="21"/>
              </w:rPr>
              <w:t>10m／s时，不小于10m；</w:t>
            </w:r>
          </w:p>
          <w:p>
            <w:pPr>
              <w:ind w:firstLine="420" w:firstLineChars="200"/>
              <w:rPr>
                <w:rFonts w:ascii="宋体" w:hAnsi="宋体"/>
                <w:szCs w:val="21"/>
              </w:rPr>
            </w:pPr>
            <w:r>
              <w:rPr>
                <w:rFonts w:hint="eastAsia" w:ascii="宋体" w:hAnsi="宋体"/>
                <w:szCs w:val="21"/>
              </w:rPr>
              <w:t>——凿井期间用吊桶提升时，不小于</w:t>
            </w:r>
            <w:r>
              <w:rPr>
                <w:rFonts w:ascii="宋体" w:hAnsi="宋体"/>
                <w:szCs w:val="21"/>
              </w:rPr>
              <w:t>4m。</w:t>
            </w:r>
          </w:p>
        </w:tc>
        <w:tc>
          <w:tcPr>
            <w:tcW w:w="3687" w:type="dxa"/>
            <w:vAlign w:val="center"/>
          </w:tcPr>
          <w:p>
            <w:pPr>
              <w:spacing w:line="240" w:lineRule="atLeast"/>
              <w:ind w:firstLine="420" w:firstLineChars="200"/>
              <w:rPr>
                <w:rFonts w:ascii="宋体" w:hAnsi="宋体"/>
                <w:szCs w:val="21"/>
              </w:rPr>
            </w:pPr>
            <w:r>
              <w:rPr>
                <w:rFonts w:asciiTheme="minorEastAsia" w:hAnsiTheme="minorEastAsia" w:eastAsiaTheme="minorEastAsia"/>
                <w:szCs w:val="21"/>
              </w:rPr>
              <w:t>《安全生产法》</w:t>
            </w:r>
            <w:r>
              <w:rPr>
                <w:rFonts w:hint="eastAsia" w:ascii="宋体" w:hAnsi="宋体"/>
                <w:szCs w:val="21"/>
              </w:rPr>
              <w:t>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ind w:firstLine="420" w:firstLineChars="200"/>
              <w:rPr>
                <w:rFonts w:ascii="宋体" w:hAnsi="宋体"/>
                <w:szCs w:val="21"/>
              </w:rPr>
            </w:pPr>
            <w:r>
              <w:rPr>
                <w:rFonts w:hint="eastAsia" w:ascii="宋体" w:hAnsi="宋体"/>
                <w:szCs w:val="21"/>
              </w:rPr>
              <w:t>……</w:t>
            </w:r>
          </w:p>
          <w:p>
            <w:pPr>
              <w:ind w:firstLine="420" w:firstLineChars="200"/>
              <w:rPr>
                <w:rFonts w:ascii="宋体" w:hAnsi="宋体"/>
                <w:szCs w:val="21"/>
              </w:rPr>
            </w:pPr>
            <w:r>
              <w:rPr>
                <w:rFonts w:hint="eastAsia" w:ascii="宋体" w:hAnsi="宋体"/>
                <w:szCs w:val="21"/>
              </w:rPr>
              <w:t>（二）安全设备的安装、使用、检测、改造和报废不符合国家标准或者行业标准的；</w:t>
            </w:r>
          </w:p>
          <w:p>
            <w:pPr>
              <w:ind w:firstLine="420" w:firstLineChars="200"/>
              <w:rPr>
                <w:rFonts w:ascii="宋体" w:hAnsi="宋体"/>
                <w:szCs w:val="21"/>
              </w:rPr>
            </w:pPr>
            <w:r>
              <w:rPr>
                <w:rFonts w:hint="eastAsia" w:ascii="宋体" w:hAnsi="宋体"/>
                <w:szCs w:val="21"/>
              </w:rPr>
              <w:t>……</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50"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rPr>
                <w:rFonts w:ascii="宋体" w:hAnsi="宋体"/>
                <w:szCs w:val="21"/>
              </w:rPr>
            </w:pPr>
          </w:p>
        </w:tc>
        <w:tc>
          <w:tcPr>
            <w:tcW w:w="1665" w:type="dxa"/>
            <w:vAlign w:val="center"/>
          </w:tcPr>
          <w:p>
            <w:pPr>
              <w:rPr>
                <w:rFonts w:ascii="宋体" w:hAnsi="宋体"/>
                <w:szCs w:val="21"/>
              </w:rPr>
            </w:pPr>
            <w:r>
              <w:rPr>
                <w:rFonts w:hint="eastAsia" w:ascii="宋体" w:hAnsi="宋体"/>
                <w:szCs w:val="21"/>
              </w:rPr>
              <w:t>4</w:t>
            </w:r>
            <w:r>
              <w:rPr>
                <w:rFonts w:ascii="宋体" w:hAnsi="宋体"/>
                <w:szCs w:val="21"/>
              </w:rPr>
              <w:t>.3 提升系统的保护和闭锁连锁装置</w:t>
            </w:r>
          </w:p>
        </w:tc>
        <w:tc>
          <w:tcPr>
            <w:tcW w:w="5343" w:type="dxa"/>
            <w:vAlign w:val="center"/>
          </w:tcPr>
          <w:p>
            <w:pPr>
              <w:ind w:firstLine="420" w:firstLineChars="200"/>
              <w:rPr>
                <w:rFonts w:ascii="宋体" w:hAnsi="宋体"/>
                <w:szCs w:val="21"/>
              </w:rPr>
            </w:pPr>
            <w:r>
              <w:rPr>
                <w:rFonts w:hint="eastAsia" w:ascii="宋体" w:hAnsi="宋体"/>
                <w:szCs w:val="21"/>
              </w:rPr>
              <w:t>《安全生产法》第三十三条  安全设备的设计、制造、安装、使用、检测、改造和报废，应当符合国家标准或者行业标准。</w:t>
            </w:r>
          </w:p>
          <w:p>
            <w:pPr>
              <w:ind w:firstLine="420" w:firstLineChars="200"/>
              <w:rPr>
                <w:rFonts w:ascii="宋体" w:hAnsi="宋体"/>
                <w:szCs w:val="21"/>
                <w:highlight w:val="none"/>
              </w:rPr>
            </w:pPr>
            <w:r>
              <w:rPr>
                <w:rFonts w:hint="eastAsia" w:ascii="宋体" w:hAnsi="宋体"/>
                <w:szCs w:val="21"/>
              </w:rPr>
              <w:t>……</w:t>
            </w:r>
          </w:p>
          <w:p>
            <w:pPr>
              <w:ind w:firstLine="420" w:firstLineChars="200"/>
              <w:rPr>
                <w:rFonts w:ascii="宋体" w:hAnsi="宋体"/>
                <w:szCs w:val="21"/>
                <w:highlight w:val="none"/>
              </w:rPr>
            </w:pPr>
            <w:r>
              <w:rPr>
                <w:rFonts w:hint="eastAsia" w:ascii="宋体" w:hAnsi="宋体"/>
                <w:szCs w:val="21"/>
                <w:highlight w:val="none"/>
              </w:rPr>
              <w:t>《金属非金属矿山安全规程》（GB 16423-2006）</w:t>
            </w:r>
          </w:p>
          <w:p>
            <w:pPr>
              <w:ind w:firstLine="420" w:firstLineChars="200"/>
              <w:rPr>
                <w:rFonts w:ascii="宋体" w:hAnsi="宋体"/>
                <w:szCs w:val="21"/>
              </w:rPr>
            </w:pPr>
            <w:r>
              <w:rPr>
                <w:rFonts w:ascii="宋体" w:hAnsi="宋体"/>
                <w:szCs w:val="21"/>
              </w:rPr>
              <w:t>6.3.5.10提升装置的机电控制系统，应有下列符合要求的保护与电气闭锁装置：</w:t>
            </w:r>
          </w:p>
          <w:p>
            <w:pPr>
              <w:ind w:firstLine="420" w:firstLineChars="200"/>
              <w:rPr>
                <w:rFonts w:ascii="宋体" w:hAnsi="宋体"/>
                <w:szCs w:val="21"/>
              </w:rPr>
            </w:pPr>
            <w:r>
              <w:rPr>
                <w:rFonts w:hint="eastAsia" w:ascii="宋体" w:hAnsi="宋体"/>
                <w:szCs w:val="21"/>
              </w:rPr>
              <w:t>——限速保护装置：罐笼提升系统最高速度超过</w:t>
            </w:r>
            <w:r>
              <w:rPr>
                <w:rFonts w:ascii="宋体" w:hAnsi="宋体"/>
                <w:szCs w:val="21"/>
              </w:rPr>
              <w:t>4m／s和箕斗提升系统最高速度超过6m／s时，控制提升容器接近预定停车点时的速度应不超过2m／s；</w:t>
            </w:r>
          </w:p>
          <w:p>
            <w:pPr>
              <w:ind w:firstLine="420" w:firstLineChars="200"/>
              <w:rPr>
                <w:rFonts w:ascii="宋体" w:hAnsi="宋体"/>
                <w:szCs w:val="21"/>
              </w:rPr>
            </w:pPr>
            <w:r>
              <w:rPr>
                <w:rFonts w:hint="eastAsia" w:ascii="宋体" w:hAnsi="宋体"/>
                <w:szCs w:val="21"/>
              </w:rPr>
              <w:t>——主传动电动机的短路及断电保护装置：保证安全制动及时动作；</w:t>
            </w:r>
          </w:p>
          <w:p>
            <w:pPr>
              <w:ind w:firstLine="420" w:firstLineChars="200"/>
              <w:rPr>
                <w:rFonts w:ascii="宋体" w:hAnsi="宋体"/>
                <w:szCs w:val="21"/>
              </w:rPr>
            </w:pPr>
            <w:r>
              <w:rPr>
                <w:rFonts w:hint="eastAsia" w:ascii="宋体" w:hAnsi="宋体"/>
                <w:szCs w:val="21"/>
              </w:rPr>
              <w:t>——过卷保护装置：安装在井架和深度指示器上；当提升容器或平衡锤超过正常卸载</w:t>
            </w:r>
            <w:r>
              <w:rPr>
                <w:rFonts w:ascii="宋体" w:hAnsi="宋体"/>
                <w:szCs w:val="21"/>
              </w:rPr>
              <w:t>(罐笼为进出车)位置O.5m时，使提升设备自动停止运转，同时实现安全制动；此外，还应设置不能再向过卷方向接通电动机电源的联锁装置；</w:t>
            </w:r>
          </w:p>
          <w:p>
            <w:pPr>
              <w:ind w:firstLine="420" w:firstLineChars="200"/>
              <w:rPr>
                <w:rFonts w:ascii="宋体" w:hAnsi="宋体"/>
                <w:szCs w:val="21"/>
              </w:rPr>
            </w:pPr>
            <w:r>
              <w:rPr>
                <w:rFonts w:hint="eastAsia" w:ascii="宋体" w:hAnsi="宋体"/>
                <w:szCs w:val="21"/>
              </w:rPr>
              <w:t>——过速保护装置：当提升速度超过规定速度的</w:t>
            </w:r>
            <w:r>
              <w:rPr>
                <w:rFonts w:ascii="宋体" w:hAnsi="宋体"/>
                <w:szCs w:val="21"/>
              </w:rPr>
              <w:t>15％时，使提升机自动停止运转，实现安全制动；</w:t>
            </w:r>
          </w:p>
          <w:p>
            <w:pPr>
              <w:ind w:firstLine="420" w:firstLineChars="200"/>
              <w:rPr>
                <w:rFonts w:ascii="宋体" w:hAnsi="宋体"/>
                <w:szCs w:val="21"/>
              </w:rPr>
            </w:pPr>
            <w:r>
              <w:rPr>
                <w:rFonts w:hint="eastAsia" w:ascii="宋体" w:hAnsi="宋体"/>
                <w:szCs w:val="21"/>
              </w:rPr>
              <w:t>——过负荷及无电压保护装置：当提升机过负荷或供电中断时，使提升机自动停止运转；</w:t>
            </w:r>
          </w:p>
          <w:p>
            <w:pPr>
              <w:ind w:firstLine="420" w:firstLineChars="200"/>
              <w:rPr>
                <w:rFonts w:ascii="宋体" w:hAnsi="宋体"/>
                <w:szCs w:val="21"/>
              </w:rPr>
            </w:pPr>
            <w:r>
              <w:rPr>
                <w:rFonts w:hint="eastAsia" w:ascii="宋体" w:hAnsi="宋体"/>
                <w:szCs w:val="21"/>
              </w:rPr>
              <w:t>——提升机操纵手柄与安全制动之间的联锁装置：操纵手柄不在“</w:t>
            </w:r>
            <w:r>
              <w:rPr>
                <w:rFonts w:ascii="宋体" w:hAnsi="宋体"/>
                <w:szCs w:val="21"/>
              </w:rPr>
              <w:t>O”位、制动手柄不在抱闸位置时，不能接通安全制动电磁铁电源而解除安全制动；</w:t>
            </w:r>
          </w:p>
          <w:p>
            <w:pPr>
              <w:ind w:firstLine="420" w:firstLineChars="200"/>
              <w:rPr>
                <w:rFonts w:ascii="宋体" w:hAnsi="宋体"/>
                <w:szCs w:val="21"/>
              </w:rPr>
            </w:pPr>
            <w:r>
              <w:rPr>
                <w:rFonts w:hint="eastAsia" w:ascii="宋体" w:hAnsi="宋体"/>
                <w:szCs w:val="21"/>
              </w:rPr>
              <w:t>——闸瓦磨损保护装置：闸瓦磨损超过允许值或制动弹簧</w:t>
            </w:r>
            <w:r>
              <w:rPr>
                <w:rFonts w:ascii="宋体" w:hAnsi="宋体"/>
                <w:szCs w:val="21"/>
              </w:rPr>
              <w:t>(或重锤机构)行程超限时，应有信号显示及安全制动；</w:t>
            </w:r>
          </w:p>
          <w:p>
            <w:pPr>
              <w:ind w:firstLine="420" w:firstLineChars="200"/>
              <w:rPr>
                <w:rFonts w:ascii="宋体" w:hAnsi="宋体"/>
                <w:szCs w:val="21"/>
              </w:rPr>
            </w:pPr>
            <w:r>
              <w:rPr>
                <w:rFonts w:hint="eastAsia" w:ascii="宋体" w:hAnsi="宋体"/>
                <w:szCs w:val="21"/>
              </w:rPr>
              <w:t>……</w:t>
            </w:r>
          </w:p>
        </w:tc>
        <w:tc>
          <w:tcPr>
            <w:tcW w:w="3687" w:type="dxa"/>
            <w:vAlign w:val="center"/>
          </w:tcPr>
          <w:p>
            <w:pPr>
              <w:ind w:firstLine="420" w:firstLineChars="200"/>
              <w:rPr>
                <w:rFonts w:ascii="宋体" w:hAnsi="宋体"/>
                <w:szCs w:val="21"/>
              </w:rPr>
            </w:pPr>
            <w:r>
              <w:rPr>
                <w:rFonts w:asciiTheme="minorEastAsia" w:hAnsiTheme="minorEastAsia" w:eastAsiaTheme="minorEastAsia"/>
                <w:szCs w:val="21"/>
              </w:rPr>
              <w:t>《安全生产法》</w:t>
            </w:r>
            <w:r>
              <w:rPr>
                <w:rFonts w:hint="eastAsia" w:ascii="宋体" w:hAnsi="宋体"/>
                <w:szCs w:val="21"/>
              </w:rPr>
              <w:t>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ind w:firstLine="420" w:firstLineChars="200"/>
              <w:rPr>
                <w:rFonts w:ascii="宋体" w:hAnsi="宋体"/>
                <w:szCs w:val="21"/>
              </w:rPr>
            </w:pPr>
            <w:r>
              <w:rPr>
                <w:rFonts w:ascii="宋体" w:hAnsi="宋体"/>
                <w:szCs w:val="21"/>
              </w:rPr>
              <w:t>……</w:t>
            </w:r>
          </w:p>
          <w:p>
            <w:pPr>
              <w:ind w:firstLine="420" w:firstLineChars="200"/>
              <w:rPr>
                <w:rFonts w:ascii="宋体" w:hAnsi="宋体"/>
                <w:szCs w:val="21"/>
              </w:rPr>
            </w:pPr>
            <w:r>
              <w:rPr>
                <w:rFonts w:hint="eastAsia" w:ascii="宋体" w:hAnsi="宋体"/>
                <w:szCs w:val="21"/>
              </w:rPr>
              <w:t>（二）安全设备的安装、使用、检测、改造和报废不符合国家标准或者行业标准的；</w:t>
            </w:r>
          </w:p>
          <w:p>
            <w:pPr>
              <w:ind w:firstLine="420" w:firstLineChars="200"/>
              <w:rPr>
                <w:rFonts w:ascii="宋体" w:hAnsi="宋体"/>
                <w:szCs w:val="21"/>
              </w:rPr>
            </w:pPr>
            <w:r>
              <w:rPr>
                <w:rFonts w:hint="eastAsia" w:ascii="宋体" w:hAnsi="宋体"/>
                <w:szCs w:val="21"/>
              </w:rPr>
              <w:t>……</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27"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rPr>
                <w:rFonts w:ascii="宋体" w:hAnsi="宋体"/>
                <w:szCs w:val="21"/>
              </w:rPr>
            </w:pPr>
          </w:p>
        </w:tc>
        <w:tc>
          <w:tcPr>
            <w:tcW w:w="1665" w:type="dxa"/>
            <w:vAlign w:val="center"/>
          </w:tcPr>
          <w:p>
            <w:pPr>
              <w:rPr>
                <w:rFonts w:ascii="宋体" w:hAnsi="宋体"/>
                <w:szCs w:val="21"/>
              </w:rPr>
            </w:pPr>
            <w:r>
              <w:rPr>
                <w:rFonts w:hint="eastAsia" w:ascii="思源黑体 CN" w:hAnsi="思源黑体 CN" w:eastAsia="思源黑体 CN" w:cs="思源黑体 CN"/>
                <w:szCs w:val="21"/>
              </w:rPr>
              <w:t>★</w:t>
            </w:r>
            <w:r>
              <w:rPr>
                <w:rFonts w:hint="eastAsia" w:ascii="宋体" w:hAnsi="宋体"/>
                <w:szCs w:val="21"/>
              </w:rPr>
              <w:t xml:space="preserve">4.4 </w:t>
            </w:r>
            <w:r>
              <w:rPr>
                <w:rFonts w:ascii="宋体" w:hAnsi="宋体"/>
                <w:szCs w:val="21"/>
              </w:rPr>
              <w:t>提升设备定期维保及检测</w:t>
            </w:r>
          </w:p>
        </w:tc>
        <w:tc>
          <w:tcPr>
            <w:tcW w:w="5343" w:type="dxa"/>
            <w:vAlign w:val="center"/>
          </w:tcPr>
          <w:p>
            <w:pPr>
              <w:ind w:firstLine="420" w:firstLineChars="200"/>
              <w:rPr>
                <w:rFonts w:ascii="宋体" w:hAnsi="宋体"/>
                <w:szCs w:val="21"/>
              </w:rPr>
            </w:pPr>
            <w:r>
              <w:rPr>
                <w:rFonts w:ascii="宋体" w:hAnsi="宋体"/>
                <w:szCs w:val="21"/>
              </w:rPr>
              <w:t>《安全生产法》第三十三条</w:t>
            </w:r>
            <w:r>
              <w:rPr>
                <w:rFonts w:hint="eastAsia" w:ascii="宋体" w:hAnsi="宋体"/>
                <w:szCs w:val="21"/>
              </w:rPr>
              <w:t>……</w:t>
            </w:r>
          </w:p>
          <w:p>
            <w:pPr>
              <w:ind w:firstLine="420" w:firstLineChars="200"/>
              <w:rPr>
                <w:rFonts w:ascii="宋体" w:hAnsi="宋体"/>
                <w:szCs w:val="21"/>
              </w:rPr>
            </w:pPr>
            <w:r>
              <w:rPr>
                <w:rFonts w:ascii="宋体" w:hAnsi="宋体"/>
                <w:szCs w:val="21"/>
              </w:rPr>
              <w:t>生产经营单位必须对安全设备进行经常性维护、保养，并定期检测，保证正常运转。维护、保养、检测应当作好记录，并由有关人员签字。</w:t>
            </w:r>
          </w:p>
          <w:p>
            <w:pPr>
              <w:ind w:firstLine="420" w:firstLineChars="200"/>
              <w:rPr>
                <w:rFonts w:ascii="宋体" w:hAnsi="宋体"/>
                <w:szCs w:val="21"/>
                <w:highlight w:val="none"/>
              </w:rPr>
            </w:pPr>
            <w:r>
              <w:rPr>
                <w:rFonts w:hint="eastAsia" w:ascii="宋体" w:hAnsi="宋体"/>
                <w:szCs w:val="21"/>
              </w:rPr>
              <w:t>《金属非金属矿山安全规程</w:t>
            </w:r>
            <w:r>
              <w:rPr>
                <w:rFonts w:hint="eastAsia" w:ascii="宋体" w:hAnsi="宋体"/>
                <w:szCs w:val="21"/>
                <w:highlight w:val="none"/>
              </w:rPr>
              <w:t>》（GB 16423-2006）</w:t>
            </w:r>
          </w:p>
          <w:p>
            <w:pPr>
              <w:ind w:firstLine="420" w:firstLineChars="200"/>
              <w:rPr>
                <w:rFonts w:ascii="宋体" w:hAnsi="宋体"/>
                <w:szCs w:val="21"/>
              </w:rPr>
            </w:pPr>
            <w:r>
              <w:rPr>
                <w:rFonts w:hint="eastAsia" w:ascii="宋体" w:hAnsi="宋体"/>
                <w:szCs w:val="21"/>
              </w:rPr>
              <w:t>6.3.3.23  提升系统的各部分，包括提升容器、连接装置、防坠器、罐耳、罐道、阻车器、罐座、摇台(或托台)、装卸矿设施、天轮和钢丝绳，以及提升机的各部分，包括卷筒、制动装置、深度指示器、防过卷装置、限速器、调绳装置、传动装置、电动机和控制设备以及各种保护装置和闭锁装置等，每天应由专职人员检查一次，每月应由矿机电部门组织有关人员检查一次；发现问题应立即处理，并将检查结果和处理情况记录存档。</w:t>
            </w:r>
          </w:p>
          <w:p>
            <w:pPr>
              <w:spacing w:line="240" w:lineRule="atLeast"/>
              <w:ind w:firstLine="420" w:firstLineChars="200"/>
              <w:rPr>
                <w:rFonts w:ascii="宋体" w:hAnsi="宋体"/>
                <w:bCs/>
                <w:szCs w:val="21"/>
              </w:rPr>
            </w:pPr>
            <w:r>
              <w:rPr>
                <w:rFonts w:hint="eastAsia" w:ascii="宋体" w:hAnsi="宋体"/>
                <w:bCs/>
                <w:szCs w:val="21"/>
              </w:rPr>
              <w:t>《国家安全监管总局关于印发〈金属非金属矿山重大生产安全事故隐患判定标准（试行）〉的通知》(安监总管一〔2017〕98号)</w:t>
            </w:r>
          </w:p>
          <w:p>
            <w:pPr>
              <w:ind w:firstLine="420" w:firstLineChars="200"/>
              <w:rPr>
                <w:rFonts w:ascii="宋体" w:hAnsi="宋体"/>
                <w:szCs w:val="21"/>
              </w:rPr>
            </w:pPr>
            <w:r>
              <w:rPr>
                <w:rFonts w:hint="eastAsia" w:ascii="宋体" w:hAnsi="宋体"/>
                <w:szCs w:val="21"/>
              </w:rPr>
              <w:t>一、</w:t>
            </w:r>
            <w:r>
              <w:rPr>
                <w:rFonts w:hint="eastAsia" w:ascii="宋体" w:hAnsi="宋体" w:cs="宋体"/>
                <w:bCs/>
                <w:kern w:val="0"/>
                <w:szCs w:val="21"/>
              </w:rPr>
              <w:t>金属非金属地下矿山重大生产安全事故隐患</w:t>
            </w:r>
          </w:p>
          <w:p>
            <w:pPr>
              <w:ind w:firstLine="420" w:firstLineChars="200"/>
              <w:rPr>
                <w:rFonts w:ascii="宋体" w:hAnsi="宋体"/>
                <w:szCs w:val="21"/>
              </w:rPr>
            </w:pPr>
            <w:r>
              <w:rPr>
                <w:rFonts w:hint="eastAsia" w:ascii="宋体" w:hAnsi="宋体"/>
                <w:szCs w:val="21"/>
              </w:rPr>
              <w:t>（二十二）提升系统的防坠器、阻车器等安全保护装置或信号闭锁措施失效；未定期试验或检测检验。</w:t>
            </w:r>
          </w:p>
        </w:tc>
        <w:tc>
          <w:tcPr>
            <w:tcW w:w="3687" w:type="dxa"/>
            <w:vAlign w:val="center"/>
          </w:tcPr>
          <w:p>
            <w:pPr>
              <w:ind w:firstLine="420" w:firstLineChars="200"/>
              <w:rPr>
                <w:rFonts w:ascii="宋体" w:hAnsi="宋体"/>
                <w:szCs w:val="21"/>
              </w:rPr>
            </w:pPr>
            <w:r>
              <w:rPr>
                <w:rFonts w:ascii="宋体" w:hAnsi="宋体"/>
                <w:szCs w:val="21"/>
              </w:rPr>
              <w:t>《安全生产法》第九十六条</w:t>
            </w:r>
            <w:r>
              <w:rPr>
                <w:rFonts w:hint="eastAsia" w:ascii="宋体" w:hAnsi="宋体"/>
                <w:szCs w:val="21"/>
              </w:rPr>
              <w:t xml:space="preserve">  </w:t>
            </w:r>
            <w:r>
              <w:rPr>
                <w:rFonts w:ascii="宋体" w:hAnsi="宋体"/>
                <w:szCs w:val="21"/>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ind w:firstLine="420" w:firstLineChars="200"/>
              <w:rPr>
                <w:rFonts w:ascii="宋体" w:hAnsi="宋体"/>
                <w:szCs w:val="21"/>
              </w:rPr>
            </w:pPr>
            <w:r>
              <w:rPr>
                <w:rFonts w:hint="eastAsia" w:ascii="宋体" w:hAnsi="宋体"/>
                <w:szCs w:val="21"/>
              </w:rPr>
              <w:t>……</w:t>
            </w:r>
          </w:p>
          <w:p>
            <w:pPr>
              <w:ind w:firstLine="420" w:firstLineChars="200"/>
              <w:rPr>
                <w:rFonts w:ascii="宋体" w:hAnsi="宋体"/>
                <w:szCs w:val="21"/>
              </w:rPr>
            </w:pPr>
            <w:r>
              <w:rPr>
                <w:rFonts w:ascii="宋体" w:hAnsi="宋体"/>
                <w:szCs w:val="21"/>
              </w:rPr>
              <w:t>（三）未对安全设备进行经常性维护、保养和定期检测的；</w:t>
            </w:r>
          </w:p>
          <w:p>
            <w:pPr>
              <w:ind w:firstLine="420" w:firstLineChars="200"/>
              <w:rPr>
                <w:rFonts w:ascii="宋体" w:hAnsi="宋体"/>
                <w:szCs w:val="21"/>
              </w:rPr>
            </w:pPr>
            <w:r>
              <w:rPr>
                <w:rFonts w:hint="eastAsia" w:ascii="宋体" w:hAnsi="宋体"/>
                <w:szCs w:val="21"/>
              </w:rPr>
              <w:t>……</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500"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rPr>
                <w:rFonts w:ascii="宋体" w:hAnsi="宋体"/>
                <w:szCs w:val="21"/>
              </w:rPr>
            </w:pPr>
          </w:p>
        </w:tc>
        <w:tc>
          <w:tcPr>
            <w:tcW w:w="1665" w:type="dxa"/>
            <w:vAlign w:val="center"/>
          </w:tcPr>
          <w:p>
            <w:pPr>
              <w:rPr>
                <w:rFonts w:ascii="宋体" w:hAnsi="宋体"/>
                <w:szCs w:val="21"/>
              </w:rPr>
            </w:pPr>
            <w:r>
              <w:rPr>
                <w:rFonts w:hint="eastAsia" w:ascii="宋体" w:hAnsi="宋体"/>
                <w:szCs w:val="21"/>
              </w:rPr>
              <w:t xml:space="preserve">4.5 </w:t>
            </w:r>
            <w:r>
              <w:rPr>
                <w:rFonts w:ascii="宋体" w:hAnsi="宋体"/>
                <w:szCs w:val="21"/>
              </w:rPr>
              <w:t>斜井防跑车装置、阻车器或挡车栏</w:t>
            </w:r>
          </w:p>
        </w:tc>
        <w:tc>
          <w:tcPr>
            <w:tcW w:w="5343" w:type="dxa"/>
            <w:vAlign w:val="center"/>
          </w:tcPr>
          <w:p>
            <w:pPr>
              <w:ind w:firstLine="420" w:firstLineChars="200"/>
              <w:rPr>
                <w:rFonts w:ascii="宋体" w:hAnsi="宋体"/>
                <w:szCs w:val="21"/>
              </w:rPr>
            </w:pPr>
            <w:r>
              <w:rPr>
                <w:rFonts w:hint="eastAsia" w:ascii="宋体" w:hAnsi="宋体"/>
                <w:szCs w:val="21"/>
              </w:rPr>
              <w:t>《安全生产法》第三十三条  安全设备的设计、制造、安装、使用、检测、维修、改造和报废，应当符合国家标准或者行业标准。</w:t>
            </w:r>
          </w:p>
          <w:p>
            <w:pPr>
              <w:spacing w:line="240" w:lineRule="exact"/>
              <w:ind w:firstLine="420" w:firstLineChars="200"/>
              <w:rPr>
                <w:highlight w:val="none"/>
              </w:rPr>
            </w:pPr>
            <w:r>
              <w:rPr>
                <w:rFonts w:hint="eastAsia"/>
                <w:highlight w:val="none"/>
              </w:rPr>
              <w:t>……</w:t>
            </w:r>
          </w:p>
          <w:p>
            <w:pPr>
              <w:ind w:firstLine="420" w:firstLineChars="200"/>
              <w:rPr>
                <w:rFonts w:ascii="宋体" w:hAnsi="宋体"/>
                <w:szCs w:val="21"/>
                <w:highlight w:val="none"/>
              </w:rPr>
            </w:pPr>
            <w:r>
              <w:rPr>
                <w:rFonts w:hint="eastAsia" w:ascii="宋体" w:hAnsi="宋体"/>
                <w:szCs w:val="21"/>
                <w:highlight w:val="none"/>
              </w:rPr>
              <w:t>《金属非金属矿山安全规程》（GB 16423-2006）</w:t>
            </w:r>
          </w:p>
          <w:p>
            <w:pPr>
              <w:ind w:firstLine="420" w:firstLineChars="200"/>
              <w:rPr>
                <w:rFonts w:ascii="宋体" w:hAnsi="宋体"/>
                <w:szCs w:val="21"/>
              </w:rPr>
            </w:pPr>
            <w:r>
              <w:rPr>
                <w:rFonts w:ascii="宋体" w:hAnsi="宋体"/>
                <w:szCs w:val="21"/>
                <w:highlight w:val="none"/>
              </w:rPr>
              <w:t>6.3.2.6</w:t>
            </w:r>
            <w:r>
              <w:rPr>
                <w:rFonts w:hint="eastAsia" w:ascii="宋体" w:hAnsi="宋体"/>
                <w:szCs w:val="21"/>
                <w:highlight w:val="none"/>
              </w:rPr>
              <w:t xml:space="preserve">  提升矿</w:t>
            </w:r>
            <w:r>
              <w:rPr>
                <w:rFonts w:hint="eastAsia" w:ascii="宋体" w:hAnsi="宋体"/>
                <w:szCs w:val="21"/>
              </w:rPr>
              <w:t>车的斜井，应设常闭式防跑车装置，并经常保持完好。</w:t>
            </w:r>
          </w:p>
          <w:p>
            <w:pPr>
              <w:ind w:firstLine="420" w:firstLineChars="200"/>
              <w:rPr>
                <w:rFonts w:ascii="宋体" w:hAnsi="宋体"/>
                <w:szCs w:val="21"/>
              </w:rPr>
            </w:pPr>
            <w:r>
              <w:rPr>
                <w:rFonts w:hint="eastAsia" w:ascii="宋体" w:hAnsi="宋体"/>
                <w:szCs w:val="21"/>
              </w:rPr>
              <w:t>斜井上部和中间车场，应设阻车器或挡车栏。阻车器或挡车栏在车辆通过时打开，车辆通过后关闭。斜井下部停车场应设躲避硐室。</w:t>
            </w:r>
          </w:p>
        </w:tc>
        <w:tc>
          <w:tcPr>
            <w:tcW w:w="3687" w:type="dxa"/>
            <w:vAlign w:val="center"/>
          </w:tcPr>
          <w:p>
            <w:pPr>
              <w:spacing w:line="240" w:lineRule="exact"/>
              <w:ind w:firstLine="420" w:firstLineChars="200"/>
            </w:pPr>
            <w:r>
              <w:rPr>
                <w:rFonts w:hint="eastAsia"/>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240" w:lineRule="exact"/>
              <w:ind w:firstLine="420" w:firstLineChars="200"/>
            </w:pPr>
            <w:r>
              <w:rPr>
                <w:rFonts w:hint="eastAsia"/>
              </w:rPr>
              <w:t>……</w:t>
            </w:r>
          </w:p>
          <w:p>
            <w:pPr>
              <w:numPr>
                <w:ilvl w:val="255"/>
                <w:numId w:val="0"/>
              </w:numPr>
              <w:spacing w:line="240" w:lineRule="exact"/>
              <w:ind w:firstLine="420" w:firstLineChars="200"/>
            </w:pPr>
            <w:r>
              <w:rPr>
                <w:rFonts w:hint="eastAsia"/>
              </w:rPr>
              <w:t>（二）安全设备的安装、使用、检测、改造和报废不符合国家标准或者行业标准的；</w:t>
            </w:r>
          </w:p>
          <w:p>
            <w:pPr>
              <w:pStyle w:val="2"/>
              <w:spacing w:line="240" w:lineRule="exact"/>
              <w:ind w:firstLine="420"/>
              <w:jc w:val="both"/>
              <w:rPr>
                <w:rFonts w:eastAsia="宋体"/>
              </w:rPr>
            </w:pPr>
            <w:r>
              <w:rPr>
                <w:rFonts w:hint="eastAsia" w:eastAsia="宋体"/>
              </w:rPr>
              <w:t>（三）未对安全设备进行经常性维护、保养和定期检测的；</w:t>
            </w:r>
          </w:p>
          <w:p>
            <w:pPr>
              <w:pStyle w:val="2"/>
              <w:numPr>
                <w:ilvl w:val="255"/>
                <w:numId w:val="0"/>
              </w:numPr>
              <w:ind w:firstLine="420"/>
              <w:jc w:val="both"/>
            </w:pPr>
            <w:r>
              <w:rPr>
                <w:rFonts w:hint="eastAsia" w:eastAsia="宋体"/>
              </w:rPr>
              <w:t>……</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60"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rPr>
                <w:rFonts w:ascii="宋体" w:hAnsi="宋体"/>
                <w:szCs w:val="21"/>
              </w:rPr>
            </w:pPr>
          </w:p>
        </w:tc>
        <w:tc>
          <w:tcPr>
            <w:tcW w:w="1665" w:type="dxa"/>
            <w:vAlign w:val="center"/>
          </w:tcPr>
          <w:p>
            <w:pPr>
              <w:rPr>
                <w:rFonts w:ascii="宋体" w:hAnsi="宋体"/>
                <w:szCs w:val="21"/>
              </w:rPr>
            </w:pPr>
            <w:r>
              <w:rPr>
                <w:rFonts w:ascii="宋体" w:hAnsi="宋体"/>
                <w:szCs w:val="21"/>
              </w:rPr>
              <w:t xml:space="preserve">4.6 </w:t>
            </w:r>
            <w:r>
              <w:rPr>
                <w:rFonts w:hint="eastAsia" w:ascii="宋体" w:hAnsi="宋体"/>
                <w:szCs w:val="21"/>
              </w:rPr>
              <w:t>提升装置、罐笼及钢丝绳等安全设备</w:t>
            </w:r>
          </w:p>
        </w:tc>
        <w:tc>
          <w:tcPr>
            <w:tcW w:w="5343" w:type="dxa"/>
            <w:vAlign w:val="center"/>
          </w:tcPr>
          <w:p>
            <w:pPr>
              <w:spacing w:line="240" w:lineRule="exact"/>
              <w:ind w:firstLine="420" w:firstLineChars="200"/>
              <w:rPr>
                <w:rFonts w:ascii="宋体" w:hAnsi="宋体"/>
                <w:szCs w:val="21"/>
              </w:rPr>
            </w:pPr>
            <w:r>
              <w:rPr>
                <w:rFonts w:hint="eastAsia" w:ascii="宋体" w:hAnsi="宋体"/>
                <w:szCs w:val="21"/>
              </w:rPr>
              <w:t>《安全生产法》第三十三条  安全设备的设计、制造、安装、使用、检测、维修、改造和报废，应当符合国家标准或者行业标准。</w:t>
            </w:r>
          </w:p>
          <w:p>
            <w:pPr>
              <w:spacing w:line="240" w:lineRule="exact"/>
              <w:ind w:firstLine="420" w:firstLineChars="200"/>
              <w:rPr>
                <w:rFonts w:hint="eastAsia" w:ascii="宋体" w:hAnsi="宋体"/>
                <w:szCs w:val="21"/>
              </w:rPr>
            </w:pPr>
            <w:r>
              <w:rPr>
                <w:rFonts w:hint="eastAsia" w:ascii="宋体" w:hAnsi="宋体"/>
                <w:szCs w:val="21"/>
              </w:rPr>
              <w:t>生产经营单位必须对安全设备进行经常性维护、保养，并定期检测，保证正常运转。维护、保养、检测应当作好记录，并由有关人员签字。</w:t>
            </w:r>
          </w:p>
          <w:p>
            <w:pPr>
              <w:spacing w:line="2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《金属非金属矿山在用缠绕式提升机安全检测检验规范》（AQ 2020-2008）</w:t>
            </w:r>
          </w:p>
          <w:p>
            <w:pPr>
              <w:spacing w:line="2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《金属非金属矿山在用摩擦式提升机安全检测检验规范》（AQ 2021-2008）</w:t>
            </w:r>
          </w:p>
          <w:p>
            <w:pPr>
              <w:spacing w:line="240" w:lineRule="exact"/>
              <w:ind w:firstLine="420" w:firstLineChars="200"/>
              <w:rPr>
                <w:color w:val="auto"/>
                <w:highlight w:val="none"/>
              </w:rPr>
            </w:pPr>
            <w:r>
              <w:rPr>
                <w:rFonts w:hint="eastAsia" w:ascii="宋体" w:hAnsi="宋体"/>
                <w:color w:val="auto"/>
                <w:szCs w:val="21"/>
                <w:highlight w:val="none"/>
              </w:rPr>
              <w:t>《金属非金属矿山在用提升绞车安全检测检验规范》（AQ 2022-2008）</w:t>
            </w:r>
          </w:p>
          <w:p>
            <w:pPr>
              <w:spacing w:line="240" w:lineRule="exact"/>
              <w:ind w:firstLine="420" w:firstLineChars="200"/>
              <w:rPr>
                <w:color w:val="auto"/>
                <w:highlight w:val="none"/>
              </w:rPr>
            </w:pPr>
            <w:r>
              <w:rPr>
                <w:rFonts w:hint="eastAsia" w:ascii="宋体" w:hAnsi="宋体"/>
                <w:color w:val="auto"/>
                <w:szCs w:val="21"/>
                <w:highlight w:val="none"/>
              </w:rPr>
              <w:t>《金属非金属矿山提升钢丝绳检验规范》（AQ 2026-2010）</w:t>
            </w:r>
          </w:p>
          <w:p>
            <w:pPr>
              <w:spacing w:line="240" w:lineRule="exact"/>
              <w:ind w:firstLine="420" w:firstLineChars="200"/>
              <w:rPr>
                <w:rFonts w:ascii="宋体" w:hAnsi="宋体"/>
                <w:color w:val="auto"/>
                <w:szCs w:val="21"/>
                <w:highlight w:val="none"/>
              </w:rPr>
            </w:pPr>
            <w:r>
              <w:rPr>
                <w:rFonts w:hint="eastAsia" w:ascii="宋体" w:hAnsi="宋体"/>
                <w:color w:val="auto"/>
                <w:szCs w:val="21"/>
                <w:highlight w:val="none"/>
              </w:rPr>
              <w:t>《罐笼安全技术要求》（GB 16542-2010）</w:t>
            </w:r>
          </w:p>
          <w:p>
            <w:pPr>
              <w:spacing w:line="2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4.5.1  专作升降人员用的或既作升降人员用又作升降物料用的单绳提升罐笼，必须装设可靠的防坠器。</w:t>
            </w:r>
          </w:p>
          <w:p>
            <w:pPr>
              <w:spacing w:line="2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《金属非金属矿山安全规程》（GB 16423-2006）</w:t>
            </w:r>
          </w:p>
          <w:p>
            <w:pPr>
              <w:spacing w:line="240" w:lineRule="exact"/>
              <w:ind w:firstLine="420" w:firstLineChars="200"/>
              <w:rPr>
                <w:rFonts w:ascii="宋体" w:hAnsi="宋体"/>
                <w:szCs w:val="21"/>
              </w:rPr>
            </w:pPr>
            <w:r>
              <w:rPr>
                <w:rFonts w:hint="eastAsia" w:ascii="宋体" w:hAnsi="宋体"/>
                <w:color w:val="auto"/>
                <w:szCs w:val="21"/>
                <w:highlight w:val="none"/>
              </w:rPr>
              <w:t>6.3.4.2  提升钢丝绳的检验，应使用符合条件的设备和方法进行，检验周期应符合下列要求：</w:t>
            </w:r>
            <w:r>
              <w:rPr>
                <w:rFonts w:hint="eastAsia" w:ascii="宋体" w:hAnsi="宋体"/>
                <w:color w:val="auto"/>
                <w:szCs w:val="21"/>
                <w:highlight w:val="none"/>
              </w:rPr>
              <w:br w:type="textWrapping"/>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——升降人员或升降人员和物料用的钢丝绳，自悬挂时起，每隔六个月检验一次；有腐蚀气体的矿山，每隔三个月检验一次；</w:t>
            </w:r>
            <w:r>
              <w:rPr>
                <w:rFonts w:hint="eastAsia" w:ascii="宋体" w:hAnsi="宋体"/>
                <w:color w:val="auto"/>
                <w:szCs w:val="21"/>
                <w:highlight w:val="none"/>
              </w:rPr>
              <w:br w:type="textWrapping"/>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——升降物料用的钢丝绳，自悬挂时起，第一次检验的间隔时间为一年，以后每隔六个月检验一次；</w:t>
            </w:r>
            <w:r>
              <w:rPr>
                <w:rFonts w:hint="eastAsia" w:ascii="宋体" w:hAnsi="宋体"/>
                <w:color w:val="auto"/>
                <w:szCs w:val="21"/>
                <w:highlight w:val="none"/>
              </w:rPr>
              <w:br w:type="textWrapping"/>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——悬挂吊盘用的钢丝绳，自悬挂时起，每隔一年检验一次。</w:t>
            </w:r>
          </w:p>
        </w:tc>
        <w:tc>
          <w:tcPr>
            <w:tcW w:w="3687" w:type="dxa"/>
            <w:vAlign w:val="center"/>
          </w:tcPr>
          <w:p>
            <w:pPr>
              <w:ind w:firstLine="420" w:firstLineChars="200"/>
              <w:rPr>
                <w:rFonts w:ascii="宋体" w:hAnsi="宋体"/>
                <w:szCs w:val="21"/>
              </w:rPr>
            </w:pPr>
            <w:r>
              <w:rPr>
                <w:rFonts w:hint="eastAsia" w:ascii="宋体" w:hAnsi="宋体"/>
                <w:szCs w:val="21"/>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ind w:firstLine="420" w:firstLineChars="200"/>
              <w:rPr>
                <w:rFonts w:ascii="宋体" w:hAnsi="宋体"/>
                <w:szCs w:val="21"/>
              </w:rPr>
            </w:pPr>
            <w:r>
              <w:rPr>
                <w:rFonts w:ascii="宋体" w:hAnsi="宋体"/>
                <w:szCs w:val="21"/>
              </w:rPr>
              <w:t>……</w:t>
            </w:r>
          </w:p>
          <w:p>
            <w:pPr>
              <w:spacing w:line="240" w:lineRule="atLeast"/>
              <w:ind w:firstLine="420" w:firstLineChars="200"/>
              <w:rPr>
                <w:rFonts w:ascii="宋体" w:hAnsi="宋体"/>
                <w:szCs w:val="21"/>
              </w:rPr>
            </w:pPr>
            <w:r>
              <w:rPr>
                <w:rFonts w:hint="eastAsia" w:ascii="宋体" w:hAnsi="宋体"/>
                <w:szCs w:val="21"/>
              </w:rPr>
              <w:t>（二）安全设备的安装、使用、检测、改造和报废不符合国家标准或者行业标准的；</w:t>
            </w:r>
          </w:p>
          <w:p>
            <w:pPr>
              <w:pStyle w:val="2"/>
              <w:spacing w:line="240" w:lineRule="exact"/>
              <w:ind w:firstLine="420"/>
              <w:jc w:val="both"/>
            </w:pPr>
            <w:r>
              <w:rPr>
                <w:rFonts w:hint="eastAsia" w:eastAsia="宋体"/>
              </w:rPr>
              <w:t>（三）未对安全设备进行经常性维护、保养和定期检测的；</w:t>
            </w:r>
          </w:p>
          <w:p>
            <w:pPr>
              <w:ind w:firstLine="420" w:firstLineChars="200"/>
              <w:rPr>
                <w:rFonts w:ascii="宋体" w:hAnsi="宋体"/>
                <w:szCs w:val="21"/>
              </w:rPr>
            </w:pPr>
            <w:r>
              <w:rPr>
                <w:rFonts w:ascii="宋体" w:hAnsi="宋体"/>
                <w:szCs w:val="21"/>
              </w:rPr>
              <w:t>……</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594" w:hRule="atLeast"/>
          <w:jc w:val="center"/>
        </w:trPr>
        <w:tc>
          <w:tcPr>
            <w:tcW w:w="816" w:type="dxa"/>
            <w:vMerge w:val="restart"/>
            <w:vAlign w:val="center"/>
          </w:tcPr>
          <w:p>
            <w:pPr>
              <w:widowControl/>
              <w:adjustRightInd w:val="0"/>
              <w:snapToGrid w:val="0"/>
              <w:jc w:val="center"/>
              <w:rPr>
                <w:rFonts w:ascii="宋体" w:hAnsi="宋体"/>
                <w:szCs w:val="21"/>
              </w:rPr>
            </w:pPr>
            <w:r>
              <w:rPr>
                <w:rFonts w:ascii="宋体" w:hAnsi="宋体"/>
                <w:szCs w:val="21"/>
              </w:rPr>
              <w:t>5</w:t>
            </w:r>
          </w:p>
        </w:tc>
        <w:tc>
          <w:tcPr>
            <w:tcW w:w="1497" w:type="dxa"/>
            <w:vMerge w:val="restart"/>
            <w:vAlign w:val="center"/>
          </w:tcPr>
          <w:p>
            <w:pPr>
              <w:rPr>
                <w:rFonts w:ascii="宋体" w:hAnsi="宋体"/>
                <w:szCs w:val="21"/>
              </w:rPr>
            </w:pPr>
            <w:r>
              <w:rPr>
                <w:rFonts w:hint="eastAsia" w:ascii="宋体" w:hAnsi="宋体"/>
                <w:szCs w:val="21"/>
              </w:rPr>
              <w:t>运输系统</w:t>
            </w:r>
          </w:p>
        </w:tc>
        <w:tc>
          <w:tcPr>
            <w:tcW w:w="1665" w:type="dxa"/>
            <w:vAlign w:val="center"/>
          </w:tcPr>
          <w:p>
            <w:pPr>
              <w:rPr>
                <w:rFonts w:ascii="宋体" w:hAnsi="宋体"/>
                <w:szCs w:val="21"/>
              </w:rPr>
            </w:pPr>
            <w:r>
              <w:rPr>
                <w:rFonts w:ascii="宋体" w:hAnsi="宋体"/>
                <w:szCs w:val="21"/>
              </w:rPr>
              <w:t xml:space="preserve">5.1 </w:t>
            </w:r>
            <w:r>
              <w:rPr>
                <w:rFonts w:hint="eastAsia" w:ascii="宋体" w:hAnsi="宋体"/>
                <w:szCs w:val="21"/>
              </w:rPr>
              <w:t>电机车运输</w:t>
            </w:r>
          </w:p>
        </w:tc>
        <w:tc>
          <w:tcPr>
            <w:tcW w:w="5343" w:type="dxa"/>
            <w:vAlign w:val="center"/>
          </w:tcPr>
          <w:p>
            <w:pPr>
              <w:spacing w:line="280" w:lineRule="exact"/>
              <w:ind w:firstLine="420" w:firstLineChars="200"/>
              <w:rPr>
                <w:rFonts w:ascii="宋体" w:hAnsi="宋体"/>
                <w:szCs w:val="21"/>
              </w:rPr>
            </w:pPr>
            <w:r>
              <w:rPr>
                <w:rFonts w:hint="eastAsia" w:ascii="宋体" w:hAnsi="宋体"/>
                <w:szCs w:val="21"/>
              </w:rPr>
              <w:t>《安全生产法》第三十三条  安全设备的设计、制造、安装、使用、检测、维修、改造和报废，应当符合国家标准或者行业标准。</w:t>
            </w:r>
          </w:p>
          <w:p>
            <w:pPr>
              <w:spacing w:line="240" w:lineRule="exact"/>
              <w:ind w:firstLine="420" w:firstLineChars="200"/>
              <w:rPr>
                <w:highlight w:val="none"/>
              </w:rPr>
            </w:pPr>
            <w:r>
              <w:rPr>
                <w:rFonts w:hint="eastAsia"/>
                <w:highlight w:val="none"/>
              </w:rPr>
              <w:t>……</w:t>
            </w:r>
          </w:p>
          <w:p>
            <w:pPr>
              <w:spacing w:line="280" w:lineRule="exact"/>
              <w:ind w:firstLine="420" w:firstLineChars="200"/>
              <w:rPr>
                <w:rFonts w:ascii="宋体" w:hAnsi="宋体"/>
                <w:szCs w:val="21"/>
                <w:highlight w:val="none"/>
              </w:rPr>
            </w:pPr>
            <w:r>
              <w:rPr>
                <w:rFonts w:hint="eastAsia" w:ascii="宋体" w:hAnsi="宋体"/>
                <w:szCs w:val="21"/>
                <w:highlight w:val="none"/>
              </w:rPr>
              <w:t>《金属非金属矿山安全规程》（GB 16423-2006）</w:t>
            </w:r>
          </w:p>
          <w:p>
            <w:pPr>
              <w:spacing w:line="280" w:lineRule="exact"/>
              <w:ind w:firstLine="420" w:firstLineChars="200"/>
              <w:rPr>
                <w:rFonts w:ascii="宋体" w:hAnsi="宋体"/>
                <w:szCs w:val="21"/>
              </w:rPr>
            </w:pPr>
            <w:r>
              <w:rPr>
                <w:rFonts w:ascii="宋体" w:hAnsi="宋体"/>
                <w:szCs w:val="21"/>
              </w:rPr>
              <w:t>6.3.1.1</w:t>
            </w:r>
            <w:r>
              <w:rPr>
                <w:rFonts w:hint="eastAsia" w:ascii="宋体" w:hAnsi="宋体"/>
                <w:szCs w:val="21"/>
                <w:lang w:val="en-US" w:eastAsia="zh-CN"/>
              </w:rPr>
              <w:t xml:space="preserve">  </w:t>
            </w:r>
            <w:r>
              <w:rPr>
                <w:rFonts w:ascii="宋体" w:hAnsi="宋体"/>
                <w:szCs w:val="21"/>
              </w:rPr>
              <w:t>采用电机车运输的矿井，由井底车场或平硐口到作业地点所经平巷长度超过1500m时，应设专用人车运送人员。</w:t>
            </w:r>
          </w:p>
          <w:p>
            <w:pPr>
              <w:spacing w:line="280" w:lineRule="exact"/>
              <w:ind w:firstLine="420" w:firstLineChars="200"/>
              <w:rPr>
                <w:rFonts w:hint="eastAsia" w:ascii="宋体" w:hAnsi="宋体"/>
                <w:szCs w:val="21"/>
              </w:rPr>
            </w:pPr>
            <w:r>
              <w:rPr>
                <w:rFonts w:hint="eastAsia" w:ascii="宋体" w:hAnsi="宋体"/>
                <w:szCs w:val="21"/>
              </w:rPr>
              <w:t>专用人车应有金属顶棚，从顶棚到车厢和车架应作好电气连接，确保通过钢轨接地。</w:t>
            </w:r>
          </w:p>
          <w:p>
            <w:pPr>
              <w:spacing w:line="280" w:lineRule="exact"/>
              <w:ind w:firstLine="420" w:firstLineChars="200"/>
              <w:rPr>
                <w:rFonts w:ascii="宋体" w:hAnsi="宋体"/>
                <w:szCs w:val="21"/>
              </w:rPr>
            </w:pPr>
            <w:r>
              <w:rPr>
                <w:rFonts w:ascii="宋体" w:hAnsi="宋体"/>
                <w:szCs w:val="21"/>
              </w:rPr>
              <w:t>6.3.1.4</w:t>
            </w:r>
            <w:r>
              <w:rPr>
                <w:rFonts w:hint="eastAsia" w:ascii="宋体" w:hAnsi="宋体"/>
                <w:szCs w:val="21"/>
                <w:lang w:val="en-US" w:eastAsia="zh-CN"/>
              </w:rPr>
              <w:t xml:space="preserve">  </w:t>
            </w:r>
            <w:r>
              <w:rPr>
                <w:rFonts w:hint="eastAsia" w:ascii="宋体" w:hAnsi="宋体"/>
                <w:szCs w:val="21"/>
              </w:rPr>
              <w:t>列车运输时，矿车应采用不能自行脱钩的连接装置。不能自动摘挂钩的车辆，其两端的碰头或缓冲器的伸出长度，应不小于</w:t>
            </w:r>
            <w:r>
              <w:rPr>
                <w:rFonts w:ascii="宋体" w:hAnsi="宋体"/>
                <w:szCs w:val="21"/>
              </w:rPr>
              <w:t>lOOmm。</w:t>
            </w:r>
          </w:p>
          <w:p>
            <w:pPr>
              <w:spacing w:line="280" w:lineRule="exact"/>
              <w:ind w:firstLine="420" w:firstLineChars="200"/>
              <w:rPr>
                <w:rFonts w:ascii="宋体" w:hAnsi="宋体"/>
                <w:szCs w:val="21"/>
              </w:rPr>
            </w:pPr>
            <w:r>
              <w:rPr>
                <w:rFonts w:hint="eastAsia" w:ascii="宋体" w:hAnsi="宋体"/>
                <w:szCs w:val="21"/>
              </w:rPr>
              <w:t>停放在能自动滑行的坡道上的车辆，应用制动装置或木楔可靠地稳住。</w:t>
            </w:r>
          </w:p>
          <w:p>
            <w:pPr>
              <w:spacing w:line="280" w:lineRule="exact"/>
              <w:ind w:firstLine="420" w:firstLineChars="200"/>
              <w:rPr>
                <w:rFonts w:ascii="宋体" w:hAnsi="宋体"/>
                <w:szCs w:val="21"/>
              </w:rPr>
            </w:pPr>
            <w:r>
              <w:rPr>
                <w:rFonts w:ascii="宋体" w:hAnsi="宋体"/>
                <w:szCs w:val="21"/>
              </w:rPr>
              <w:t xml:space="preserve">6.3.1.11 </w:t>
            </w:r>
            <w:r>
              <w:rPr>
                <w:rFonts w:hint="eastAsia" w:ascii="宋体" w:hAnsi="宋体"/>
                <w:szCs w:val="21"/>
                <w:lang w:val="en-US" w:eastAsia="zh-CN"/>
              </w:rPr>
              <w:t xml:space="preserve"> </w:t>
            </w:r>
            <w:r>
              <w:rPr>
                <w:rFonts w:hint="eastAsia" w:ascii="宋体" w:hAnsi="宋体"/>
                <w:szCs w:val="21"/>
              </w:rPr>
              <w:t>使用电机车运输，应遵守下列规定：</w:t>
            </w:r>
          </w:p>
          <w:p>
            <w:pPr>
              <w:spacing w:line="280" w:lineRule="exact"/>
              <w:ind w:firstLine="420" w:firstLineChars="200"/>
              <w:rPr>
                <w:rFonts w:ascii="宋体" w:hAnsi="宋体"/>
                <w:szCs w:val="21"/>
              </w:rPr>
            </w:pPr>
            <w:r>
              <w:rPr>
                <w:rFonts w:hint="eastAsia" w:ascii="宋体" w:hAnsi="宋体"/>
                <w:szCs w:val="21"/>
              </w:rPr>
              <w:t>—有爆炸性气体的回风巷道，不应使用架线式电机车；</w:t>
            </w:r>
          </w:p>
          <w:p>
            <w:pPr>
              <w:spacing w:line="280" w:lineRule="exact"/>
              <w:ind w:firstLine="420" w:firstLineChars="200"/>
              <w:rPr>
                <w:rFonts w:ascii="宋体" w:hAnsi="宋体"/>
                <w:szCs w:val="21"/>
              </w:rPr>
            </w:pPr>
            <w:r>
              <w:rPr>
                <w:rFonts w:hint="eastAsia" w:ascii="宋体" w:hAnsi="宋体"/>
                <w:szCs w:val="21"/>
              </w:rPr>
              <w:t>—高硫和有自燃发火危险的矿井，应使用防爆型蓄电池电机车；</w:t>
            </w:r>
          </w:p>
          <w:p>
            <w:pPr>
              <w:spacing w:line="280" w:lineRule="exact"/>
              <w:ind w:firstLine="420" w:firstLineChars="200"/>
              <w:rPr>
                <w:rFonts w:ascii="宋体" w:hAnsi="宋体"/>
                <w:szCs w:val="21"/>
              </w:rPr>
            </w:pPr>
            <w:r>
              <w:rPr>
                <w:rFonts w:ascii="宋体" w:hAnsi="宋体"/>
                <w:szCs w:val="21"/>
              </w:rPr>
              <w:t>……</w:t>
            </w:r>
          </w:p>
          <w:p>
            <w:pPr>
              <w:spacing w:line="280" w:lineRule="exact"/>
              <w:ind w:firstLine="420" w:firstLineChars="200"/>
              <w:rPr>
                <w:rFonts w:ascii="宋体" w:hAnsi="宋体"/>
                <w:szCs w:val="21"/>
              </w:rPr>
            </w:pPr>
            <w:r>
              <w:rPr>
                <w:rFonts w:ascii="宋体" w:hAnsi="宋体"/>
                <w:szCs w:val="21"/>
              </w:rPr>
              <w:t>6.3.1.15</w:t>
            </w:r>
            <w:r>
              <w:rPr>
                <w:rFonts w:hint="eastAsia" w:ascii="宋体" w:hAnsi="宋体"/>
                <w:szCs w:val="21"/>
                <w:lang w:val="en-US" w:eastAsia="zh-CN"/>
              </w:rPr>
              <w:t xml:space="preserve">  </w:t>
            </w:r>
            <w:r>
              <w:rPr>
                <w:rFonts w:ascii="宋体" w:hAnsi="宋体"/>
                <w:szCs w:val="21"/>
              </w:rPr>
              <w:t>电机车运输的滑触线应设分段开关，分段距离应不超过500m。每一条支线也应设分段开关。上下班时间，距井筒50m以内的滑触线应切断电源。</w:t>
            </w:r>
          </w:p>
          <w:p>
            <w:pPr>
              <w:spacing w:line="280" w:lineRule="exact"/>
              <w:ind w:firstLine="420" w:firstLineChars="200"/>
              <w:rPr>
                <w:rFonts w:ascii="宋体" w:hAnsi="宋体"/>
                <w:szCs w:val="21"/>
              </w:rPr>
            </w:pPr>
            <w:r>
              <w:rPr>
                <w:rFonts w:ascii="宋体" w:hAnsi="宋体"/>
                <w:szCs w:val="21"/>
              </w:rPr>
              <w:t>……</w:t>
            </w:r>
          </w:p>
        </w:tc>
        <w:tc>
          <w:tcPr>
            <w:tcW w:w="3687" w:type="dxa"/>
            <w:vAlign w:val="center"/>
          </w:tcPr>
          <w:p>
            <w:pPr>
              <w:ind w:firstLine="420" w:firstLineChars="200"/>
              <w:rPr>
                <w:rFonts w:ascii="宋体" w:hAnsi="宋体"/>
                <w:szCs w:val="21"/>
              </w:rPr>
            </w:pPr>
            <w:r>
              <w:rPr>
                <w:rFonts w:hint="eastAsia" w:ascii="宋体" w:hAnsi="宋体"/>
                <w:szCs w:val="21"/>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ind w:firstLine="420" w:firstLineChars="200"/>
              <w:rPr>
                <w:rFonts w:ascii="宋体" w:hAnsi="宋体"/>
                <w:szCs w:val="21"/>
              </w:rPr>
            </w:pPr>
            <w:r>
              <w:rPr>
                <w:rFonts w:hint="eastAsia" w:ascii="宋体" w:hAnsi="宋体"/>
                <w:szCs w:val="21"/>
              </w:rPr>
              <w:t>……</w:t>
            </w:r>
          </w:p>
          <w:p>
            <w:pPr>
              <w:numPr>
                <w:ilvl w:val="255"/>
                <w:numId w:val="0"/>
              </w:numPr>
              <w:ind w:firstLine="420" w:firstLineChars="200"/>
              <w:rPr>
                <w:rFonts w:ascii="宋体" w:hAnsi="宋体"/>
                <w:szCs w:val="21"/>
              </w:rPr>
            </w:pPr>
            <w:r>
              <w:rPr>
                <w:rFonts w:hint="eastAsia" w:ascii="宋体" w:hAnsi="宋体"/>
                <w:szCs w:val="21"/>
              </w:rPr>
              <w:t>（二）安全设备的安装、使用、检测、改造和报废不符合国家标准或者行业标准的；</w:t>
            </w:r>
          </w:p>
          <w:p>
            <w:pPr>
              <w:numPr>
                <w:ilvl w:val="255"/>
                <w:numId w:val="0"/>
              </w:numPr>
              <w:ind w:firstLine="420" w:firstLineChars="200"/>
              <w:rPr>
                <w:rFonts w:ascii="宋体" w:hAnsi="宋体"/>
                <w:szCs w:val="21"/>
              </w:rPr>
            </w:pPr>
            <w:r>
              <w:rPr>
                <w:rFonts w:hint="eastAsia" w:ascii="宋体" w:hAnsi="宋体"/>
                <w:szCs w:val="21"/>
              </w:rPr>
              <w:t>……</w:t>
            </w:r>
          </w:p>
        </w:tc>
        <w:tc>
          <w:tcPr>
            <w:tcW w:w="871" w:type="dxa"/>
            <w:vAlign w:val="center"/>
          </w:tcPr>
          <w:p>
            <w:pPr>
              <w:keepNext/>
              <w:keepLines/>
              <w:widowControl/>
              <w:adjustRightInd w:val="0"/>
              <w:snapToGrid w:val="0"/>
              <w:spacing w:before="340" w:after="330" w:line="578" w:lineRule="auto"/>
              <w:outlineLvl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60"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rPr>
                <w:rFonts w:ascii="宋体" w:hAnsi="宋体"/>
                <w:szCs w:val="21"/>
              </w:rPr>
            </w:pPr>
          </w:p>
        </w:tc>
        <w:tc>
          <w:tcPr>
            <w:tcW w:w="1665" w:type="dxa"/>
            <w:vAlign w:val="center"/>
          </w:tcPr>
          <w:p>
            <w:pPr>
              <w:rPr>
                <w:rFonts w:ascii="宋体" w:hAnsi="宋体"/>
                <w:szCs w:val="21"/>
              </w:rPr>
            </w:pPr>
            <w:r>
              <w:rPr>
                <w:rFonts w:ascii="宋体" w:hAnsi="宋体"/>
                <w:szCs w:val="21"/>
              </w:rPr>
              <w:t xml:space="preserve">5.2 </w:t>
            </w:r>
            <w:r>
              <w:rPr>
                <w:rFonts w:hint="eastAsia" w:ascii="宋体" w:hAnsi="宋体"/>
                <w:szCs w:val="21"/>
              </w:rPr>
              <w:t>带式输送机运输</w:t>
            </w:r>
          </w:p>
        </w:tc>
        <w:tc>
          <w:tcPr>
            <w:tcW w:w="5343" w:type="dxa"/>
            <w:vAlign w:val="center"/>
          </w:tcPr>
          <w:p>
            <w:pPr>
              <w:spacing w:line="300" w:lineRule="exact"/>
              <w:ind w:firstLine="420" w:firstLineChars="200"/>
              <w:rPr>
                <w:rFonts w:ascii="宋体" w:hAnsi="宋体"/>
                <w:szCs w:val="21"/>
              </w:rPr>
            </w:pPr>
            <w:r>
              <w:rPr>
                <w:rFonts w:hint="eastAsia" w:ascii="宋体" w:hAnsi="宋体"/>
                <w:szCs w:val="21"/>
              </w:rPr>
              <w:t xml:space="preserve">《安全生产法》第三十三条  安全设备的设计、制造、安装、使用、检测、改造和报废，应当符合国家标准或者行业标准。 </w:t>
            </w:r>
          </w:p>
          <w:p>
            <w:pPr>
              <w:spacing w:line="300" w:lineRule="exact"/>
              <w:ind w:firstLine="420" w:firstLineChars="200"/>
              <w:rPr>
                <w:rFonts w:ascii="宋体" w:hAnsi="宋体"/>
                <w:szCs w:val="21"/>
              </w:rPr>
            </w:pPr>
            <w:r>
              <w:rPr>
                <w:rFonts w:hint="eastAsia" w:ascii="宋体" w:hAnsi="宋体"/>
                <w:szCs w:val="21"/>
              </w:rPr>
              <w:t>……</w:t>
            </w:r>
          </w:p>
          <w:p>
            <w:pPr>
              <w:spacing w:line="300" w:lineRule="exact"/>
              <w:ind w:firstLine="420" w:firstLineChars="200"/>
              <w:rPr>
                <w:rFonts w:ascii="宋体" w:hAnsi="宋体"/>
                <w:szCs w:val="21"/>
                <w:highlight w:val="none"/>
              </w:rPr>
            </w:pPr>
            <w:r>
              <w:rPr>
                <w:rFonts w:hint="eastAsia" w:ascii="宋体" w:hAnsi="宋体"/>
                <w:szCs w:val="21"/>
              </w:rPr>
              <w:t>《金属非金属矿山安全规程》</w:t>
            </w:r>
            <w:r>
              <w:rPr>
                <w:rFonts w:hint="eastAsia" w:ascii="宋体" w:hAnsi="宋体"/>
                <w:szCs w:val="21"/>
                <w:highlight w:val="none"/>
              </w:rPr>
              <w:t>（GB 16423-2006）</w:t>
            </w:r>
          </w:p>
          <w:p>
            <w:pPr>
              <w:spacing w:line="300" w:lineRule="exact"/>
              <w:ind w:firstLine="420" w:firstLineChars="200"/>
              <w:rPr>
                <w:rFonts w:ascii="宋体" w:hAnsi="宋体"/>
                <w:szCs w:val="21"/>
                <w:highlight w:val="none"/>
              </w:rPr>
            </w:pPr>
            <w:r>
              <w:rPr>
                <w:rFonts w:ascii="宋体" w:hAnsi="宋体"/>
                <w:szCs w:val="21"/>
                <w:highlight w:val="none"/>
              </w:rPr>
              <w:t xml:space="preserve">6.3.1.16 </w:t>
            </w:r>
            <w:r>
              <w:rPr>
                <w:rFonts w:hint="eastAsia" w:ascii="宋体" w:hAnsi="宋体"/>
                <w:szCs w:val="21"/>
                <w:highlight w:val="none"/>
                <w:lang w:val="en-US" w:eastAsia="zh-CN"/>
              </w:rPr>
              <w:t xml:space="preserve"> </w:t>
            </w:r>
            <w:r>
              <w:rPr>
                <w:rFonts w:hint="eastAsia" w:ascii="宋体" w:hAnsi="宋体"/>
                <w:szCs w:val="21"/>
                <w:highlight w:val="none"/>
              </w:rPr>
              <w:t>使用带式输送机，应遵守下列规定：</w:t>
            </w:r>
          </w:p>
          <w:p>
            <w:pPr>
              <w:spacing w:line="300" w:lineRule="exact"/>
              <w:ind w:firstLine="420" w:firstLineChars="200"/>
              <w:rPr>
                <w:rFonts w:ascii="宋体" w:hAnsi="宋体"/>
                <w:szCs w:val="21"/>
              </w:rPr>
            </w:pPr>
            <w:r>
              <w:rPr>
                <w:rFonts w:ascii="宋体" w:hAnsi="宋体"/>
                <w:szCs w:val="21"/>
              </w:rPr>
              <w:t>……</w:t>
            </w:r>
          </w:p>
          <w:p>
            <w:pPr>
              <w:spacing w:line="300" w:lineRule="exact"/>
              <w:ind w:firstLine="420" w:firstLineChars="200"/>
              <w:rPr>
                <w:rFonts w:ascii="宋体" w:hAnsi="宋体"/>
                <w:szCs w:val="21"/>
              </w:rPr>
            </w:pPr>
            <w:r>
              <w:rPr>
                <w:rFonts w:ascii="宋体" w:hAnsi="宋体"/>
                <w:szCs w:val="21"/>
              </w:rPr>
              <w:t>—装料点和卸料点，应设空仓、满仓等保护装置，并有声光信号及与输送机联锁；</w:t>
            </w:r>
          </w:p>
          <w:p>
            <w:pPr>
              <w:spacing w:line="300" w:lineRule="exact"/>
              <w:ind w:firstLine="420" w:firstLineChars="200"/>
              <w:rPr>
                <w:rFonts w:ascii="宋体" w:hAnsi="宋体"/>
                <w:szCs w:val="21"/>
              </w:rPr>
            </w:pPr>
            <w:r>
              <w:rPr>
                <w:rFonts w:ascii="宋体" w:hAnsi="宋体"/>
                <w:szCs w:val="21"/>
              </w:rPr>
              <w:t>—带式输送机应设有防胶带撕裂、断带、跑偏等保护装置，并有可靠的制动、胶带清扫以及防止过速、过载、打滑、大块冲击等保护装置；线路上应有信号、电气联锁和停车装置；上行的带式输送机，应设防逆转装置；</w:t>
            </w:r>
          </w:p>
          <w:p>
            <w:pPr>
              <w:spacing w:line="300" w:lineRule="exact"/>
              <w:ind w:firstLine="420" w:firstLineChars="200"/>
              <w:rPr>
                <w:rFonts w:ascii="宋体" w:hAnsi="宋体"/>
                <w:szCs w:val="21"/>
              </w:rPr>
            </w:pPr>
            <w:r>
              <w:rPr>
                <w:rFonts w:ascii="宋体" w:hAnsi="宋体"/>
                <w:szCs w:val="21"/>
              </w:rPr>
              <w:t>……</w:t>
            </w:r>
          </w:p>
        </w:tc>
        <w:tc>
          <w:tcPr>
            <w:tcW w:w="3687" w:type="dxa"/>
            <w:vAlign w:val="center"/>
          </w:tcPr>
          <w:p>
            <w:pPr>
              <w:ind w:firstLine="420" w:firstLineChars="200"/>
              <w:rPr>
                <w:rFonts w:ascii="宋体" w:hAnsi="宋体"/>
                <w:szCs w:val="21"/>
              </w:rPr>
            </w:pPr>
            <w:r>
              <w:rPr>
                <w:rFonts w:hint="eastAsia" w:ascii="宋体" w:hAnsi="宋体"/>
                <w:szCs w:val="21"/>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ind w:firstLine="420" w:firstLineChars="200"/>
              <w:rPr>
                <w:rFonts w:ascii="宋体" w:hAnsi="宋体"/>
                <w:szCs w:val="21"/>
              </w:rPr>
            </w:pPr>
            <w:r>
              <w:rPr>
                <w:rFonts w:hint="eastAsia" w:ascii="宋体" w:hAnsi="宋体"/>
                <w:szCs w:val="21"/>
              </w:rPr>
              <w:t>……</w:t>
            </w:r>
          </w:p>
          <w:p>
            <w:pPr>
              <w:ind w:firstLine="420" w:firstLineChars="200"/>
              <w:rPr>
                <w:rFonts w:ascii="宋体" w:hAnsi="宋体"/>
                <w:szCs w:val="21"/>
              </w:rPr>
            </w:pPr>
            <w:r>
              <w:rPr>
                <w:rFonts w:hint="eastAsia" w:ascii="宋体" w:hAnsi="宋体"/>
                <w:szCs w:val="21"/>
              </w:rPr>
              <w:t>（二）安全设备的安装、使用、检测、改造和报废不符合国家标准或者行业标准的；</w:t>
            </w:r>
          </w:p>
          <w:p>
            <w:pPr>
              <w:ind w:firstLine="420" w:firstLineChars="200"/>
              <w:rPr>
                <w:rFonts w:ascii="宋体" w:hAnsi="宋体"/>
                <w:szCs w:val="21"/>
              </w:rPr>
            </w:pPr>
            <w:r>
              <w:rPr>
                <w:rFonts w:hint="eastAsia" w:ascii="宋体" w:hAnsi="宋体"/>
                <w:szCs w:val="21"/>
              </w:rPr>
              <w:t>……</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60"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rPr>
                <w:rFonts w:ascii="宋体" w:hAnsi="宋体"/>
                <w:szCs w:val="21"/>
              </w:rPr>
            </w:pPr>
          </w:p>
        </w:tc>
        <w:tc>
          <w:tcPr>
            <w:tcW w:w="1665" w:type="dxa"/>
            <w:vAlign w:val="center"/>
          </w:tcPr>
          <w:p>
            <w:pPr>
              <w:rPr>
                <w:rFonts w:ascii="宋体" w:hAnsi="宋体"/>
                <w:szCs w:val="21"/>
              </w:rPr>
            </w:pPr>
            <w:r>
              <w:rPr>
                <w:rFonts w:ascii="宋体" w:hAnsi="宋体"/>
                <w:szCs w:val="21"/>
              </w:rPr>
              <w:t xml:space="preserve">5.3 </w:t>
            </w:r>
            <w:r>
              <w:rPr>
                <w:rFonts w:hint="eastAsia" w:ascii="宋体" w:hAnsi="宋体"/>
                <w:szCs w:val="21"/>
              </w:rPr>
              <w:t>无轨运输设备运输</w:t>
            </w:r>
          </w:p>
        </w:tc>
        <w:tc>
          <w:tcPr>
            <w:tcW w:w="5343" w:type="dxa"/>
            <w:vAlign w:val="center"/>
          </w:tcPr>
          <w:p>
            <w:pPr>
              <w:ind w:firstLine="420" w:firstLineChars="200"/>
              <w:rPr>
                <w:rFonts w:ascii="宋体" w:hAnsi="宋体"/>
                <w:szCs w:val="21"/>
              </w:rPr>
            </w:pPr>
            <w:r>
              <w:rPr>
                <w:rFonts w:hint="eastAsia" w:ascii="宋体" w:hAnsi="宋体"/>
                <w:szCs w:val="21"/>
              </w:rPr>
              <w:t xml:space="preserve">《安全生产法》第三十三条  安全设备的设计、制造、安装、使用、检测、改造和报废，应当符合国家标准或者行业标准。 </w:t>
            </w:r>
          </w:p>
          <w:p>
            <w:pPr>
              <w:ind w:firstLine="420" w:firstLineChars="200"/>
              <w:rPr>
                <w:rFonts w:ascii="宋体" w:hAnsi="宋体"/>
                <w:szCs w:val="21"/>
              </w:rPr>
            </w:pPr>
            <w:r>
              <w:rPr>
                <w:rFonts w:hint="eastAsia" w:ascii="宋体" w:hAnsi="宋体"/>
                <w:szCs w:val="21"/>
              </w:rPr>
              <w:t>……</w:t>
            </w:r>
          </w:p>
          <w:p>
            <w:pPr>
              <w:ind w:firstLine="420" w:firstLineChars="200"/>
              <w:rPr>
                <w:rFonts w:ascii="宋体" w:hAnsi="宋体"/>
                <w:szCs w:val="21"/>
                <w:highlight w:val="none"/>
              </w:rPr>
            </w:pPr>
            <w:r>
              <w:rPr>
                <w:rFonts w:ascii="宋体" w:hAnsi="宋体"/>
                <w:szCs w:val="21"/>
              </w:rPr>
              <w:t>《金属非金属矿山安全规程》</w:t>
            </w:r>
            <w:r>
              <w:rPr>
                <w:rFonts w:ascii="宋体" w:hAnsi="宋体"/>
                <w:szCs w:val="21"/>
                <w:highlight w:val="none"/>
              </w:rPr>
              <w:t>（GB 16423-2006）</w:t>
            </w:r>
          </w:p>
          <w:p>
            <w:pPr>
              <w:ind w:firstLine="420" w:firstLineChars="200"/>
              <w:rPr>
                <w:rFonts w:ascii="宋体" w:hAnsi="宋体"/>
                <w:szCs w:val="21"/>
                <w:highlight w:val="none"/>
              </w:rPr>
            </w:pPr>
            <w:r>
              <w:rPr>
                <w:rFonts w:ascii="宋体" w:hAnsi="宋体"/>
                <w:szCs w:val="21"/>
                <w:highlight w:val="none"/>
              </w:rPr>
              <w:t>6.3.1.17</w:t>
            </w:r>
            <w:r>
              <w:rPr>
                <w:rFonts w:hint="eastAsia" w:ascii="宋体" w:hAnsi="宋体"/>
                <w:szCs w:val="21"/>
                <w:highlight w:val="none"/>
                <w:lang w:val="en-US" w:eastAsia="zh-CN"/>
              </w:rPr>
              <w:t xml:space="preserve">  </w:t>
            </w:r>
            <w:r>
              <w:rPr>
                <w:rFonts w:ascii="宋体" w:hAnsi="宋体"/>
                <w:szCs w:val="21"/>
                <w:highlight w:val="none"/>
              </w:rPr>
              <w:t>井下使用无轨运输设备，应遵守下列规定：</w:t>
            </w:r>
          </w:p>
          <w:p>
            <w:pPr>
              <w:ind w:firstLine="420" w:firstLineChars="200"/>
              <w:rPr>
                <w:rFonts w:ascii="宋体" w:hAnsi="宋体"/>
                <w:szCs w:val="21"/>
              </w:rPr>
            </w:pPr>
            <w:r>
              <w:rPr>
                <w:rFonts w:ascii="宋体" w:hAnsi="宋体"/>
                <w:szCs w:val="21"/>
                <w:highlight w:val="none"/>
              </w:rPr>
              <w:t>—内燃设备，应使用低污染的柴油发</w:t>
            </w:r>
            <w:r>
              <w:rPr>
                <w:rFonts w:hint="eastAsia" w:ascii="宋体" w:hAnsi="宋体"/>
                <w:szCs w:val="21"/>
                <w:highlight w:val="none"/>
              </w:rPr>
              <w:t>动</w:t>
            </w:r>
            <w:r>
              <w:rPr>
                <w:rFonts w:hint="eastAsia" w:ascii="宋体" w:hAnsi="宋体"/>
                <w:szCs w:val="21"/>
              </w:rPr>
              <w:t>机，每台设备应有废气净化装置，净化后的废气中有害物质的浓度应符合</w:t>
            </w:r>
            <w:r>
              <w:rPr>
                <w:rFonts w:ascii="宋体" w:hAnsi="宋体"/>
                <w:szCs w:val="21"/>
              </w:rPr>
              <w:t>GBZl、GBZ2的有关规定；</w:t>
            </w:r>
          </w:p>
          <w:p>
            <w:pPr>
              <w:ind w:firstLine="420" w:firstLineChars="200"/>
              <w:rPr>
                <w:rFonts w:ascii="宋体" w:hAnsi="宋体"/>
                <w:szCs w:val="21"/>
              </w:rPr>
            </w:pPr>
            <w:r>
              <w:rPr>
                <w:rFonts w:hint="eastAsia" w:ascii="宋体" w:hAnsi="宋体"/>
                <w:szCs w:val="21"/>
              </w:rPr>
              <w:t>—在斜坡上停车时，应采取可靠的挡车措施；</w:t>
            </w:r>
          </w:p>
          <w:p>
            <w:pPr>
              <w:ind w:firstLine="420" w:firstLineChars="200"/>
              <w:rPr>
                <w:rFonts w:ascii="宋体" w:hAnsi="宋体"/>
                <w:szCs w:val="21"/>
              </w:rPr>
            </w:pPr>
            <w:r>
              <w:rPr>
                <w:rFonts w:hint="eastAsia" w:ascii="宋体" w:hAnsi="宋体"/>
                <w:szCs w:val="21"/>
              </w:rPr>
              <w:t>—每台设备应配备灭火装置。</w:t>
            </w:r>
          </w:p>
        </w:tc>
        <w:tc>
          <w:tcPr>
            <w:tcW w:w="3687" w:type="dxa"/>
            <w:vAlign w:val="center"/>
          </w:tcPr>
          <w:p>
            <w:pPr>
              <w:spacing w:line="220" w:lineRule="exact"/>
              <w:ind w:firstLine="420" w:firstLineChars="200"/>
              <w:rPr>
                <w:rFonts w:ascii="宋体" w:hAnsi="宋体"/>
                <w:szCs w:val="21"/>
              </w:rPr>
            </w:pPr>
            <w:r>
              <w:rPr>
                <w:rFonts w:hint="eastAsia" w:ascii="宋体" w:hAnsi="宋体"/>
                <w:szCs w:val="21"/>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220" w:lineRule="exact"/>
              <w:ind w:firstLine="420" w:firstLineChars="200"/>
              <w:rPr>
                <w:rFonts w:ascii="宋体" w:hAnsi="宋体"/>
                <w:szCs w:val="21"/>
              </w:rPr>
            </w:pPr>
            <w:r>
              <w:rPr>
                <w:rFonts w:hint="eastAsia" w:ascii="宋体" w:hAnsi="宋体"/>
                <w:szCs w:val="21"/>
              </w:rPr>
              <w:t>……</w:t>
            </w:r>
          </w:p>
          <w:p>
            <w:pPr>
              <w:spacing w:line="220" w:lineRule="exact"/>
              <w:ind w:firstLine="420" w:firstLineChars="200"/>
              <w:rPr>
                <w:rFonts w:ascii="宋体" w:hAnsi="宋体"/>
                <w:szCs w:val="21"/>
              </w:rPr>
            </w:pPr>
            <w:r>
              <w:rPr>
                <w:rFonts w:hint="eastAsia" w:ascii="宋体" w:hAnsi="宋体"/>
                <w:szCs w:val="21"/>
              </w:rPr>
              <w:t>（二）安全设备的安装、使用、检测、改造和报废不符合国家标准或者行业标准的；</w:t>
            </w:r>
          </w:p>
          <w:p>
            <w:pPr>
              <w:spacing w:line="220" w:lineRule="exact"/>
              <w:ind w:firstLine="420" w:firstLineChars="200"/>
              <w:rPr>
                <w:rFonts w:ascii="宋体" w:hAnsi="宋体"/>
                <w:szCs w:val="21"/>
              </w:rPr>
            </w:pPr>
            <w:r>
              <w:rPr>
                <w:rFonts w:hint="eastAsia" w:ascii="宋体" w:hAnsi="宋体"/>
                <w:szCs w:val="21"/>
              </w:rPr>
              <w:t>……</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60"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rPr>
                <w:rFonts w:ascii="宋体" w:hAnsi="宋体"/>
                <w:szCs w:val="21"/>
              </w:rPr>
            </w:pPr>
          </w:p>
        </w:tc>
        <w:tc>
          <w:tcPr>
            <w:tcW w:w="1665" w:type="dxa"/>
            <w:vAlign w:val="center"/>
          </w:tcPr>
          <w:p>
            <w:pPr>
              <w:rPr>
                <w:rFonts w:ascii="宋体" w:hAnsi="宋体"/>
                <w:szCs w:val="21"/>
              </w:rPr>
            </w:pPr>
            <w:r>
              <w:rPr>
                <w:rFonts w:ascii="宋体" w:hAnsi="宋体"/>
                <w:szCs w:val="21"/>
              </w:rPr>
              <w:t xml:space="preserve">5.4 </w:t>
            </w:r>
            <w:r>
              <w:rPr>
                <w:rFonts w:hint="eastAsia" w:ascii="宋体" w:hAnsi="宋体"/>
                <w:szCs w:val="21"/>
              </w:rPr>
              <w:t>斜井专用人车运输</w:t>
            </w:r>
          </w:p>
        </w:tc>
        <w:tc>
          <w:tcPr>
            <w:tcW w:w="5343" w:type="dxa"/>
            <w:vAlign w:val="center"/>
          </w:tcPr>
          <w:p>
            <w:pPr>
              <w:ind w:firstLine="420" w:firstLineChars="200"/>
              <w:rPr>
                <w:rFonts w:ascii="宋体" w:hAnsi="宋体"/>
                <w:szCs w:val="21"/>
              </w:rPr>
            </w:pPr>
            <w:r>
              <w:rPr>
                <w:rFonts w:hint="eastAsia" w:ascii="宋体" w:hAnsi="宋体"/>
                <w:szCs w:val="21"/>
              </w:rPr>
              <w:t>《安全生产法》第三十三条  安全设备的设计、制造、安装、使用、检测、维修、改造和报废，应当符合国家标准或者行业标准。</w:t>
            </w:r>
          </w:p>
          <w:p>
            <w:pPr>
              <w:ind w:firstLine="420" w:firstLineChars="200"/>
              <w:rPr>
                <w:rFonts w:ascii="宋体" w:hAnsi="宋体"/>
                <w:szCs w:val="21"/>
              </w:rPr>
            </w:pPr>
            <w:r>
              <w:rPr>
                <w:rFonts w:hint="eastAsia" w:ascii="宋体" w:hAnsi="宋体"/>
                <w:szCs w:val="21"/>
              </w:rPr>
              <w:t>……</w:t>
            </w:r>
          </w:p>
          <w:p>
            <w:pPr>
              <w:ind w:firstLine="420" w:firstLineChars="200"/>
              <w:rPr>
                <w:rFonts w:ascii="宋体" w:hAnsi="宋体"/>
                <w:szCs w:val="21"/>
                <w:highlight w:val="none"/>
              </w:rPr>
            </w:pPr>
            <w:r>
              <w:rPr>
                <w:rFonts w:ascii="宋体" w:hAnsi="宋体"/>
                <w:szCs w:val="21"/>
              </w:rPr>
              <w:t>《金属非金属矿山安全规</w:t>
            </w:r>
            <w:r>
              <w:rPr>
                <w:rFonts w:ascii="宋体" w:hAnsi="宋体"/>
                <w:szCs w:val="21"/>
                <w:highlight w:val="none"/>
              </w:rPr>
              <w:t>程》（GB 16423-2006</w:t>
            </w:r>
            <w:r>
              <w:rPr>
                <w:rFonts w:hint="eastAsia" w:ascii="宋体" w:hAnsi="宋体"/>
                <w:szCs w:val="21"/>
                <w:highlight w:val="none"/>
              </w:rPr>
              <w:t>）</w:t>
            </w:r>
          </w:p>
          <w:p>
            <w:pPr>
              <w:ind w:firstLine="420" w:firstLineChars="200"/>
              <w:rPr>
                <w:rFonts w:ascii="宋体" w:hAnsi="宋体"/>
                <w:szCs w:val="21"/>
              </w:rPr>
            </w:pPr>
            <w:r>
              <w:rPr>
                <w:rFonts w:ascii="宋体" w:hAnsi="宋体"/>
                <w:szCs w:val="21"/>
              </w:rPr>
              <w:t>6.3.2.2</w:t>
            </w:r>
            <w:r>
              <w:rPr>
                <w:rFonts w:hint="eastAsia" w:ascii="宋体" w:hAnsi="宋体"/>
                <w:szCs w:val="21"/>
                <w:lang w:val="en-US" w:eastAsia="zh-CN"/>
              </w:rPr>
              <w:t xml:space="preserve">  </w:t>
            </w:r>
            <w:r>
              <w:rPr>
                <w:rFonts w:ascii="宋体" w:hAnsi="宋体"/>
                <w:szCs w:val="21"/>
              </w:rPr>
              <w:t>专用人车应有顶棚，并装有可靠的断绳保险器。列车每节车厢的断绳保险器应相互连结，并能在断绳时起作用。断绳保险器应既能自动，也能手动。</w:t>
            </w:r>
          </w:p>
          <w:p>
            <w:pPr>
              <w:ind w:firstLine="420" w:firstLineChars="200"/>
              <w:rPr>
                <w:rFonts w:ascii="宋体" w:hAnsi="宋体"/>
                <w:szCs w:val="21"/>
              </w:rPr>
            </w:pPr>
            <w:r>
              <w:rPr>
                <w:rFonts w:ascii="宋体" w:hAnsi="宋体"/>
                <w:szCs w:val="21"/>
              </w:rPr>
              <w:t>……</w:t>
            </w:r>
          </w:p>
          <w:p>
            <w:pPr>
              <w:ind w:firstLine="420" w:firstLineChars="200"/>
              <w:rPr>
                <w:rFonts w:ascii="宋体" w:hAnsi="宋体"/>
                <w:szCs w:val="21"/>
              </w:rPr>
            </w:pPr>
            <w:r>
              <w:rPr>
                <w:rFonts w:hint="eastAsia" w:ascii="宋体" w:hAnsi="宋体"/>
                <w:szCs w:val="21"/>
              </w:rPr>
              <w:t>运送人员的专用列车的各节车厢之间，除连接装置外，还应附挂保险链。连接装置和保险链，应经常检查，定期更换。</w:t>
            </w:r>
          </w:p>
        </w:tc>
        <w:tc>
          <w:tcPr>
            <w:tcW w:w="3687" w:type="dxa"/>
            <w:vAlign w:val="center"/>
          </w:tcPr>
          <w:p>
            <w:pPr>
              <w:ind w:firstLine="420" w:firstLineChars="200"/>
              <w:rPr>
                <w:rFonts w:ascii="宋体" w:hAnsi="宋体"/>
                <w:szCs w:val="21"/>
              </w:rPr>
            </w:pPr>
            <w:r>
              <w:rPr>
                <w:rFonts w:hint="eastAsia" w:ascii="宋体" w:hAnsi="宋体"/>
                <w:szCs w:val="21"/>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ind w:firstLine="420" w:firstLineChars="200"/>
              <w:rPr>
                <w:rFonts w:ascii="宋体" w:hAnsi="宋体"/>
                <w:szCs w:val="21"/>
              </w:rPr>
            </w:pPr>
            <w:r>
              <w:rPr>
                <w:rFonts w:ascii="宋体" w:hAnsi="宋体"/>
                <w:szCs w:val="21"/>
              </w:rPr>
              <w:t>……</w:t>
            </w:r>
          </w:p>
          <w:p>
            <w:pPr>
              <w:ind w:firstLine="420" w:firstLineChars="200"/>
              <w:rPr>
                <w:rFonts w:ascii="宋体" w:hAnsi="宋体"/>
                <w:szCs w:val="21"/>
              </w:rPr>
            </w:pPr>
            <w:r>
              <w:rPr>
                <w:rFonts w:hint="eastAsia" w:ascii="宋体" w:hAnsi="宋体"/>
                <w:szCs w:val="21"/>
              </w:rPr>
              <w:t>（二）安全设备的安装、使用、检测、改造和报废不符合国家标准或者行业标准的；</w:t>
            </w:r>
          </w:p>
          <w:p>
            <w:pPr>
              <w:ind w:firstLine="420" w:firstLineChars="200"/>
              <w:rPr>
                <w:rFonts w:ascii="宋体" w:hAnsi="宋体"/>
                <w:szCs w:val="21"/>
              </w:rPr>
            </w:pPr>
            <w:r>
              <w:rPr>
                <w:rFonts w:ascii="宋体" w:hAnsi="宋体"/>
                <w:szCs w:val="21"/>
              </w:rPr>
              <w:t>……</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60"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rPr>
                <w:rFonts w:ascii="宋体" w:hAnsi="宋体"/>
                <w:szCs w:val="21"/>
              </w:rPr>
            </w:pPr>
          </w:p>
        </w:tc>
        <w:tc>
          <w:tcPr>
            <w:tcW w:w="1665" w:type="dxa"/>
            <w:vAlign w:val="center"/>
          </w:tcPr>
          <w:p>
            <w:pPr>
              <w:rPr>
                <w:rFonts w:ascii="宋体" w:hAnsi="宋体"/>
                <w:szCs w:val="21"/>
              </w:rPr>
            </w:pPr>
            <w:r>
              <w:rPr>
                <w:rFonts w:hint="eastAsia" w:ascii="宋体" w:hAnsi="宋体"/>
                <w:szCs w:val="21"/>
              </w:rPr>
              <w:t>5.5 禁止使用专门用于运输人员、炸药、油料的无轨胶轮车使用干式制动器</w:t>
            </w:r>
          </w:p>
        </w:tc>
        <w:tc>
          <w:tcPr>
            <w:tcW w:w="5343" w:type="dxa"/>
            <w:vAlign w:val="center"/>
          </w:tcPr>
          <w:p>
            <w:pPr>
              <w:ind w:firstLine="420" w:firstLineChars="200"/>
              <w:rPr>
                <w:rFonts w:ascii="宋体" w:hAnsi="宋体"/>
                <w:szCs w:val="21"/>
              </w:rPr>
            </w:pPr>
            <w:r>
              <w:rPr>
                <w:rFonts w:hint="eastAsia" w:ascii="宋体" w:hAnsi="宋体"/>
                <w:szCs w:val="21"/>
              </w:rPr>
              <w:t>《安全生产法》第三十五条  国家对严重危及生产安全的工艺、设备实行淘汰制度，具体目录由国务院安全生产监督管理部门会同国务院有关部门制定并公布。法律、行政法规对目录的制定另有规定的，适用其规定。</w:t>
            </w:r>
          </w:p>
          <w:p>
            <w:pPr>
              <w:ind w:firstLine="420" w:firstLineChars="200"/>
              <w:rPr>
                <w:rFonts w:ascii="宋体" w:hAnsi="宋体"/>
                <w:szCs w:val="21"/>
              </w:rPr>
            </w:pPr>
            <w:r>
              <w:rPr>
                <w:rFonts w:hint="eastAsia" w:ascii="宋体" w:hAnsi="宋体"/>
                <w:szCs w:val="21"/>
              </w:rPr>
              <w:t>……</w:t>
            </w:r>
          </w:p>
          <w:p>
            <w:pPr>
              <w:ind w:firstLine="420" w:firstLineChars="200"/>
              <w:rPr>
                <w:rFonts w:ascii="宋体" w:hAnsi="宋体"/>
                <w:szCs w:val="21"/>
              </w:rPr>
            </w:pPr>
            <w:r>
              <w:rPr>
                <w:rFonts w:hint="eastAsia" w:ascii="宋体" w:hAnsi="宋体"/>
                <w:szCs w:val="21"/>
              </w:rPr>
              <w:t>生产经营单位不得使用应当淘汰的危及生产安全的工艺、设备。</w:t>
            </w:r>
          </w:p>
          <w:p>
            <w:pPr>
              <w:ind w:firstLine="420" w:firstLineChars="200"/>
              <w:rPr>
                <w:rFonts w:ascii="宋体" w:hAnsi="宋体"/>
                <w:szCs w:val="21"/>
              </w:rPr>
            </w:pPr>
            <w:r>
              <w:rPr>
                <w:rFonts w:hint="eastAsia" w:ascii="宋体" w:hAnsi="宋体"/>
                <w:szCs w:val="21"/>
              </w:rPr>
              <w:t>《国家安全监管总局关于发布金属非金属矿山禁止使用的设备及工艺目录（第二批）的通知》（安监总管一〔2015〕13号）</w:t>
            </w:r>
          </w:p>
          <w:p>
            <w:pPr>
              <w:ind w:firstLine="420" w:firstLineChars="200"/>
              <w:rPr>
                <w:rFonts w:ascii="宋体" w:hAnsi="宋体"/>
                <w:szCs w:val="21"/>
              </w:rPr>
            </w:pPr>
            <w:r>
              <w:rPr>
                <w:rFonts w:hint="eastAsia" w:ascii="宋体" w:hAnsi="宋体"/>
                <w:szCs w:val="21"/>
              </w:rPr>
              <w:t>新建、改建、扩建的矿山从本目录发布之日起，一律禁止使用下列设备及工艺。现有生产矿山在用下列设备及工艺的，按照本目录规定的时限予以强制淘汰。</w:t>
            </w:r>
          </w:p>
          <w:p>
            <w:pPr>
              <w:ind w:firstLine="420" w:firstLineChars="200"/>
              <w:rPr>
                <w:rFonts w:ascii="宋体" w:hAnsi="宋体"/>
                <w:szCs w:val="21"/>
              </w:rPr>
            </w:pPr>
            <w:r>
              <w:rPr>
                <w:rFonts w:hint="eastAsia" w:ascii="宋体" w:hAnsi="宋体"/>
                <w:szCs w:val="21"/>
              </w:rPr>
              <w:t>8.专门用于运输人员、炸药、油料的无轨胶轮车使用的干式制动器。</w:t>
            </w:r>
          </w:p>
        </w:tc>
        <w:tc>
          <w:tcPr>
            <w:tcW w:w="3687" w:type="dxa"/>
            <w:vAlign w:val="center"/>
          </w:tcPr>
          <w:p>
            <w:pPr>
              <w:ind w:firstLine="420" w:firstLineChars="200"/>
              <w:jc w:val="left"/>
              <w:rPr>
                <w:rFonts w:ascii="宋体" w:hAnsi="宋体"/>
                <w:szCs w:val="21"/>
              </w:rPr>
            </w:pPr>
            <w:r>
              <w:rPr>
                <w:rFonts w:ascii="宋体" w:hAnsi="宋体"/>
                <w:szCs w:val="21"/>
              </w:rPr>
              <w:t>《安全生产法》第九十六条</w:t>
            </w:r>
            <w:r>
              <w:rPr>
                <w:rFonts w:hint="eastAsia" w:ascii="宋体" w:hAnsi="宋体"/>
                <w:szCs w:val="21"/>
              </w:rPr>
              <w:t xml:space="preserve">  </w:t>
            </w:r>
            <w:r>
              <w:rPr>
                <w:rFonts w:ascii="宋体" w:hAnsi="宋体"/>
                <w:szCs w:val="21"/>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ind w:firstLine="420" w:firstLineChars="200"/>
              <w:jc w:val="left"/>
              <w:rPr>
                <w:rFonts w:ascii="宋体" w:hAnsi="宋体"/>
                <w:szCs w:val="21"/>
              </w:rPr>
            </w:pPr>
            <w:r>
              <w:rPr>
                <w:rFonts w:hint="eastAsia" w:ascii="宋体" w:hAnsi="宋体"/>
                <w:szCs w:val="21"/>
              </w:rPr>
              <w:t>……</w:t>
            </w:r>
          </w:p>
          <w:p>
            <w:pPr>
              <w:ind w:firstLine="420" w:firstLineChars="200"/>
              <w:rPr>
                <w:rFonts w:ascii="宋体" w:hAnsi="宋体"/>
                <w:szCs w:val="21"/>
              </w:rPr>
            </w:pPr>
            <w:r>
              <w:rPr>
                <w:rFonts w:ascii="宋体" w:hAnsi="宋体"/>
                <w:szCs w:val="21"/>
              </w:rPr>
              <w:t>（六）使用应当淘汰的危及生产安全的工艺、设备的。</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60" w:hRule="atLeast"/>
          <w:jc w:val="center"/>
        </w:trPr>
        <w:tc>
          <w:tcPr>
            <w:tcW w:w="816" w:type="dxa"/>
            <w:vMerge w:val="restart"/>
            <w:vAlign w:val="center"/>
          </w:tcPr>
          <w:p>
            <w:pPr>
              <w:jc w:val="center"/>
              <w:rPr>
                <w:rFonts w:ascii="宋体" w:hAnsi="宋体"/>
                <w:szCs w:val="21"/>
              </w:rPr>
            </w:pPr>
            <w:r>
              <w:rPr>
                <w:rFonts w:hint="eastAsia" w:ascii="宋体" w:hAnsi="宋体"/>
                <w:szCs w:val="21"/>
              </w:rPr>
              <w:t>6</w:t>
            </w:r>
          </w:p>
        </w:tc>
        <w:tc>
          <w:tcPr>
            <w:tcW w:w="1497" w:type="dxa"/>
            <w:vMerge w:val="restart"/>
            <w:vAlign w:val="center"/>
          </w:tcPr>
          <w:p>
            <w:pPr>
              <w:rPr>
                <w:rFonts w:ascii="宋体" w:hAnsi="宋体"/>
                <w:szCs w:val="21"/>
              </w:rPr>
            </w:pPr>
            <w:r>
              <w:rPr>
                <w:rFonts w:hint="eastAsia" w:ascii="宋体" w:hAnsi="宋体"/>
                <w:szCs w:val="21"/>
              </w:rPr>
              <w:t>通风系统</w:t>
            </w:r>
          </w:p>
        </w:tc>
        <w:tc>
          <w:tcPr>
            <w:tcW w:w="1665" w:type="dxa"/>
            <w:vAlign w:val="center"/>
          </w:tcPr>
          <w:p>
            <w:pPr>
              <w:rPr>
                <w:rFonts w:ascii="宋体" w:hAnsi="宋体"/>
                <w:szCs w:val="21"/>
              </w:rPr>
            </w:pPr>
            <w:r>
              <w:rPr>
                <w:rFonts w:hint="eastAsia" w:ascii="思源黑体 CN" w:hAnsi="思源黑体 CN" w:eastAsia="思源黑体 CN" w:cs="思源黑体 CN"/>
                <w:szCs w:val="21"/>
              </w:rPr>
              <w:t>★</w:t>
            </w:r>
            <w:r>
              <w:rPr>
                <w:rFonts w:hint="eastAsia" w:ascii="宋体" w:hAnsi="宋体"/>
                <w:szCs w:val="21"/>
              </w:rPr>
              <w:t>6.1 机械</w:t>
            </w:r>
            <w:r>
              <w:rPr>
                <w:rFonts w:ascii="宋体" w:hAnsi="宋体"/>
                <w:szCs w:val="21"/>
              </w:rPr>
              <w:t>通风系统</w:t>
            </w:r>
          </w:p>
        </w:tc>
        <w:tc>
          <w:tcPr>
            <w:tcW w:w="5343" w:type="dxa"/>
            <w:vAlign w:val="center"/>
          </w:tcPr>
          <w:p>
            <w:pPr>
              <w:ind w:firstLine="420" w:firstLineChars="200"/>
            </w:pPr>
            <w:r>
              <w:rPr>
                <w:rFonts w:hint="eastAsia"/>
              </w:rPr>
              <w:t xml:space="preserve">《安全生产法》第三十八条  生产经营单位应当建立健全生产安全事故隐患排查治理制度，采取技术、管理措施，及时发现并消除事故隐患。事故隐患排查治理情况应当如实记录，并向从业人员通报。 </w:t>
            </w:r>
          </w:p>
          <w:p>
            <w:pPr>
              <w:ind w:firstLine="420" w:firstLineChars="200"/>
            </w:pPr>
            <w:r>
              <w:rPr>
                <w:rFonts w:hint="eastAsia"/>
              </w:rPr>
              <w:t>……</w:t>
            </w:r>
          </w:p>
          <w:p>
            <w:pPr>
              <w:ind w:firstLine="420" w:firstLineChars="200"/>
              <w:rPr>
                <w:rFonts w:asciiTheme="minorEastAsia" w:hAnsiTheme="minorEastAsia" w:eastAsiaTheme="minorEastAsia" w:cstheme="minorEastAsia"/>
                <w:highlight w:val="none"/>
              </w:rPr>
            </w:pPr>
            <w:r>
              <w:t>《金属非金属矿山安全规程》</w:t>
            </w:r>
            <w:r>
              <w:rPr>
                <w:rFonts w:hint="eastAsia" w:asciiTheme="minorEastAsia" w:hAnsiTheme="minorEastAsia" w:eastAsiaTheme="minorEastAsia" w:cstheme="minorEastAsia"/>
                <w:highlight w:val="none"/>
              </w:rPr>
              <w:t>（GB 16423-2006）</w:t>
            </w:r>
          </w:p>
          <w:p>
            <w:pPr>
              <w:ind w:firstLine="420" w:firstLineChars="200"/>
              <w:rPr>
                <w:highlight w:val="none"/>
              </w:rPr>
            </w:pPr>
            <w:r>
              <w:rPr>
                <w:rFonts w:asciiTheme="minorEastAsia" w:hAnsiTheme="minorEastAsia" w:eastAsiaTheme="minorEastAsia" w:cstheme="minorEastAsia"/>
                <w:highlight w:val="none"/>
              </w:rPr>
              <w:t>6.4.2.1</w:t>
            </w:r>
            <w:r>
              <w:rPr>
                <w:rFonts w:hint="eastAsia"/>
                <w:highlight w:val="none"/>
              </w:rPr>
              <w:t xml:space="preserve">  矿井应建立机械通风系统。对于自然风压较大的矿井，当风量、风速和作业场所空气质量能够达到</w:t>
            </w:r>
            <w:r>
              <w:rPr>
                <w:rFonts w:asciiTheme="minorEastAsia" w:hAnsiTheme="minorEastAsia" w:eastAsiaTheme="minorEastAsia" w:cstheme="minorEastAsia"/>
                <w:highlight w:val="none"/>
              </w:rPr>
              <w:t>6.4.1</w:t>
            </w:r>
            <w:r>
              <w:rPr>
                <w:rFonts w:hint="eastAsia"/>
                <w:highlight w:val="none"/>
              </w:rPr>
              <w:t>的规定时，允许暂时用自然通风替代机械通风。</w:t>
            </w:r>
          </w:p>
          <w:p>
            <w:pPr>
              <w:pStyle w:val="2"/>
              <w:ind w:firstLine="420"/>
              <w:jc w:val="both"/>
              <w:rPr>
                <w:rFonts w:eastAsia="宋体"/>
                <w:highlight w:val="none"/>
              </w:rPr>
            </w:pPr>
            <w:r>
              <w:rPr>
                <w:rFonts w:hint="eastAsia" w:eastAsia="宋体"/>
                <w:highlight w:val="none"/>
              </w:rPr>
              <w:t>《国家安全监管总局关于印发</w:t>
            </w:r>
            <w:r>
              <w:rPr>
                <w:rFonts w:eastAsia="宋体"/>
                <w:highlight w:val="none"/>
              </w:rPr>
              <w:t>〈金属非金属矿山重大生产安全事故隐患判定标准（试行）〉</w:t>
            </w:r>
            <w:r>
              <w:rPr>
                <w:rFonts w:hint="eastAsia" w:eastAsia="宋体"/>
                <w:highlight w:val="none"/>
              </w:rPr>
              <w:t>的通知》（</w:t>
            </w:r>
            <w:r>
              <w:rPr>
                <w:rFonts w:eastAsia="宋体"/>
                <w:highlight w:val="none"/>
              </w:rPr>
              <w:t>安监总管一</w:t>
            </w:r>
            <w:r>
              <w:rPr>
                <w:rFonts w:asciiTheme="minorEastAsia" w:hAnsiTheme="minorEastAsia" w:eastAsiaTheme="minorEastAsia"/>
                <w:highlight w:val="none"/>
              </w:rPr>
              <w:t>〔2017〕98号</w:t>
            </w:r>
            <w:r>
              <w:rPr>
                <w:rFonts w:hint="eastAsia" w:eastAsia="宋体"/>
                <w:highlight w:val="none"/>
              </w:rPr>
              <w:t>）</w:t>
            </w:r>
          </w:p>
          <w:p>
            <w:pPr>
              <w:pStyle w:val="2"/>
              <w:ind w:firstLine="420"/>
              <w:jc w:val="both"/>
              <w:rPr>
                <w:rFonts w:eastAsia="宋体"/>
              </w:rPr>
            </w:pPr>
            <w:r>
              <w:rPr>
                <w:rFonts w:hint="eastAsia" w:eastAsia="宋体"/>
              </w:rPr>
              <w:t>一、金属非金属地下矿山重大生产安全事故隐患</w:t>
            </w:r>
          </w:p>
          <w:p>
            <w:pPr>
              <w:pStyle w:val="2"/>
              <w:ind w:firstLine="420"/>
              <w:jc w:val="both"/>
            </w:pPr>
            <w:r>
              <w:rPr>
                <w:rFonts w:hint="eastAsia" w:eastAsia="宋体"/>
              </w:rPr>
              <w:t>（二十）矿井未按照设计要求建立机械通风系统，或风速、风量、风质不符合国家标准或行业标准的要求。</w:t>
            </w:r>
          </w:p>
        </w:tc>
        <w:tc>
          <w:tcPr>
            <w:tcW w:w="3687" w:type="dxa"/>
            <w:vAlign w:val="center"/>
          </w:tcPr>
          <w:p>
            <w:pPr>
              <w:ind w:firstLine="420" w:firstLineChars="200"/>
              <w:rPr>
                <w:rFonts w:ascii="宋体" w:hAnsi="宋体"/>
                <w:szCs w:val="21"/>
              </w:rPr>
            </w:pPr>
            <w:r>
              <w:rPr>
                <w:rFonts w:hint="eastAsia" w:ascii="宋体" w:hAnsi="宋体"/>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60"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rPr>
                <w:rFonts w:ascii="宋体" w:hAnsi="宋体"/>
                <w:szCs w:val="21"/>
              </w:rPr>
            </w:pPr>
          </w:p>
        </w:tc>
        <w:tc>
          <w:tcPr>
            <w:tcW w:w="1665" w:type="dxa"/>
            <w:vAlign w:val="center"/>
          </w:tcPr>
          <w:p>
            <w:pPr>
              <w:rPr>
                <w:rFonts w:ascii="宋体" w:hAnsi="宋体"/>
                <w:szCs w:val="21"/>
              </w:rPr>
            </w:pPr>
            <w:r>
              <w:rPr>
                <w:rFonts w:hint="eastAsia" w:ascii="宋体" w:hAnsi="宋体"/>
                <w:szCs w:val="21"/>
              </w:rPr>
              <w:t xml:space="preserve">6.2 </w:t>
            </w:r>
            <w:r>
              <w:rPr>
                <w:rFonts w:ascii="宋体" w:hAnsi="宋体"/>
                <w:szCs w:val="21"/>
              </w:rPr>
              <w:t>主通风机</w:t>
            </w:r>
            <w:r>
              <w:rPr>
                <w:rFonts w:hint="eastAsia" w:ascii="宋体" w:hAnsi="宋体"/>
                <w:szCs w:val="21"/>
              </w:rPr>
              <w:t>及运行</w:t>
            </w:r>
          </w:p>
        </w:tc>
        <w:tc>
          <w:tcPr>
            <w:tcW w:w="5343" w:type="dxa"/>
            <w:vAlign w:val="center"/>
          </w:tcPr>
          <w:p>
            <w:pPr>
              <w:ind w:firstLine="420" w:firstLineChars="200"/>
              <w:rPr>
                <w:rFonts w:ascii="宋体" w:hAnsi="宋体"/>
                <w:szCs w:val="21"/>
              </w:rPr>
            </w:pPr>
            <w:r>
              <w:rPr>
                <w:rFonts w:ascii="宋体" w:hAnsi="宋体"/>
                <w:szCs w:val="21"/>
              </w:rPr>
              <w:t>《安全生产法》第三十三条</w:t>
            </w:r>
            <w:r>
              <w:rPr>
                <w:rFonts w:hint="eastAsia" w:ascii="宋体" w:hAnsi="宋体"/>
                <w:szCs w:val="21"/>
              </w:rPr>
              <w:t xml:space="preserve">  </w:t>
            </w:r>
            <w:r>
              <w:rPr>
                <w:rFonts w:ascii="宋体" w:hAnsi="宋体"/>
                <w:szCs w:val="21"/>
              </w:rPr>
              <w:t>安全设备的设计、制造、安装、使用、检测、维修、改造和报废，应当符合国家标准或者行业标准。</w:t>
            </w:r>
          </w:p>
          <w:p>
            <w:pPr>
              <w:ind w:firstLine="420" w:firstLineChars="200"/>
              <w:rPr>
                <w:rFonts w:ascii="宋体" w:hAnsi="宋体"/>
                <w:szCs w:val="21"/>
              </w:rPr>
            </w:pPr>
            <w:r>
              <w:rPr>
                <w:rFonts w:hint="eastAsia" w:ascii="宋体" w:hAnsi="宋体"/>
                <w:szCs w:val="21"/>
              </w:rPr>
              <w:t>……</w:t>
            </w:r>
          </w:p>
          <w:p>
            <w:pPr>
              <w:ind w:firstLine="420" w:firstLineChars="200"/>
              <w:rPr>
                <w:rFonts w:ascii="宋体" w:hAnsi="宋体"/>
                <w:szCs w:val="21"/>
                <w:highlight w:val="none"/>
              </w:rPr>
            </w:pPr>
            <w:r>
              <w:rPr>
                <w:rFonts w:ascii="宋体" w:hAnsi="宋体"/>
                <w:szCs w:val="21"/>
              </w:rPr>
              <w:t>《金属非金属矿山安全规</w:t>
            </w:r>
            <w:r>
              <w:rPr>
                <w:rFonts w:ascii="宋体" w:hAnsi="宋体"/>
                <w:szCs w:val="21"/>
                <w:highlight w:val="none"/>
              </w:rPr>
              <w:t>程》（GB 16423-2006）</w:t>
            </w:r>
          </w:p>
          <w:p>
            <w:pPr>
              <w:ind w:firstLine="420" w:firstLineChars="200"/>
              <w:rPr>
                <w:rFonts w:ascii="宋体" w:hAnsi="宋体"/>
                <w:szCs w:val="21"/>
              </w:rPr>
            </w:pPr>
            <w:r>
              <w:rPr>
                <w:rFonts w:ascii="宋体" w:hAnsi="宋体"/>
                <w:szCs w:val="21"/>
                <w:highlight w:val="none"/>
              </w:rPr>
              <w:t>6.4.3.1</w:t>
            </w:r>
            <w:r>
              <w:rPr>
                <w:rFonts w:hint="eastAsia" w:ascii="宋体" w:hAnsi="宋体"/>
                <w:szCs w:val="21"/>
                <w:highlight w:val="none"/>
              </w:rPr>
              <w:t xml:space="preserve">  正常生产情况下，主扇应连续运转。当井下无污染作业时，主扇可适当减少风量运转；当井下完全无人作业时，允许暂时停止机械通风。当主</w:t>
            </w:r>
            <w:r>
              <w:rPr>
                <w:rFonts w:hint="eastAsia" w:ascii="宋体" w:hAnsi="宋体"/>
                <w:szCs w:val="21"/>
              </w:rPr>
              <w:t>扇发生故障或需要停机检查时，应立即向调度室和主管矿长报告，并通知所有井下作业人员。</w:t>
            </w:r>
          </w:p>
        </w:tc>
        <w:tc>
          <w:tcPr>
            <w:tcW w:w="3687" w:type="dxa"/>
            <w:vAlign w:val="center"/>
          </w:tcPr>
          <w:p>
            <w:pPr>
              <w:ind w:firstLine="420" w:firstLineChars="200"/>
              <w:rPr>
                <w:rFonts w:ascii="宋体" w:hAnsi="宋体"/>
                <w:szCs w:val="21"/>
              </w:rPr>
            </w:pPr>
            <w:r>
              <w:rPr>
                <w:rFonts w:ascii="宋体" w:hAnsi="宋体"/>
                <w:szCs w:val="21"/>
              </w:rPr>
              <w:t>《安全生产法》第九十六条</w:t>
            </w:r>
            <w:r>
              <w:rPr>
                <w:rFonts w:hint="eastAsia" w:ascii="宋体" w:hAnsi="宋体"/>
                <w:szCs w:val="21"/>
              </w:rPr>
              <w:t xml:space="preserve">  </w:t>
            </w:r>
            <w:r>
              <w:rPr>
                <w:rFonts w:ascii="宋体" w:hAnsi="宋体"/>
                <w:szCs w:val="21"/>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ind w:firstLine="420" w:firstLineChars="200"/>
              <w:rPr>
                <w:rFonts w:ascii="宋体" w:hAnsi="宋体"/>
                <w:szCs w:val="21"/>
              </w:rPr>
            </w:pPr>
            <w:r>
              <w:rPr>
                <w:rFonts w:hint="eastAsia" w:ascii="宋体" w:hAnsi="宋体"/>
                <w:szCs w:val="21"/>
              </w:rPr>
              <w:t>……</w:t>
            </w:r>
          </w:p>
          <w:p>
            <w:pPr>
              <w:ind w:firstLine="420" w:firstLineChars="200"/>
              <w:rPr>
                <w:rFonts w:ascii="宋体" w:hAnsi="宋体"/>
                <w:szCs w:val="21"/>
              </w:rPr>
            </w:pPr>
            <w:r>
              <w:rPr>
                <w:rFonts w:ascii="宋体" w:hAnsi="宋体"/>
                <w:szCs w:val="21"/>
              </w:rPr>
              <w:t>（二）安全设备的安装、使用、检测、改造和报废不符合国家标准或者行业标准的</w:t>
            </w:r>
            <w:r>
              <w:rPr>
                <w:rFonts w:hint="eastAsia" w:ascii="宋体" w:hAnsi="宋体"/>
                <w:szCs w:val="21"/>
              </w:rPr>
              <w:t>；</w:t>
            </w:r>
          </w:p>
          <w:p>
            <w:pPr>
              <w:ind w:firstLine="420" w:firstLineChars="200"/>
              <w:rPr>
                <w:rFonts w:ascii="宋体" w:hAnsi="宋体"/>
                <w:szCs w:val="21"/>
              </w:rPr>
            </w:pPr>
            <w:r>
              <w:rPr>
                <w:rFonts w:ascii="宋体" w:hAnsi="宋体"/>
                <w:szCs w:val="21"/>
              </w:rPr>
              <w:t>……</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rPr>
                <w:rFonts w:ascii="宋体" w:hAnsi="宋体"/>
                <w:szCs w:val="21"/>
              </w:rPr>
            </w:pPr>
          </w:p>
        </w:tc>
        <w:tc>
          <w:tcPr>
            <w:tcW w:w="1665" w:type="dxa"/>
            <w:vAlign w:val="center"/>
          </w:tcPr>
          <w:p>
            <w:pPr>
              <w:rPr>
                <w:rFonts w:ascii="宋体" w:hAnsi="宋体"/>
                <w:szCs w:val="21"/>
              </w:rPr>
            </w:pPr>
            <w:r>
              <w:rPr>
                <w:rFonts w:hint="eastAsia" w:ascii="宋体" w:hAnsi="宋体"/>
                <w:szCs w:val="21"/>
              </w:rPr>
              <w:t xml:space="preserve">6.3 </w:t>
            </w:r>
            <w:r>
              <w:rPr>
                <w:rFonts w:ascii="宋体" w:hAnsi="宋体"/>
                <w:szCs w:val="21"/>
              </w:rPr>
              <w:t>局部通风设备</w:t>
            </w:r>
          </w:p>
        </w:tc>
        <w:tc>
          <w:tcPr>
            <w:tcW w:w="5343" w:type="dxa"/>
            <w:vAlign w:val="center"/>
          </w:tcPr>
          <w:p>
            <w:pPr>
              <w:ind w:firstLine="420" w:firstLineChars="200"/>
              <w:rPr>
                <w:rFonts w:ascii="宋体" w:hAnsi="宋体"/>
                <w:szCs w:val="21"/>
              </w:rPr>
            </w:pPr>
            <w:r>
              <w:rPr>
                <w:rFonts w:ascii="宋体" w:hAnsi="宋体"/>
                <w:szCs w:val="21"/>
              </w:rPr>
              <w:t>《安全生产法》第三十三条</w:t>
            </w:r>
            <w:r>
              <w:rPr>
                <w:rFonts w:hint="eastAsia" w:ascii="宋体" w:hAnsi="宋体"/>
                <w:szCs w:val="21"/>
              </w:rPr>
              <w:t xml:space="preserve">  </w:t>
            </w:r>
            <w:r>
              <w:rPr>
                <w:rFonts w:ascii="宋体" w:hAnsi="宋体"/>
                <w:szCs w:val="21"/>
              </w:rPr>
              <w:t>安全设备的设计、制造、安装、使用、检测、维修、改造和报废，应当符合国家标准或者行业标准</w:t>
            </w:r>
            <w:r>
              <w:rPr>
                <w:rFonts w:hint="eastAsia" w:ascii="宋体" w:hAnsi="宋体"/>
                <w:szCs w:val="21"/>
              </w:rPr>
              <w:t>。</w:t>
            </w:r>
          </w:p>
          <w:p>
            <w:pPr>
              <w:ind w:firstLine="420" w:firstLineChars="200"/>
              <w:rPr>
                <w:rFonts w:ascii="宋体" w:hAnsi="宋体"/>
                <w:szCs w:val="21"/>
              </w:rPr>
            </w:pPr>
            <w:r>
              <w:rPr>
                <w:rFonts w:hint="eastAsia" w:ascii="宋体" w:hAnsi="宋体"/>
                <w:szCs w:val="21"/>
              </w:rPr>
              <w:t>……</w:t>
            </w:r>
          </w:p>
          <w:p>
            <w:pPr>
              <w:ind w:firstLine="420" w:firstLineChars="200"/>
              <w:rPr>
                <w:rFonts w:ascii="宋体" w:hAnsi="宋体"/>
                <w:szCs w:val="21"/>
                <w:highlight w:val="none"/>
              </w:rPr>
            </w:pPr>
            <w:r>
              <w:rPr>
                <w:rFonts w:ascii="宋体" w:hAnsi="宋体"/>
                <w:szCs w:val="21"/>
              </w:rPr>
              <w:t>《金属非金属矿山安全规程</w:t>
            </w:r>
            <w:r>
              <w:rPr>
                <w:rFonts w:ascii="宋体" w:hAnsi="宋体"/>
                <w:szCs w:val="21"/>
                <w:highlight w:val="none"/>
              </w:rPr>
              <w:t>》（GB 16423-2006）</w:t>
            </w:r>
          </w:p>
          <w:p>
            <w:pPr>
              <w:ind w:firstLine="420" w:firstLineChars="200"/>
              <w:rPr>
                <w:rFonts w:ascii="宋体" w:hAnsi="宋体"/>
                <w:szCs w:val="21"/>
              </w:rPr>
            </w:pPr>
            <w:r>
              <w:rPr>
                <w:rFonts w:ascii="宋体" w:hAnsi="宋体"/>
                <w:szCs w:val="21"/>
                <w:highlight w:val="none"/>
              </w:rPr>
              <w:t>6.4.4.1</w:t>
            </w:r>
            <w:r>
              <w:rPr>
                <w:rFonts w:hint="eastAsia" w:ascii="宋体" w:hAnsi="宋体"/>
                <w:szCs w:val="21"/>
                <w:highlight w:val="none"/>
              </w:rPr>
              <w:t xml:space="preserve">  掘进工作面和通风不良的采场，应</w:t>
            </w:r>
            <w:r>
              <w:rPr>
                <w:rFonts w:hint="eastAsia" w:ascii="宋体" w:hAnsi="宋体"/>
                <w:szCs w:val="21"/>
              </w:rPr>
              <w:t>安装局部通风设备。局扇应有完善的保护装置。</w:t>
            </w:r>
          </w:p>
        </w:tc>
        <w:tc>
          <w:tcPr>
            <w:tcW w:w="3687" w:type="dxa"/>
            <w:vAlign w:val="center"/>
          </w:tcPr>
          <w:p>
            <w:pPr>
              <w:ind w:firstLine="420" w:firstLineChars="200"/>
              <w:rPr>
                <w:rFonts w:ascii="宋体" w:hAnsi="宋体"/>
                <w:szCs w:val="21"/>
              </w:rPr>
            </w:pPr>
            <w:r>
              <w:rPr>
                <w:rFonts w:ascii="宋体" w:hAnsi="宋体"/>
                <w:szCs w:val="21"/>
              </w:rPr>
              <w:t>《安全生产法》第九十六条</w:t>
            </w:r>
            <w:r>
              <w:rPr>
                <w:rFonts w:hint="eastAsia" w:ascii="宋体" w:hAnsi="宋体"/>
                <w:szCs w:val="21"/>
              </w:rPr>
              <w:t xml:space="preserve">  </w:t>
            </w:r>
            <w:r>
              <w:rPr>
                <w:rFonts w:ascii="宋体" w:hAnsi="宋体"/>
                <w:szCs w:val="21"/>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ind w:firstLine="420" w:firstLineChars="200"/>
              <w:rPr>
                <w:rFonts w:ascii="宋体" w:hAnsi="宋体"/>
                <w:szCs w:val="21"/>
              </w:rPr>
            </w:pPr>
            <w:r>
              <w:rPr>
                <w:rFonts w:hint="eastAsia" w:ascii="宋体" w:hAnsi="宋体"/>
                <w:szCs w:val="21"/>
              </w:rPr>
              <w:t>……</w:t>
            </w:r>
          </w:p>
          <w:p>
            <w:pPr>
              <w:ind w:firstLine="420" w:firstLineChars="200"/>
              <w:rPr>
                <w:rFonts w:ascii="宋体" w:hAnsi="宋体"/>
                <w:szCs w:val="21"/>
              </w:rPr>
            </w:pPr>
            <w:r>
              <w:rPr>
                <w:rFonts w:ascii="宋体" w:hAnsi="宋体"/>
                <w:szCs w:val="21"/>
              </w:rPr>
              <w:t>（二）安全设备的安装、使用、检测、改造和报废不符合国家标准或者行业标准的</w:t>
            </w:r>
            <w:r>
              <w:rPr>
                <w:rFonts w:hint="eastAsia" w:ascii="宋体" w:hAnsi="宋体"/>
                <w:szCs w:val="21"/>
              </w:rPr>
              <w:t>；</w:t>
            </w:r>
          </w:p>
          <w:p>
            <w:pPr>
              <w:ind w:firstLine="420" w:firstLineChars="200"/>
              <w:rPr>
                <w:rFonts w:ascii="宋体" w:hAnsi="宋体"/>
                <w:szCs w:val="21"/>
              </w:rPr>
            </w:pPr>
            <w:r>
              <w:rPr>
                <w:rFonts w:ascii="宋体" w:hAnsi="宋体"/>
                <w:szCs w:val="21"/>
              </w:rPr>
              <w:t>……</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rPr>
                <w:rFonts w:ascii="宋体" w:hAnsi="宋体"/>
                <w:szCs w:val="21"/>
              </w:rPr>
            </w:pPr>
          </w:p>
        </w:tc>
        <w:tc>
          <w:tcPr>
            <w:tcW w:w="1665" w:type="dxa"/>
            <w:vAlign w:val="center"/>
          </w:tcPr>
          <w:p>
            <w:pPr>
              <w:rPr>
                <w:rFonts w:ascii="宋体" w:hAnsi="宋体"/>
                <w:szCs w:val="21"/>
              </w:rPr>
            </w:pPr>
            <w:r>
              <w:rPr>
                <w:rFonts w:hint="eastAsia" w:ascii="宋体" w:hAnsi="宋体"/>
                <w:szCs w:val="21"/>
              </w:rPr>
              <w:t xml:space="preserve">6.4 </w:t>
            </w:r>
            <w:r>
              <w:rPr>
                <w:rFonts w:ascii="宋体" w:hAnsi="宋体"/>
                <w:szCs w:val="21"/>
              </w:rPr>
              <w:t>主通风机房的</w:t>
            </w:r>
            <w:r>
              <w:rPr>
                <w:rFonts w:hint="eastAsia" w:ascii="宋体" w:hAnsi="宋体"/>
                <w:szCs w:val="21"/>
              </w:rPr>
              <w:t>监控</w:t>
            </w:r>
            <w:r>
              <w:rPr>
                <w:rFonts w:ascii="宋体" w:hAnsi="宋体"/>
                <w:szCs w:val="21"/>
              </w:rPr>
              <w:t>仪表设置</w:t>
            </w:r>
          </w:p>
        </w:tc>
        <w:tc>
          <w:tcPr>
            <w:tcW w:w="5343" w:type="dxa"/>
            <w:vAlign w:val="center"/>
          </w:tcPr>
          <w:p>
            <w:pPr>
              <w:ind w:firstLine="420" w:firstLineChars="200"/>
              <w:rPr>
                <w:rFonts w:ascii="宋体" w:hAnsi="宋体"/>
                <w:szCs w:val="21"/>
              </w:rPr>
            </w:pPr>
            <w:r>
              <w:rPr>
                <w:rFonts w:ascii="宋体" w:hAnsi="宋体"/>
                <w:szCs w:val="21"/>
              </w:rPr>
              <w:t>《安全生产法》第三十三条安全设备的设计、制造、安装、使用、检测、维修、改造和报废，应当符合国家标准或者行业标准</w:t>
            </w:r>
            <w:r>
              <w:rPr>
                <w:rFonts w:hint="eastAsia" w:ascii="宋体" w:hAnsi="宋体"/>
                <w:szCs w:val="21"/>
              </w:rPr>
              <w:t xml:space="preserve">。 </w:t>
            </w:r>
          </w:p>
          <w:p>
            <w:pPr>
              <w:ind w:firstLine="420" w:firstLineChars="200"/>
              <w:rPr>
                <w:rFonts w:ascii="宋体" w:hAnsi="宋体"/>
                <w:szCs w:val="21"/>
              </w:rPr>
            </w:pPr>
            <w:r>
              <w:rPr>
                <w:rFonts w:hint="eastAsia" w:ascii="宋体" w:hAnsi="宋体"/>
                <w:szCs w:val="21"/>
              </w:rPr>
              <w:t>……</w:t>
            </w:r>
          </w:p>
          <w:p>
            <w:pPr>
              <w:ind w:firstLine="420" w:firstLineChars="200"/>
              <w:rPr>
                <w:rFonts w:ascii="宋体" w:hAnsi="宋体"/>
                <w:szCs w:val="21"/>
                <w:highlight w:val="none"/>
              </w:rPr>
            </w:pPr>
            <w:r>
              <w:rPr>
                <w:rFonts w:ascii="宋体" w:hAnsi="宋体"/>
                <w:szCs w:val="21"/>
              </w:rPr>
              <w:t>《金属非金属矿山安全规程》</w:t>
            </w:r>
            <w:r>
              <w:rPr>
                <w:rFonts w:ascii="宋体" w:hAnsi="宋体"/>
                <w:szCs w:val="21"/>
                <w:highlight w:val="none"/>
              </w:rPr>
              <w:t>（GB 16423-2006）</w:t>
            </w:r>
          </w:p>
          <w:p>
            <w:pPr>
              <w:ind w:firstLine="420" w:firstLineChars="200"/>
              <w:rPr>
                <w:rFonts w:ascii="宋体" w:hAnsi="宋体"/>
                <w:szCs w:val="21"/>
              </w:rPr>
            </w:pPr>
            <w:r>
              <w:rPr>
                <w:rFonts w:ascii="宋体" w:hAnsi="宋体"/>
                <w:szCs w:val="21"/>
              </w:rPr>
              <w:t>6.4.3.4</w:t>
            </w:r>
            <w:r>
              <w:rPr>
                <w:rFonts w:hint="eastAsia" w:ascii="宋体" w:hAnsi="宋体"/>
                <w:szCs w:val="21"/>
                <w:lang w:val="en-US" w:eastAsia="zh-CN"/>
              </w:rPr>
              <w:t xml:space="preserve">  </w:t>
            </w:r>
            <w:r>
              <w:rPr>
                <w:rFonts w:hint="eastAsia" w:ascii="宋体" w:hAnsi="宋体"/>
                <w:szCs w:val="21"/>
              </w:rPr>
              <w:t>主扇风机房，应设有测量风压、风量、电流、电压和轴承温度等的仪表。</w:t>
            </w:r>
            <w:r>
              <w:rPr>
                <w:rFonts w:hint="eastAsia" w:ascii="Arial" w:hAnsi="Arial" w:cs="Arial"/>
                <w:szCs w:val="21"/>
              </w:rPr>
              <w:t>每班都应对扇风机运转情况进行检查，并填写运转记录。有自动监控及测试的主扇，每两周应进行一次自控系统的检查。</w:t>
            </w:r>
          </w:p>
        </w:tc>
        <w:tc>
          <w:tcPr>
            <w:tcW w:w="3687" w:type="dxa"/>
            <w:vAlign w:val="center"/>
          </w:tcPr>
          <w:p>
            <w:pPr>
              <w:ind w:firstLine="420" w:firstLineChars="200"/>
              <w:rPr>
                <w:rFonts w:ascii="宋体" w:hAnsi="宋体"/>
                <w:szCs w:val="21"/>
              </w:rPr>
            </w:pPr>
            <w:r>
              <w:rPr>
                <w:rFonts w:ascii="宋体" w:hAnsi="宋体"/>
                <w:szCs w:val="21"/>
              </w:rPr>
              <w:t>《安全生产法》第九十六条</w:t>
            </w:r>
            <w:r>
              <w:rPr>
                <w:rFonts w:hint="eastAsia" w:ascii="宋体" w:hAnsi="宋体"/>
                <w:szCs w:val="21"/>
              </w:rPr>
              <w:t xml:space="preserve">  </w:t>
            </w:r>
            <w:r>
              <w:rPr>
                <w:rFonts w:ascii="宋体" w:hAnsi="宋体"/>
                <w:szCs w:val="21"/>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ind w:firstLine="420" w:firstLineChars="200"/>
              <w:rPr>
                <w:rFonts w:ascii="宋体" w:hAnsi="宋体"/>
                <w:szCs w:val="21"/>
              </w:rPr>
            </w:pPr>
            <w:r>
              <w:rPr>
                <w:rFonts w:hint="eastAsia" w:ascii="宋体" w:hAnsi="宋体"/>
                <w:szCs w:val="21"/>
              </w:rPr>
              <w:t>……</w:t>
            </w:r>
          </w:p>
          <w:p>
            <w:pPr>
              <w:ind w:firstLine="420" w:firstLineChars="200"/>
              <w:rPr>
                <w:rFonts w:ascii="宋体" w:hAnsi="宋体"/>
                <w:szCs w:val="21"/>
              </w:rPr>
            </w:pPr>
            <w:r>
              <w:rPr>
                <w:rFonts w:ascii="宋体" w:hAnsi="宋体"/>
                <w:szCs w:val="21"/>
              </w:rPr>
              <w:t>（二）安全设备的安装、使用、检测、改造和报废不符合国家标准或者行业标准的</w:t>
            </w:r>
            <w:r>
              <w:rPr>
                <w:rFonts w:hint="eastAsia" w:ascii="宋体" w:hAnsi="宋体"/>
                <w:szCs w:val="21"/>
              </w:rPr>
              <w:t>；</w:t>
            </w:r>
          </w:p>
          <w:p>
            <w:pPr>
              <w:ind w:firstLine="420" w:firstLineChars="200"/>
              <w:rPr>
                <w:rFonts w:ascii="宋体" w:hAnsi="宋体"/>
                <w:szCs w:val="21"/>
              </w:rPr>
            </w:pPr>
            <w:r>
              <w:rPr>
                <w:rFonts w:ascii="宋体" w:hAnsi="宋体"/>
                <w:szCs w:val="21"/>
              </w:rPr>
              <w:t>……</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60"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rPr>
                <w:rFonts w:ascii="宋体" w:hAnsi="宋体"/>
                <w:szCs w:val="21"/>
              </w:rPr>
            </w:pPr>
          </w:p>
        </w:tc>
        <w:tc>
          <w:tcPr>
            <w:tcW w:w="1665" w:type="dxa"/>
            <w:vAlign w:val="center"/>
          </w:tcPr>
          <w:p>
            <w:pPr>
              <w:spacing w:line="240" w:lineRule="atLeast"/>
              <w:rPr>
                <w:rFonts w:ascii="宋体" w:hAnsi="宋体"/>
                <w:szCs w:val="21"/>
              </w:rPr>
            </w:pPr>
            <w:r>
              <w:rPr>
                <w:rFonts w:hint="eastAsia" w:ascii="思源黑体 CN" w:hAnsi="思源黑体 CN" w:eastAsia="思源黑体 CN" w:cs="思源黑体 CN"/>
                <w:szCs w:val="21"/>
              </w:rPr>
              <w:t>★</w:t>
            </w:r>
            <w:r>
              <w:rPr>
                <w:rFonts w:ascii="宋体" w:hAnsi="宋体"/>
                <w:szCs w:val="21"/>
              </w:rPr>
              <w:t>6.5 便携式气体检测报警仪和自救器</w:t>
            </w:r>
            <w:r>
              <w:rPr>
                <w:rFonts w:hint="eastAsia" w:asciiTheme="minorEastAsia" w:hAnsiTheme="minorEastAsia" w:eastAsiaTheme="minorEastAsia"/>
                <w:szCs w:val="21"/>
              </w:rPr>
              <w:t>配备</w:t>
            </w:r>
          </w:p>
        </w:tc>
        <w:tc>
          <w:tcPr>
            <w:tcW w:w="5343" w:type="dxa"/>
            <w:vAlign w:val="center"/>
          </w:tcPr>
          <w:p>
            <w:pPr>
              <w:ind w:firstLine="420" w:firstLineChars="200"/>
              <w:rPr>
                <w:rFonts w:ascii="宋体" w:hAnsi="宋体"/>
                <w:szCs w:val="21"/>
              </w:rPr>
            </w:pPr>
            <w:r>
              <w:rPr>
                <w:rFonts w:ascii="宋体" w:hAnsi="宋体"/>
                <w:szCs w:val="21"/>
              </w:rPr>
              <w:t>《安全生产法》第三十三条</w:t>
            </w:r>
            <w:r>
              <w:rPr>
                <w:rFonts w:hint="eastAsia" w:ascii="宋体" w:hAnsi="宋体"/>
                <w:szCs w:val="21"/>
                <w:lang w:val="en-US" w:eastAsia="zh-CN"/>
              </w:rPr>
              <w:t xml:space="preserve">  </w:t>
            </w:r>
            <w:r>
              <w:rPr>
                <w:rFonts w:ascii="宋体" w:hAnsi="宋体"/>
                <w:szCs w:val="21"/>
              </w:rPr>
              <w:t>安全设备的设计、制造、安装、使用、检测、维修、改造和报废，应当符合国家标准或者行业标准</w:t>
            </w:r>
            <w:r>
              <w:rPr>
                <w:rFonts w:hint="eastAsia" w:ascii="宋体" w:hAnsi="宋体"/>
                <w:szCs w:val="21"/>
              </w:rPr>
              <w:t>。</w:t>
            </w:r>
          </w:p>
          <w:p>
            <w:pPr>
              <w:ind w:firstLine="420" w:firstLineChars="200"/>
              <w:rPr>
                <w:rFonts w:ascii="宋体" w:hAnsi="宋体"/>
                <w:szCs w:val="21"/>
                <w:highlight w:val="none"/>
              </w:rPr>
            </w:pPr>
            <w:r>
              <w:rPr>
                <w:rFonts w:hint="eastAsia" w:ascii="宋体" w:hAnsi="宋体"/>
                <w:szCs w:val="21"/>
                <w:highlight w:val="none"/>
              </w:rPr>
              <w:t>……</w:t>
            </w:r>
          </w:p>
          <w:p>
            <w:pPr>
              <w:ind w:firstLine="420" w:firstLineChars="200"/>
              <w:rPr>
                <w:rFonts w:ascii="宋体" w:hAnsi="宋体"/>
                <w:szCs w:val="21"/>
                <w:highlight w:val="none"/>
              </w:rPr>
            </w:pPr>
            <w:r>
              <w:rPr>
                <w:rFonts w:ascii="宋体" w:hAnsi="宋体"/>
                <w:szCs w:val="21"/>
                <w:highlight w:val="none"/>
              </w:rPr>
              <w:t>《金属非金属地下矿山监测监控系统建设规范》</w:t>
            </w:r>
            <w:r>
              <w:rPr>
                <w:rFonts w:hint="eastAsia" w:ascii="宋体" w:hAnsi="宋体"/>
                <w:szCs w:val="21"/>
                <w:highlight w:val="none"/>
              </w:rPr>
              <w:t>（</w:t>
            </w:r>
            <w:r>
              <w:rPr>
                <w:rFonts w:ascii="宋体" w:hAnsi="宋体"/>
                <w:szCs w:val="21"/>
                <w:highlight w:val="none"/>
              </w:rPr>
              <w:t>AQ</w:t>
            </w:r>
            <w:r>
              <w:rPr>
                <w:rFonts w:hint="eastAsia" w:ascii="宋体" w:hAnsi="宋体"/>
                <w:szCs w:val="21"/>
                <w:highlight w:val="none"/>
              </w:rPr>
              <w:t xml:space="preserve"> </w:t>
            </w:r>
            <w:r>
              <w:rPr>
                <w:rFonts w:ascii="宋体" w:hAnsi="宋体"/>
                <w:szCs w:val="21"/>
                <w:highlight w:val="none"/>
              </w:rPr>
              <w:t>2031-2011）</w:t>
            </w:r>
          </w:p>
          <w:p>
            <w:pPr>
              <w:ind w:firstLine="420" w:firstLineChars="200"/>
              <w:rPr>
                <w:rFonts w:ascii="宋体" w:hAnsi="宋体"/>
                <w:szCs w:val="21"/>
              </w:rPr>
            </w:pPr>
            <w:r>
              <w:rPr>
                <w:rFonts w:ascii="宋体" w:hAnsi="宋体"/>
                <w:szCs w:val="21"/>
              </w:rPr>
              <w:t xml:space="preserve">4.4  </w:t>
            </w:r>
            <w:r>
              <w:rPr>
                <w:rFonts w:hint="eastAsia" w:ascii="宋体" w:hAnsi="宋体"/>
                <w:szCs w:val="21"/>
              </w:rPr>
              <w:t>应为入井人员配备额定防护时间不少于</w:t>
            </w:r>
            <w:r>
              <w:rPr>
                <w:rFonts w:ascii="宋体" w:hAnsi="宋体"/>
                <w:szCs w:val="21"/>
              </w:rPr>
              <w:t>30min的自救器，并按入井总人数的10%配备备用自救器。</w:t>
            </w:r>
          </w:p>
          <w:p>
            <w:pPr>
              <w:ind w:firstLine="420" w:firstLineChars="200"/>
              <w:rPr>
                <w:rFonts w:ascii="宋体" w:hAnsi="宋体"/>
                <w:szCs w:val="21"/>
              </w:rPr>
            </w:pPr>
            <w:r>
              <w:rPr>
                <w:rFonts w:ascii="宋体" w:hAnsi="宋体"/>
                <w:szCs w:val="21"/>
              </w:rPr>
              <w:t xml:space="preserve">5.1  </w:t>
            </w:r>
            <w:r>
              <w:rPr>
                <w:rFonts w:hint="eastAsia" w:ascii="宋体" w:hAnsi="宋体"/>
                <w:szCs w:val="21"/>
              </w:rPr>
              <w:t>地下矿山应配置足够的便携式气体检测报警仪。便携式气体检测报警仪应能测量一氧化碳、氧气、二氧化氮浓度，并具有报警参数设置和声光报警功能。</w:t>
            </w:r>
          </w:p>
          <w:p>
            <w:pPr>
              <w:spacing w:line="240" w:lineRule="atLeast"/>
              <w:ind w:firstLine="420" w:firstLineChars="200"/>
              <w:rPr>
                <w:rFonts w:ascii="宋体" w:hAnsi="宋体"/>
                <w:bCs/>
                <w:szCs w:val="21"/>
              </w:rPr>
            </w:pPr>
            <w:r>
              <w:rPr>
                <w:rFonts w:hint="eastAsia" w:ascii="宋体" w:hAnsi="宋体"/>
                <w:bCs/>
                <w:szCs w:val="21"/>
              </w:rPr>
              <w:t>《国家安全监管总局关于印发</w:t>
            </w:r>
            <w:r>
              <w:t>〈</w:t>
            </w:r>
            <w:r>
              <w:rPr>
                <w:rFonts w:hint="eastAsia" w:ascii="宋体" w:hAnsi="宋体"/>
                <w:bCs/>
                <w:szCs w:val="21"/>
              </w:rPr>
              <w:t>金属非金属矿山重大生产安全事故隐患判定标准（试行）</w:t>
            </w:r>
            <w:r>
              <w:t>〉</w:t>
            </w:r>
            <w:r>
              <w:rPr>
                <w:rFonts w:hint="eastAsia" w:ascii="宋体" w:hAnsi="宋体"/>
                <w:bCs/>
                <w:szCs w:val="21"/>
              </w:rPr>
              <w:t>的通知》(安监总管一〔2017〕98号)</w:t>
            </w:r>
          </w:p>
          <w:p>
            <w:pPr>
              <w:ind w:firstLine="420" w:firstLineChars="200"/>
              <w:rPr>
                <w:rFonts w:ascii="宋体" w:hAnsi="宋体"/>
                <w:szCs w:val="21"/>
              </w:rPr>
            </w:pPr>
            <w:r>
              <w:rPr>
                <w:rFonts w:hint="eastAsia" w:ascii="宋体" w:hAnsi="宋体"/>
                <w:szCs w:val="21"/>
              </w:rPr>
              <w:t>一、</w:t>
            </w:r>
            <w:r>
              <w:rPr>
                <w:rFonts w:hint="eastAsia" w:ascii="宋体" w:hAnsi="宋体" w:cs="宋体"/>
                <w:bCs/>
                <w:kern w:val="0"/>
                <w:szCs w:val="21"/>
              </w:rPr>
              <w:t>金属非金属地下矿山重大生产安全事故隐患</w:t>
            </w:r>
          </w:p>
          <w:p>
            <w:pPr>
              <w:ind w:firstLine="420" w:firstLineChars="200"/>
              <w:rPr>
                <w:rFonts w:ascii="宋体" w:hAnsi="宋体"/>
                <w:szCs w:val="21"/>
              </w:rPr>
            </w:pPr>
            <w:r>
              <w:rPr>
                <w:rFonts w:hint="eastAsia" w:ascii="宋体" w:hAnsi="宋体"/>
                <w:szCs w:val="21"/>
              </w:rPr>
              <w:t>（二十一）未配齐具有矿用产品安全标志的便携式气体检测报警仪和自救器。</w:t>
            </w:r>
          </w:p>
        </w:tc>
        <w:tc>
          <w:tcPr>
            <w:tcW w:w="3687" w:type="dxa"/>
            <w:vAlign w:val="center"/>
          </w:tcPr>
          <w:p>
            <w:pPr>
              <w:ind w:firstLine="420" w:firstLineChars="200"/>
              <w:rPr>
                <w:rFonts w:ascii="宋体" w:hAnsi="宋体"/>
                <w:szCs w:val="21"/>
              </w:rPr>
            </w:pPr>
            <w:r>
              <w:rPr>
                <w:rFonts w:ascii="宋体" w:hAnsi="宋体"/>
                <w:szCs w:val="21"/>
              </w:rPr>
              <w:t>《安全生产法》第九十六条</w:t>
            </w:r>
            <w:r>
              <w:rPr>
                <w:rFonts w:hint="eastAsia" w:ascii="宋体" w:hAnsi="宋体"/>
                <w:szCs w:val="21"/>
              </w:rPr>
              <w:t xml:space="preserve">  </w:t>
            </w:r>
            <w:r>
              <w:rPr>
                <w:rFonts w:ascii="宋体" w:hAnsi="宋体"/>
                <w:szCs w:val="21"/>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ind w:firstLine="420" w:firstLineChars="200"/>
              <w:rPr>
                <w:rFonts w:ascii="宋体" w:hAnsi="宋体"/>
                <w:szCs w:val="21"/>
              </w:rPr>
            </w:pPr>
            <w:r>
              <w:rPr>
                <w:rFonts w:hint="eastAsia" w:ascii="宋体" w:hAnsi="宋体"/>
                <w:szCs w:val="21"/>
              </w:rPr>
              <w:t>……</w:t>
            </w:r>
          </w:p>
          <w:p>
            <w:pPr>
              <w:ind w:firstLine="420" w:firstLineChars="200"/>
              <w:rPr>
                <w:rFonts w:ascii="宋体" w:hAnsi="宋体"/>
                <w:szCs w:val="21"/>
              </w:rPr>
            </w:pPr>
            <w:r>
              <w:rPr>
                <w:rFonts w:ascii="宋体" w:hAnsi="宋体"/>
                <w:szCs w:val="21"/>
              </w:rPr>
              <w:t>（二）安全设备的安装、使用、检测、改造和报废不符合国家标准或者行业标准的</w:t>
            </w:r>
            <w:r>
              <w:rPr>
                <w:rFonts w:hint="eastAsia" w:ascii="宋体" w:hAnsi="宋体"/>
                <w:szCs w:val="21"/>
              </w:rPr>
              <w:t>；</w:t>
            </w:r>
          </w:p>
          <w:p>
            <w:pPr>
              <w:ind w:firstLine="420" w:firstLineChars="200"/>
              <w:rPr>
                <w:rFonts w:ascii="宋体" w:hAnsi="宋体"/>
                <w:szCs w:val="21"/>
              </w:rPr>
            </w:pPr>
            <w:r>
              <w:rPr>
                <w:rFonts w:ascii="宋体" w:hAnsi="宋体"/>
                <w:szCs w:val="21"/>
              </w:rPr>
              <w:t>……</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60" w:hRule="atLeast"/>
          <w:jc w:val="center"/>
        </w:trPr>
        <w:tc>
          <w:tcPr>
            <w:tcW w:w="816" w:type="dxa"/>
            <w:vMerge w:val="restart"/>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7</w:t>
            </w:r>
          </w:p>
        </w:tc>
        <w:tc>
          <w:tcPr>
            <w:tcW w:w="1497" w:type="dxa"/>
            <w:vMerge w:val="restart"/>
            <w:vAlign w:val="center"/>
          </w:tcPr>
          <w:p>
            <w:pPr>
              <w:rPr>
                <w:rFonts w:ascii="宋体" w:hAnsi="宋体"/>
                <w:szCs w:val="21"/>
              </w:rPr>
            </w:pPr>
            <w:r>
              <w:rPr>
                <w:rFonts w:hint="eastAsia" w:ascii="宋体" w:hAnsi="宋体"/>
                <w:szCs w:val="21"/>
              </w:rPr>
              <w:t>防灭火系统</w:t>
            </w:r>
          </w:p>
        </w:tc>
        <w:tc>
          <w:tcPr>
            <w:tcW w:w="1665" w:type="dxa"/>
            <w:vAlign w:val="center"/>
          </w:tcPr>
          <w:p>
            <w:pPr>
              <w:rPr>
                <w:rFonts w:ascii="宋体" w:hAnsi="宋体"/>
                <w:szCs w:val="21"/>
              </w:rPr>
            </w:pPr>
            <w:r>
              <w:rPr>
                <w:rFonts w:hint="eastAsia" w:ascii="宋体" w:hAnsi="宋体"/>
                <w:szCs w:val="21"/>
              </w:rPr>
              <w:t>7.1 动火作业管理</w:t>
            </w:r>
          </w:p>
        </w:tc>
        <w:tc>
          <w:tcPr>
            <w:tcW w:w="5343" w:type="dxa"/>
            <w:vAlign w:val="center"/>
          </w:tcPr>
          <w:p>
            <w:pPr>
              <w:ind w:left="105" w:leftChars="50" w:firstLine="315" w:firstLineChars="150"/>
              <w:rPr>
                <w:rFonts w:ascii="宋体" w:hAnsi="宋体"/>
                <w:szCs w:val="21"/>
                <w:highlight w:val="none"/>
              </w:rPr>
            </w:pPr>
            <w:r>
              <w:rPr>
                <w:rFonts w:hint="eastAsia" w:ascii="宋体" w:hAnsi="宋体"/>
                <w:szCs w:val="21"/>
              </w:rPr>
              <w:t>《金属非金属矿山安全规程》</w:t>
            </w:r>
            <w:r>
              <w:rPr>
                <w:rFonts w:hint="eastAsia" w:ascii="宋体" w:hAnsi="宋体"/>
                <w:szCs w:val="21"/>
                <w:highlight w:val="none"/>
              </w:rPr>
              <w:t>（GB 16423-2006）</w:t>
            </w:r>
          </w:p>
          <w:p>
            <w:pPr>
              <w:ind w:left="105" w:leftChars="50" w:firstLine="315" w:firstLineChars="150"/>
              <w:rPr>
                <w:rFonts w:ascii="宋体" w:hAnsi="宋体"/>
                <w:szCs w:val="21"/>
              </w:rPr>
            </w:pPr>
            <w:r>
              <w:rPr>
                <w:rFonts w:hint="eastAsia" w:ascii="宋体" w:hAnsi="宋体"/>
                <w:szCs w:val="21"/>
              </w:rPr>
              <w:t>6.7.1.10  在井下进行动火作业，应制定经主管矿长批准的防火措施。在井筒内进行焊接时，应派专人监护，焊接完毕应严格检查清理。在木结构井筒内焊接时，应在作业部位的下方设置收集火星、焊渣的设施，并派专人喷水淋湿和及时扑灭火星。</w:t>
            </w:r>
          </w:p>
        </w:tc>
        <w:tc>
          <w:tcPr>
            <w:tcW w:w="3687" w:type="dxa"/>
            <w:vAlign w:val="center"/>
          </w:tcPr>
          <w:p>
            <w:pPr>
              <w:ind w:firstLine="420" w:firstLineChars="200"/>
              <w:rPr>
                <w:rFonts w:ascii="宋体" w:hAnsi="宋体"/>
                <w:szCs w:val="21"/>
              </w:rPr>
            </w:pPr>
            <w:r>
              <w:rPr>
                <w:rFonts w:ascii="宋体" w:hAnsi="宋体"/>
                <w:szCs w:val="21"/>
              </w:rPr>
              <w:t>《安全生产违法行为行政处罚办法》第四十五条</w:t>
            </w:r>
            <w:r>
              <w:rPr>
                <w:rFonts w:hint="eastAsia" w:ascii="宋体" w:hAnsi="宋体"/>
                <w:szCs w:val="21"/>
              </w:rPr>
              <w:t xml:space="preserve">  </w:t>
            </w:r>
            <w:r>
              <w:rPr>
                <w:rFonts w:ascii="宋体" w:hAnsi="宋体"/>
                <w:szCs w:val="21"/>
              </w:rPr>
              <w:t>生产经营单位及其主要负责人或者其他人员有下列行为之一的，给予警告，并可以对生产经营单位处1万元以上3万元以下罚款，对其主要负责人、其他有关人员处1000元以上1万元以下的罚款：</w:t>
            </w:r>
          </w:p>
          <w:p>
            <w:pPr>
              <w:jc w:val="left"/>
              <w:rPr>
                <w:rFonts w:ascii="宋体" w:hAnsi="宋体"/>
                <w:szCs w:val="21"/>
              </w:rPr>
            </w:pPr>
            <w:r>
              <w:rPr>
                <w:rFonts w:hint="eastAsia" w:ascii="宋体" w:hAnsi="宋体"/>
                <w:szCs w:val="21"/>
              </w:rPr>
              <w:t xml:space="preserve">    </w:t>
            </w:r>
            <w:r>
              <w:rPr>
                <w:rFonts w:ascii="宋体" w:hAnsi="宋体"/>
                <w:szCs w:val="21"/>
              </w:rPr>
              <w:t>（一）违反操作规程或者安全管理规定作业的；</w:t>
            </w:r>
          </w:p>
          <w:p>
            <w:pPr>
              <w:jc w:val="left"/>
              <w:rPr>
                <w:rFonts w:ascii="宋体" w:hAnsi="宋体"/>
                <w:szCs w:val="21"/>
              </w:rPr>
            </w:pPr>
            <w:r>
              <w:rPr>
                <w:rFonts w:hint="eastAsia" w:ascii="宋体" w:hAnsi="宋体"/>
                <w:szCs w:val="21"/>
              </w:rPr>
              <w:t xml:space="preserve">    ……</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60"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rPr>
                <w:rFonts w:ascii="宋体" w:hAnsi="宋体"/>
                <w:szCs w:val="21"/>
              </w:rPr>
            </w:pPr>
          </w:p>
        </w:tc>
        <w:tc>
          <w:tcPr>
            <w:tcW w:w="1665" w:type="dxa"/>
            <w:vAlign w:val="center"/>
          </w:tcPr>
          <w:p>
            <w:pPr>
              <w:rPr>
                <w:rFonts w:ascii="宋体" w:hAnsi="宋体"/>
                <w:szCs w:val="21"/>
              </w:rPr>
            </w:pPr>
            <w:r>
              <w:rPr>
                <w:rFonts w:hint="eastAsia" w:ascii="宋体" w:hAnsi="宋体"/>
                <w:szCs w:val="21"/>
              </w:rPr>
              <w:t>7.2 禁止使用电炉和灯泡防潮、烘烤和采暖；禁止吸烟</w:t>
            </w:r>
          </w:p>
        </w:tc>
        <w:tc>
          <w:tcPr>
            <w:tcW w:w="5343" w:type="dxa"/>
            <w:vAlign w:val="center"/>
          </w:tcPr>
          <w:p>
            <w:pPr>
              <w:ind w:firstLine="420" w:firstLineChars="200"/>
              <w:rPr>
                <w:rFonts w:ascii="宋体" w:hAnsi="宋体"/>
                <w:szCs w:val="21"/>
              </w:rPr>
            </w:pPr>
            <w:r>
              <w:rPr>
                <w:rFonts w:hint="eastAsia" w:ascii="宋体" w:hAnsi="宋体"/>
                <w:szCs w:val="21"/>
              </w:rPr>
              <w:t>《金属非金属矿山安全规程》</w:t>
            </w:r>
            <w:r>
              <w:rPr>
                <w:rFonts w:hint="eastAsia" w:ascii="宋体" w:hAnsi="宋体"/>
                <w:szCs w:val="21"/>
                <w:highlight w:val="none"/>
              </w:rPr>
              <w:t>（GB 16423-2006）</w:t>
            </w:r>
          </w:p>
          <w:p>
            <w:pPr>
              <w:ind w:firstLine="420" w:firstLineChars="200"/>
              <w:rPr>
                <w:rFonts w:hint="eastAsia" w:ascii="宋体" w:hAnsi="宋体"/>
                <w:szCs w:val="21"/>
              </w:rPr>
            </w:pPr>
            <w:r>
              <w:rPr>
                <w:rFonts w:hint="eastAsia" w:ascii="宋体" w:hAnsi="宋体"/>
                <w:szCs w:val="21"/>
              </w:rPr>
              <w:t>5.6.2.11</w:t>
            </w:r>
            <w:r>
              <w:rPr>
                <w:rFonts w:hint="eastAsia" w:ascii="宋体" w:hAnsi="宋体"/>
                <w:szCs w:val="21"/>
                <w:lang w:val="en-US" w:eastAsia="zh-CN"/>
              </w:rPr>
              <w:t xml:space="preserve">  </w:t>
            </w:r>
            <w:r>
              <w:rPr>
                <w:rFonts w:hint="eastAsia" w:ascii="宋体" w:hAnsi="宋体"/>
                <w:szCs w:val="21"/>
              </w:rPr>
              <w:t>钻井、修井作业，应遵守下列规定：</w:t>
            </w:r>
          </w:p>
          <w:p>
            <w:pPr>
              <w:ind w:firstLine="420" w:firstLineChars="200"/>
              <w:rPr>
                <w:rFonts w:ascii="宋体" w:hAnsi="宋体"/>
                <w:szCs w:val="21"/>
              </w:rPr>
            </w:pPr>
            <w:r>
              <w:rPr>
                <w:rFonts w:hint="eastAsia" w:ascii="宋体" w:hAnsi="宋体"/>
                <w:szCs w:val="21"/>
              </w:rPr>
              <w:t>……</w:t>
            </w:r>
          </w:p>
          <w:p>
            <w:pPr>
              <w:ind w:firstLine="420" w:firstLineChars="200"/>
              <w:rPr>
                <w:rFonts w:ascii="宋体" w:hAnsi="宋体"/>
                <w:szCs w:val="21"/>
              </w:rPr>
            </w:pPr>
            <w:r>
              <w:rPr>
                <w:rFonts w:hint="eastAsia" w:ascii="宋体" w:hAnsi="宋体"/>
                <w:szCs w:val="21"/>
              </w:rPr>
              <w:t>--有易燃气体的作业场所，不应吸烟，动火作业应办理动火作业证;</w:t>
            </w:r>
          </w:p>
          <w:p>
            <w:pPr>
              <w:ind w:firstLine="420" w:firstLineChars="200"/>
              <w:rPr>
                <w:rFonts w:hint="eastAsia" w:ascii="宋体" w:hAnsi="宋体"/>
                <w:szCs w:val="21"/>
              </w:rPr>
            </w:pPr>
            <w:r>
              <w:rPr>
                <w:rFonts w:hint="eastAsia" w:ascii="宋体" w:hAnsi="宋体"/>
                <w:szCs w:val="21"/>
              </w:rPr>
              <w:t>……</w:t>
            </w:r>
          </w:p>
          <w:p>
            <w:pPr>
              <w:ind w:firstLine="420" w:firstLineChars="200"/>
              <w:rPr>
                <w:rFonts w:ascii="宋体" w:hAnsi="宋体"/>
                <w:szCs w:val="21"/>
              </w:rPr>
            </w:pPr>
            <w:r>
              <w:rPr>
                <w:rFonts w:hint="eastAsia" w:ascii="宋体" w:hAnsi="宋体"/>
                <w:szCs w:val="21"/>
              </w:rPr>
              <w:t>6.7.1.8</w:t>
            </w:r>
          </w:p>
          <w:p>
            <w:pPr>
              <w:ind w:firstLine="420" w:firstLineChars="200"/>
              <w:rPr>
                <w:rFonts w:ascii="宋体" w:hAnsi="宋体"/>
                <w:szCs w:val="21"/>
              </w:rPr>
            </w:pPr>
            <w:r>
              <w:rPr>
                <w:rFonts w:hint="eastAsia" w:ascii="宋体" w:hAnsi="宋体"/>
                <w:szCs w:val="21"/>
              </w:rPr>
              <w:t>……</w:t>
            </w:r>
          </w:p>
          <w:p>
            <w:pPr>
              <w:ind w:firstLine="420" w:firstLineChars="200"/>
              <w:rPr>
                <w:rFonts w:ascii="宋体" w:hAnsi="宋体"/>
                <w:szCs w:val="21"/>
              </w:rPr>
            </w:pPr>
            <w:r>
              <w:rPr>
                <w:rFonts w:hint="eastAsia" w:ascii="宋体" w:hAnsi="宋体"/>
                <w:szCs w:val="21"/>
              </w:rPr>
              <w:t>井下不得使用电炉和灯泡防潮、烘烤和采暖。</w:t>
            </w:r>
          </w:p>
        </w:tc>
        <w:tc>
          <w:tcPr>
            <w:tcW w:w="3687" w:type="dxa"/>
            <w:vAlign w:val="center"/>
          </w:tcPr>
          <w:p>
            <w:pPr>
              <w:ind w:firstLine="420" w:firstLineChars="200"/>
              <w:rPr>
                <w:rFonts w:ascii="宋体" w:hAnsi="宋体"/>
                <w:szCs w:val="21"/>
              </w:rPr>
            </w:pPr>
            <w:r>
              <w:rPr>
                <w:rFonts w:ascii="宋体" w:hAnsi="宋体"/>
                <w:szCs w:val="21"/>
              </w:rPr>
              <w:t>《安全生产违法行为行政处罚办法》第四十五条</w:t>
            </w:r>
            <w:r>
              <w:rPr>
                <w:rFonts w:hint="eastAsia" w:ascii="宋体" w:hAnsi="宋体"/>
                <w:szCs w:val="21"/>
              </w:rPr>
              <w:t xml:space="preserve">  </w:t>
            </w:r>
            <w:r>
              <w:rPr>
                <w:rFonts w:ascii="宋体" w:hAnsi="宋体"/>
                <w:szCs w:val="21"/>
              </w:rPr>
              <w:t>生产经营单位及其主要负责人或者其他人员有下列行为之一的，给予警告，并可以对生产经营单位处1万元以上3万元以下罚款，对其主要负责人、其他有关人员处1000元以上1万元以下的罚款：</w:t>
            </w:r>
          </w:p>
          <w:p>
            <w:pPr>
              <w:jc w:val="left"/>
              <w:rPr>
                <w:rFonts w:ascii="宋体" w:hAnsi="宋体"/>
                <w:szCs w:val="21"/>
              </w:rPr>
            </w:pPr>
            <w:r>
              <w:rPr>
                <w:rFonts w:ascii="宋体" w:hAnsi="宋体"/>
                <w:szCs w:val="21"/>
              </w:rPr>
              <w:t>　　（一）违反操作规程或者安全管理规定作业的；</w:t>
            </w:r>
          </w:p>
          <w:p>
            <w:pPr>
              <w:jc w:val="left"/>
              <w:rPr>
                <w:rFonts w:ascii="宋体" w:hAnsi="宋体"/>
                <w:szCs w:val="21"/>
              </w:rPr>
            </w:pPr>
            <w:r>
              <w:rPr>
                <w:rFonts w:hint="eastAsia" w:ascii="宋体" w:hAnsi="宋体"/>
                <w:szCs w:val="21"/>
              </w:rPr>
              <w:t xml:space="preserve">    ……</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rPr>
                <w:rFonts w:ascii="宋体" w:hAnsi="宋体"/>
                <w:szCs w:val="21"/>
              </w:rPr>
            </w:pPr>
          </w:p>
        </w:tc>
        <w:tc>
          <w:tcPr>
            <w:tcW w:w="1665" w:type="dxa"/>
            <w:vAlign w:val="center"/>
          </w:tcPr>
          <w:p>
            <w:pPr>
              <w:rPr>
                <w:rFonts w:ascii="宋体" w:hAnsi="宋体"/>
                <w:szCs w:val="21"/>
              </w:rPr>
            </w:pPr>
            <w:r>
              <w:rPr>
                <w:rFonts w:hint="eastAsia" w:ascii="宋体" w:hAnsi="宋体"/>
                <w:szCs w:val="21"/>
              </w:rPr>
              <w:t>7.3 油类管理</w:t>
            </w:r>
          </w:p>
        </w:tc>
        <w:tc>
          <w:tcPr>
            <w:tcW w:w="5343" w:type="dxa"/>
            <w:vAlign w:val="center"/>
          </w:tcPr>
          <w:p>
            <w:pPr>
              <w:ind w:firstLine="420" w:firstLineChars="200"/>
              <w:rPr>
                <w:rFonts w:ascii="宋体" w:hAnsi="宋体"/>
                <w:szCs w:val="21"/>
              </w:rPr>
            </w:pPr>
            <w:r>
              <w:rPr>
                <w:rFonts w:hint="eastAsia" w:ascii="宋体" w:hAnsi="宋体"/>
                <w:szCs w:val="21"/>
              </w:rPr>
              <w:t>《金属非金属矿山安全规程</w:t>
            </w:r>
            <w:r>
              <w:rPr>
                <w:rFonts w:hint="eastAsia" w:ascii="宋体" w:hAnsi="宋体"/>
                <w:szCs w:val="21"/>
                <w:highlight w:val="none"/>
              </w:rPr>
              <w:t>》（GB 16423-2006）</w:t>
            </w:r>
          </w:p>
          <w:p>
            <w:pPr>
              <w:ind w:firstLine="420" w:firstLineChars="200"/>
              <w:rPr>
                <w:rFonts w:ascii="宋体" w:hAnsi="宋体"/>
                <w:szCs w:val="21"/>
              </w:rPr>
            </w:pPr>
            <w:r>
              <w:rPr>
                <w:rFonts w:hint="eastAsia" w:ascii="宋体" w:hAnsi="宋体"/>
                <w:szCs w:val="21"/>
              </w:rPr>
              <w:t>6.7.1.6  井下各种油类，应单独存放于安全地点。装油的铁桶应有严密的封盖。应采用输油泵或唧管输油，尽量减少漏油。储存动力油的硐室应有独立回风道，其储油量应不超过三昼夜的需用量。</w:t>
            </w:r>
          </w:p>
        </w:tc>
        <w:tc>
          <w:tcPr>
            <w:tcW w:w="3687" w:type="dxa"/>
            <w:vAlign w:val="center"/>
          </w:tcPr>
          <w:p>
            <w:pPr>
              <w:ind w:firstLine="420" w:firstLineChars="200"/>
            </w:pPr>
            <w:r>
              <w:rPr>
                <w:rFonts w:hint="eastAsia"/>
              </w:rPr>
              <w:t>《安全生产违法行为行政处罚办法》第四十五条</w:t>
            </w:r>
            <w:r>
              <w:t xml:space="preserve">  </w:t>
            </w:r>
            <w:r>
              <w:rPr>
                <w:rFonts w:hint="eastAsia"/>
              </w:rPr>
              <w:t>生产经营单位及其主要负责人或者其他人员有下列行为之一的，给予警告，并可以对生产经营单位</w:t>
            </w:r>
            <w:r>
              <w:rPr>
                <w:rFonts w:hint="eastAsia" w:asciiTheme="minorEastAsia" w:hAnsiTheme="minorEastAsia" w:eastAsiaTheme="minorEastAsia" w:cstheme="minorEastAsia"/>
                <w:highlight w:val="none"/>
              </w:rPr>
              <w:t>处1万元以上3万元以下罚款，对其主要负责人、其他有关人员处1000元以上1万元以下的罚款：</w:t>
            </w:r>
          </w:p>
          <w:p>
            <w:pPr>
              <w:ind w:firstLine="420" w:firstLineChars="200"/>
            </w:pPr>
            <w:r>
              <w:rPr>
                <w:rFonts w:hint="eastAsia"/>
              </w:rPr>
              <w:t>（一）违反操作规程或者安全管理规定作业的；</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18"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rPr>
                <w:rFonts w:ascii="宋体" w:hAnsi="宋体"/>
                <w:szCs w:val="21"/>
              </w:rPr>
            </w:pPr>
          </w:p>
        </w:tc>
        <w:tc>
          <w:tcPr>
            <w:tcW w:w="1665" w:type="dxa"/>
            <w:vAlign w:val="center"/>
          </w:tcPr>
          <w:p>
            <w:pPr>
              <w:rPr>
                <w:rFonts w:ascii="宋体" w:hAnsi="宋体"/>
                <w:szCs w:val="21"/>
              </w:rPr>
            </w:pPr>
            <w:r>
              <w:rPr>
                <w:rFonts w:hint="eastAsia" w:ascii="思源黑体 CN" w:hAnsi="思源黑体 CN" w:eastAsia="思源黑体 CN" w:cs="思源黑体 CN"/>
                <w:szCs w:val="21"/>
              </w:rPr>
              <w:t>★</w:t>
            </w:r>
            <w:r>
              <w:rPr>
                <w:rFonts w:hint="eastAsia" w:ascii="宋体" w:hAnsi="宋体"/>
                <w:szCs w:val="21"/>
              </w:rPr>
              <w:t xml:space="preserve">7.4 </w:t>
            </w:r>
            <w:r>
              <w:rPr>
                <w:rFonts w:ascii="宋体" w:hAnsi="宋体"/>
                <w:szCs w:val="21"/>
              </w:rPr>
              <w:t>有自燃发火危险的矿山，</w:t>
            </w:r>
            <w:r>
              <w:rPr>
                <w:rFonts w:hint="eastAsia" w:ascii="宋体" w:hAnsi="宋体"/>
                <w:szCs w:val="21"/>
              </w:rPr>
              <w:t>应</w:t>
            </w:r>
            <w:r>
              <w:rPr>
                <w:rFonts w:ascii="宋体" w:hAnsi="宋体"/>
                <w:szCs w:val="21"/>
              </w:rPr>
              <w:t>按照国家标准、行业标准或设计采取防火措施</w:t>
            </w:r>
          </w:p>
        </w:tc>
        <w:tc>
          <w:tcPr>
            <w:tcW w:w="5343" w:type="dxa"/>
            <w:tcBorders>
              <w:bottom w:val="single" w:color="auto" w:sz="4" w:space="0"/>
            </w:tcBorders>
            <w:vAlign w:val="center"/>
          </w:tcPr>
          <w:p>
            <w:pPr>
              <w:ind w:firstLine="420" w:firstLineChars="200"/>
              <w:rPr>
                <w:rFonts w:ascii="宋体" w:hAnsi="宋体"/>
                <w:szCs w:val="21"/>
              </w:rPr>
            </w:pPr>
            <w:r>
              <w:rPr>
                <w:rFonts w:ascii="宋体" w:hAnsi="宋体"/>
                <w:szCs w:val="21"/>
              </w:rPr>
              <w:t>《安全生产法》第三十八条</w:t>
            </w:r>
            <w:r>
              <w:rPr>
                <w:rFonts w:hint="eastAsia" w:ascii="宋体" w:hAnsi="宋体"/>
                <w:szCs w:val="21"/>
              </w:rPr>
              <w:t xml:space="preserve">  </w:t>
            </w:r>
            <w:r>
              <w:rPr>
                <w:rFonts w:ascii="宋体" w:hAnsi="宋体"/>
                <w:szCs w:val="21"/>
              </w:rPr>
              <w:t>生产经营单位应当建立健全生产安全事故隐患排查治理制度，采取技术、管理措施，及时发现并消除事故隐患。事故隐患排查治理情况应当如实记录，并向从业人员通报。</w:t>
            </w:r>
          </w:p>
          <w:p>
            <w:pPr>
              <w:ind w:firstLine="420" w:firstLineChars="200"/>
              <w:rPr>
                <w:rFonts w:hint="eastAsia" w:ascii="宋体" w:hAnsi="宋体"/>
                <w:szCs w:val="21"/>
                <w:highlight w:val="none"/>
              </w:rPr>
            </w:pPr>
            <w:r>
              <w:rPr>
                <w:rFonts w:hint="eastAsia" w:ascii="宋体" w:hAnsi="宋体"/>
                <w:szCs w:val="21"/>
                <w:highlight w:val="none"/>
              </w:rPr>
              <w:t>……</w:t>
            </w:r>
          </w:p>
          <w:p>
            <w:pPr>
              <w:ind w:firstLine="420" w:firstLineChars="200"/>
              <w:rPr>
                <w:rFonts w:ascii="宋体" w:hAnsi="宋体"/>
                <w:szCs w:val="21"/>
                <w:highlight w:val="none"/>
              </w:rPr>
            </w:pPr>
            <w:r>
              <w:rPr>
                <w:rFonts w:hint="eastAsia" w:ascii="宋体" w:hAnsi="宋体"/>
                <w:szCs w:val="21"/>
              </w:rPr>
              <w:t>《金属非金属矿山安全规程</w:t>
            </w:r>
            <w:r>
              <w:rPr>
                <w:rFonts w:hint="eastAsia" w:ascii="宋体" w:hAnsi="宋体"/>
                <w:szCs w:val="21"/>
                <w:highlight w:val="none"/>
              </w:rPr>
              <w:t>》（GB 16423-2006）</w:t>
            </w:r>
          </w:p>
          <w:p>
            <w:pPr>
              <w:ind w:firstLine="420" w:firstLineChars="200"/>
              <w:rPr>
                <w:rFonts w:ascii="宋体" w:hAnsi="宋体"/>
                <w:szCs w:val="21"/>
              </w:rPr>
            </w:pPr>
            <w:r>
              <w:rPr>
                <w:rFonts w:hint="eastAsia" w:ascii="宋体" w:hAnsi="宋体"/>
                <w:szCs w:val="21"/>
              </w:rPr>
              <w:t>6.7.2.2  开采有自燃发火危险的矿床，应采取以下防火措施：</w:t>
            </w:r>
          </w:p>
          <w:p>
            <w:pPr>
              <w:ind w:firstLine="420" w:firstLineChars="200"/>
              <w:rPr>
                <w:rFonts w:ascii="宋体" w:hAnsi="宋体"/>
                <w:szCs w:val="21"/>
              </w:rPr>
            </w:pPr>
            <w:r>
              <w:rPr>
                <w:rFonts w:hint="eastAsia" w:ascii="宋体" w:hAnsi="宋体"/>
                <w:szCs w:val="21"/>
              </w:rPr>
              <w:t>——主要运输巷道和总回风道，应布置在无自然发火危险的围岩中，并采取预防性灌浆或者其他有效的防止自燃发火的措施；</w:t>
            </w:r>
          </w:p>
          <w:p>
            <w:pPr>
              <w:ind w:firstLine="420" w:firstLineChars="200"/>
              <w:rPr>
                <w:rFonts w:ascii="宋体" w:hAnsi="宋体"/>
                <w:szCs w:val="21"/>
              </w:rPr>
            </w:pPr>
            <w:r>
              <w:rPr>
                <w:rFonts w:hint="eastAsia" w:ascii="宋体" w:hAnsi="宋体"/>
                <w:szCs w:val="21"/>
              </w:rPr>
              <w:t>——正确选择采矿方法，合理划分矿块，并采用后退式回采顺序。根据采取防火措施后矿床最短的发火期，确定采区开采期限。充填法采矿时，应采用惰性充填材料。采用其他采矿方法时，应确保在矿岩发火之前完成回采与放矿工作，以免矿岩自燃；</w:t>
            </w:r>
          </w:p>
          <w:p>
            <w:pPr>
              <w:ind w:firstLine="420" w:firstLineChars="200"/>
              <w:rPr>
                <w:rFonts w:ascii="宋体" w:hAnsi="宋体"/>
                <w:szCs w:val="21"/>
              </w:rPr>
            </w:pPr>
            <w:r>
              <w:rPr>
                <w:rFonts w:hint="eastAsia" w:ascii="宋体" w:hAnsi="宋体"/>
                <w:szCs w:val="21"/>
              </w:rPr>
              <w:t>——采用黄泥灌浆灭火时，钻孔网度、泥浆浓度和灌浆系数(指浆中固体体积占采空区体积的百分比)，应在设计中规定；</w:t>
            </w:r>
          </w:p>
          <w:p>
            <w:pPr>
              <w:ind w:firstLine="420" w:firstLineChars="200"/>
              <w:rPr>
                <w:rFonts w:ascii="宋体" w:hAnsi="宋体"/>
                <w:szCs w:val="21"/>
              </w:rPr>
            </w:pPr>
            <w:r>
              <w:rPr>
                <w:rFonts w:hint="eastAsia" w:ascii="宋体" w:hAnsi="宋体"/>
                <w:szCs w:val="21"/>
              </w:rPr>
              <w:t>——尽可能提高矿石回收率，坑内不留或少留碎块矿石，工作面不应留存坑木等易燃物；</w:t>
            </w:r>
          </w:p>
          <w:p>
            <w:pPr>
              <w:ind w:firstLine="420" w:firstLineChars="200"/>
              <w:rPr>
                <w:rFonts w:ascii="宋体" w:hAnsi="宋体"/>
                <w:szCs w:val="21"/>
              </w:rPr>
            </w:pPr>
            <w:r>
              <w:rPr>
                <w:rFonts w:hint="eastAsia" w:ascii="宋体" w:hAnsi="宋体"/>
                <w:szCs w:val="21"/>
              </w:rPr>
              <w:t>——及时充填需要充填的采空区；</w:t>
            </w:r>
          </w:p>
          <w:p>
            <w:pPr>
              <w:ind w:firstLine="420" w:firstLineChars="200"/>
              <w:rPr>
                <w:rFonts w:ascii="宋体" w:hAnsi="宋体"/>
                <w:szCs w:val="21"/>
              </w:rPr>
            </w:pPr>
            <w:r>
              <w:rPr>
                <w:rFonts w:hint="eastAsia" w:ascii="宋体" w:hAnsi="宋体"/>
                <w:szCs w:val="21"/>
              </w:rPr>
              <w:t>——严密封闭采空区的所有透气部位；</w:t>
            </w:r>
          </w:p>
          <w:p>
            <w:pPr>
              <w:ind w:firstLine="420" w:firstLineChars="200"/>
              <w:rPr>
                <w:rFonts w:ascii="宋体" w:hAnsi="宋体"/>
                <w:szCs w:val="21"/>
              </w:rPr>
            </w:pPr>
            <w:r>
              <w:rPr>
                <w:rFonts w:hint="eastAsia" w:ascii="宋体" w:hAnsi="宋体"/>
                <w:szCs w:val="21"/>
              </w:rPr>
              <w:t>——防止上部中段的水泄漏到采矿场，并防止水管在采场漏水。</w:t>
            </w:r>
          </w:p>
          <w:p>
            <w:pPr>
              <w:spacing w:line="240" w:lineRule="atLeast"/>
              <w:ind w:firstLine="420" w:firstLineChars="200"/>
              <w:rPr>
                <w:rFonts w:ascii="宋体" w:hAnsi="宋体"/>
                <w:bCs/>
                <w:szCs w:val="21"/>
              </w:rPr>
            </w:pPr>
            <w:r>
              <w:rPr>
                <w:rFonts w:hint="eastAsia" w:ascii="宋体" w:hAnsi="宋体"/>
                <w:bCs/>
                <w:szCs w:val="21"/>
              </w:rPr>
              <w:t>《国家安全监管总局关于印发</w:t>
            </w:r>
            <w:r>
              <w:t>〈</w:t>
            </w:r>
            <w:r>
              <w:rPr>
                <w:rFonts w:hint="eastAsia" w:ascii="宋体" w:hAnsi="宋体"/>
                <w:bCs/>
                <w:szCs w:val="21"/>
              </w:rPr>
              <w:t>金属非金属矿山重大生产安全事故隐患判定标准（试行）</w:t>
            </w:r>
            <w:r>
              <w:t>〉</w:t>
            </w:r>
            <w:r>
              <w:rPr>
                <w:rFonts w:hint="eastAsia" w:ascii="宋体" w:hAnsi="宋体"/>
                <w:bCs/>
                <w:szCs w:val="21"/>
              </w:rPr>
              <w:t>的通知》(安监总管一〔2017〕98号)</w:t>
            </w:r>
          </w:p>
          <w:p>
            <w:pPr>
              <w:ind w:firstLine="420" w:firstLineChars="200"/>
              <w:rPr>
                <w:rFonts w:ascii="宋体" w:hAnsi="宋体"/>
                <w:szCs w:val="21"/>
              </w:rPr>
            </w:pPr>
            <w:r>
              <w:rPr>
                <w:rFonts w:hint="eastAsia" w:ascii="宋体" w:hAnsi="宋体"/>
                <w:szCs w:val="21"/>
              </w:rPr>
              <w:t>一、</w:t>
            </w:r>
            <w:r>
              <w:rPr>
                <w:rFonts w:hint="eastAsia" w:ascii="宋体" w:hAnsi="宋体" w:cs="宋体"/>
                <w:bCs/>
                <w:kern w:val="0"/>
                <w:szCs w:val="21"/>
              </w:rPr>
              <w:t>金属非金属地下矿山重大生产安全事故隐患</w:t>
            </w:r>
          </w:p>
          <w:p>
            <w:pPr>
              <w:ind w:firstLine="420" w:firstLineChars="200"/>
              <w:rPr>
                <w:rFonts w:ascii="宋体" w:hAnsi="宋体"/>
                <w:szCs w:val="21"/>
              </w:rPr>
            </w:pPr>
            <w:r>
              <w:rPr>
                <w:rFonts w:hint="eastAsia" w:ascii="宋体" w:hAnsi="宋体"/>
                <w:szCs w:val="21"/>
              </w:rPr>
              <w:t>（十一）有自燃发火危险的矿山，未按照国家标准、行业标准或设计采取防火措施。</w:t>
            </w:r>
          </w:p>
        </w:tc>
        <w:tc>
          <w:tcPr>
            <w:tcW w:w="3687" w:type="dxa"/>
            <w:tcBorders>
              <w:bottom w:val="single" w:color="auto" w:sz="4" w:space="0"/>
            </w:tcBorders>
            <w:vAlign w:val="center"/>
          </w:tcPr>
          <w:p>
            <w:pPr>
              <w:ind w:firstLine="420" w:firstLineChars="200"/>
              <w:rPr>
                <w:rFonts w:ascii="宋体" w:hAnsi="宋体"/>
                <w:szCs w:val="21"/>
              </w:rPr>
            </w:pPr>
            <w:r>
              <w:rPr>
                <w:rFonts w:hint="eastAsia" w:ascii="宋体" w:hAnsi="宋体"/>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tcBorders>
              <w:bottom w:val="single" w:color="auto" w:sz="4" w:space="0"/>
            </w:tcBorders>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831" w:hRule="atLeast"/>
          <w:jc w:val="center"/>
        </w:trPr>
        <w:tc>
          <w:tcPr>
            <w:tcW w:w="816" w:type="dxa"/>
            <w:vMerge w:val="restart"/>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8</w:t>
            </w:r>
          </w:p>
        </w:tc>
        <w:tc>
          <w:tcPr>
            <w:tcW w:w="1497" w:type="dxa"/>
            <w:vMerge w:val="restart"/>
            <w:vAlign w:val="center"/>
          </w:tcPr>
          <w:p>
            <w:pPr>
              <w:rPr>
                <w:rFonts w:ascii="宋体" w:hAnsi="宋体"/>
                <w:szCs w:val="21"/>
              </w:rPr>
            </w:pPr>
            <w:r>
              <w:rPr>
                <w:rFonts w:hint="eastAsia" w:ascii="宋体" w:hAnsi="宋体"/>
                <w:szCs w:val="21"/>
              </w:rPr>
              <w:t>防排水系统</w:t>
            </w:r>
          </w:p>
        </w:tc>
        <w:tc>
          <w:tcPr>
            <w:tcW w:w="1665" w:type="dxa"/>
            <w:tcBorders>
              <w:right w:val="single" w:color="auto" w:sz="4" w:space="0"/>
            </w:tcBorders>
            <w:vAlign w:val="center"/>
          </w:tcPr>
          <w:p>
            <w:pPr>
              <w:rPr>
                <w:rFonts w:ascii="宋体" w:hAnsi="宋体"/>
                <w:szCs w:val="21"/>
              </w:rPr>
            </w:pPr>
            <w:r>
              <w:rPr>
                <w:rFonts w:hint="eastAsia" w:ascii="思源黑体 CN" w:hAnsi="思源黑体 CN" w:eastAsia="思源黑体 CN" w:cs="思源黑体 CN"/>
                <w:szCs w:val="21"/>
              </w:rPr>
              <w:t>★</w:t>
            </w:r>
            <w:r>
              <w:rPr>
                <w:rFonts w:hint="eastAsia" w:ascii="宋体" w:hAnsi="宋体"/>
                <w:szCs w:val="21"/>
              </w:rPr>
              <w:t xml:space="preserve">8.1 </w:t>
            </w:r>
            <w:r>
              <w:rPr>
                <w:rFonts w:ascii="宋体" w:hAnsi="宋体"/>
                <w:szCs w:val="21"/>
              </w:rPr>
              <w:t>地表水系穿过矿区</w:t>
            </w:r>
            <w:r>
              <w:rPr>
                <w:rFonts w:hint="eastAsia" w:ascii="宋体" w:hAnsi="宋体"/>
                <w:szCs w:val="21"/>
              </w:rPr>
              <w:t>按照设计要求采取防水措施</w:t>
            </w:r>
          </w:p>
        </w:tc>
        <w:tc>
          <w:tcPr>
            <w:tcW w:w="5343"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20" w:firstLineChars="200"/>
              <w:rPr>
                <w:rFonts w:ascii="宋体" w:hAnsi="宋体"/>
                <w:szCs w:val="21"/>
              </w:rPr>
            </w:pPr>
            <w:r>
              <w:rPr>
                <w:rFonts w:ascii="宋体" w:hAnsi="宋体"/>
                <w:szCs w:val="21"/>
              </w:rPr>
              <w:t>《安全生产法》第三十八条</w:t>
            </w:r>
            <w:r>
              <w:rPr>
                <w:rFonts w:hint="eastAsia" w:ascii="宋体" w:hAnsi="宋体"/>
                <w:szCs w:val="21"/>
              </w:rPr>
              <w:t xml:space="preserve">  </w:t>
            </w:r>
            <w:r>
              <w:rPr>
                <w:rFonts w:ascii="宋体" w:hAnsi="宋体"/>
                <w:szCs w:val="21"/>
              </w:rPr>
              <w:t>生产经营单位应当建立健全生产安全事故隐患排查治理制度，采取技术、管理措施，及时发现并消除事故隐患。事故隐患排查治理情况应当如实记录，并向从业人员通报。</w:t>
            </w:r>
          </w:p>
          <w:p>
            <w:pPr>
              <w:spacing w:line="240" w:lineRule="exact"/>
              <w:ind w:firstLine="420" w:firstLineChars="200"/>
              <w:rPr>
                <w:rFonts w:ascii="宋体" w:hAnsi="宋体"/>
                <w:szCs w:val="21"/>
                <w:highlight w:val="none"/>
              </w:rPr>
            </w:pPr>
            <w:r>
              <w:rPr>
                <w:rFonts w:hint="eastAsia" w:ascii="宋体" w:hAnsi="宋体"/>
                <w:szCs w:val="21"/>
                <w:highlight w:val="none"/>
              </w:rPr>
              <w:t>……</w:t>
            </w:r>
          </w:p>
          <w:p>
            <w:pPr>
              <w:spacing w:line="240" w:lineRule="exact"/>
              <w:ind w:firstLine="420" w:firstLineChars="200"/>
              <w:rPr>
                <w:rFonts w:ascii="宋体" w:hAnsi="宋体"/>
                <w:szCs w:val="21"/>
                <w:highlight w:val="none"/>
              </w:rPr>
            </w:pPr>
            <w:r>
              <w:rPr>
                <w:rFonts w:hint="eastAsia" w:ascii="宋体" w:hAnsi="宋体"/>
                <w:szCs w:val="21"/>
              </w:rPr>
              <w:t>《金属非金属矿山安全规程》</w:t>
            </w:r>
            <w:r>
              <w:rPr>
                <w:rFonts w:hint="eastAsia" w:ascii="宋体" w:hAnsi="宋体"/>
                <w:szCs w:val="21"/>
                <w:highlight w:val="none"/>
              </w:rPr>
              <w:t>（GB 16423-2006）</w:t>
            </w:r>
          </w:p>
          <w:p>
            <w:pPr>
              <w:spacing w:line="240" w:lineRule="exact"/>
              <w:ind w:firstLine="420" w:firstLineChars="200"/>
              <w:rPr>
                <w:rFonts w:ascii="宋体" w:hAnsi="宋体"/>
                <w:szCs w:val="21"/>
              </w:rPr>
            </w:pPr>
            <w:r>
              <w:rPr>
                <w:rFonts w:hint="eastAsia" w:ascii="宋体" w:hAnsi="宋体"/>
                <w:szCs w:val="21"/>
              </w:rPr>
              <w:t>6.6.2.5  矿区及其附近的积水或雨水有可能侵入井下时，应根据具体情况，采取下列措施：</w:t>
            </w:r>
          </w:p>
          <w:p>
            <w:pPr>
              <w:spacing w:line="240" w:lineRule="exact"/>
              <w:ind w:firstLine="420" w:firstLineChars="200"/>
              <w:rPr>
                <w:rFonts w:ascii="宋体" w:hAnsi="宋体"/>
                <w:szCs w:val="21"/>
              </w:rPr>
            </w:pPr>
            <w:r>
              <w:rPr>
                <w:rFonts w:hint="eastAsia" w:ascii="宋体" w:hAnsi="宋体"/>
                <w:szCs w:val="21"/>
              </w:rPr>
              <w:t>—容易积水的地点，应修筑泄水沟；泄水沟应避开矿层露头、裂缝和透水岩层；不能修筑沟渠时，可用泥土填平压实；范围太大无法填平时，可安装水泵排水；</w:t>
            </w:r>
          </w:p>
          <w:p>
            <w:pPr>
              <w:spacing w:line="240" w:lineRule="exact"/>
              <w:ind w:firstLine="420" w:firstLineChars="200"/>
              <w:rPr>
                <w:rFonts w:ascii="宋体" w:hAnsi="宋体"/>
                <w:szCs w:val="21"/>
              </w:rPr>
            </w:pPr>
            <w:r>
              <w:rPr>
                <w:rFonts w:hint="eastAsia" w:ascii="宋体" w:hAnsi="宋体"/>
                <w:szCs w:val="21"/>
              </w:rPr>
              <w:t>—矿区受河流、洪水威胁时，应修筑防水堤坝；河流穿过矿区的，应采用留保安矿柱或充填法采矿的方法保护河床不塌陷，或将河流改道至开采影响范围以外；</w:t>
            </w:r>
          </w:p>
          <w:p>
            <w:pPr>
              <w:spacing w:line="240" w:lineRule="exact"/>
              <w:ind w:firstLine="420" w:firstLineChars="200"/>
              <w:rPr>
                <w:rFonts w:ascii="宋体" w:hAnsi="宋体"/>
                <w:szCs w:val="21"/>
              </w:rPr>
            </w:pPr>
            <w:r>
              <w:rPr>
                <w:rFonts w:hint="eastAsia" w:ascii="宋体" w:hAnsi="宋体"/>
                <w:szCs w:val="21"/>
              </w:rPr>
              <w:t>--漏水的沟渠和河流，应及时防水、堵水或改道；</w:t>
            </w:r>
          </w:p>
          <w:p>
            <w:pPr>
              <w:spacing w:line="240" w:lineRule="exact"/>
              <w:ind w:firstLine="420" w:firstLineChars="200"/>
              <w:rPr>
                <w:rFonts w:ascii="宋体" w:hAnsi="宋体"/>
                <w:szCs w:val="21"/>
              </w:rPr>
            </w:pPr>
            <w:r>
              <w:rPr>
                <w:rFonts w:hint="eastAsia" w:ascii="宋体" w:hAnsi="宋体"/>
                <w:szCs w:val="21"/>
              </w:rPr>
              <w:t>—排到地面的井下水及地表集中排水，应引出矿区；</w:t>
            </w:r>
          </w:p>
          <w:p>
            <w:pPr>
              <w:spacing w:line="240" w:lineRule="exact"/>
              <w:ind w:firstLine="420" w:firstLineChars="200"/>
              <w:rPr>
                <w:rFonts w:ascii="宋体" w:hAnsi="宋体"/>
                <w:szCs w:val="21"/>
              </w:rPr>
            </w:pPr>
            <w:r>
              <w:rPr>
                <w:rFonts w:hint="eastAsia" w:ascii="宋体" w:hAnsi="宋体"/>
                <w:szCs w:val="21"/>
              </w:rPr>
              <w:t>--雨季应设专人检查矿区防洪情况；</w:t>
            </w:r>
          </w:p>
          <w:p>
            <w:pPr>
              <w:spacing w:line="240" w:lineRule="exact"/>
              <w:ind w:firstLine="420" w:firstLineChars="200"/>
              <w:rPr>
                <w:rFonts w:ascii="宋体" w:hAnsi="宋体"/>
                <w:szCs w:val="21"/>
              </w:rPr>
            </w:pPr>
            <w:r>
              <w:rPr>
                <w:rFonts w:hint="eastAsia" w:ascii="宋体" w:hAnsi="宋体"/>
                <w:szCs w:val="21"/>
              </w:rPr>
              <w:t>—地面塌陷、裂缝区的周围，应设截水沟或挡水围堤；</w:t>
            </w:r>
          </w:p>
          <w:p>
            <w:pPr>
              <w:spacing w:line="240" w:lineRule="exact"/>
              <w:ind w:firstLine="420" w:firstLineChars="200"/>
              <w:rPr>
                <w:rFonts w:ascii="宋体" w:hAnsi="宋体"/>
                <w:szCs w:val="21"/>
              </w:rPr>
            </w:pPr>
            <w:r>
              <w:rPr>
                <w:rFonts w:hint="eastAsia" w:ascii="宋体" w:hAnsi="宋体"/>
                <w:szCs w:val="21"/>
              </w:rPr>
              <w:t>—不应往塌陷区引水；</w:t>
            </w:r>
          </w:p>
          <w:p>
            <w:pPr>
              <w:spacing w:line="240" w:lineRule="exact"/>
              <w:ind w:firstLine="420" w:firstLineChars="200"/>
              <w:rPr>
                <w:rFonts w:ascii="宋体" w:hAnsi="宋体"/>
                <w:szCs w:val="21"/>
              </w:rPr>
            </w:pPr>
            <w:r>
              <w:rPr>
                <w:rFonts w:hint="eastAsia" w:ascii="宋体" w:hAnsi="宋体"/>
                <w:szCs w:val="21"/>
              </w:rPr>
              <w:t>—有用的钻孔，应妥善封盖。报废的竖井、斜井、探矿井、钻孔和平硐等，应封闭，并在周围挖掘排水沟，防止地表水进入地下采区；</w:t>
            </w:r>
          </w:p>
          <w:p>
            <w:pPr>
              <w:spacing w:line="240" w:lineRule="exact"/>
              <w:ind w:firstLine="420" w:firstLineChars="200"/>
              <w:rPr>
                <w:rFonts w:ascii="宋体" w:hAnsi="宋体"/>
                <w:szCs w:val="21"/>
              </w:rPr>
            </w:pPr>
            <w:r>
              <w:rPr>
                <w:rFonts w:hint="eastAsia" w:ascii="宋体" w:hAnsi="宋体"/>
                <w:szCs w:val="21"/>
              </w:rPr>
              <w:t>—影响矿区安全的落水洞、岩溶漏斗、溶洞等，均应严密封闭。</w:t>
            </w:r>
          </w:p>
          <w:p>
            <w:pPr>
              <w:spacing w:line="240" w:lineRule="exact"/>
              <w:ind w:firstLine="420" w:firstLineChars="200"/>
              <w:rPr>
                <w:rFonts w:ascii="宋体" w:hAnsi="宋体"/>
                <w:bCs/>
                <w:szCs w:val="21"/>
              </w:rPr>
            </w:pPr>
            <w:r>
              <w:rPr>
                <w:rFonts w:hint="eastAsia" w:ascii="宋体" w:hAnsi="宋体"/>
                <w:bCs/>
                <w:szCs w:val="21"/>
              </w:rPr>
              <w:t>《国家安全监管总局关于印发</w:t>
            </w:r>
            <w:r>
              <w:t>〈</w:t>
            </w:r>
            <w:r>
              <w:rPr>
                <w:rFonts w:hint="eastAsia" w:ascii="宋体" w:hAnsi="宋体"/>
                <w:bCs/>
                <w:szCs w:val="21"/>
              </w:rPr>
              <w:t>金属非金属矿山重大生产安全事故隐患判定标准（试行）</w:t>
            </w:r>
            <w:r>
              <w:t>〉</w:t>
            </w:r>
            <w:r>
              <w:rPr>
                <w:rFonts w:hint="eastAsia" w:ascii="宋体" w:hAnsi="宋体"/>
                <w:bCs/>
                <w:szCs w:val="21"/>
              </w:rPr>
              <w:t>的通知》(安监总管一〔2017〕98号)</w:t>
            </w:r>
          </w:p>
          <w:p>
            <w:pPr>
              <w:spacing w:line="240" w:lineRule="exact"/>
              <w:ind w:firstLine="420" w:firstLineChars="200"/>
              <w:rPr>
                <w:rFonts w:ascii="宋体" w:hAnsi="宋体"/>
                <w:szCs w:val="21"/>
              </w:rPr>
            </w:pPr>
            <w:r>
              <w:rPr>
                <w:rFonts w:hint="eastAsia" w:ascii="宋体" w:hAnsi="宋体"/>
                <w:szCs w:val="21"/>
              </w:rPr>
              <w:t>一、</w:t>
            </w:r>
            <w:r>
              <w:rPr>
                <w:rFonts w:hint="eastAsia" w:ascii="宋体" w:hAnsi="宋体" w:cs="宋体"/>
                <w:bCs/>
                <w:kern w:val="0"/>
                <w:szCs w:val="21"/>
              </w:rPr>
              <w:t>金属非金属地下矿山重大生产安全事故隐患</w:t>
            </w:r>
          </w:p>
          <w:p>
            <w:pPr>
              <w:spacing w:line="240" w:lineRule="exact"/>
              <w:ind w:firstLine="420" w:firstLineChars="200"/>
              <w:rPr>
                <w:rFonts w:ascii="宋体" w:hAnsi="宋体"/>
                <w:szCs w:val="21"/>
              </w:rPr>
            </w:pPr>
            <w:r>
              <w:rPr>
                <w:rFonts w:hint="eastAsia" w:ascii="宋体" w:hAnsi="宋体"/>
                <w:szCs w:val="21"/>
              </w:rPr>
              <w:t>（六）地表水系穿过矿区，未按照设计要求采取防治水措施。</w:t>
            </w:r>
          </w:p>
        </w:tc>
        <w:tc>
          <w:tcPr>
            <w:tcW w:w="368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rPr>
                <w:rFonts w:ascii="宋体" w:hAnsi="宋体"/>
                <w:szCs w:val="21"/>
              </w:rPr>
            </w:pPr>
          </w:p>
        </w:tc>
        <w:tc>
          <w:tcPr>
            <w:tcW w:w="1665" w:type="dxa"/>
            <w:vAlign w:val="center"/>
          </w:tcPr>
          <w:p>
            <w:pPr>
              <w:rPr>
                <w:rFonts w:ascii="宋体" w:hAnsi="宋体"/>
                <w:szCs w:val="21"/>
              </w:rPr>
            </w:pPr>
            <w:r>
              <w:rPr>
                <w:rFonts w:hint="eastAsia" w:ascii="宋体" w:hAnsi="宋体"/>
                <w:szCs w:val="21"/>
              </w:rPr>
              <w:t>8.2 水害隐患排查</w:t>
            </w:r>
          </w:p>
        </w:tc>
        <w:tc>
          <w:tcPr>
            <w:tcW w:w="5343" w:type="dxa"/>
            <w:tcBorders>
              <w:top w:val="single" w:color="auto" w:sz="4" w:space="0"/>
            </w:tcBorders>
            <w:vAlign w:val="center"/>
          </w:tcPr>
          <w:p>
            <w:pPr>
              <w:ind w:firstLine="420" w:firstLineChars="200"/>
              <w:rPr>
                <w:rFonts w:ascii="宋体" w:hAnsi="宋体"/>
                <w:szCs w:val="21"/>
              </w:rPr>
            </w:pPr>
            <w:r>
              <w:rPr>
                <w:rFonts w:ascii="宋体" w:hAnsi="宋体"/>
                <w:szCs w:val="21"/>
              </w:rPr>
              <w:t>《金属非金属矿山安全规程》</w:t>
            </w:r>
            <w:r>
              <w:rPr>
                <w:rFonts w:ascii="宋体" w:hAnsi="宋体"/>
                <w:szCs w:val="21"/>
                <w:highlight w:val="none"/>
              </w:rPr>
              <w:t>（GB 16423-2006）</w:t>
            </w:r>
          </w:p>
          <w:p>
            <w:pPr>
              <w:ind w:firstLine="420" w:firstLineChars="200"/>
              <w:rPr>
                <w:rFonts w:ascii="宋体" w:hAnsi="宋体"/>
                <w:szCs w:val="21"/>
              </w:rPr>
            </w:pPr>
            <w:r>
              <w:rPr>
                <w:rFonts w:hint="eastAsia" w:ascii="宋体" w:hAnsi="宋体"/>
                <w:szCs w:val="21"/>
              </w:rPr>
              <w:t>6.6.3.1  矿山企业应调查核实矿区范围内的小矿井、老井、老采空区，现有生产井中的积水区、含水层、岩溶带、地质构造等详细情况，并填绘矿区水文地质图。</w:t>
            </w:r>
          </w:p>
          <w:p>
            <w:pPr>
              <w:ind w:firstLine="420" w:firstLineChars="200"/>
              <w:rPr>
                <w:rFonts w:ascii="宋体" w:hAnsi="宋体" w:cs="Courier New"/>
                <w:szCs w:val="21"/>
              </w:rPr>
            </w:pPr>
            <w:r>
              <w:rPr>
                <w:rFonts w:hint="eastAsia" w:ascii="宋体" w:hAnsi="宋体"/>
                <w:szCs w:val="21"/>
              </w:rPr>
              <w:t>应查明矿坑水的来源，掌握矿区水的运动规律，摸清矿井水与地下水、地表水和大气降雨的水力关系，判断矿井突然涌水的可能性。</w:t>
            </w:r>
          </w:p>
        </w:tc>
        <w:tc>
          <w:tcPr>
            <w:tcW w:w="3687" w:type="dxa"/>
            <w:tcBorders>
              <w:top w:val="single" w:color="auto" w:sz="4" w:space="0"/>
            </w:tcBorders>
            <w:vAlign w:val="center"/>
          </w:tcPr>
          <w:p>
            <w:pPr>
              <w:ind w:firstLine="420" w:firstLineChars="200"/>
              <w:jc w:val="left"/>
            </w:pPr>
            <w:r>
              <w:rPr>
                <w:rFonts w:hint="eastAsia"/>
              </w:rPr>
              <w:t>《安全生产违法行为行政处罚办法》第四十五条</w:t>
            </w:r>
            <w:r>
              <w:t xml:space="preserve">  </w:t>
            </w:r>
            <w:r>
              <w:rPr>
                <w:rFonts w:hint="eastAsia"/>
              </w:rPr>
              <w:t>生产经营单位及其主要负责人或者其他人员有下列行为之一的，给予警告，并可以对生产经营单位处</w:t>
            </w:r>
            <w:r>
              <w:rPr>
                <w:rFonts w:asciiTheme="minorEastAsia" w:hAnsiTheme="minorEastAsia" w:eastAsiaTheme="minorEastAsia"/>
                <w:highlight w:val="none"/>
              </w:rPr>
              <w:t>1</w:t>
            </w:r>
            <w:r>
              <w:rPr>
                <w:rFonts w:hint="eastAsia" w:asciiTheme="minorEastAsia" w:hAnsiTheme="minorEastAsia" w:eastAsiaTheme="minorEastAsia"/>
                <w:highlight w:val="none"/>
              </w:rPr>
              <w:t>万元以上</w:t>
            </w:r>
            <w:r>
              <w:rPr>
                <w:rFonts w:asciiTheme="minorEastAsia" w:hAnsiTheme="minorEastAsia" w:eastAsiaTheme="minorEastAsia"/>
                <w:highlight w:val="none"/>
              </w:rPr>
              <w:t>3</w:t>
            </w:r>
            <w:r>
              <w:rPr>
                <w:rFonts w:hint="eastAsia" w:asciiTheme="minorEastAsia" w:hAnsiTheme="minorEastAsia" w:eastAsiaTheme="minorEastAsia"/>
                <w:highlight w:val="none"/>
              </w:rPr>
              <w:t>万元以下罚款，对其主要负责人、其他有关人员处</w:t>
            </w:r>
            <w:r>
              <w:rPr>
                <w:rFonts w:asciiTheme="minorEastAsia" w:hAnsiTheme="minorEastAsia" w:eastAsiaTheme="minorEastAsia"/>
                <w:highlight w:val="none"/>
              </w:rPr>
              <w:t>1000</w:t>
            </w:r>
            <w:r>
              <w:rPr>
                <w:rFonts w:hint="eastAsia" w:asciiTheme="minorEastAsia" w:hAnsiTheme="minorEastAsia" w:eastAsiaTheme="minorEastAsia"/>
                <w:highlight w:val="none"/>
              </w:rPr>
              <w:t>元以上</w:t>
            </w:r>
            <w:r>
              <w:rPr>
                <w:rFonts w:asciiTheme="minorEastAsia" w:hAnsiTheme="minorEastAsia" w:eastAsiaTheme="minorEastAsia"/>
                <w:highlight w:val="none"/>
              </w:rPr>
              <w:t>1</w:t>
            </w:r>
            <w:r>
              <w:rPr>
                <w:rFonts w:hint="eastAsia"/>
              </w:rPr>
              <w:t>万元以下的罚款：</w:t>
            </w:r>
          </w:p>
          <w:p>
            <w:pPr>
              <w:ind w:firstLine="420" w:firstLineChars="200"/>
              <w:jc w:val="left"/>
            </w:pPr>
            <w:r>
              <w:rPr>
                <w:rFonts w:hint="eastAsia"/>
              </w:rPr>
              <w:t>（一）违反操作规程或者安全管理规定作业的；</w:t>
            </w:r>
          </w:p>
          <w:p>
            <w:pPr>
              <w:pStyle w:val="2"/>
              <w:ind w:firstLine="420"/>
            </w:pPr>
            <w:r>
              <w:rPr>
                <w:rFonts w:hint="eastAsia"/>
              </w:rPr>
              <w:t>……</w:t>
            </w:r>
          </w:p>
        </w:tc>
        <w:tc>
          <w:tcPr>
            <w:tcW w:w="871" w:type="dxa"/>
            <w:tcBorders>
              <w:top w:val="single" w:color="auto" w:sz="4" w:space="0"/>
            </w:tcBorders>
            <w:vAlign w:val="center"/>
          </w:tcPr>
          <w:p>
            <w:pPr>
              <w:widowControl/>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96"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rPr>
                <w:rFonts w:ascii="宋体" w:hAnsi="宋体"/>
                <w:szCs w:val="21"/>
              </w:rPr>
            </w:pPr>
          </w:p>
        </w:tc>
        <w:tc>
          <w:tcPr>
            <w:tcW w:w="1665" w:type="dxa"/>
            <w:vAlign w:val="center"/>
          </w:tcPr>
          <w:p>
            <w:pPr>
              <w:rPr>
                <w:rFonts w:ascii="宋体" w:hAnsi="宋体"/>
                <w:szCs w:val="21"/>
              </w:rPr>
            </w:pPr>
            <w:r>
              <w:rPr>
                <w:rFonts w:hint="eastAsia" w:ascii="思源黑体 CN" w:hAnsi="思源黑体 CN" w:eastAsia="思源黑体 CN" w:cs="思源黑体 CN"/>
                <w:szCs w:val="21"/>
              </w:rPr>
              <w:t>★</w:t>
            </w:r>
            <w:r>
              <w:rPr>
                <w:rFonts w:ascii="宋体" w:hAnsi="宋体"/>
                <w:szCs w:val="21"/>
              </w:rPr>
              <w:t>8.3</w:t>
            </w:r>
            <w:r>
              <w:rPr>
                <w:rFonts w:hint="eastAsia" w:ascii="宋体" w:hAnsi="宋体"/>
                <w:szCs w:val="21"/>
              </w:rPr>
              <w:t xml:space="preserve"> </w:t>
            </w:r>
            <w:r>
              <w:rPr>
                <w:rFonts w:ascii="宋体" w:hAnsi="宋体"/>
                <w:szCs w:val="21"/>
              </w:rPr>
              <w:t>井口标高</w:t>
            </w:r>
          </w:p>
        </w:tc>
        <w:tc>
          <w:tcPr>
            <w:tcW w:w="5343" w:type="dxa"/>
            <w:vAlign w:val="center"/>
          </w:tcPr>
          <w:p>
            <w:pPr>
              <w:ind w:firstLine="420" w:firstLineChars="200"/>
              <w:rPr>
                <w:rFonts w:ascii="宋体" w:hAnsi="宋体"/>
                <w:szCs w:val="21"/>
              </w:rPr>
            </w:pPr>
            <w:r>
              <w:rPr>
                <w:rFonts w:ascii="宋体" w:hAnsi="宋体"/>
                <w:szCs w:val="21"/>
              </w:rPr>
              <w:t xml:space="preserve">《安全生产法》第三十八条  生产经营单位应当建立健全生产安全事故隐患排查治理制度，采取技术、管理措施，及时发现并消除事故隐患。事故隐患排查治理情况应当如实记录，并向从业人员通报。 </w:t>
            </w:r>
          </w:p>
          <w:p>
            <w:pPr>
              <w:ind w:firstLine="420" w:firstLineChars="200"/>
              <w:rPr>
                <w:rFonts w:ascii="宋体" w:hAnsi="宋体"/>
                <w:szCs w:val="21"/>
              </w:rPr>
            </w:pPr>
            <w:r>
              <w:rPr>
                <w:rFonts w:hint="eastAsia" w:ascii="宋体" w:hAnsi="宋体"/>
                <w:szCs w:val="21"/>
              </w:rPr>
              <w:t>……</w:t>
            </w:r>
          </w:p>
          <w:p>
            <w:pPr>
              <w:ind w:firstLine="420" w:firstLineChars="200"/>
              <w:rPr>
                <w:rFonts w:ascii="宋体" w:hAnsi="宋体"/>
                <w:szCs w:val="21"/>
              </w:rPr>
            </w:pPr>
            <w:r>
              <w:rPr>
                <w:rFonts w:ascii="宋体" w:hAnsi="宋体"/>
                <w:szCs w:val="21"/>
              </w:rPr>
              <w:t>《金属非金属矿山安全规程》</w:t>
            </w:r>
            <w:r>
              <w:rPr>
                <w:rFonts w:ascii="宋体" w:hAnsi="宋体"/>
                <w:szCs w:val="21"/>
                <w:highlight w:val="none"/>
              </w:rPr>
              <w:t>（GB 16423-2006）</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6.6.2.3</w:t>
            </w:r>
            <w:r>
              <w:rPr>
                <w:rFonts w:hint="eastAsia" w:asciiTheme="minorEastAsia" w:hAnsiTheme="minorEastAsia" w:eastAsiaTheme="minorEastAsia"/>
                <w:szCs w:val="21"/>
              </w:rPr>
              <w:t xml:space="preserve">  </w:t>
            </w:r>
            <w:r>
              <w:rPr>
                <w:rFonts w:asciiTheme="minorEastAsia" w:hAnsiTheme="minorEastAsia" w:eastAsiaTheme="minorEastAsia"/>
                <w:szCs w:val="21"/>
              </w:rPr>
              <w:t>矿井(竖井、斜井、平硐等)井口的标高，应高于当地历史最高洪水位1m以上。工业场地的地面标高，应高于当地历史最高洪水位。</w:t>
            </w:r>
            <w:r>
              <w:rPr>
                <w:rFonts w:hint="eastAsia" w:asciiTheme="minorEastAsia" w:hAnsiTheme="minorEastAsia" w:eastAsiaTheme="minorEastAsia"/>
                <w:szCs w:val="21"/>
              </w:rPr>
              <w:t>特殊情况下达不到要求的，应以历史最高洪水位为防护标准修筑防洪堤，井口应筑人工岛，使井口高于最高洪水位</w:t>
            </w:r>
            <w:r>
              <w:rPr>
                <w:rFonts w:asciiTheme="minorEastAsia" w:hAnsiTheme="minorEastAsia" w:eastAsiaTheme="minorEastAsia"/>
                <w:szCs w:val="21"/>
              </w:rPr>
              <w:t>1m以上。</w:t>
            </w:r>
          </w:p>
          <w:p>
            <w:pPr>
              <w:spacing w:line="240" w:lineRule="atLeast"/>
              <w:ind w:firstLine="420" w:firstLineChars="200"/>
              <w:rPr>
                <w:rFonts w:ascii="宋体" w:hAnsi="宋体"/>
                <w:bCs/>
                <w:szCs w:val="21"/>
              </w:rPr>
            </w:pPr>
            <w:r>
              <w:rPr>
                <w:rFonts w:hint="eastAsia" w:ascii="宋体" w:hAnsi="宋体"/>
                <w:bCs/>
                <w:szCs w:val="21"/>
              </w:rPr>
              <w:t>《国家安全监管总局关于印发</w:t>
            </w:r>
            <w:r>
              <w:t>〈</w:t>
            </w:r>
            <w:r>
              <w:rPr>
                <w:rFonts w:hint="eastAsia" w:ascii="宋体" w:hAnsi="宋体"/>
                <w:bCs/>
                <w:szCs w:val="21"/>
              </w:rPr>
              <w:t>金属非金属矿山重大生产安全事故隐患判定标准（试行）</w:t>
            </w:r>
            <w:r>
              <w:t>〉</w:t>
            </w:r>
            <w:r>
              <w:rPr>
                <w:rFonts w:hint="eastAsia" w:ascii="宋体" w:hAnsi="宋体"/>
                <w:bCs/>
                <w:szCs w:val="21"/>
              </w:rPr>
              <w:t>的通知》(安监总管一〔2017〕98号)</w:t>
            </w:r>
          </w:p>
          <w:p>
            <w:pPr>
              <w:widowControl/>
              <w:adjustRightInd w:val="0"/>
              <w:snapToGrid w:val="0"/>
              <w:ind w:firstLine="420"/>
              <w:rPr>
                <w:rFonts w:ascii="宋体" w:hAnsi="宋体" w:cs="宋体"/>
                <w:bCs/>
                <w:kern w:val="0"/>
                <w:szCs w:val="21"/>
              </w:rPr>
            </w:pPr>
            <w:r>
              <w:rPr>
                <w:rFonts w:hint="eastAsia" w:ascii="宋体" w:hAnsi="宋体" w:cs="宋体"/>
                <w:bCs/>
                <w:kern w:val="0"/>
                <w:szCs w:val="21"/>
              </w:rPr>
              <w:t>一、金属非金属地下矿山重大生产安全事故隐患</w:t>
            </w:r>
          </w:p>
          <w:p>
            <w:pPr>
              <w:widowControl/>
              <w:adjustRightInd w:val="0"/>
              <w:snapToGrid w:val="0"/>
              <w:ind w:firstLine="420"/>
              <w:rPr>
                <w:rFonts w:asciiTheme="minorEastAsia" w:hAnsiTheme="minorEastAsia"/>
                <w:szCs w:val="21"/>
              </w:rPr>
            </w:pPr>
            <w:r>
              <w:rPr>
                <w:rFonts w:hint="eastAsia" w:ascii="宋体" w:hAnsi="宋体" w:cs="宋体"/>
                <w:bCs/>
                <w:kern w:val="0"/>
                <w:szCs w:val="21"/>
              </w:rPr>
              <w:t>（八）井口标高在当地历史最高洪水位1米以下，未采取相应防护措施。</w:t>
            </w:r>
          </w:p>
        </w:tc>
        <w:tc>
          <w:tcPr>
            <w:tcW w:w="3687" w:type="dxa"/>
            <w:vAlign w:val="center"/>
          </w:tcPr>
          <w:p>
            <w:pPr>
              <w:ind w:firstLine="420" w:firstLineChars="200"/>
              <w:rPr>
                <w:rFonts w:ascii="宋体" w:hAnsi="宋体"/>
                <w:szCs w:val="21"/>
              </w:rPr>
            </w:pPr>
            <w:r>
              <w:rPr>
                <w:rFonts w:ascii="宋体" w:hAnsi="宋体"/>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vAlign w:val="center"/>
          </w:tcPr>
          <w:p>
            <w:pPr>
              <w:widowControl/>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rPr>
                <w:rFonts w:ascii="宋体" w:hAnsi="宋体"/>
                <w:szCs w:val="21"/>
              </w:rPr>
            </w:pPr>
          </w:p>
        </w:tc>
        <w:tc>
          <w:tcPr>
            <w:tcW w:w="1665" w:type="dxa"/>
            <w:vAlign w:val="center"/>
          </w:tcPr>
          <w:p>
            <w:pPr>
              <w:rPr>
                <w:rFonts w:ascii="宋体" w:hAnsi="宋体"/>
                <w:szCs w:val="21"/>
              </w:rPr>
            </w:pPr>
            <w:r>
              <w:rPr>
                <w:rFonts w:hint="eastAsia" w:ascii="思源黑体 CN" w:hAnsi="思源黑体 CN" w:eastAsia="思源黑体 CN" w:cs="思源黑体 CN"/>
                <w:szCs w:val="21"/>
              </w:rPr>
              <w:t>★</w:t>
            </w:r>
            <w:r>
              <w:rPr>
                <w:rFonts w:ascii="宋体" w:hAnsi="宋体"/>
                <w:szCs w:val="21"/>
              </w:rPr>
              <w:t>8.</w:t>
            </w:r>
            <w:r>
              <w:rPr>
                <w:rFonts w:hint="eastAsia" w:ascii="宋体" w:hAnsi="宋体"/>
                <w:szCs w:val="21"/>
              </w:rPr>
              <w:t xml:space="preserve">4 </w:t>
            </w:r>
            <w:r>
              <w:rPr>
                <w:rFonts w:ascii="宋体" w:hAnsi="宋体"/>
                <w:szCs w:val="21"/>
              </w:rPr>
              <w:t>探放水作业管理</w:t>
            </w:r>
            <w:r>
              <w:rPr>
                <w:rFonts w:hint="eastAsia" w:ascii="宋体" w:hAnsi="宋体"/>
                <w:szCs w:val="21"/>
              </w:rPr>
              <w:t>及水文地质类型为中等及复杂的矿井应当设立专门防治水机构、配备探放水作业队伍或配齐专用探放水设备</w:t>
            </w:r>
          </w:p>
        </w:tc>
        <w:tc>
          <w:tcPr>
            <w:tcW w:w="5343" w:type="dxa"/>
            <w:vAlign w:val="center"/>
          </w:tcPr>
          <w:p>
            <w:pPr>
              <w:ind w:firstLine="420" w:firstLineChars="200"/>
              <w:rPr>
                <w:rFonts w:ascii="宋体" w:hAnsi="宋体"/>
                <w:szCs w:val="21"/>
              </w:rPr>
            </w:pPr>
            <w:r>
              <w:rPr>
                <w:rFonts w:ascii="宋体" w:hAnsi="宋体"/>
                <w:szCs w:val="21"/>
              </w:rPr>
              <w:t xml:space="preserve">《安全生产法》第三十八条  生产经营单位应当建立健全生产安全事故隐患排查治理制度，采取技术、管理措施，及时发现并消除事故隐患。事故隐患排查治理情况应当如实记录，并向从业人员通报。 </w:t>
            </w:r>
          </w:p>
          <w:p>
            <w:pPr>
              <w:ind w:firstLine="420" w:firstLineChars="200"/>
              <w:rPr>
                <w:rFonts w:ascii="宋体" w:hAnsi="宋体"/>
                <w:szCs w:val="21"/>
              </w:rPr>
            </w:pPr>
            <w:r>
              <w:rPr>
                <w:rFonts w:hint="eastAsia" w:ascii="宋体" w:hAnsi="宋体"/>
                <w:szCs w:val="21"/>
              </w:rPr>
              <w:t>……</w:t>
            </w:r>
          </w:p>
          <w:p>
            <w:pPr>
              <w:ind w:firstLine="420" w:firstLineChars="200"/>
              <w:rPr>
                <w:rFonts w:ascii="宋体" w:hAnsi="宋体"/>
                <w:szCs w:val="21"/>
                <w:highlight w:val="none"/>
              </w:rPr>
            </w:pPr>
            <w:r>
              <w:rPr>
                <w:rFonts w:ascii="宋体" w:hAnsi="宋体"/>
                <w:szCs w:val="21"/>
              </w:rPr>
              <w:t>《金属非金属矿山安全规程》</w:t>
            </w:r>
            <w:r>
              <w:rPr>
                <w:rFonts w:ascii="宋体" w:hAnsi="宋体"/>
                <w:szCs w:val="21"/>
                <w:highlight w:val="none"/>
              </w:rPr>
              <w:t>（GB 16423-2006）</w:t>
            </w:r>
          </w:p>
          <w:p>
            <w:pPr>
              <w:ind w:firstLine="420" w:firstLineChars="200"/>
              <w:rPr>
                <w:rFonts w:ascii="宋体" w:hAnsi="宋体"/>
                <w:szCs w:val="21"/>
              </w:rPr>
            </w:pPr>
            <w:r>
              <w:rPr>
                <w:rFonts w:hint="eastAsia" w:ascii="宋体" w:hAnsi="宋体"/>
                <w:szCs w:val="21"/>
              </w:rPr>
              <w:t>6.6.3.4  对接近水体的地带或可能与水体有联系的地段，应坚持“有疑必探，先探后掘"的原则，编制探水设计。探水孔的位置、方向、数目、孔径、每次钻进的深度和超前距离，应根据水头高低、岩石结构与硬度等条件在设计中规定。</w:t>
            </w:r>
          </w:p>
          <w:p>
            <w:pPr>
              <w:spacing w:line="240" w:lineRule="atLeast"/>
              <w:ind w:firstLine="420" w:firstLineChars="200"/>
              <w:rPr>
                <w:rFonts w:ascii="宋体" w:hAnsi="宋体"/>
                <w:bCs/>
                <w:szCs w:val="21"/>
              </w:rPr>
            </w:pPr>
            <w:r>
              <w:rPr>
                <w:rFonts w:hint="eastAsia" w:ascii="宋体" w:hAnsi="宋体"/>
                <w:bCs/>
                <w:szCs w:val="21"/>
              </w:rPr>
              <w:t>《国家安全监管总局关于印发</w:t>
            </w:r>
            <w:r>
              <w:t>〈</w:t>
            </w:r>
            <w:r>
              <w:rPr>
                <w:rFonts w:hint="eastAsia" w:ascii="宋体" w:hAnsi="宋体"/>
                <w:bCs/>
                <w:szCs w:val="21"/>
              </w:rPr>
              <w:t>金属非金属矿山重大生产安全事故隐患判定标准（试行）</w:t>
            </w:r>
            <w:r>
              <w:t>〉</w:t>
            </w:r>
            <w:r>
              <w:rPr>
                <w:rFonts w:hint="eastAsia" w:ascii="宋体" w:hAnsi="宋体"/>
                <w:bCs/>
                <w:szCs w:val="21"/>
              </w:rPr>
              <w:t>的通知》(安监总管一〔2017〕98号)</w:t>
            </w:r>
          </w:p>
          <w:p>
            <w:pPr>
              <w:widowControl/>
              <w:adjustRightInd w:val="0"/>
              <w:snapToGrid w:val="0"/>
              <w:ind w:firstLine="420"/>
              <w:rPr>
                <w:rFonts w:ascii="宋体" w:hAnsi="宋体" w:cs="宋体"/>
                <w:bCs/>
                <w:kern w:val="0"/>
                <w:szCs w:val="21"/>
              </w:rPr>
            </w:pPr>
            <w:r>
              <w:rPr>
                <w:rFonts w:hint="eastAsia" w:ascii="宋体" w:hAnsi="宋体" w:cs="宋体"/>
                <w:bCs/>
                <w:kern w:val="0"/>
                <w:szCs w:val="21"/>
              </w:rPr>
              <w:t>一、金属非金属地下矿山重大生产安全事故隐患</w:t>
            </w:r>
          </w:p>
          <w:p>
            <w:pPr>
              <w:widowControl/>
              <w:adjustRightInd w:val="0"/>
              <w:snapToGrid w:val="0"/>
              <w:ind w:firstLine="420"/>
              <w:rPr>
                <w:rFonts w:ascii="宋体" w:hAnsi="宋体"/>
                <w:szCs w:val="21"/>
              </w:rPr>
            </w:pPr>
            <w:r>
              <w:rPr>
                <w:rFonts w:hint="eastAsia" w:ascii="宋体" w:hAnsi="宋体" w:cs="宋体"/>
                <w:bCs/>
                <w:kern w:val="0"/>
                <w:szCs w:val="21"/>
              </w:rPr>
              <w:t>（九）水文地质类型为中等及复杂的矿井没有设立专门防治水机构、配备探放水作业队伍或配齐专用探放水设备。</w:t>
            </w:r>
          </w:p>
        </w:tc>
        <w:tc>
          <w:tcPr>
            <w:tcW w:w="3687" w:type="dxa"/>
            <w:vAlign w:val="center"/>
          </w:tcPr>
          <w:p>
            <w:pPr>
              <w:ind w:firstLine="420" w:firstLineChars="200"/>
              <w:rPr>
                <w:rFonts w:ascii="宋体" w:hAnsi="宋体"/>
                <w:szCs w:val="21"/>
              </w:rPr>
            </w:pPr>
            <w:r>
              <w:rPr>
                <w:rFonts w:ascii="宋体" w:hAnsi="宋体"/>
                <w:szCs w:val="21"/>
              </w:rPr>
              <w:t>《安全生产法》第九十九条</w:t>
            </w:r>
            <w:r>
              <w:rPr>
                <w:rFonts w:hint="eastAsia" w:ascii="宋体" w:hAnsi="宋体"/>
                <w:szCs w:val="21"/>
              </w:rPr>
              <w:t xml:space="preserve">  </w:t>
            </w:r>
            <w:r>
              <w:rPr>
                <w:rFonts w:ascii="宋体" w:hAnsi="宋体"/>
                <w:szCs w:val="21"/>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rPr>
                <w:rFonts w:ascii="宋体" w:hAnsi="宋体"/>
                <w:szCs w:val="21"/>
              </w:rPr>
            </w:pPr>
          </w:p>
        </w:tc>
        <w:tc>
          <w:tcPr>
            <w:tcW w:w="1665" w:type="dxa"/>
            <w:vAlign w:val="center"/>
          </w:tcPr>
          <w:p>
            <w:pPr>
              <w:rPr>
                <w:rFonts w:ascii="宋体" w:hAnsi="宋体"/>
                <w:szCs w:val="21"/>
              </w:rPr>
            </w:pPr>
            <w:r>
              <w:rPr>
                <w:rFonts w:hint="eastAsia" w:ascii="思源黑体 CN" w:hAnsi="思源黑体 CN" w:eastAsia="思源黑体 CN" w:cs="思源黑体 CN"/>
                <w:szCs w:val="21"/>
              </w:rPr>
              <w:t>★</w:t>
            </w:r>
            <w:r>
              <w:rPr>
                <w:rFonts w:hint="eastAsia" w:ascii="宋体" w:hAnsi="宋体"/>
                <w:szCs w:val="21"/>
              </w:rPr>
              <w:t>8</w:t>
            </w:r>
            <w:r>
              <w:rPr>
                <w:rFonts w:ascii="宋体" w:hAnsi="宋体"/>
                <w:szCs w:val="21"/>
              </w:rPr>
              <w:t>.</w:t>
            </w:r>
            <w:r>
              <w:rPr>
                <w:rFonts w:hint="eastAsia" w:ascii="宋体" w:hAnsi="宋体"/>
                <w:szCs w:val="21"/>
              </w:rPr>
              <w:t xml:space="preserve">5 </w:t>
            </w:r>
            <w:r>
              <w:rPr>
                <w:rFonts w:ascii="宋体" w:hAnsi="宋体"/>
                <w:szCs w:val="21"/>
              </w:rPr>
              <w:t>排水系统</w:t>
            </w:r>
            <w:r>
              <w:rPr>
                <w:rFonts w:hint="eastAsia" w:ascii="宋体" w:hAnsi="宋体"/>
                <w:szCs w:val="21"/>
              </w:rPr>
              <w:t>设置应符合设计</w:t>
            </w:r>
          </w:p>
        </w:tc>
        <w:tc>
          <w:tcPr>
            <w:tcW w:w="5343" w:type="dxa"/>
            <w:vAlign w:val="center"/>
          </w:tcPr>
          <w:p>
            <w:pPr>
              <w:ind w:firstLine="420" w:firstLineChars="200"/>
              <w:rPr>
                <w:rFonts w:ascii="宋体" w:hAnsi="宋体"/>
                <w:szCs w:val="21"/>
              </w:rPr>
            </w:pPr>
            <w:r>
              <w:rPr>
                <w:rFonts w:ascii="宋体" w:hAnsi="宋体"/>
                <w:szCs w:val="21"/>
              </w:rPr>
              <w:t>《安全生产法》第三十八条</w:t>
            </w:r>
            <w:r>
              <w:rPr>
                <w:rFonts w:hint="eastAsia" w:ascii="宋体" w:hAnsi="宋体"/>
                <w:szCs w:val="21"/>
              </w:rPr>
              <w:t xml:space="preserve">  </w:t>
            </w:r>
            <w:r>
              <w:rPr>
                <w:rFonts w:ascii="宋体" w:hAnsi="宋体"/>
                <w:szCs w:val="21"/>
              </w:rPr>
              <w:t>生产经营单位应当建立健全生产安全事故隐患排查治理制度，采取技术、管理措施，及时发现并消除事故隐患。事故隐患排查治理情况应当如实记录，并向从业人员通报。</w:t>
            </w:r>
          </w:p>
          <w:p>
            <w:pPr>
              <w:ind w:firstLine="420" w:firstLineChars="200"/>
              <w:rPr>
                <w:rFonts w:ascii="宋体" w:hAnsi="宋体"/>
                <w:szCs w:val="21"/>
              </w:rPr>
            </w:pPr>
            <w:r>
              <w:rPr>
                <w:rFonts w:hint="eastAsia" w:ascii="宋体" w:hAnsi="宋体"/>
                <w:szCs w:val="21"/>
              </w:rPr>
              <w:t>……</w:t>
            </w:r>
          </w:p>
          <w:p>
            <w:pPr>
              <w:ind w:firstLine="420" w:firstLineChars="200"/>
              <w:rPr>
                <w:rFonts w:ascii="宋体" w:hAnsi="宋体"/>
                <w:szCs w:val="21"/>
              </w:rPr>
            </w:pPr>
            <w:r>
              <w:rPr>
                <w:rFonts w:hint="eastAsia" w:ascii="宋体" w:hAnsi="宋体"/>
                <w:szCs w:val="21"/>
              </w:rPr>
              <w:t>《金属非金属矿山安全规程》</w:t>
            </w:r>
            <w:r>
              <w:rPr>
                <w:rFonts w:hint="eastAsia" w:ascii="宋体" w:hAnsi="宋体"/>
                <w:szCs w:val="21"/>
                <w:highlight w:val="none"/>
              </w:rPr>
              <w:t>（GB 16423-2006）</w:t>
            </w:r>
          </w:p>
          <w:p>
            <w:pPr>
              <w:ind w:firstLine="420" w:firstLineChars="200"/>
              <w:rPr>
                <w:rFonts w:ascii="宋体" w:hAnsi="宋体"/>
                <w:szCs w:val="21"/>
              </w:rPr>
            </w:pPr>
            <w:r>
              <w:rPr>
                <w:rFonts w:ascii="宋体" w:hAnsi="宋体"/>
                <w:szCs w:val="21"/>
              </w:rPr>
              <w:t>5.9.1.3</w:t>
            </w:r>
            <w:r>
              <w:rPr>
                <w:rFonts w:hint="eastAsia" w:ascii="宋体" w:hAnsi="宋体"/>
                <w:szCs w:val="21"/>
              </w:rPr>
              <w:t xml:space="preserve">  </w:t>
            </w:r>
            <w:r>
              <w:rPr>
                <w:rFonts w:ascii="宋体" w:hAnsi="宋体"/>
                <w:szCs w:val="21"/>
              </w:rPr>
              <w:t>矿山应按设计要求建立排水系统。上方应设截水沟；有滑坡可能的矿山，应加强防排水</w:t>
            </w:r>
            <w:r>
              <w:rPr>
                <w:rFonts w:hint="eastAsia" w:ascii="宋体" w:hAnsi="宋体"/>
                <w:szCs w:val="21"/>
              </w:rPr>
              <w:t>措施；应防止地表、地下水渗漏到采场。</w:t>
            </w:r>
          </w:p>
          <w:p>
            <w:pPr>
              <w:ind w:firstLine="420" w:firstLineChars="200"/>
              <w:rPr>
                <w:rFonts w:ascii="宋体" w:hAnsi="宋体"/>
                <w:bCs/>
                <w:szCs w:val="21"/>
              </w:rPr>
            </w:pPr>
            <w:r>
              <w:rPr>
                <w:rFonts w:hint="eastAsia" w:ascii="宋体" w:hAnsi="宋体"/>
                <w:bCs/>
                <w:szCs w:val="21"/>
              </w:rPr>
              <w:t>《国家安全监管总局关于印发</w:t>
            </w:r>
            <w:r>
              <w:t>〈</w:t>
            </w:r>
            <w:r>
              <w:rPr>
                <w:rFonts w:hint="eastAsia" w:ascii="宋体" w:hAnsi="宋体"/>
                <w:bCs/>
                <w:szCs w:val="21"/>
              </w:rPr>
              <w:t>金属非金属矿山重大生产安全事故隐患判定标准（试行）</w:t>
            </w:r>
            <w:r>
              <w:t>〉</w:t>
            </w:r>
            <w:r>
              <w:rPr>
                <w:rFonts w:hint="eastAsia" w:ascii="宋体" w:hAnsi="宋体"/>
                <w:bCs/>
                <w:szCs w:val="21"/>
              </w:rPr>
              <w:t>的通知》(安监总管一〔2017〕98号)</w:t>
            </w:r>
          </w:p>
          <w:p>
            <w:pPr>
              <w:ind w:firstLine="405"/>
              <w:rPr>
                <w:rFonts w:ascii="宋体" w:hAnsi="宋体"/>
                <w:szCs w:val="21"/>
              </w:rPr>
            </w:pPr>
            <w:r>
              <w:rPr>
                <w:rFonts w:hint="eastAsia" w:ascii="宋体" w:hAnsi="宋体"/>
                <w:szCs w:val="21"/>
              </w:rPr>
              <w:t>一、</w:t>
            </w:r>
            <w:r>
              <w:rPr>
                <w:rFonts w:hint="eastAsia" w:ascii="宋体" w:hAnsi="宋体" w:cs="宋体"/>
                <w:bCs/>
                <w:kern w:val="0"/>
                <w:szCs w:val="21"/>
              </w:rPr>
              <w:t>金属非金属地下矿山重大生产安全事故隐患</w:t>
            </w:r>
          </w:p>
          <w:p>
            <w:pPr>
              <w:ind w:firstLine="405"/>
              <w:rPr>
                <w:rFonts w:ascii="宋体" w:hAnsi="宋体"/>
                <w:szCs w:val="21"/>
              </w:rPr>
            </w:pPr>
            <w:r>
              <w:rPr>
                <w:rFonts w:hint="eastAsia" w:ascii="宋体" w:hAnsi="宋体"/>
                <w:szCs w:val="21"/>
              </w:rPr>
              <w:t>（七）排水系统与设计要求不符，导致排水能力降低。</w:t>
            </w:r>
          </w:p>
        </w:tc>
        <w:tc>
          <w:tcPr>
            <w:tcW w:w="3687" w:type="dxa"/>
            <w:vAlign w:val="center"/>
          </w:tcPr>
          <w:p>
            <w:pPr>
              <w:ind w:firstLine="420" w:firstLineChars="200"/>
              <w:rPr>
                <w:rFonts w:ascii="宋体" w:hAnsi="宋体"/>
                <w:szCs w:val="21"/>
              </w:rPr>
            </w:pPr>
            <w:r>
              <w:rPr>
                <w:rFonts w:ascii="宋体" w:hAnsi="宋体"/>
                <w:szCs w:val="21"/>
              </w:rPr>
              <w:t>《安全生产法》第九十九条</w:t>
            </w:r>
            <w:r>
              <w:rPr>
                <w:rFonts w:hint="eastAsia" w:ascii="宋体" w:hAnsi="宋体"/>
                <w:szCs w:val="21"/>
              </w:rPr>
              <w:t xml:space="preserve">  </w:t>
            </w:r>
            <w:r>
              <w:rPr>
                <w:rFonts w:ascii="宋体" w:hAnsi="宋体"/>
                <w:szCs w:val="21"/>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rPr>
                <w:rFonts w:ascii="宋体" w:hAnsi="宋体"/>
                <w:szCs w:val="21"/>
              </w:rPr>
            </w:pPr>
          </w:p>
        </w:tc>
        <w:tc>
          <w:tcPr>
            <w:tcW w:w="1665" w:type="dxa"/>
            <w:vAlign w:val="center"/>
          </w:tcPr>
          <w:p>
            <w:pPr>
              <w:rPr>
                <w:rFonts w:ascii="宋体" w:hAnsi="宋体"/>
                <w:szCs w:val="21"/>
              </w:rPr>
            </w:pPr>
            <w:r>
              <w:rPr>
                <w:rFonts w:hint="eastAsia" w:ascii="宋体" w:hAnsi="宋体"/>
                <w:szCs w:val="21"/>
              </w:rPr>
              <w:t xml:space="preserve">8.6 </w:t>
            </w:r>
            <w:r>
              <w:rPr>
                <w:rFonts w:ascii="宋体" w:hAnsi="宋体"/>
                <w:szCs w:val="21"/>
              </w:rPr>
              <w:t>排水泵</w:t>
            </w:r>
            <w:r>
              <w:rPr>
                <w:rFonts w:hint="eastAsia" w:ascii="宋体" w:hAnsi="宋体"/>
                <w:szCs w:val="21"/>
              </w:rPr>
              <w:t>设置</w:t>
            </w:r>
          </w:p>
        </w:tc>
        <w:tc>
          <w:tcPr>
            <w:tcW w:w="5343" w:type="dxa"/>
            <w:vAlign w:val="center"/>
          </w:tcPr>
          <w:p>
            <w:pPr>
              <w:ind w:firstLine="420" w:firstLineChars="200"/>
              <w:rPr>
                <w:rFonts w:ascii="宋体" w:hAnsi="宋体"/>
                <w:szCs w:val="21"/>
              </w:rPr>
            </w:pPr>
            <w:r>
              <w:rPr>
                <w:rFonts w:hint="eastAsia" w:ascii="宋体" w:hAnsi="宋体"/>
                <w:szCs w:val="21"/>
              </w:rPr>
              <w:t>《安全生产法》第三十三条  安全设备的设计、制造、安装、使用、检测、维修、改造和报废，应当符合国家标准或者行业标准。</w:t>
            </w:r>
          </w:p>
          <w:p>
            <w:pPr>
              <w:ind w:firstLine="420" w:firstLineChars="200"/>
              <w:rPr>
                <w:rFonts w:ascii="宋体" w:hAnsi="宋体"/>
                <w:szCs w:val="21"/>
                <w:highlight w:val="none"/>
              </w:rPr>
            </w:pPr>
            <w:r>
              <w:rPr>
                <w:rFonts w:hint="eastAsia" w:ascii="宋体" w:hAnsi="宋体"/>
                <w:szCs w:val="21"/>
                <w:highlight w:val="none"/>
              </w:rPr>
              <w:t>……</w:t>
            </w:r>
          </w:p>
          <w:p>
            <w:pPr>
              <w:ind w:firstLine="420" w:firstLineChars="200"/>
              <w:rPr>
                <w:rFonts w:ascii="宋体" w:hAnsi="宋体"/>
                <w:szCs w:val="21"/>
                <w:highlight w:val="none"/>
              </w:rPr>
            </w:pPr>
            <w:r>
              <w:rPr>
                <w:rFonts w:ascii="宋体" w:hAnsi="宋体"/>
                <w:szCs w:val="21"/>
                <w:highlight w:val="none"/>
              </w:rPr>
              <w:t>《金属非金属矿山安全规程》（GB 16423-2006）</w:t>
            </w:r>
          </w:p>
          <w:p>
            <w:pPr>
              <w:ind w:firstLine="420" w:firstLineChars="200"/>
              <w:rPr>
                <w:rFonts w:ascii="宋体" w:hAnsi="宋体"/>
                <w:szCs w:val="21"/>
              </w:rPr>
            </w:pPr>
            <w:r>
              <w:rPr>
                <w:rFonts w:ascii="宋体" w:hAnsi="宋体"/>
                <w:szCs w:val="21"/>
              </w:rPr>
              <w:t>6.6.4.1</w:t>
            </w:r>
            <w:r>
              <w:rPr>
                <w:rFonts w:hint="eastAsia" w:ascii="宋体" w:hAnsi="宋体"/>
                <w:szCs w:val="21"/>
              </w:rPr>
              <w:t xml:space="preserve">  井下主要排水设备，至少应由同类型的三台泵组成。工作水泵应能在20h内排出一昼夜的正常涌水量；除检修泵外，其他水泵应能在20h内排出一昼夜的最大涌水量。井筒内应装设两条相同的排水管，其中一条工作，一条备用。</w:t>
            </w:r>
          </w:p>
        </w:tc>
        <w:tc>
          <w:tcPr>
            <w:tcW w:w="3687" w:type="dxa"/>
            <w:vAlign w:val="center"/>
          </w:tcPr>
          <w:p>
            <w:pPr>
              <w:ind w:firstLine="420" w:firstLineChars="200"/>
              <w:rPr>
                <w:rFonts w:ascii="宋体" w:hAnsi="宋体"/>
                <w:szCs w:val="21"/>
              </w:rPr>
            </w:pPr>
            <w:r>
              <w:rPr>
                <w:rFonts w:ascii="宋体" w:hAnsi="宋体"/>
                <w:szCs w:val="21"/>
              </w:rPr>
              <w:t>《安全生产法》第九十六条</w:t>
            </w:r>
            <w:r>
              <w:rPr>
                <w:rFonts w:hint="eastAsia" w:ascii="宋体" w:hAnsi="宋体"/>
                <w:szCs w:val="21"/>
              </w:rPr>
              <w:t xml:space="preserve">  </w:t>
            </w:r>
            <w:r>
              <w:rPr>
                <w:rFonts w:ascii="宋体" w:hAnsi="宋体"/>
                <w:szCs w:val="21"/>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ind w:firstLine="420" w:firstLineChars="200"/>
              <w:rPr>
                <w:rFonts w:ascii="宋体" w:hAnsi="宋体"/>
                <w:szCs w:val="21"/>
              </w:rPr>
            </w:pPr>
            <w:r>
              <w:rPr>
                <w:rFonts w:hint="eastAsia" w:ascii="宋体" w:hAnsi="宋体"/>
                <w:szCs w:val="21"/>
              </w:rPr>
              <w:t>……</w:t>
            </w:r>
          </w:p>
          <w:p>
            <w:pPr>
              <w:ind w:firstLine="420" w:firstLineChars="200"/>
              <w:rPr>
                <w:rFonts w:ascii="宋体" w:hAnsi="宋体"/>
                <w:szCs w:val="21"/>
              </w:rPr>
            </w:pPr>
            <w:r>
              <w:rPr>
                <w:rFonts w:ascii="宋体" w:hAnsi="宋体"/>
                <w:szCs w:val="21"/>
              </w:rPr>
              <w:t>（二）安全设备的安装、使用、检测、改造和报废不符合国家标准或者行业标准的</w:t>
            </w:r>
            <w:r>
              <w:rPr>
                <w:rFonts w:hint="eastAsia" w:ascii="宋体" w:hAnsi="宋体"/>
                <w:szCs w:val="21"/>
              </w:rPr>
              <w:t>；</w:t>
            </w:r>
          </w:p>
          <w:p>
            <w:pPr>
              <w:ind w:firstLine="420" w:firstLineChars="200"/>
              <w:rPr>
                <w:rFonts w:ascii="宋体" w:hAnsi="宋体"/>
                <w:szCs w:val="21"/>
              </w:rPr>
            </w:pPr>
            <w:r>
              <w:rPr>
                <w:rFonts w:ascii="宋体" w:hAnsi="宋体"/>
                <w:szCs w:val="21"/>
              </w:rPr>
              <w:t>……</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rPr>
                <w:rFonts w:ascii="宋体" w:hAnsi="宋体"/>
                <w:szCs w:val="21"/>
              </w:rPr>
            </w:pPr>
          </w:p>
        </w:tc>
        <w:tc>
          <w:tcPr>
            <w:tcW w:w="1665" w:type="dxa"/>
            <w:vAlign w:val="center"/>
          </w:tcPr>
          <w:p>
            <w:pPr>
              <w:rPr>
                <w:rFonts w:ascii="宋体" w:hAnsi="宋体"/>
                <w:szCs w:val="21"/>
              </w:rPr>
            </w:pPr>
            <w:r>
              <w:rPr>
                <w:rFonts w:hint="eastAsia" w:ascii="思源黑体 CN" w:hAnsi="思源黑体 CN" w:eastAsia="思源黑体 CN" w:cs="思源黑体 CN"/>
                <w:szCs w:val="21"/>
              </w:rPr>
              <w:t>★</w:t>
            </w:r>
            <w:r>
              <w:rPr>
                <w:rFonts w:hint="eastAsia" w:ascii="宋体" w:hAnsi="宋体"/>
                <w:szCs w:val="21"/>
              </w:rPr>
              <w:t>8.7 防</w:t>
            </w:r>
            <w:r>
              <w:rPr>
                <w:rFonts w:ascii="宋体" w:hAnsi="宋体"/>
                <w:szCs w:val="21"/>
              </w:rPr>
              <w:t>水门</w:t>
            </w:r>
            <w:r>
              <w:rPr>
                <w:rFonts w:hint="eastAsia" w:ascii="宋体" w:hAnsi="宋体"/>
                <w:szCs w:val="21"/>
              </w:rPr>
              <w:t>设置与运行</w:t>
            </w:r>
          </w:p>
        </w:tc>
        <w:tc>
          <w:tcPr>
            <w:tcW w:w="5343" w:type="dxa"/>
            <w:vAlign w:val="center"/>
          </w:tcPr>
          <w:p>
            <w:pPr>
              <w:ind w:firstLine="420" w:firstLineChars="200"/>
              <w:rPr>
                <w:rFonts w:ascii="宋体" w:hAnsi="宋体"/>
                <w:szCs w:val="21"/>
              </w:rPr>
            </w:pPr>
            <w:r>
              <w:rPr>
                <w:rFonts w:hint="eastAsia" w:ascii="宋体" w:hAnsi="宋体"/>
                <w:szCs w:val="21"/>
              </w:rPr>
              <w:t>《安全生产法》第三十三条  安全设备的设计、制造、安装、使用、检测、维修、改造和报废，应当符合国家标准或者行业标准。</w:t>
            </w:r>
          </w:p>
          <w:p>
            <w:pPr>
              <w:ind w:firstLine="420" w:firstLineChars="200"/>
              <w:rPr>
                <w:rFonts w:ascii="宋体" w:hAnsi="宋体"/>
                <w:szCs w:val="21"/>
                <w:highlight w:val="none"/>
              </w:rPr>
            </w:pPr>
            <w:r>
              <w:rPr>
                <w:rFonts w:hint="eastAsia" w:ascii="宋体" w:hAnsi="宋体"/>
                <w:szCs w:val="21"/>
                <w:highlight w:val="none"/>
              </w:rPr>
              <w:t>……</w:t>
            </w:r>
          </w:p>
          <w:p>
            <w:pPr>
              <w:ind w:firstLine="420" w:firstLineChars="200"/>
              <w:rPr>
                <w:rFonts w:ascii="宋体" w:hAnsi="宋体"/>
                <w:szCs w:val="21"/>
                <w:highlight w:val="none"/>
              </w:rPr>
            </w:pPr>
            <w:r>
              <w:rPr>
                <w:rFonts w:hint="eastAsia" w:ascii="宋体" w:hAnsi="宋体"/>
                <w:szCs w:val="21"/>
                <w:highlight w:val="none"/>
              </w:rPr>
              <w:t>《金属非金属矿山安全规程》（GB 16423-2006）</w:t>
            </w:r>
          </w:p>
          <w:p>
            <w:pPr>
              <w:ind w:firstLine="420" w:firstLineChars="200"/>
              <w:rPr>
                <w:rFonts w:asciiTheme="minorEastAsia" w:hAnsiTheme="minorEastAsia" w:eastAsiaTheme="minorEastAsia"/>
                <w:szCs w:val="21"/>
              </w:rPr>
            </w:pPr>
            <w:r>
              <w:rPr>
                <w:rFonts w:hint="eastAsia" w:ascii="宋体" w:hAnsi="宋体"/>
                <w:szCs w:val="21"/>
              </w:rPr>
              <w:t xml:space="preserve">6.6.3.3  </w:t>
            </w:r>
            <w:r>
              <w:rPr>
                <w:rFonts w:hint="eastAsia" w:asciiTheme="minorEastAsia" w:hAnsiTheme="minorEastAsia" w:eastAsiaTheme="minorEastAsia"/>
                <w:szCs w:val="21"/>
              </w:rPr>
              <w:t>一般矿山的主要泵房，进口应装设防水门。</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水文地质条件复杂的矿山，应在关键巷道内设置防水门，防止泵房、中央变电所和竖井等井下关键设施被淹。防水门的位置、设防水头高度等应在矿山设计中总体考虑。</w:t>
            </w:r>
          </w:p>
          <w:p>
            <w:pPr>
              <w:ind w:firstLine="420"/>
              <w:rPr>
                <w:rFonts w:asciiTheme="minorEastAsia" w:hAnsiTheme="minorEastAsia" w:eastAsiaTheme="minorEastAsia"/>
                <w:szCs w:val="21"/>
              </w:rPr>
            </w:pPr>
            <w:r>
              <w:rPr>
                <w:rFonts w:asciiTheme="minorEastAsia" w:hAnsiTheme="minorEastAsia" w:eastAsiaTheme="minorEastAsia"/>
                <w:szCs w:val="21"/>
              </w:rPr>
              <w:t>同一矿区的水文条件复杂程度明显不同的，在通往强含水带、积水区和有大量突然涌水可能区域的巷道，以及专用的截水、放水巷道，也应设置防水门。</w:t>
            </w:r>
          </w:p>
          <w:p>
            <w:pPr>
              <w:ind w:firstLine="420" w:firstLineChars="200"/>
              <w:rPr>
                <w:rFonts w:ascii="宋体" w:hAnsi="宋体"/>
                <w:bCs/>
                <w:szCs w:val="21"/>
              </w:rPr>
            </w:pPr>
            <w:r>
              <w:rPr>
                <w:rFonts w:hint="eastAsia" w:ascii="宋体" w:hAnsi="宋体"/>
                <w:bCs/>
                <w:szCs w:val="21"/>
              </w:rPr>
              <w:t>《国家安全监管总局关于印发</w:t>
            </w:r>
            <w:r>
              <w:t>〈</w:t>
            </w:r>
            <w:r>
              <w:rPr>
                <w:rFonts w:hint="eastAsia" w:ascii="宋体" w:hAnsi="宋体"/>
                <w:bCs/>
                <w:szCs w:val="21"/>
              </w:rPr>
              <w:t>金属非金属矿山重大生产安全事故隐患判定标准（试行）</w:t>
            </w:r>
            <w:r>
              <w:t>〉</w:t>
            </w:r>
            <w:r>
              <w:rPr>
                <w:rFonts w:hint="eastAsia" w:ascii="宋体" w:hAnsi="宋体"/>
                <w:bCs/>
                <w:szCs w:val="21"/>
              </w:rPr>
              <w:t>的通知》(安监总管一〔2017〕98号)</w:t>
            </w:r>
          </w:p>
          <w:p>
            <w:pPr>
              <w:ind w:firstLine="405"/>
              <w:rPr>
                <w:rFonts w:ascii="宋体" w:hAnsi="宋体"/>
                <w:szCs w:val="21"/>
              </w:rPr>
            </w:pPr>
            <w:r>
              <w:rPr>
                <w:rFonts w:hint="eastAsia" w:ascii="宋体" w:hAnsi="宋体"/>
                <w:szCs w:val="21"/>
              </w:rPr>
              <w:t>一、</w:t>
            </w:r>
            <w:r>
              <w:rPr>
                <w:rFonts w:hint="eastAsia" w:ascii="宋体" w:hAnsi="宋体" w:cs="宋体"/>
                <w:bCs/>
                <w:kern w:val="0"/>
                <w:szCs w:val="21"/>
              </w:rPr>
              <w:t>金属非金属地下矿山重大生产安全事故隐患</w:t>
            </w:r>
          </w:p>
          <w:p>
            <w:pPr>
              <w:ind w:firstLine="405"/>
              <w:rPr>
                <w:rFonts w:asciiTheme="minorEastAsia" w:hAnsiTheme="minorEastAsia" w:eastAsiaTheme="minorEastAsia"/>
                <w:szCs w:val="21"/>
              </w:rPr>
            </w:pPr>
            <w:r>
              <w:rPr>
                <w:rFonts w:hint="eastAsia" w:ascii="宋体" w:hAnsi="宋体"/>
                <w:szCs w:val="21"/>
              </w:rPr>
              <w:t>（十）水文地质类型复杂的矿山关键巷道防水门设置与设计要求不符。</w:t>
            </w:r>
          </w:p>
        </w:tc>
        <w:tc>
          <w:tcPr>
            <w:tcW w:w="3687" w:type="dxa"/>
            <w:vAlign w:val="center"/>
          </w:tcPr>
          <w:p>
            <w:pPr>
              <w:ind w:firstLine="420" w:firstLineChars="200"/>
              <w:rPr>
                <w:rFonts w:ascii="宋体" w:hAnsi="宋体"/>
                <w:szCs w:val="21"/>
              </w:rPr>
            </w:pPr>
            <w:r>
              <w:rPr>
                <w:rFonts w:ascii="宋体" w:hAnsi="宋体"/>
                <w:szCs w:val="21"/>
              </w:rPr>
              <w:t>《安全生产法》第九十六条</w:t>
            </w:r>
            <w:r>
              <w:rPr>
                <w:rFonts w:hint="eastAsia" w:ascii="宋体" w:hAnsi="宋体"/>
                <w:szCs w:val="21"/>
              </w:rPr>
              <w:t xml:space="preserve">  </w:t>
            </w:r>
            <w:r>
              <w:rPr>
                <w:rFonts w:ascii="宋体" w:hAnsi="宋体"/>
                <w:szCs w:val="21"/>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ind w:firstLine="420" w:firstLineChars="200"/>
              <w:rPr>
                <w:rFonts w:ascii="宋体" w:hAnsi="宋体"/>
                <w:szCs w:val="21"/>
              </w:rPr>
            </w:pPr>
            <w:r>
              <w:rPr>
                <w:rFonts w:hint="eastAsia" w:ascii="宋体" w:hAnsi="宋体"/>
                <w:szCs w:val="21"/>
              </w:rPr>
              <w:t>……</w:t>
            </w:r>
          </w:p>
          <w:p>
            <w:pPr>
              <w:ind w:firstLine="420" w:firstLineChars="200"/>
              <w:rPr>
                <w:rFonts w:ascii="宋体" w:hAnsi="宋体"/>
                <w:szCs w:val="21"/>
              </w:rPr>
            </w:pPr>
            <w:r>
              <w:rPr>
                <w:rFonts w:ascii="宋体" w:hAnsi="宋体"/>
                <w:szCs w:val="21"/>
              </w:rPr>
              <w:t>（二）安全设备的安装、使用、检测、改造和报废不符合国家标准或者行业标准的</w:t>
            </w:r>
            <w:r>
              <w:rPr>
                <w:rFonts w:hint="eastAsia" w:ascii="宋体" w:hAnsi="宋体"/>
                <w:szCs w:val="21"/>
              </w:rPr>
              <w:t>；</w:t>
            </w:r>
          </w:p>
          <w:p>
            <w:pPr>
              <w:ind w:firstLine="420" w:firstLineChars="200"/>
              <w:rPr>
                <w:rFonts w:ascii="宋体" w:hAnsi="宋体"/>
                <w:szCs w:val="21"/>
              </w:rPr>
            </w:pPr>
            <w:r>
              <w:rPr>
                <w:rFonts w:ascii="宋体" w:hAnsi="宋体"/>
                <w:szCs w:val="21"/>
              </w:rPr>
              <w:t>……</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2" w:hRule="atLeast"/>
          <w:jc w:val="center"/>
        </w:trPr>
        <w:tc>
          <w:tcPr>
            <w:tcW w:w="816" w:type="dxa"/>
            <w:vAlign w:val="center"/>
          </w:tcPr>
          <w:p>
            <w:pPr>
              <w:widowControl/>
              <w:adjustRightInd w:val="0"/>
              <w:snapToGrid w:val="0"/>
              <w:jc w:val="center"/>
              <w:rPr>
                <w:rFonts w:ascii="宋体" w:hAnsi="宋体" w:cs="宋体"/>
                <w:kern w:val="0"/>
                <w:szCs w:val="21"/>
              </w:rPr>
            </w:pPr>
          </w:p>
        </w:tc>
        <w:tc>
          <w:tcPr>
            <w:tcW w:w="1497" w:type="dxa"/>
            <w:vAlign w:val="center"/>
          </w:tcPr>
          <w:p>
            <w:pPr>
              <w:rPr>
                <w:rFonts w:ascii="宋体" w:hAnsi="宋体"/>
                <w:szCs w:val="21"/>
              </w:rPr>
            </w:pPr>
          </w:p>
        </w:tc>
        <w:tc>
          <w:tcPr>
            <w:tcW w:w="1665" w:type="dxa"/>
            <w:vAlign w:val="center"/>
          </w:tcPr>
          <w:p>
            <w:pPr>
              <w:rPr>
                <w:rFonts w:ascii="宋体" w:hAnsi="宋体"/>
                <w:szCs w:val="21"/>
              </w:rPr>
            </w:pPr>
            <w:r>
              <w:rPr>
                <w:rFonts w:hint="eastAsia" w:ascii="思源黑体 CN" w:hAnsi="思源黑体 CN" w:eastAsia="思源黑体 CN" w:cs="思源黑体 CN"/>
                <w:szCs w:val="21"/>
              </w:rPr>
              <w:t>★</w:t>
            </w:r>
            <w:r>
              <w:rPr>
                <w:rFonts w:hint="eastAsia" w:ascii="宋体" w:hAnsi="宋体"/>
                <w:szCs w:val="21"/>
              </w:rPr>
              <w:t>8</w:t>
            </w:r>
            <w:r>
              <w:rPr>
                <w:rFonts w:ascii="宋体" w:hAnsi="宋体"/>
                <w:szCs w:val="21"/>
              </w:rPr>
              <w:t>.8</w:t>
            </w:r>
            <w:r>
              <w:rPr>
                <w:rFonts w:hint="eastAsia" w:ascii="宋体" w:hAnsi="宋体"/>
                <w:szCs w:val="21"/>
              </w:rPr>
              <w:t xml:space="preserve"> </w:t>
            </w:r>
            <w:r>
              <w:rPr>
                <w:rFonts w:ascii="宋体" w:hAnsi="宋体"/>
                <w:szCs w:val="21"/>
              </w:rPr>
              <w:t>受地表水倒灌威胁的矿井在强降雨天气或其来水上游发生洪水期间，</w:t>
            </w:r>
            <w:r>
              <w:rPr>
                <w:rFonts w:hint="eastAsia" w:ascii="宋体" w:hAnsi="宋体"/>
                <w:szCs w:val="21"/>
              </w:rPr>
              <w:t>应</w:t>
            </w:r>
            <w:r>
              <w:rPr>
                <w:rFonts w:ascii="宋体" w:hAnsi="宋体"/>
                <w:szCs w:val="21"/>
              </w:rPr>
              <w:t>实施停产撤人</w:t>
            </w:r>
          </w:p>
        </w:tc>
        <w:tc>
          <w:tcPr>
            <w:tcW w:w="5343" w:type="dxa"/>
            <w:vAlign w:val="center"/>
          </w:tcPr>
          <w:p>
            <w:pPr>
              <w:ind w:firstLine="420" w:firstLineChars="200"/>
              <w:rPr>
                <w:rFonts w:ascii="宋体" w:hAnsi="宋体"/>
                <w:szCs w:val="21"/>
              </w:rPr>
            </w:pPr>
            <w:r>
              <w:rPr>
                <w:rFonts w:ascii="宋体" w:hAnsi="宋体"/>
                <w:szCs w:val="21"/>
              </w:rPr>
              <w:t xml:space="preserve">《安全生产法》第三十八条  生产经营单位应当建立健全生产安全事故隐患排查治理制度，采取技术、管理措施，及时发现并消除事故隐患。事故隐患排查治理情况应当如实记录，并向从业人员通报。 </w:t>
            </w:r>
          </w:p>
          <w:p>
            <w:pPr>
              <w:ind w:firstLine="420" w:firstLineChars="200"/>
              <w:rPr>
                <w:rFonts w:ascii="宋体" w:hAnsi="宋体"/>
                <w:szCs w:val="21"/>
              </w:rPr>
            </w:pPr>
            <w:r>
              <w:rPr>
                <w:rFonts w:hint="eastAsia" w:ascii="宋体" w:hAnsi="宋体"/>
                <w:szCs w:val="21"/>
              </w:rPr>
              <w:t>……</w:t>
            </w:r>
          </w:p>
          <w:p>
            <w:pPr>
              <w:spacing w:line="240" w:lineRule="atLeast"/>
              <w:ind w:firstLine="420" w:firstLineChars="200"/>
              <w:rPr>
                <w:rFonts w:ascii="宋体" w:hAnsi="宋体"/>
                <w:bCs/>
                <w:szCs w:val="21"/>
              </w:rPr>
            </w:pPr>
            <w:r>
              <w:rPr>
                <w:rFonts w:hint="eastAsia" w:ascii="宋体" w:hAnsi="宋体"/>
                <w:bCs/>
                <w:szCs w:val="21"/>
              </w:rPr>
              <w:t>《国家安全监管总局关于印发〈金属非金属矿山重大生产安全事故隐患判定标准（试行）〉的通知》(安监总管一〔2017〕98号)</w:t>
            </w:r>
          </w:p>
          <w:p>
            <w:pPr>
              <w:spacing w:line="240" w:lineRule="atLeast"/>
              <w:ind w:firstLine="420" w:firstLineChars="200"/>
              <w:rPr>
                <w:rFonts w:ascii="宋体" w:hAnsi="宋体"/>
                <w:bCs/>
                <w:szCs w:val="21"/>
              </w:rPr>
            </w:pPr>
            <w:r>
              <w:rPr>
                <w:rFonts w:hint="eastAsia" w:ascii="宋体" w:hAnsi="宋体"/>
                <w:bCs/>
                <w:szCs w:val="21"/>
              </w:rPr>
              <w:t>一、</w:t>
            </w:r>
            <w:r>
              <w:rPr>
                <w:rFonts w:hint="eastAsia" w:ascii="宋体" w:hAnsi="宋体" w:cs="宋体"/>
                <w:bCs/>
                <w:kern w:val="0"/>
                <w:szCs w:val="21"/>
              </w:rPr>
              <w:t>金属非金属地下矿山重大生产安全事故隐患</w:t>
            </w:r>
          </w:p>
          <w:p>
            <w:pPr>
              <w:spacing w:line="240" w:lineRule="atLeast"/>
              <w:ind w:firstLine="420" w:firstLineChars="200"/>
              <w:rPr>
                <w:rFonts w:asciiTheme="minorEastAsia" w:hAnsiTheme="minorEastAsia" w:eastAsiaTheme="minorEastAsia"/>
                <w:szCs w:val="21"/>
              </w:rPr>
            </w:pPr>
            <w:r>
              <w:rPr>
                <w:rFonts w:hint="eastAsia" w:ascii="宋体" w:hAnsi="宋体"/>
                <w:bCs/>
                <w:szCs w:val="21"/>
              </w:rPr>
              <w:t>（十三）</w:t>
            </w:r>
            <w:r>
              <w:rPr>
                <w:rFonts w:ascii="宋体" w:hAnsi="宋体"/>
                <w:bCs/>
                <w:szCs w:val="21"/>
              </w:rPr>
              <w:t>受地表水倒灌威胁的矿井在强降雨天气或其来水上游发生洪水期间，不实施停产撤人</w:t>
            </w:r>
            <w:r>
              <w:rPr>
                <w:rFonts w:hint="eastAsia" w:ascii="宋体" w:hAnsi="宋体"/>
                <w:bCs/>
                <w:szCs w:val="21"/>
              </w:rPr>
              <w:t>。</w:t>
            </w:r>
          </w:p>
        </w:tc>
        <w:tc>
          <w:tcPr>
            <w:tcW w:w="3687" w:type="dxa"/>
            <w:vAlign w:val="center"/>
          </w:tcPr>
          <w:p>
            <w:pPr>
              <w:ind w:firstLine="420" w:firstLineChars="200"/>
              <w:rPr>
                <w:rFonts w:ascii="宋体" w:hAnsi="宋体"/>
                <w:szCs w:val="21"/>
              </w:rPr>
            </w:pPr>
            <w:r>
              <w:rPr>
                <w:rFonts w:asciiTheme="minorEastAsia" w:hAnsiTheme="minorEastAsia" w:eastAsiaTheme="minorEastAsia"/>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widowControl/>
              <w:adjustRightInd w:val="0"/>
              <w:snapToGrid w:val="0"/>
              <w:jc w:val="center"/>
              <w:rPr>
                <w:rFonts w:ascii="宋体" w:hAnsi="宋体" w:cs="宋体"/>
                <w:kern w:val="0"/>
                <w:szCs w:val="21"/>
              </w:rPr>
            </w:pPr>
          </w:p>
        </w:tc>
        <w:tc>
          <w:tcPr>
            <w:tcW w:w="1497" w:type="dxa"/>
            <w:vAlign w:val="center"/>
          </w:tcPr>
          <w:p>
            <w:pPr>
              <w:rPr>
                <w:rFonts w:ascii="宋体" w:hAnsi="宋体"/>
                <w:szCs w:val="21"/>
              </w:rPr>
            </w:pPr>
          </w:p>
        </w:tc>
        <w:tc>
          <w:tcPr>
            <w:tcW w:w="1665" w:type="dxa"/>
            <w:vAlign w:val="center"/>
          </w:tcPr>
          <w:p>
            <w:pPr>
              <w:rPr>
                <w:rFonts w:ascii="宋体" w:hAnsi="宋体"/>
                <w:szCs w:val="21"/>
              </w:rPr>
            </w:pPr>
            <w:r>
              <w:rPr>
                <w:rFonts w:hint="eastAsia" w:ascii="思源黑体 CN" w:hAnsi="思源黑体 CN" w:eastAsia="思源黑体 CN" w:cs="思源黑体 CN"/>
                <w:szCs w:val="21"/>
              </w:rPr>
              <w:t>★</w:t>
            </w:r>
            <w:r>
              <w:rPr>
                <w:rFonts w:hint="eastAsia" w:ascii="宋体" w:hAnsi="宋体"/>
                <w:szCs w:val="21"/>
              </w:rPr>
              <w:t>8</w:t>
            </w:r>
            <w:r>
              <w:rPr>
                <w:rFonts w:ascii="宋体" w:hAnsi="宋体"/>
                <w:szCs w:val="21"/>
              </w:rPr>
              <w:t>.9</w:t>
            </w:r>
            <w:r>
              <w:rPr>
                <w:rFonts w:hint="eastAsia" w:ascii="宋体" w:hAnsi="宋体"/>
                <w:szCs w:val="21"/>
              </w:rPr>
              <w:t xml:space="preserve"> </w:t>
            </w:r>
            <w:r>
              <w:rPr>
                <w:rFonts w:ascii="宋体" w:hAnsi="宋体"/>
                <w:szCs w:val="21"/>
              </w:rPr>
              <w:t>露天转地下开采，地表与井下形成贯通，</w:t>
            </w:r>
            <w:r>
              <w:rPr>
                <w:rFonts w:hint="eastAsia" w:ascii="宋体" w:hAnsi="宋体"/>
                <w:szCs w:val="21"/>
              </w:rPr>
              <w:t>应</w:t>
            </w:r>
            <w:r>
              <w:rPr>
                <w:rFonts w:ascii="宋体" w:hAnsi="宋体"/>
                <w:szCs w:val="21"/>
              </w:rPr>
              <w:t>按照设计要求采取相应措施</w:t>
            </w:r>
          </w:p>
        </w:tc>
        <w:tc>
          <w:tcPr>
            <w:tcW w:w="5343" w:type="dxa"/>
            <w:vAlign w:val="center"/>
          </w:tcPr>
          <w:p>
            <w:pPr>
              <w:ind w:firstLine="420" w:firstLineChars="200"/>
              <w:rPr>
                <w:rFonts w:ascii="宋体" w:hAnsi="宋体"/>
                <w:szCs w:val="21"/>
              </w:rPr>
            </w:pPr>
            <w:r>
              <w:rPr>
                <w:rFonts w:ascii="宋体" w:hAnsi="宋体"/>
                <w:szCs w:val="21"/>
              </w:rPr>
              <w:t>《安全生产法》第三十八条  生产经营单位应当建立健全生产安全事故隐患排查治理制度，采取技术、管理措施，及时发现并消除事故隐患。事故隐患排查治理情况应当如实记录，并向从业人员通报。</w:t>
            </w:r>
          </w:p>
          <w:p>
            <w:pPr>
              <w:ind w:firstLine="420" w:firstLineChars="200"/>
              <w:rPr>
                <w:rFonts w:ascii="宋体" w:hAnsi="宋体"/>
                <w:szCs w:val="21"/>
              </w:rPr>
            </w:pPr>
            <w:r>
              <w:rPr>
                <w:rFonts w:hint="eastAsia" w:ascii="宋体" w:hAnsi="宋体"/>
                <w:szCs w:val="21"/>
              </w:rPr>
              <w:t>……</w:t>
            </w:r>
          </w:p>
          <w:p>
            <w:pPr>
              <w:spacing w:line="240" w:lineRule="atLeast"/>
              <w:ind w:firstLine="420" w:firstLineChars="200"/>
              <w:rPr>
                <w:rFonts w:ascii="宋体" w:hAnsi="宋体"/>
                <w:bCs/>
                <w:szCs w:val="21"/>
              </w:rPr>
            </w:pPr>
            <w:r>
              <w:rPr>
                <w:rFonts w:hint="eastAsia" w:ascii="宋体" w:hAnsi="宋体"/>
                <w:bCs/>
                <w:szCs w:val="21"/>
              </w:rPr>
              <w:t>《国家安全监管总局关于印发〈金属非金属矿山重大生产安全事故隐患判定标准（试行）〉的通知》(安监总管一〔2017〕98号)</w:t>
            </w:r>
          </w:p>
          <w:p>
            <w:pPr>
              <w:spacing w:line="240" w:lineRule="atLeast"/>
              <w:ind w:firstLine="420" w:firstLineChars="200"/>
              <w:rPr>
                <w:rFonts w:ascii="宋体" w:hAnsi="宋体"/>
                <w:szCs w:val="21"/>
              </w:rPr>
            </w:pPr>
            <w:r>
              <w:rPr>
                <w:rFonts w:hint="eastAsia" w:ascii="宋体" w:hAnsi="宋体"/>
                <w:szCs w:val="21"/>
              </w:rPr>
              <w:t>一、</w:t>
            </w:r>
            <w:r>
              <w:rPr>
                <w:rFonts w:hint="eastAsia" w:ascii="宋体" w:hAnsi="宋体" w:cs="宋体"/>
                <w:bCs/>
                <w:kern w:val="0"/>
                <w:szCs w:val="21"/>
              </w:rPr>
              <w:t>金属非金属地下矿山重大生产安全事故隐患</w:t>
            </w:r>
          </w:p>
          <w:p>
            <w:pPr>
              <w:spacing w:line="240" w:lineRule="atLeast"/>
              <w:ind w:firstLine="420" w:firstLineChars="200"/>
              <w:rPr>
                <w:rFonts w:asciiTheme="minorEastAsia" w:hAnsiTheme="minorEastAsia" w:eastAsiaTheme="minorEastAsia"/>
                <w:szCs w:val="21"/>
              </w:rPr>
            </w:pPr>
            <w:r>
              <w:rPr>
                <w:rFonts w:hint="eastAsia" w:ascii="宋体" w:hAnsi="宋体"/>
                <w:szCs w:val="21"/>
              </w:rPr>
              <w:t>（五）</w:t>
            </w:r>
            <w:r>
              <w:rPr>
                <w:rFonts w:ascii="宋体" w:hAnsi="宋体"/>
                <w:szCs w:val="21"/>
              </w:rPr>
              <w:t>露天转地下开采，地表与井下形成贯通，未按照设计要求采取相应措施</w:t>
            </w:r>
            <w:r>
              <w:rPr>
                <w:rFonts w:hint="eastAsia" w:ascii="宋体" w:hAnsi="宋体"/>
                <w:bCs/>
                <w:szCs w:val="21"/>
              </w:rPr>
              <w:t>。</w:t>
            </w:r>
          </w:p>
        </w:tc>
        <w:tc>
          <w:tcPr>
            <w:tcW w:w="3687" w:type="dxa"/>
            <w:vAlign w:val="center"/>
          </w:tcPr>
          <w:p>
            <w:pPr>
              <w:ind w:firstLine="420" w:firstLineChars="200"/>
              <w:rPr>
                <w:rFonts w:ascii="宋体" w:hAnsi="宋体"/>
                <w:szCs w:val="21"/>
              </w:rPr>
            </w:pPr>
            <w:r>
              <w:rPr>
                <w:rFonts w:asciiTheme="minorEastAsia" w:hAnsiTheme="minorEastAsia" w:eastAsiaTheme="minorEastAsia"/>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99" w:hRule="atLeast"/>
          <w:jc w:val="center"/>
        </w:trPr>
        <w:tc>
          <w:tcPr>
            <w:tcW w:w="816" w:type="dxa"/>
            <w:vMerge w:val="restart"/>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9</w:t>
            </w:r>
          </w:p>
        </w:tc>
        <w:tc>
          <w:tcPr>
            <w:tcW w:w="1497" w:type="dxa"/>
            <w:vMerge w:val="restart"/>
            <w:vAlign w:val="center"/>
          </w:tcPr>
          <w:p>
            <w:pPr>
              <w:rPr>
                <w:rFonts w:ascii="宋体" w:hAnsi="宋体"/>
                <w:szCs w:val="21"/>
              </w:rPr>
            </w:pPr>
            <w:r>
              <w:rPr>
                <w:rFonts w:hint="eastAsia" w:asciiTheme="minorEastAsia" w:hAnsiTheme="minorEastAsia" w:eastAsiaTheme="minorEastAsia"/>
                <w:szCs w:val="21"/>
              </w:rPr>
              <w:t>供配电系统</w:t>
            </w:r>
          </w:p>
        </w:tc>
        <w:tc>
          <w:tcPr>
            <w:tcW w:w="1665" w:type="dxa"/>
            <w:vAlign w:val="center"/>
          </w:tcPr>
          <w:p>
            <w:pPr>
              <w:rPr>
                <w:rFonts w:asciiTheme="minorEastAsia" w:hAnsiTheme="minorEastAsia" w:eastAsiaTheme="minorEastAsia"/>
                <w:szCs w:val="21"/>
              </w:rPr>
            </w:pPr>
            <w:r>
              <w:rPr>
                <w:rFonts w:hint="eastAsia" w:ascii="思源黑体 CN" w:hAnsi="思源黑体 CN" w:eastAsia="思源黑体 CN" w:cs="思源黑体 CN"/>
                <w:szCs w:val="21"/>
              </w:rPr>
              <w:t>★</w:t>
            </w:r>
            <w:r>
              <w:rPr>
                <w:rFonts w:asciiTheme="minorEastAsia" w:hAnsiTheme="minorEastAsia" w:eastAsiaTheme="minorEastAsia"/>
                <w:szCs w:val="21"/>
              </w:rPr>
              <w:t xml:space="preserve">9.1 </w:t>
            </w:r>
            <w:r>
              <w:rPr>
                <w:rFonts w:hint="eastAsia" w:asciiTheme="minorEastAsia" w:hAnsiTheme="minorEastAsia" w:eastAsiaTheme="minorEastAsia"/>
                <w:szCs w:val="21"/>
              </w:rPr>
              <w:t>双回路供电</w:t>
            </w:r>
          </w:p>
        </w:tc>
        <w:tc>
          <w:tcPr>
            <w:tcW w:w="5343" w:type="dxa"/>
            <w:vAlign w:val="center"/>
          </w:tcPr>
          <w:p>
            <w:pPr>
              <w:ind w:firstLine="420" w:firstLineChars="200"/>
              <w:rPr>
                <w:rFonts w:ascii="宋体" w:hAnsi="宋体"/>
                <w:szCs w:val="21"/>
              </w:rPr>
            </w:pPr>
            <w:r>
              <w:rPr>
                <w:rFonts w:ascii="宋体" w:hAnsi="宋体"/>
                <w:szCs w:val="21"/>
              </w:rPr>
              <w:t xml:space="preserve">《安全生产法》第三十八条  生产经营单位应当建立健全生产安全事故隐患排查治理制度，采取技术、管理措施，及时发现并消除事故隐患。事故隐患排查治理情况应当如实记录，并向从业人员通报。 </w:t>
            </w:r>
          </w:p>
          <w:p>
            <w:pPr>
              <w:ind w:firstLine="420" w:firstLineChars="200"/>
              <w:rPr>
                <w:rFonts w:ascii="宋体" w:hAnsi="宋体"/>
                <w:szCs w:val="21"/>
              </w:rPr>
            </w:pPr>
            <w:r>
              <w:rPr>
                <w:rFonts w:hint="eastAsia" w:ascii="宋体" w:hAnsi="宋体"/>
                <w:szCs w:val="21"/>
              </w:rPr>
              <w:t>……</w:t>
            </w:r>
          </w:p>
          <w:p>
            <w:pPr>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rPr>
              <w:t>《金属非金属矿山安全规程</w:t>
            </w:r>
            <w:r>
              <w:rPr>
                <w:rFonts w:hint="eastAsia" w:asciiTheme="minorEastAsia" w:hAnsiTheme="minorEastAsia" w:eastAsiaTheme="minorEastAsia"/>
                <w:szCs w:val="21"/>
                <w:highlight w:val="none"/>
              </w:rPr>
              <w:t>》（GB 16423-2006）</w:t>
            </w:r>
            <w:r>
              <w:rPr>
                <w:rFonts w:asciiTheme="minorEastAsia" w:hAnsiTheme="minorEastAsia" w:eastAsiaTheme="minorEastAsia"/>
                <w:szCs w:val="21"/>
                <w:highlight w:val="none"/>
              </w:rPr>
              <w:t xml:space="preserve"> </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6.5.1.3</w:t>
            </w:r>
            <w:r>
              <w:rPr>
                <w:rFonts w:hint="eastAsia" w:asciiTheme="minorEastAsia" w:hAnsiTheme="minorEastAsia" w:eastAsiaTheme="minorEastAsia"/>
                <w:szCs w:val="21"/>
              </w:rPr>
              <w:t xml:space="preserve">  </w:t>
            </w:r>
            <w:r>
              <w:rPr>
                <w:rFonts w:asciiTheme="minorEastAsia" w:hAnsiTheme="minorEastAsia" w:eastAsiaTheme="minorEastAsia"/>
                <w:szCs w:val="21"/>
              </w:rPr>
              <w:t>由地面到井下中央变电所或主排水泵房的电源电缆，至少应敷设两条独立线路，并应引自地面主变电所的不同母线段。其中任何一条线路停止供电时，其余线路的供电能力应能担负全部负荷。无淹没危险的小型矿山，可不受此限。</w:t>
            </w:r>
          </w:p>
          <w:p>
            <w:pPr>
              <w:spacing w:line="240" w:lineRule="atLeast"/>
              <w:ind w:firstLine="420" w:firstLineChars="200"/>
              <w:rPr>
                <w:rFonts w:ascii="宋体" w:hAnsi="宋体"/>
                <w:bCs/>
                <w:szCs w:val="21"/>
              </w:rPr>
            </w:pPr>
            <w:r>
              <w:rPr>
                <w:rFonts w:hint="eastAsia" w:ascii="宋体" w:hAnsi="宋体"/>
                <w:bCs/>
                <w:szCs w:val="21"/>
              </w:rPr>
              <w:t>《国家安全监管总局关于印发〈金属非金属矿山重大生产安全事故隐患判定标准（试行）〉的通知》(安监总管一〔2017〕98号)</w:t>
            </w:r>
          </w:p>
          <w:p>
            <w:pPr>
              <w:ind w:firstLine="420" w:firstLineChars="200"/>
              <w:rPr>
                <w:rFonts w:ascii="宋体" w:hAnsi="宋体"/>
                <w:szCs w:val="21"/>
              </w:rPr>
            </w:pPr>
            <w:r>
              <w:rPr>
                <w:rFonts w:hint="eastAsia" w:ascii="宋体" w:hAnsi="宋体"/>
                <w:szCs w:val="21"/>
              </w:rPr>
              <w:t>一、</w:t>
            </w:r>
            <w:r>
              <w:rPr>
                <w:rFonts w:hint="eastAsia" w:ascii="宋体" w:hAnsi="宋体" w:cs="宋体"/>
                <w:bCs/>
                <w:kern w:val="0"/>
                <w:szCs w:val="21"/>
              </w:rPr>
              <w:t>金属非金属地下矿山重大生产安全事故隐患</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（二十三）一级负荷没有采用双回路或双电源供电，或单一电源不能满足全部一级负荷需要。</w:t>
            </w:r>
          </w:p>
        </w:tc>
        <w:tc>
          <w:tcPr>
            <w:tcW w:w="3687" w:type="dxa"/>
            <w:vAlign w:val="center"/>
          </w:tcPr>
          <w:p>
            <w:pPr>
              <w:spacing w:line="240" w:lineRule="atLeast"/>
              <w:ind w:firstLine="420" w:firstLineChars="200"/>
              <w:rPr>
                <w:rFonts w:asciiTheme="minorEastAsia" w:hAnsiTheme="minorEastAsia" w:eastAsiaTheme="minorEastAsia"/>
                <w:szCs w:val="21"/>
              </w:rPr>
            </w:pPr>
            <w:r>
              <w:rPr>
                <w:rFonts w:asciiTheme="minorEastAsia" w:hAnsiTheme="minorEastAsia" w:eastAsiaTheme="minorEastAsia"/>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90"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keepNext/>
              <w:keepLines/>
              <w:spacing w:before="260" w:after="260" w:line="416" w:lineRule="auto"/>
              <w:rPr>
                <w:rFonts w:asciiTheme="minorEastAsia" w:hAnsiTheme="minorEastAsia" w:eastAsiaTheme="minorEastAsia"/>
                <w:szCs w:val="21"/>
              </w:rPr>
            </w:pPr>
          </w:p>
        </w:tc>
        <w:tc>
          <w:tcPr>
            <w:tcW w:w="1665" w:type="dxa"/>
            <w:vAlign w:val="center"/>
          </w:tcPr>
          <w:p>
            <w:pPr>
              <w:rPr>
                <w:rFonts w:asciiTheme="minorEastAsia" w:hAnsiTheme="minorEastAsia" w:eastAsiaTheme="minorEastAsia"/>
                <w:szCs w:val="21"/>
              </w:rPr>
            </w:pPr>
            <w:r>
              <w:rPr>
                <w:rFonts w:hint="eastAsia" w:ascii="思源黑体 CN" w:hAnsi="思源黑体 CN" w:eastAsia="思源黑体 CN" w:cs="思源黑体 CN"/>
                <w:szCs w:val="21"/>
              </w:rPr>
              <w:t>★</w:t>
            </w:r>
            <w:r>
              <w:rPr>
                <w:rFonts w:asciiTheme="minorEastAsia" w:hAnsiTheme="minorEastAsia" w:eastAsiaTheme="minorEastAsia"/>
                <w:szCs w:val="21"/>
              </w:rPr>
              <w:t xml:space="preserve">9.2 </w:t>
            </w:r>
            <w:r>
              <w:rPr>
                <w:rFonts w:hint="eastAsia" w:asciiTheme="minorEastAsia" w:hAnsiTheme="minorEastAsia" w:eastAsiaTheme="minorEastAsia"/>
                <w:szCs w:val="21"/>
              </w:rPr>
              <w:t>中性点接地</w:t>
            </w:r>
          </w:p>
        </w:tc>
        <w:tc>
          <w:tcPr>
            <w:tcW w:w="5343" w:type="dxa"/>
            <w:vAlign w:val="center"/>
          </w:tcPr>
          <w:p>
            <w:pPr>
              <w:ind w:firstLine="420" w:firstLineChars="200"/>
              <w:rPr>
                <w:rFonts w:ascii="宋体" w:hAnsi="宋体"/>
                <w:szCs w:val="21"/>
              </w:rPr>
            </w:pPr>
            <w:r>
              <w:rPr>
                <w:rFonts w:ascii="宋体" w:hAnsi="宋体"/>
                <w:szCs w:val="21"/>
              </w:rPr>
              <w:t>《安全生产法》第三十八条  生产经营单位应当建立健全生产安全事故隐患排查治理制度，采取技术、管理措施，及时发现并消除事故隐患。事故隐患排查治理情况应当如实记录，并向从业人员通报。</w:t>
            </w:r>
          </w:p>
          <w:p>
            <w:pPr>
              <w:ind w:firstLine="420" w:firstLineChars="200"/>
              <w:rPr>
                <w:rFonts w:ascii="宋体" w:hAnsi="宋体"/>
                <w:szCs w:val="21"/>
              </w:rPr>
            </w:pPr>
            <w:r>
              <w:rPr>
                <w:rFonts w:hint="eastAsia" w:ascii="宋体" w:hAnsi="宋体"/>
                <w:szCs w:val="21"/>
              </w:rPr>
              <w:t>……</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《金属非金属矿山安全规程》</w:t>
            </w:r>
            <w:r>
              <w:rPr>
                <w:rFonts w:hint="eastAsia" w:asciiTheme="minorEastAsia" w:hAnsiTheme="minorEastAsia" w:eastAsiaTheme="minorEastAsia"/>
                <w:szCs w:val="21"/>
                <w:highlight w:val="none"/>
              </w:rPr>
              <w:t>（GB 16423-2006）</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6.5.1.4井下电气设备不应接零。井下应采用矿用变压器，若用普通变压器，其中性点不应直接接地，变压器二次侧的中性点不应引出载流中性线(N线)。地面中性点直接接地的变压器或发电机，不应用于向井下供电。</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w:t>
            </w:r>
          </w:p>
          <w:p>
            <w:pPr>
              <w:spacing w:line="240" w:lineRule="atLeast"/>
              <w:ind w:firstLine="420" w:firstLineChars="200"/>
              <w:rPr>
                <w:rFonts w:ascii="宋体" w:hAnsi="宋体"/>
                <w:bCs/>
                <w:szCs w:val="21"/>
              </w:rPr>
            </w:pPr>
            <w:r>
              <w:rPr>
                <w:rFonts w:hint="eastAsia" w:ascii="宋体" w:hAnsi="宋体"/>
                <w:bCs/>
                <w:szCs w:val="21"/>
              </w:rPr>
              <w:t>《国家安全监管总局关于印发〈金属非金属矿山重大生产安全事故隐患判定标准（试行）〉的通知》(安监总管一〔2017〕98号)</w:t>
            </w:r>
          </w:p>
          <w:p>
            <w:pPr>
              <w:ind w:firstLine="420" w:firstLineChars="200"/>
              <w:rPr>
                <w:rFonts w:ascii="宋体" w:hAnsi="宋体"/>
                <w:szCs w:val="21"/>
              </w:rPr>
            </w:pPr>
            <w:r>
              <w:rPr>
                <w:rFonts w:hint="eastAsia" w:ascii="宋体" w:hAnsi="宋体"/>
                <w:szCs w:val="21"/>
              </w:rPr>
              <w:t>一、</w:t>
            </w:r>
            <w:r>
              <w:rPr>
                <w:rFonts w:hint="eastAsia" w:ascii="宋体" w:hAnsi="宋体" w:cs="宋体"/>
                <w:bCs/>
                <w:kern w:val="0"/>
                <w:szCs w:val="21"/>
              </w:rPr>
              <w:t>金属非金属地下矿山重大生产安全事故隐患</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（二十四）地面向井下供电的变压器或井下使用的普通变压器采用中性接地。</w:t>
            </w:r>
          </w:p>
        </w:tc>
        <w:tc>
          <w:tcPr>
            <w:tcW w:w="3687" w:type="dxa"/>
            <w:vAlign w:val="center"/>
          </w:tcPr>
          <w:p>
            <w:pPr>
              <w:ind w:firstLine="420" w:firstLineChars="200"/>
              <w:rPr>
                <w:rFonts w:asciiTheme="minorEastAsia" w:hAnsiTheme="minorEastAsia" w:eastAsiaTheme="minorEastAsia"/>
                <w:szCs w:val="21"/>
              </w:rPr>
            </w:pPr>
            <w:r>
              <w:rPr>
                <w:rFonts w:asciiTheme="minorEastAsia" w:hAnsiTheme="minorEastAsia" w:eastAsiaTheme="minorEastAsia"/>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27" w:hRule="atLeast"/>
          <w:jc w:val="center"/>
        </w:trPr>
        <w:tc>
          <w:tcPr>
            <w:tcW w:w="816" w:type="dxa"/>
            <w:vMerge w:val="restart"/>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10</w:t>
            </w:r>
          </w:p>
        </w:tc>
        <w:tc>
          <w:tcPr>
            <w:tcW w:w="1497" w:type="dxa"/>
            <w:vMerge w:val="restart"/>
            <w:vAlign w:val="center"/>
          </w:tcPr>
          <w:p>
            <w:pPr>
              <w:rPr>
                <w:rFonts w:asciiTheme="minorEastAsia" w:hAnsiTheme="minorEastAsia" w:eastAsiaTheme="minorEastAsia"/>
                <w:szCs w:val="21"/>
                <w:highlight w:val="yellow"/>
              </w:rPr>
            </w:pPr>
            <w:r>
              <w:rPr>
                <w:rFonts w:hint="eastAsia" w:asciiTheme="minorEastAsia" w:hAnsiTheme="minorEastAsia" w:eastAsiaTheme="minorEastAsia"/>
                <w:szCs w:val="21"/>
                <w:highlight w:val="none"/>
              </w:rPr>
              <w:t>地表错动区域管理</w:t>
            </w:r>
          </w:p>
        </w:tc>
        <w:tc>
          <w:tcPr>
            <w:tcW w:w="1665" w:type="dxa"/>
            <w:vAlign w:val="center"/>
          </w:tcPr>
          <w:p>
            <w:pPr>
              <w:rPr>
                <w:rFonts w:asciiTheme="minorEastAsia" w:hAnsiTheme="minorEastAsia" w:eastAsiaTheme="minorEastAsia"/>
                <w:szCs w:val="21"/>
              </w:rPr>
            </w:pPr>
            <w:r>
              <w:rPr>
                <w:rFonts w:hint="eastAsia" w:ascii="思源黑体 CN" w:hAnsi="思源黑体 CN" w:eastAsia="思源黑体 CN" w:cs="思源黑体 CN"/>
                <w:szCs w:val="21"/>
              </w:rPr>
              <w:t>★</w:t>
            </w:r>
            <w:r>
              <w:rPr>
                <w:rFonts w:hint="eastAsia" w:asciiTheme="minorEastAsia" w:hAnsiTheme="minorEastAsia" w:eastAsiaTheme="minorEastAsia"/>
                <w:szCs w:val="21"/>
              </w:rPr>
              <w:t>1</w:t>
            </w:r>
            <w:r>
              <w:rPr>
                <w:rFonts w:asciiTheme="minorEastAsia" w:hAnsiTheme="minorEastAsia" w:eastAsiaTheme="minorEastAsia"/>
                <w:szCs w:val="21"/>
              </w:rPr>
              <w:t>0.1</w:t>
            </w:r>
            <w:r>
              <w:rPr>
                <w:rFonts w:hint="eastAsia" w:asciiTheme="minorEastAsia" w:hAnsiTheme="minorEastAsia" w:eastAsiaTheme="minorEastAsia"/>
                <w:szCs w:val="21"/>
              </w:rPr>
              <w:t xml:space="preserve"> </w:t>
            </w:r>
            <w:r>
              <w:rPr>
                <w:rFonts w:asciiTheme="minorEastAsia" w:hAnsiTheme="minorEastAsia" w:eastAsiaTheme="minorEastAsia"/>
                <w:szCs w:val="21"/>
              </w:rPr>
              <w:t>相邻矿山开采错动线重叠，</w:t>
            </w:r>
            <w:r>
              <w:rPr>
                <w:rFonts w:hint="eastAsia" w:asciiTheme="minorEastAsia" w:hAnsiTheme="minorEastAsia" w:eastAsiaTheme="minorEastAsia"/>
                <w:szCs w:val="21"/>
              </w:rPr>
              <w:t>应</w:t>
            </w:r>
            <w:r>
              <w:rPr>
                <w:rFonts w:asciiTheme="minorEastAsia" w:hAnsiTheme="minorEastAsia" w:eastAsiaTheme="minorEastAsia"/>
                <w:szCs w:val="21"/>
              </w:rPr>
              <w:t>按照设计要求采取相应措施</w:t>
            </w:r>
          </w:p>
        </w:tc>
        <w:tc>
          <w:tcPr>
            <w:tcW w:w="5343" w:type="dxa"/>
            <w:vAlign w:val="center"/>
          </w:tcPr>
          <w:p>
            <w:pPr>
              <w:ind w:firstLine="420" w:firstLineChars="200"/>
              <w:rPr>
                <w:rFonts w:ascii="宋体" w:hAnsi="宋体"/>
                <w:szCs w:val="21"/>
              </w:rPr>
            </w:pPr>
            <w:r>
              <w:rPr>
                <w:rFonts w:ascii="宋体" w:hAnsi="宋体"/>
                <w:szCs w:val="21"/>
              </w:rPr>
              <w:t xml:space="preserve">《安全生产法》第三十八条  生产经营单位应当建立健全生产安全事故隐患排查治理制度，采取技术、管理措施，及时发现并消除事故隐患。事故隐患排查治理情况应当如实记录，并向从业人员通报。 </w:t>
            </w:r>
          </w:p>
          <w:p>
            <w:pPr>
              <w:ind w:firstLine="420" w:firstLineChars="200"/>
              <w:rPr>
                <w:rFonts w:ascii="宋体" w:hAnsi="宋体"/>
                <w:szCs w:val="21"/>
              </w:rPr>
            </w:pPr>
            <w:r>
              <w:rPr>
                <w:rFonts w:hint="eastAsia" w:ascii="宋体" w:hAnsi="宋体"/>
                <w:szCs w:val="21"/>
              </w:rPr>
              <w:t>……</w:t>
            </w:r>
          </w:p>
          <w:p>
            <w:pPr>
              <w:spacing w:line="240" w:lineRule="atLeast"/>
              <w:ind w:firstLine="420" w:firstLineChars="200"/>
              <w:rPr>
                <w:rFonts w:ascii="宋体" w:hAnsi="宋体"/>
                <w:bCs/>
                <w:szCs w:val="21"/>
              </w:rPr>
            </w:pPr>
            <w:r>
              <w:rPr>
                <w:rFonts w:hint="eastAsia" w:ascii="宋体" w:hAnsi="宋体"/>
                <w:bCs/>
                <w:szCs w:val="21"/>
              </w:rPr>
              <w:t>《国家安全监管总局关于印发〈金属非金属矿山重大生产安全事故隐患判定标准（试行）〉的通知》(安监总管一〔2017〕98号)</w:t>
            </w:r>
          </w:p>
          <w:p>
            <w:pPr>
              <w:spacing w:line="240" w:lineRule="atLeast"/>
              <w:ind w:firstLine="420" w:firstLineChars="200"/>
              <w:rPr>
                <w:rFonts w:ascii="宋体" w:hAnsi="宋体"/>
                <w:szCs w:val="21"/>
              </w:rPr>
            </w:pPr>
            <w:r>
              <w:rPr>
                <w:rFonts w:hint="eastAsia" w:ascii="宋体" w:hAnsi="宋体"/>
                <w:szCs w:val="21"/>
              </w:rPr>
              <w:t>一、</w:t>
            </w:r>
            <w:r>
              <w:rPr>
                <w:rFonts w:hint="eastAsia" w:ascii="宋体" w:hAnsi="宋体" w:cs="宋体"/>
                <w:bCs/>
                <w:kern w:val="0"/>
                <w:szCs w:val="21"/>
              </w:rPr>
              <w:t>金属非金属地下矿山重大生产安全事故隐患</w:t>
            </w:r>
          </w:p>
          <w:p>
            <w:pPr>
              <w:spacing w:line="240" w:lineRule="atLeast"/>
              <w:ind w:firstLine="420" w:firstLineChars="200"/>
              <w:rPr>
                <w:rFonts w:asciiTheme="minorEastAsia" w:hAnsiTheme="minorEastAsia" w:eastAsiaTheme="minorEastAsia"/>
                <w:szCs w:val="21"/>
              </w:rPr>
            </w:pPr>
            <w:r>
              <w:rPr>
                <w:rFonts w:hint="eastAsia" w:ascii="宋体" w:hAnsi="宋体"/>
                <w:szCs w:val="21"/>
              </w:rPr>
              <w:t>（十四）</w:t>
            </w:r>
            <w:r>
              <w:rPr>
                <w:rFonts w:ascii="宋体" w:hAnsi="宋体"/>
                <w:szCs w:val="21"/>
              </w:rPr>
              <w:t>相邻矿山开采错动线重叠，未按照设计要求采取相应措施</w:t>
            </w:r>
            <w:r>
              <w:rPr>
                <w:rFonts w:hint="eastAsia" w:ascii="宋体" w:hAnsi="宋体"/>
                <w:bCs/>
                <w:szCs w:val="21"/>
              </w:rPr>
              <w:t>。</w:t>
            </w:r>
          </w:p>
        </w:tc>
        <w:tc>
          <w:tcPr>
            <w:tcW w:w="3687" w:type="dxa"/>
            <w:vAlign w:val="center"/>
          </w:tcPr>
          <w:p>
            <w:pPr>
              <w:ind w:firstLine="420" w:firstLineChars="200"/>
              <w:rPr>
                <w:rFonts w:asciiTheme="minorEastAsia" w:hAnsiTheme="minorEastAsia" w:eastAsiaTheme="minorEastAsia"/>
                <w:szCs w:val="21"/>
              </w:rPr>
            </w:pPr>
            <w:r>
              <w:rPr>
                <w:rFonts w:asciiTheme="minorEastAsia" w:hAnsiTheme="minorEastAsia" w:eastAsiaTheme="minorEastAsia"/>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27"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497" w:type="dxa"/>
            <w:vMerge w:val="continue"/>
            <w:vAlign w:val="center"/>
          </w:tcPr>
          <w:p>
            <w:pPr>
              <w:keepNext/>
              <w:keepLines/>
              <w:spacing w:before="260" w:after="260" w:line="416" w:lineRule="auto"/>
              <w:rPr>
                <w:rFonts w:asciiTheme="minorEastAsia" w:hAnsiTheme="minorEastAsia" w:eastAsiaTheme="minorEastAsia"/>
                <w:szCs w:val="21"/>
              </w:rPr>
            </w:pPr>
          </w:p>
        </w:tc>
        <w:tc>
          <w:tcPr>
            <w:tcW w:w="1665" w:type="dxa"/>
            <w:vAlign w:val="center"/>
          </w:tcPr>
          <w:p>
            <w:pPr>
              <w:rPr>
                <w:rFonts w:asciiTheme="minorEastAsia" w:hAnsiTheme="minorEastAsia" w:eastAsiaTheme="minorEastAsia"/>
                <w:szCs w:val="21"/>
              </w:rPr>
            </w:pPr>
            <w:r>
              <w:rPr>
                <w:rFonts w:hint="eastAsia" w:ascii="思源黑体 CN" w:hAnsi="思源黑体 CN" w:eastAsia="思源黑体 CN" w:cs="思源黑体 CN"/>
                <w:szCs w:val="21"/>
              </w:rPr>
              <w:t>★</w:t>
            </w:r>
            <w:r>
              <w:rPr>
                <w:rFonts w:hint="eastAsia" w:asciiTheme="minorEastAsia" w:hAnsiTheme="minorEastAsia" w:eastAsiaTheme="minorEastAsia"/>
                <w:szCs w:val="21"/>
              </w:rPr>
              <w:t>1</w:t>
            </w:r>
            <w:r>
              <w:rPr>
                <w:rFonts w:asciiTheme="minorEastAsia" w:hAnsiTheme="minorEastAsia" w:eastAsiaTheme="minorEastAsia"/>
                <w:szCs w:val="21"/>
              </w:rPr>
              <w:t>0.2</w:t>
            </w:r>
            <w:r>
              <w:rPr>
                <w:rFonts w:hint="eastAsia" w:asciiTheme="minorEastAsia" w:hAnsiTheme="minorEastAsia" w:eastAsiaTheme="minorEastAsia"/>
                <w:szCs w:val="21"/>
              </w:rPr>
              <w:t xml:space="preserve"> </w:t>
            </w:r>
            <w:r>
              <w:rPr>
                <w:rFonts w:asciiTheme="minorEastAsia" w:hAnsiTheme="minorEastAsia" w:eastAsiaTheme="minorEastAsia"/>
                <w:szCs w:val="21"/>
              </w:rPr>
              <w:t>开采错动线以内</w:t>
            </w:r>
            <w:r>
              <w:rPr>
                <w:rFonts w:hint="eastAsia" w:asciiTheme="minorEastAsia" w:hAnsiTheme="minorEastAsia" w:eastAsiaTheme="minorEastAsia"/>
                <w:szCs w:val="21"/>
              </w:rPr>
              <w:t>应避开</w:t>
            </w:r>
            <w:r>
              <w:rPr>
                <w:rFonts w:asciiTheme="minorEastAsia" w:hAnsiTheme="minorEastAsia" w:eastAsiaTheme="minorEastAsia"/>
                <w:szCs w:val="21"/>
              </w:rPr>
              <w:t>居民村庄</w:t>
            </w:r>
            <w:r>
              <w:rPr>
                <w:rFonts w:hint="eastAsia" w:asciiTheme="minorEastAsia" w:hAnsiTheme="minorEastAsia" w:eastAsiaTheme="minorEastAsia"/>
                <w:szCs w:val="21"/>
              </w:rPr>
              <w:t>；</w:t>
            </w:r>
            <w:r>
              <w:rPr>
                <w:rFonts w:asciiTheme="minorEastAsia" w:hAnsiTheme="minorEastAsia" w:eastAsiaTheme="minorEastAsia"/>
                <w:szCs w:val="21"/>
              </w:rPr>
              <w:t>存在重要设备设施时</w:t>
            </w:r>
            <w:r>
              <w:rPr>
                <w:rFonts w:hint="eastAsia" w:asciiTheme="minorEastAsia" w:hAnsiTheme="minorEastAsia" w:eastAsiaTheme="minorEastAsia"/>
                <w:szCs w:val="21"/>
              </w:rPr>
              <w:t>应</w:t>
            </w:r>
            <w:r>
              <w:rPr>
                <w:rFonts w:asciiTheme="minorEastAsia" w:hAnsiTheme="minorEastAsia" w:eastAsiaTheme="minorEastAsia"/>
                <w:szCs w:val="21"/>
              </w:rPr>
              <w:t>按照设计要求采取相应措施</w:t>
            </w:r>
          </w:p>
        </w:tc>
        <w:tc>
          <w:tcPr>
            <w:tcW w:w="5343" w:type="dxa"/>
            <w:vAlign w:val="center"/>
          </w:tcPr>
          <w:p>
            <w:pPr>
              <w:ind w:firstLine="420" w:firstLineChars="200"/>
              <w:rPr>
                <w:rFonts w:ascii="宋体" w:hAnsi="宋体"/>
                <w:szCs w:val="21"/>
              </w:rPr>
            </w:pPr>
            <w:r>
              <w:rPr>
                <w:rFonts w:ascii="宋体" w:hAnsi="宋体"/>
                <w:szCs w:val="21"/>
              </w:rPr>
              <w:t xml:space="preserve">《安全生产法》第三十八条  生产经营单位应当建立健全生产安全事故隐患排查治理制度，采取技术、管理措施，及时发现并消除事故隐患。事故隐患排查治理情况应当如实记录，并向从业人员通报。 </w:t>
            </w:r>
          </w:p>
          <w:p>
            <w:pPr>
              <w:ind w:firstLine="420" w:firstLineChars="200"/>
              <w:rPr>
                <w:rFonts w:ascii="宋体" w:hAnsi="宋体"/>
                <w:szCs w:val="21"/>
              </w:rPr>
            </w:pPr>
            <w:r>
              <w:rPr>
                <w:rFonts w:hint="eastAsia" w:ascii="宋体" w:hAnsi="宋体"/>
                <w:szCs w:val="21"/>
              </w:rPr>
              <w:t>……</w:t>
            </w:r>
          </w:p>
          <w:p>
            <w:pPr>
              <w:spacing w:line="240" w:lineRule="atLeast"/>
              <w:ind w:firstLine="420" w:firstLineChars="200"/>
              <w:rPr>
                <w:rFonts w:ascii="宋体" w:hAnsi="宋体"/>
                <w:bCs/>
                <w:szCs w:val="21"/>
              </w:rPr>
            </w:pPr>
            <w:r>
              <w:rPr>
                <w:rFonts w:hint="eastAsia" w:ascii="宋体" w:hAnsi="宋体"/>
                <w:bCs/>
                <w:szCs w:val="21"/>
              </w:rPr>
              <w:t>《国家安全监管总局关于印发〈金属非金属矿山重大生产安全事故隐患判定标准（试行）〉的通知》(安监总管一〔2017〕98号)</w:t>
            </w:r>
          </w:p>
          <w:p>
            <w:pPr>
              <w:spacing w:line="240" w:lineRule="atLeast"/>
              <w:ind w:firstLine="420" w:firstLineChars="200"/>
              <w:rPr>
                <w:rFonts w:ascii="宋体" w:hAnsi="宋体"/>
                <w:szCs w:val="21"/>
              </w:rPr>
            </w:pPr>
            <w:r>
              <w:rPr>
                <w:rFonts w:hint="eastAsia" w:ascii="宋体" w:hAnsi="宋体"/>
                <w:szCs w:val="21"/>
              </w:rPr>
              <w:t>一、</w:t>
            </w:r>
            <w:r>
              <w:rPr>
                <w:rFonts w:hint="eastAsia" w:ascii="宋体" w:hAnsi="宋体" w:cs="宋体"/>
                <w:bCs/>
                <w:kern w:val="0"/>
                <w:szCs w:val="21"/>
              </w:rPr>
              <w:t>金属非金属地下矿山重大生产安全事故隐患</w:t>
            </w:r>
          </w:p>
          <w:p>
            <w:pPr>
              <w:spacing w:line="240" w:lineRule="atLeast"/>
              <w:ind w:firstLine="420" w:firstLineChars="200"/>
              <w:rPr>
                <w:rFonts w:asciiTheme="minorEastAsia" w:hAnsiTheme="minorEastAsia" w:eastAsiaTheme="minorEastAsia"/>
                <w:szCs w:val="21"/>
              </w:rPr>
            </w:pPr>
            <w:r>
              <w:rPr>
                <w:rFonts w:hint="eastAsia" w:ascii="宋体" w:hAnsi="宋体"/>
                <w:szCs w:val="21"/>
              </w:rPr>
              <w:t>（十五）</w:t>
            </w:r>
            <w:r>
              <w:rPr>
                <w:rFonts w:asciiTheme="minorEastAsia" w:hAnsiTheme="minorEastAsia" w:eastAsiaTheme="minorEastAsia"/>
                <w:szCs w:val="21"/>
              </w:rPr>
              <w:t>开采错动线以内存在居民村庄，或者存在重要设备设施时未按照设计要求采取相应措施</w:t>
            </w:r>
            <w:r>
              <w:rPr>
                <w:rFonts w:hint="eastAsia" w:ascii="宋体" w:hAnsi="宋体"/>
                <w:bCs/>
                <w:szCs w:val="21"/>
              </w:rPr>
              <w:t>。</w:t>
            </w:r>
          </w:p>
        </w:tc>
        <w:tc>
          <w:tcPr>
            <w:tcW w:w="3687" w:type="dxa"/>
            <w:vAlign w:val="center"/>
          </w:tcPr>
          <w:p>
            <w:pPr>
              <w:ind w:firstLine="420" w:firstLineChars="200"/>
              <w:rPr>
                <w:rFonts w:asciiTheme="minorEastAsia" w:hAnsiTheme="minorEastAsia" w:eastAsiaTheme="minorEastAsia"/>
                <w:szCs w:val="21"/>
              </w:rPr>
            </w:pPr>
            <w:r>
              <w:rPr>
                <w:rFonts w:asciiTheme="minorEastAsia" w:hAnsiTheme="minorEastAsia" w:eastAsiaTheme="minorEastAsia"/>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27" w:hRule="atLeast"/>
          <w:jc w:val="center"/>
        </w:trPr>
        <w:tc>
          <w:tcPr>
            <w:tcW w:w="816"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11</w:t>
            </w:r>
          </w:p>
        </w:tc>
        <w:tc>
          <w:tcPr>
            <w:tcW w:w="1497" w:type="dxa"/>
            <w:vAlign w:val="center"/>
          </w:tcPr>
          <w:p>
            <w:pPr>
              <w:keepNext/>
              <w:keepLines/>
              <w:spacing w:before="260" w:after="260" w:line="416" w:lineRule="auto"/>
              <w:rPr>
                <w:rFonts w:asciiTheme="minorEastAsia" w:hAnsiTheme="minorEastAsia" w:eastAsiaTheme="minorEastAsia"/>
                <w:szCs w:val="21"/>
              </w:rPr>
            </w:pPr>
            <w:r>
              <w:rPr>
                <w:rFonts w:hint="eastAsia" w:asciiTheme="minorEastAsia" w:hAnsiTheme="minorEastAsia" w:eastAsiaTheme="minorEastAsia"/>
                <w:szCs w:val="21"/>
              </w:rPr>
              <w:t>相邻矿山管理</w:t>
            </w:r>
          </w:p>
        </w:tc>
        <w:tc>
          <w:tcPr>
            <w:tcW w:w="1665" w:type="dxa"/>
            <w:vAlign w:val="center"/>
          </w:tcPr>
          <w:p>
            <w:pPr>
              <w:rPr>
                <w:rFonts w:asciiTheme="minorEastAsia" w:hAnsiTheme="minorEastAsia" w:eastAsiaTheme="minorEastAsia"/>
                <w:szCs w:val="21"/>
              </w:rPr>
            </w:pPr>
            <w:r>
              <w:rPr>
                <w:rFonts w:hint="eastAsia" w:ascii="思源黑体 CN" w:hAnsi="思源黑体 CN" w:eastAsia="思源黑体 CN" w:cs="思源黑体 CN"/>
                <w:szCs w:val="21"/>
              </w:rPr>
              <w:t>★</w:t>
            </w:r>
            <w:r>
              <w:rPr>
                <w:rFonts w:hint="eastAsia" w:asciiTheme="minorEastAsia" w:hAnsiTheme="minorEastAsia" w:eastAsiaTheme="minorEastAsia"/>
                <w:szCs w:val="21"/>
              </w:rPr>
              <w:t>相邻矿山井巷互联互通</w:t>
            </w:r>
          </w:p>
        </w:tc>
        <w:tc>
          <w:tcPr>
            <w:tcW w:w="5343" w:type="dxa"/>
            <w:vAlign w:val="center"/>
          </w:tcPr>
          <w:p>
            <w:pPr>
              <w:ind w:firstLine="420" w:firstLineChars="200"/>
              <w:rPr>
                <w:rFonts w:ascii="宋体" w:hAnsi="宋体"/>
                <w:szCs w:val="21"/>
              </w:rPr>
            </w:pPr>
            <w:r>
              <w:rPr>
                <w:rFonts w:ascii="宋体" w:hAnsi="宋体"/>
                <w:szCs w:val="21"/>
              </w:rPr>
              <w:t>《安全生产法》第三十八条  生产经营单位应当建立健全生产安全事故隐患排查治理制度，采取技术、管理措施，及时发现并消除事故隐患。事故隐患排查治理情况应当如实记录，并向从业人员通报。</w:t>
            </w:r>
          </w:p>
          <w:p>
            <w:pPr>
              <w:ind w:firstLine="420" w:firstLineChars="200"/>
              <w:rPr>
                <w:rFonts w:ascii="宋体" w:hAnsi="宋体"/>
                <w:szCs w:val="21"/>
              </w:rPr>
            </w:pPr>
            <w:r>
              <w:rPr>
                <w:rFonts w:hint="eastAsia" w:ascii="宋体" w:hAnsi="宋体"/>
                <w:szCs w:val="21"/>
              </w:rPr>
              <w:t>……</w:t>
            </w:r>
          </w:p>
          <w:p>
            <w:pPr>
              <w:ind w:firstLine="420" w:firstLineChars="200"/>
              <w:rPr>
                <w:rFonts w:ascii="宋体" w:hAnsi="宋体"/>
                <w:bCs/>
                <w:szCs w:val="21"/>
              </w:rPr>
            </w:pPr>
            <w:r>
              <w:rPr>
                <w:rFonts w:hint="eastAsia" w:ascii="宋体" w:hAnsi="宋体"/>
                <w:bCs/>
                <w:szCs w:val="21"/>
              </w:rPr>
              <w:t>《国家安全监管总局关于印发〈金属非金属矿山重大生产安全事故隐患判定标准（试行）〉的通知》(安监总管一〔2017〕98号)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w:t>
            </w:r>
            <w:r>
              <w:rPr>
                <w:rFonts w:hint="eastAsia" w:ascii="宋体" w:hAnsi="宋体" w:cs="宋体"/>
                <w:bCs/>
                <w:kern w:val="0"/>
                <w:szCs w:val="21"/>
              </w:rPr>
              <w:t>金属非金属地下矿山重大生产安全事故隐患</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（三）相邻矿山的井巷相互贯通。</w:t>
            </w:r>
          </w:p>
        </w:tc>
        <w:tc>
          <w:tcPr>
            <w:tcW w:w="3687" w:type="dxa"/>
            <w:vAlign w:val="center"/>
          </w:tcPr>
          <w:p>
            <w:pPr>
              <w:ind w:firstLine="420" w:firstLineChars="200"/>
              <w:rPr>
                <w:rFonts w:asciiTheme="minorEastAsia" w:hAnsiTheme="minorEastAsia" w:eastAsiaTheme="minorEastAsia"/>
                <w:szCs w:val="21"/>
              </w:rPr>
            </w:pPr>
            <w:r>
              <w:rPr>
                <w:rFonts w:asciiTheme="minorEastAsia" w:hAnsiTheme="minorEastAsia" w:eastAsiaTheme="minorEastAsia"/>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vAlign w:val="center"/>
          </w:tcPr>
          <w:p>
            <w:pPr>
              <w:widowControl/>
              <w:adjustRightInd w:val="0"/>
              <w:snapToGrid w:val="0"/>
              <w:rPr>
                <w:rFonts w:ascii="宋体" w:hAnsi="宋体" w:cs="宋体"/>
                <w:kern w:val="0"/>
                <w:szCs w:val="21"/>
              </w:rPr>
            </w:pPr>
          </w:p>
        </w:tc>
      </w:tr>
    </w:tbl>
    <w:p>
      <w:pPr>
        <w:pStyle w:val="4"/>
        <w:keepNext w:val="0"/>
        <w:keepLines w:val="0"/>
        <w:pageBreakBefore/>
        <w:spacing w:line="240" w:lineRule="auto"/>
        <w:rPr>
          <w:rFonts w:ascii="黑体" w:hAnsi="黑体" w:eastAsia="黑体"/>
          <w:b w:val="0"/>
        </w:rPr>
      </w:pPr>
      <w:bookmarkStart w:id="14" w:name="_Toc499799325"/>
      <w:bookmarkStart w:id="15" w:name="_Toc497087505"/>
      <w:r>
        <w:rPr>
          <w:rFonts w:hint="eastAsia" w:ascii="黑体" w:hAnsi="黑体" w:eastAsia="黑体"/>
          <w:b w:val="0"/>
        </w:rPr>
        <w:t>表2-2  金属非金属露天矿山</w:t>
      </w:r>
      <w:bookmarkEnd w:id="14"/>
      <w:bookmarkEnd w:id="15"/>
    </w:p>
    <w:tbl>
      <w:tblPr>
        <w:tblStyle w:val="19"/>
        <w:tblW w:w="13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816"/>
        <w:gridCol w:w="1704"/>
        <w:gridCol w:w="1983"/>
        <w:gridCol w:w="4818"/>
        <w:gridCol w:w="3687"/>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50" w:hRule="atLeast"/>
          <w:tblHeader/>
          <w:jc w:val="center"/>
        </w:trPr>
        <w:tc>
          <w:tcPr>
            <w:tcW w:w="816"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序号</w:t>
            </w:r>
          </w:p>
        </w:tc>
        <w:tc>
          <w:tcPr>
            <w:tcW w:w="1704"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检查事项</w:t>
            </w:r>
          </w:p>
        </w:tc>
        <w:tc>
          <w:tcPr>
            <w:tcW w:w="1983"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检查内容</w:t>
            </w:r>
          </w:p>
        </w:tc>
        <w:tc>
          <w:tcPr>
            <w:tcW w:w="4818"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检查依据指引</w:t>
            </w:r>
          </w:p>
        </w:tc>
        <w:tc>
          <w:tcPr>
            <w:tcW w:w="3687"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法律责任指引</w:t>
            </w:r>
          </w:p>
        </w:tc>
        <w:tc>
          <w:tcPr>
            <w:tcW w:w="871"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090" w:hRule="atLeast"/>
          <w:jc w:val="center"/>
        </w:trPr>
        <w:tc>
          <w:tcPr>
            <w:tcW w:w="816" w:type="dxa"/>
            <w:vMerge w:val="restart"/>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c>
          <w:tcPr>
            <w:tcW w:w="1704"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许可情况</w:t>
            </w:r>
          </w:p>
        </w:tc>
        <w:tc>
          <w:tcPr>
            <w:tcW w:w="1983" w:type="dxa"/>
            <w:vAlign w:val="center"/>
          </w:tcPr>
          <w:p>
            <w:pPr>
              <w:adjustRightInd w:val="0"/>
              <w:snapToGrid w:val="0"/>
              <w:rPr>
                <w:rFonts w:ascii="宋体" w:hAnsi="宋体" w:cs="宋体"/>
                <w:kern w:val="0"/>
                <w:szCs w:val="21"/>
              </w:rPr>
            </w:pPr>
            <w:r>
              <w:rPr>
                <w:rFonts w:hint="eastAsia" w:ascii="宋体" w:hAnsi="宋体" w:cs="宋体"/>
                <w:kern w:val="0"/>
                <w:szCs w:val="21"/>
              </w:rPr>
              <w:t>1.1 安全生产许可证取得</w:t>
            </w:r>
          </w:p>
        </w:tc>
        <w:tc>
          <w:tcPr>
            <w:tcW w:w="481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《安全生产许可证条例》第二条  国家对矿山企业、建筑施工企业和危险化学品、烟花爆竹、民用爆炸物品生产企业（以下统称企业）实行安全生产许可制度。</w:t>
            </w:r>
          </w:p>
          <w:p>
            <w:pPr>
              <w:adjustRightInd w:val="0"/>
              <w:snapToGrid w:val="0"/>
              <w:ind w:firstLine="420" w:firstLineChars="200"/>
              <w:rPr>
                <w:rFonts w:ascii="宋体" w:hAnsi="宋体" w:cs="宋体"/>
                <w:kern w:val="0"/>
                <w:szCs w:val="21"/>
              </w:rPr>
            </w:pPr>
            <w:r>
              <w:rPr>
                <w:rFonts w:hint="eastAsia" w:ascii="宋体" w:hAnsi="宋体" w:cs="宋体"/>
                <w:kern w:val="0"/>
                <w:szCs w:val="21"/>
              </w:rPr>
              <w:t>企业未取得安全生产许可证的，不得从事生产活动。</w:t>
            </w:r>
          </w:p>
          <w:p>
            <w:pPr>
              <w:adjustRightInd w:val="0"/>
              <w:snapToGrid w:val="0"/>
              <w:ind w:firstLine="420" w:firstLineChars="200"/>
              <w:rPr>
                <w:rFonts w:ascii="宋体" w:hAnsi="宋体" w:cs="宋体"/>
                <w:kern w:val="0"/>
                <w:szCs w:val="21"/>
                <w:highlight w:val="none"/>
              </w:rPr>
            </w:pPr>
            <w:r>
              <w:rPr>
                <w:rFonts w:hint="eastAsia" w:ascii="宋体" w:hAnsi="宋体" w:cs="宋体"/>
                <w:kern w:val="0"/>
                <w:szCs w:val="21"/>
                <w:highlight w:val="none"/>
              </w:rPr>
              <w:t>《非煤矿矿山企业安全生产许可证实施办法》第二条  非煤矿矿山企业必须依照本实施办法的规定取得安全生产许可证。</w:t>
            </w:r>
          </w:p>
          <w:p>
            <w:pPr>
              <w:pStyle w:val="2"/>
              <w:ind w:firstLine="420"/>
              <w:rPr>
                <w:rFonts w:ascii="宋体" w:hAnsi="宋体" w:eastAsia="宋体" w:cs="宋体"/>
                <w:kern w:val="0"/>
                <w:szCs w:val="21"/>
              </w:rPr>
            </w:pPr>
            <w:r>
              <w:rPr>
                <w:rFonts w:hint="eastAsia" w:ascii="宋体" w:hAnsi="宋体" w:eastAsia="宋体" w:cs="宋体"/>
                <w:kern w:val="0"/>
                <w:szCs w:val="21"/>
                <w:highlight w:val="none"/>
              </w:rPr>
              <w:t>未取得安全生产许可证的，不得从事生产活动。</w:t>
            </w:r>
          </w:p>
        </w:tc>
        <w:tc>
          <w:tcPr>
            <w:tcW w:w="3687" w:type="dxa"/>
            <w:vAlign w:val="center"/>
          </w:tcPr>
          <w:p>
            <w:pPr>
              <w:adjustRightInd w:val="0"/>
              <w:snapToGrid w:val="0"/>
              <w:ind w:firstLine="315" w:firstLineChars="150"/>
              <w:rPr>
                <w:rFonts w:hint="eastAsia" w:ascii="宋体" w:hAnsi="宋体" w:cs="宋体"/>
                <w:kern w:val="0"/>
                <w:szCs w:val="21"/>
              </w:rPr>
            </w:pPr>
            <w:r>
              <w:rPr>
                <w:rFonts w:hint="eastAsia" w:ascii="宋体" w:hAnsi="宋体" w:cs="宋体"/>
                <w:kern w:val="0"/>
                <w:szCs w:val="21"/>
              </w:rPr>
              <w:t>《安全生产许可证条例》第十九条  违反本条例规定，未取得安全生产许可证擅自进行生产的，责令停止生产，没收违法所得，并处10万元以上50万元以下的罚款；造成重大事故或者其他严重后果，构成犯罪的，依法追究刑事责任。</w:t>
            </w:r>
          </w:p>
          <w:p>
            <w:pPr>
              <w:adjustRightInd w:val="0"/>
              <w:snapToGrid w:val="0"/>
              <w:ind w:firstLine="315" w:firstLineChars="150"/>
              <w:rPr>
                <w:rFonts w:hint="eastAsia" w:ascii="宋体" w:hAnsi="宋体" w:cs="宋体"/>
                <w:kern w:val="0"/>
                <w:szCs w:val="21"/>
                <w:lang w:val="en-US" w:eastAsia="zh-CN"/>
              </w:rPr>
            </w:pPr>
            <w:r>
              <w:rPr>
                <w:rFonts w:hint="eastAsia" w:ascii="宋体" w:hAnsi="宋体" w:cs="宋体"/>
                <w:kern w:val="0"/>
                <w:szCs w:val="21"/>
                <w:lang w:val="en-US" w:eastAsia="zh-CN"/>
              </w:rPr>
              <w:t>《非煤矿矿山企业安全生产许可证实施办法》第四十二条  非煤矿矿山企业有下列行为之一的，责令停止生产，没收违法所得，并处10万元以上50万元以下的罚款：</w:t>
            </w:r>
          </w:p>
          <w:p>
            <w:pPr>
              <w:adjustRightInd w:val="0"/>
              <w:snapToGrid w:val="0"/>
              <w:ind w:firstLine="315" w:firstLineChars="150"/>
              <w:rPr>
                <w:rFonts w:ascii="宋体" w:hAnsi="宋体" w:cs="宋体"/>
                <w:kern w:val="0"/>
                <w:szCs w:val="21"/>
              </w:rPr>
            </w:pPr>
            <w:r>
              <w:rPr>
                <w:rFonts w:hint="eastAsia" w:ascii="宋体" w:hAnsi="宋体" w:cs="宋体"/>
                <w:kern w:val="0"/>
                <w:szCs w:val="21"/>
                <w:lang w:val="en-US" w:eastAsia="zh-CN"/>
              </w:rPr>
              <w:t>（一）未取得安全生产许可证，擅自进行生产的；</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668"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704" w:type="dxa"/>
            <w:vMerge w:val="continue"/>
            <w:vAlign w:val="center"/>
          </w:tcPr>
          <w:p>
            <w:pPr>
              <w:widowControl/>
              <w:adjustRightInd w:val="0"/>
              <w:snapToGrid w:val="0"/>
              <w:spacing w:after="280"/>
              <w:rPr>
                <w:rFonts w:ascii="宋体" w:hAnsi="宋体" w:cs="宋体"/>
                <w:kern w:val="0"/>
                <w:szCs w:val="21"/>
              </w:rPr>
            </w:pPr>
          </w:p>
        </w:tc>
        <w:tc>
          <w:tcPr>
            <w:tcW w:w="198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1.2 安全生产许可证延期</w:t>
            </w:r>
          </w:p>
        </w:tc>
        <w:tc>
          <w:tcPr>
            <w:tcW w:w="4818" w:type="dxa"/>
            <w:vAlign w:val="center"/>
          </w:tcPr>
          <w:p>
            <w:pPr>
              <w:widowControl/>
              <w:adjustRightInd w:val="0"/>
              <w:snapToGrid w:val="0"/>
              <w:ind w:firstLine="420" w:firstLineChars="200"/>
              <w:rPr>
                <w:highlight w:val="none"/>
              </w:rPr>
            </w:pPr>
            <w:r>
              <w:rPr>
                <w:rFonts w:hint="eastAsia"/>
                <w:highlight w:val="none"/>
              </w:rPr>
              <w:t>《安全生产许可证条例》第九条  安全生产许可证的有效期</w:t>
            </w:r>
            <w:r>
              <w:rPr>
                <w:rFonts w:hint="eastAsia" w:asciiTheme="minorEastAsia" w:hAnsiTheme="minorEastAsia" w:eastAsiaTheme="minorEastAsia"/>
                <w:highlight w:val="none"/>
              </w:rPr>
              <w:t>为3年。安全生产许可证有效期满需要延期的，企业应当于期满前3个</w:t>
            </w:r>
            <w:r>
              <w:rPr>
                <w:rFonts w:hint="eastAsia"/>
                <w:highlight w:val="none"/>
              </w:rPr>
              <w:t>月向原安全生产许可证颁发管理机关办理延期手续。</w:t>
            </w:r>
          </w:p>
          <w:p>
            <w:pPr>
              <w:widowControl/>
              <w:adjustRightInd w:val="0"/>
              <w:snapToGrid w:val="0"/>
              <w:ind w:firstLine="420" w:firstLineChars="200"/>
              <w:rPr>
                <w:highlight w:val="none"/>
              </w:rPr>
            </w:pPr>
            <w:r>
              <w:rPr>
                <w:rFonts w:hint="eastAsia"/>
                <w:highlight w:val="none"/>
              </w:rPr>
              <w:t>……</w:t>
            </w:r>
          </w:p>
          <w:p>
            <w:pPr>
              <w:widowControl/>
              <w:adjustRightInd w:val="0"/>
              <w:snapToGrid w:val="0"/>
              <w:ind w:firstLine="420" w:firstLineChars="200"/>
            </w:pPr>
            <w:r>
              <w:rPr>
                <w:rFonts w:hint="eastAsia"/>
                <w:highlight w:val="none"/>
              </w:rPr>
              <w:t>《非</w:t>
            </w:r>
            <w:r>
              <w:rPr>
                <w:rFonts w:hint="eastAsia"/>
              </w:rPr>
              <w:t>煤矿矿山企业安全生产许可证实施办法》第十九条  安全生产许可证的有效期</w:t>
            </w:r>
            <w:r>
              <w:rPr>
                <w:rFonts w:hint="eastAsia" w:asciiTheme="minorEastAsia" w:hAnsiTheme="minorEastAsia" w:eastAsiaTheme="minorEastAsia" w:cstheme="minorEastAsia"/>
              </w:rPr>
              <w:t>为3年。安全生产许可证有效期满后需要延期的，非煤矿矿山企业应当在安全生产许可证有效期届满前3个月向原安全生产许可证颁发管理机关申请办理延</w:t>
            </w:r>
            <w:r>
              <w:rPr>
                <w:rFonts w:hint="eastAsia"/>
              </w:rPr>
              <w:t>期手续，并提交下列文件、资料：</w:t>
            </w:r>
          </w:p>
          <w:p>
            <w:pPr>
              <w:widowControl/>
              <w:adjustRightInd w:val="0"/>
              <w:snapToGrid w:val="0"/>
              <w:ind w:firstLine="210" w:firstLineChars="100"/>
            </w:pPr>
            <w:r>
              <w:rPr>
                <w:rFonts w:hint="eastAsia"/>
              </w:rPr>
              <w:t>（一）延期申请书；</w:t>
            </w:r>
          </w:p>
          <w:p>
            <w:pPr>
              <w:widowControl/>
              <w:adjustRightInd w:val="0"/>
              <w:snapToGrid w:val="0"/>
              <w:ind w:firstLine="210" w:firstLineChars="100"/>
            </w:pPr>
            <w:r>
              <w:rPr>
                <w:rFonts w:hint="eastAsia"/>
              </w:rPr>
              <w:t>（二）安全生产许可证正本和副本；</w:t>
            </w:r>
          </w:p>
          <w:p>
            <w:pPr>
              <w:widowControl/>
              <w:adjustRightInd w:val="0"/>
              <w:snapToGrid w:val="0"/>
              <w:ind w:firstLine="210" w:firstLineChars="100"/>
            </w:pPr>
            <w:r>
              <w:rPr>
                <w:rFonts w:hint="eastAsia"/>
              </w:rPr>
              <w:t>（三）本实施办法第二章规定的相应文件、资料。</w:t>
            </w:r>
          </w:p>
          <w:p>
            <w:pPr>
              <w:pStyle w:val="2"/>
              <w:ind w:firstLine="420"/>
            </w:pPr>
            <w:r>
              <w:rPr>
                <w:rFonts w:hint="eastAsia" w:ascii="宋体" w:hAnsi="宋体" w:cs="宋体"/>
                <w:kern w:val="0"/>
                <w:szCs w:val="21"/>
                <w:highlight w:val="none"/>
              </w:rPr>
              <w:t>……</w:t>
            </w:r>
          </w:p>
        </w:tc>
        <w:tc>
          <w:tcPr>
            <w:tcW w:w="3687"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《安全生产许可证条例》第二十条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《非煤矿矿山企业安全生产许可证实施办法》第四十五条  非煤矿矿山企业在安全生产许可证有效期满未办理延期手续，继续进行生产的，责令停止生产，限期补办延期手续，没收违法所得，并处5万元以上10万元以下的罚款；逾期仍不办理延期手续，继续进行生产的，依照本实施办法第四十二条的规定处罚。</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18"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704" w:type="dxa"/>
            <w:vMerge w:val="continue"/>
            <w:vAlign w:val="center"/>
          </w:tcPr>
          <w:p>
            <w:pPr>
              <w:widowControl/>
              <w:adjustRightInd w:val="0"/>
              <w:snapToGrid w:val="0"/>
              <w:spacing w:after="280"/>
              <w:rPr>
                <w:rFonts w:ascii="宋体" w:hAnsi="宋体" w:cs="宋体"/>
                <w:kern w:val="0"/>
                <w:szCs w:val="21"/>
              </w:rPr>
            </w:pPr>
          </w:p>
        </w:tc>
        <w:tc>
          <w:tcPr>
            <w:tcW w:w="198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1.3 安全生产许可证变更</w:t>
            </w:r>
          </w:p>
        </w:tc>
        <w:tc>
          <w:tcPr>
            <w:tcW w:w="4818" w:type="dxa"/>
            <w:vAlign w:val="center"/>
          </w:tcPr>
          <w:p>
            <w:pPr>
              <w:pStyle w:val="2"/>
              <w:ind w:firstLine="420"/>
              <w:rPr>
                <w:rFonts w:ascii="宋体" w:hAnsi="宋体" w:eastAsia="宋体" w:cs="宋体"/>
                <w:kern w:val="0"/>
                <w:szCs w:val="21"/>
                <w:highlight w:val="none"/>
              </w:rPr>
            </w:pPr>
            <w:r>
              <w:rPr>
                <w:rFonts w:hint="eastAsia" w:ascii="宋体" w:hAnsi="宋体" w:eastAsia="宋体" w:cs="宋体"/>
                <w:kern w:val="0"/>
                <w:szCs w:val="21"/>
                <w:highlight w:val="none"/>
              </w:rPr>
              <w:t>《非煤矿矿山企业安全生产许可证实施办法》第二十一条  非煤矿矿山企业在安全生产许可证有效期内有下列情形之一的，应当自工商营业执照变更之日起30个工作日内向原安全生产许可证颁发管理机关申请变更安全生产许可证：</w:t>
            </w:r>
          </w:p>
          <w:p>
            <w:pPr>
              <w:pStyle w:val="2"/>
              <w:ind w:firstLine="420"/>
              <w:rPr>
                <w:rFonts w:ascii="宋体" w:hAnsi="宋体" w:eastAsia="宋体" w:cs="宋体"/>
                <w:kern w:val="0"/>
                <w:szCs w:val="21"/>
                <w:highlight w:val="none"/>
              </w:rPr>
            </w:pPr>
            <w:r>
              <w:rPr>
                <w:rFonts w:hint="eastAsia" w:ascii="宋体" w:hAnsi="宋体" w:eastAsia="宋体" w:cs="宋体"/>
                <w:kern w:val="0"/>
                <w:szCs w:val="21"/>
                <w:highlight w:val="none"/>
              </w:rPr>
              <w:t>（一）变更单位名称的；</w:t>
            </w:r>
          </w:p>
          <w:p>
            <w:pPr>
              <w:pStyle w:val="2"/>
              <w:ind w:firstLine="420"/>
              <w:rPr>
                <w:rFonts w:ascii="宋体" w:hAnsi="宋体" w:eastAsia="宋体" w:cs="宋体"/>
                <w:kern w:val="0"/>
                <w:szCs w:val="21"/>
                <w:highlight w:val="none"/>
              </w:rPr>
            </w:pPr>
            <w:r>
              <w:rPr>
                <w:rFonts w:hint="eastAsia" w:ascii="宋体" w:hAnsi="宋体" w:eastAsia="宋体" w:cs="宋体"/>
                <w:kern w:val="0"/>
                <w:szCs w:val="21"/>
                <w:highlight w:val="none"/>
              </w:rPr>
              <w:t>（二）变更主要负责人的；</w:t>
            </w:r>
          </w:p>
          <w:p>
            <w:pPr>
              <w:pStyle w:val="2"/>
              <w:ind w:firstLine="420"/>
              <w:rPr>
                <w:rFonts w:ascii="宋体" w:hAnsi="宋体" w:eastAsia="宋体" w:cs="宋体"/>
                <w:kern w:val="0"/>
                <w:szCs w:val="21"/>
                <w:highlight w:val="none"/>
              </w:rPr>
            </w:pPr>
            <w:r>
              <w:rPr>
                <w:rFonts w:hint="eastAsia" w:ascii="宋体" w:hAnsi="宋体" w:eastAsia="宋体" w:cs="宋体"/>
                <w:kern w:val="0"/>
                <w:szCs w:val="21"/>
                <w:highlight w:val="none"/>
              </w:rPr>
              <w:t>（三）变更单位地址的；</w:t>
            </w:r>
          </w:p>
          <w:p>
            <w:pPr>
              <w:pStyle w:val="2"/>
              <w:ind w:firstLine="420"/>
              <w:rPr>
                <w:rFonts w:ascii="宋体" w:hAnsi="宋体" w:eastAsia="宋体" w:cs="宋体"/>
                <w:kern w:val="0"/>
                <w:szCs w:val="21"/>
                <w:highlight w:val="none"/>
              </w:rPr>
            </w:pPr>
            <w:r>
              <w:rPr>
                <w:rFonts w:hint="eastAsia" w:ascii="宋体" w:hAnsi="宋体" w:eastAsia="宋体" w:cs="宋体"/>
                <w:kern w:val="0"/>
                <w:szCs w:val="21"/>
                <w:highlight w:val="none"/>
              </w:rPr>
              <w:t>（四）变更经济类型的；</w:t>
            </w:r>
          </w:p>
          <w:p>
            <w:pPr>
              <w:pStyle w:val="2"/>
              <w:ind w:firstLine="420"/>
              <w:rPr>
                <w:rFonts w:ascii="宋体" w:hAnsi="宋体" w:eastAsia="宋体" w:cs="宋体"/>
                <w:kern w:val="0"/>
                <w:szCs w:val="21"/>
                <w:highlight w:val="yellow"/>
              </w:rPr>
            </w:pPr>
            <w:r>
              <w:rPr>
                <w:rFonts w:hint="eastAsia" w:ascii="宋体" w:hAnsi="宋体" w:eastAsia="宋体" w:cs="宋体"/>
                <w:kern w:val="0"/>
                <w:szCs w:val="21"/>
                <w:highlight w:val="none"/>
              </w:rPr>
              <w:t>（五）变更许可范围的。</w:t>
            </w:r>
          </w:p>
        </w:tc>
        <w:tc>
          <w:tcPr>
            <w:tcW w:w="3687"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《非煤矿矿山企业安全生产许可证实施办法》第四十四条  非煤矿矿山企业在安全生产许可证有效期内，出现需要变更安全生产许可证的情形，未按本实施办法第二十一条的规定申请、办理变更手续的，责令限期办理变更手续，并处1万元以上3万元以下罚款。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668"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704" w:type="dxa"/>
            <w:vMerge w:val="continue"/>
            <w:vAlign w:val="center"/>
          </w:tcPr>
          <w:p>
            <w:pPr>
              <w:widowControl/>
              <w:adjustRightInd w:val="0"/>
              <w:snapToGrid w:val="0"/>
              <w:spacing w:after="280"/>
              <w:rPr>
                <w:rFonts w:ascii="宋体" w:hAnsi="宋体" w:cs="宋体"/>
                <w:kern w:val="0"/>
                <w:szCs w:val="21"/>
              </w:rPr>
            </w:pPr>
          </w:p>
        </w:tc>
        <w:tc>
          <w:tcPr>
            <w:tcW w:w="1983" w:type="dxa"/>
            <w:vAlign w:val="center"/>
          </w:tcPr>
          <w:p>
            <w:pPr>
              <w:widowControl/>
              <w:adjustRightInd w:val="0"/>
              <w:snapToGrid w:val="0"/>
              <w:rPr>
                <w:rFonts w:ascii="宋体" w:hAnsi="宋体" w:cs="宋体"/>
                <w:kern w:val="0"/>
                <w:szCs w:val="21"/>
              </w:rPr>
            </w:pPr>
            <w:r>
              <w:rPr>
                <w:rFonts w:ascii="宋体" w:hAnsi="宋体" w:cs="宋体"/>
                <w:kern w:val="0"/>
                <w:szCs w:val="21"/>
              </w:rPr>
              <w:t>1.4</w:t>
            </w:r>
            <w:r>
              <w:rPr>
                <w:rFonts w:hint="eastAsia" w:ascii="宋体" w:hAnsi="宋体" w:cs="宋体"/>
                <w:kern w:val="0"/>
                <w:szCs w:val="21"/>
              </w:rPr>
              <w:t xml:space="preserve"> </w:t>
            </w:r>
            <w:r>
              <w:rPr>
                <w:rFonts w:ascii="宋体" w:hAnsi="宋体" w:cs="宋体"/>
                <w:kern w:val="0"/>
                <w:szCs w:val="21"/>
              </w:rPr>
              <w:t>因采矿许可证到期及被暂扣、撤销、吊销和注销等交回安全生产许可证</w:t>
            </w:r>
          </w:p>
        </w:tc>
        <w:tc>
          <w:tcPr>
            <w:tcW w:w="4818" w:type="dxa"/>
            <w:vAlign w:val="center"/>
          </w:tcPr>
          <w:p>
            <w:pPr>
              <w:pStyle w:val="2"/>
              <w:ind w:firstLine="420"/>
              <w:rPr>
                <w:rFonts w:ascii="宋体" w:hAnsi="宋体" w:eastAsia="宋体" w:cs="宋体"/>
                <w:kern w:val="0"/>
                <w:szCs w:val="21"/>
                <w:highlight w:val="none"/>
              </w:rPr>
            </w:pPr>
            <w:r>
              <w:rPr>
                <w:rFonts w:hint="eastAsia" w:ascii="宋体" w:hAnsi="宋体" w:eastAsia="宋体" w:cs="宋体"/>
                <w:kern w:val="0"/>
                <w:szCs w:val="21"/>
                <w:highlight w:val="none"/>
              </w:rPr>
              <w:t>《非煤矿矿山企业安全生产许可证实施办法》第二十八条  非煤矿矿山企业发现在安全生产许可证有效期内采矿许可证到期失效的，应当在采矿许可证到期前</w:t>
            </w:r>
            <w:r>
              <w:rPr>
                <w:rFonts w:ascii="宋体" w:hAnsi="宋体" w:eastAsia="宋体" w:cs="宋体"/>
                <w:kern w:val="0"/>
                <w:szCs w:val="21"/>
                <w:highlight w:val="none"/>
              </w:rPr>
              <w:t>15日内向原安全生产许可证颁发管理机关报告，并交回安全生产许可证正本和副本。</w:t>
            </w:r>
          </w:p>
          <w:p>
            <w:pPr>
              <w:widowControl/>
              <w:spacing w:line="272" w:lineRule="atLeast"/>
              <w:ind w:firstLine="420" w:firstLineChars="200"/>
              <w:jc w:val="left"/>
              <w:rPr>
                <w:rFonts w:ascii="宋体" w:hAnsi="宋体" w:cs="宋体"/>
                <w:kern w:val="0"/>
                <w:szCs w:val="21"/>
                <w:highlight w:val="yellow"/>
              </w:rPr>
            </w:pPr>
            <w:r>
              <w:rPr>
                <w:rFonts w:hint="eastAsia" w:ascii="宋体" w:hAnsi="宋体" w:cs="宋体"/>
                <w:kern w:val="0"/>
                <w:szCs w:val="21"/>
                <w:highlight w:val="none"/>
              </w:rPr>
              <w:t>采矿许可证被暂扣、撤销、吊销和注销的，非煤矿矿山企业应当在暂扣、撤销、吊销和注销后</w:t>
            </w:r>
            <w:r>
              <w:rPr>
                <w:rFonts w:ascii="宋体" w:hAnsi="宋体" w:cs="宋体"/>
                <w:kern w:val="0"/>
                <w:szCs w:val="21"/>
                <w:highlight w:val="none"/>
              </w:rPr>
              <w:t>5日内向原安全生产许可证颁发管理机关报告，并交回安全生产许可证正本和副本。</w:t>
            </w:r>
          </w:p>
        </w:tc>
        <w:tc>
          <w:tcPr>
            <w:tcW w:w="3687"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《非煤矿矿山企业安全生产许可证实施办法》</w:t>
            </w:r>
            <w:r>
              <w:rPr>
                <w:rFonts w:hint="eastAsia"/>
              </w:rPr>
              <w:t>第四十三条  非煤矿矿山企业在安全生产许可证有效期内出现采矿许可证有效期届满和采矿许可证被暂扣、撤销、吊销、注销的情况，未依照本实施办法第二十八条的规定向安全生产许可证颁发管理</w:t>
            </w:r>
            <w:r>
              <w:rPr>
                <w:rFonts w:hint="eastAsia" w:asciiTheme="majorEastAsia" w:hAnsiTheme="majorEastAsia" w:eastAsiaTheme="majorEastAsia" w:cstheme="majorEastAsia"/>
              </w:rPr>
              <w:t>机关报告并交回安全生产许可证的，处1万元以上3万元以下罚款。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668"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704" w:type="dxa"/>
            <w:vMerge w:val="continue"/>
            <w:vAlign w:val="center"/>
          </w:tcPr>
          <w:p>
            <w:pPr>
              <w:widowControl/>
              <w:adjustRightInd w:val="0"/>
              <w:snapToGrid w:val="0"/>
              <w:spacing w:after="280"/>
              <w:rPr>
                <w:rFonts w:ascii="宋体" w:hAnsi="宋体" w:cs="宋体"/>
                <w:kern w:val="0"/>
                <w:szCs w:val="21"/>
              </w:rPr>
            </w:pPr>
          </w:p>
        </w:tc>
        <w:tc>
          <w:tcPr>
            <w:tcW w:w="198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1.5 转让、冒用安全生产许可证或者使用伪造的安全生产许可证</w:t>
            </w:r>
          </w:p>
        </w:tc>
        <w:tc>
          <w:tcPr>
            <w:tcW w:w="4818" w:type="dxa"/>
            <w:vAlign w:val="center"/>
          </w:tcPr>
          <w:p>
            <w:pPr>
              <w:widowControl/>
              <w:adjustRightInd w:val="0"/>
              <w:snapToGrid w:val="0"/>
              <w:ind w:firstLine="315" w:firstLineChars="150"/>
              <w:rPr>
                <w:rFonts w:ascii="宋体" w:hAnsi="宋体" w:cs="宋体"/>
                <w:kern w:val="0"/>
                <w:szCs w:val="21"/>
              </w:rPr>
            </w:pPr>
            <w:r>
              <w:rPr>
                <w:rFonts w:hint="eastAsia" w:ascii="宋体" w:hAnsi="宋体" w:cs="宋体"/>
                <w:kern w:val="0"/>
                <w:szCs w:val="21"/>
              </w:rPr>
              <w:t>《安全生产许可证条例》第十三条  企业不得转让、冒用安全生产许可证或者使用伪造的安全生产许可证。</w:t>
            </w:r>
          </w:p>
          <w:p>
            <w:pPr>
              <w:pStyle w:val="2"/>
              <w:ind w:firstLine="420"/>
              <w:rPr>
                <w:rFonts w:ascii="宋体" w:hAnsi="宋体" w:eastAsia="宋体" w:cs="宋体"/>
                <w:kern w:val="0"/>
                <w:szCs w:val="21"/>
              </w:rPr>
            </w:pPr>
            <w:r>
              <w:rPr>
                <w:rFonts w:hint="eastAsia" w:ascii="宋体" w:hAnsi="宋体" w:eastAsia="宋体" w:cs="宋体"/>
                <w:kern w:val="0"/>
                <w:szCs w:val="21"/>
                <w:highlight w:val="none"/>
              </w:rPr>
              <w:t>《非煤矿矿山企业安全生产许可证实施办法》第二十七条  非煤矿矿山企业不得转让、冒用、买卖、出租、出借或者使用伪造的安全生产许可证。</w:t>
            </w:r>
          </w:p>
        </w:tc>
        <w:tc>
          <w:tcPr>
            <w:tcW w:w="3687" w:type="dxa"/>
            <w:vAlign w:val="center"/>
          </w:tcPr>
          <w:p>
            <w:pPr>
              <w:widowControl/>
              <w:adjustRightInd w:val="0"/>
              <w:snapToGrid w:val="0"/>
              <w:ind w:left="34" w:leftChars="16" w:firstLine="210" w:firstLineChars="100"/>
            </w:pPr>
            <w:r>
              <w:rPr>
                <w:rFonts w:hint="eastAsia"/>
              </w:rPr>
              <w:t>《安全生产许可证条例》第二十一条  违反本条例规定，转让安全生产许可证的，没收违法所得，处10万元以上50万元以下的罚款，并吊销其安全生产许可证；构成犯罪的，依法追究刑事责任；接受转让的，依照本条例第十九条的规定处罚。</w:t>
            </w:r>
          </w:p>
          <w:p>
            <w:pPr>
              <w:widowControl/>
              <w:adjustRightInd w:val="0"/>
              <w:snapToGrid w:val="0"/>
              <w:ind w:firstLine="420" w:firstLineChars="200"/>
              <w:rPr>
                <w:rFonts w:hint="eastAsia"/>
              </w:rPr>
            </w:pPr>
            <w:r>
              <w:rPr>
                <w:rFonts w:hint="eastAsia"/>
              </w:rPr>
              <w:t>冒用安全生产许可证或者使用伪造的安全生产许可证的，依照本条例第十九条的规定处罚。</w:t>
            </w:r>
          </w:p>
          <w:p>
            <w:pPr>
              <w:pStyle w:val="2"/>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《非煤矿矿山企业安全生产许可证实施办法》第四十一条  取得安全生产许可证的非煤矿矿山企业有下列行为之一的，吊销其安全生产许可证：</w:t>
            </w:r>
          </w:p>
          <w:p>
            <w:pPr>
              <w:pStyle w:val="2"/>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（一）倒卖、出租、出借或者以其他形式非法转让安全生产许可证的；</w:t>
            </w:r>
          </w:p>
          <w:p>
            <w:pPr>
              <w:pStyle w:val="2"/>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w:t>
            </w:r>
          </w:p>
          <w:p>
            <w:pPr>
              <w:widowControl/>
              <w:adjustRightInd w:val="0"/>
              <w:snapToGrid w:val="0"/>
              <w:ind w:firstLine="420" w:firstLineChars="20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第四十二条  非煤矿矿山企业有下列行为之一的，责令停止生产，没收违法所得，并处10万元以上50万元以下的罚款：</w:t>
            </w:r>
          </w:p>
          <w:p>
            <w:pPr>
              <w:widowControl/>
              <w:adjustRightInd w:val="0"/>
              <w:snapToGrid w:val="0"/>
              <w:ind w:firstLine="420" w:firstLineChars="20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（二）接受转让的安全生产许可证的；</w:t>
            </w:r>
          </w:p>
          <w:p>
            <w:pPr>
              <w:widowControl/>
              <w:adjustRightInd w:val="0"/>
              <w:snapToGrid w:val="0"/>
              <w:ind w:firstLine="420" w:firstLineChars="20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（三）冒用安全生产许可证的；</w:t>
            </w:r>
          </w:p>
          <w:p>
            <w:pPr>
              <w:pStyle w:val="2"/>
            </w:pPr>
            <w:r>
              <w:rPr>
                <w:rFonts w:hint="eastAsia" w:ascii="Calibri" w:hAnsi="Calibri" w:eastAsia="宋体" w:cs="Times New Roman"/>
                <w:kern w:val="2"/>
                <w:sz w:val="21"/>
                <w:szCs w:val="22"/>
                <w:lang w:val="en-US" w:eastAsia="zh-CN" w:bidi="ar-SA"/>
              </w:rPr>
              <w:t>（四）使用伪造的安全生产许可证的。</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jc w:val="center"/>
              <w:rPr>
                <w:rFonts w:ascii="宋体" w:hAnsi="宋体"/>
                <w:szCs w:val="21"/>
              </w:rPr>
            </w:pPr>
            <w:r>
              <w:rPr>
                <w:rFonts w:hint="eastAsia" w:ascii="宋体" w:hAnsi="宋体"/>
                <w:szCs w:val="21"/>
              </w:rPr>
              <w:t>2</w:t>
            </w:r>
          </w:p>
        </w:tc>
        <w:tc>
          <w:tcPr>
            <w:tcW w:w="1704" w:type="dxa"/>
            <w:vAlign w:val="center"/>
          </w:tcPr>
          <w:p>
            <w:pPr>
              <w:rPr>
                <w:rFonts w:ascii="宋体" w:hAnsi="宋体"/>
                <w:szCs w:val="21"/>
              </w:rPr>
            </w:pPr>
            <w:r>
              <w:rPr>
                <w:rFonts w:hint="eastAsia" w:ascii="宋体" w:hAnsi="宋体"/>
                <w:szCs w:val="21"/>
              </w:rPr>
              <w:t>基本图纸及与实际符合情况。</w:t>
            </w:r>
          </w:p>
        </w:tc>
        <w:tc>
          <w:tcPr>
            <w:tcW w:w="1983" w:type="dxa"/>
            <w:vAlign w:val="center"/>
          </w:tcPr>
          <w:p>
            <w:pPr>
              <w:rPr>
                <w:rFonts w:ascii="宋体" w:hAnsi="宋体"/>
                <w:szCs w:val="21"/>
              </w:rPr>
            </w:pPr>
            <w:r>
              <w:rPr>
                <w:rFonts w:hint="eastAsia" w:ascii="宋体" w:hAnsi="宋体"/>
                <w:szCs w:val="21"/>
              </w:rPr>
              <w:t>未保存基本图纸或图实不符</w:t>
            </w:r>
          </w:p>
        </w:tc>
        <w:tc>
          <w:tcPr>
            <w:tcW w:w="4818" w:type="dxa"/>
            <w:vAlign w:val="center"/>
          </w:tcPr>
          <w:p>
            <w:pPr>
              <w:ind w:firstLine="420" w:firstLineChars="200"/>
              <w:rPr>
                <w:rFonts w:ascii="宋体" w:hAnsi="宋体"/>
                <w:szCs w:val="21"/>
                <w:highlight w:val="none"/>
              </w:rPr>
            </w:pPr>
            <w:r>
              <w:rPr>
                <w:rFonts w:hint="eastAsia" w:ascii="宋体" w:hAnsi="宋体"/>
                <w:szCs w:val="21"/>
              </w:rPr>
              <w:t>《金属非金属矿山安全规程》</w:t>
            </w:r>
            <w:r>
              <w:rPr>
                <w:rFonts w:hint="eastAsia" w:ascii="宋体" w:hAnsi="宋体"/>
                <w:szCs w:val="21"/>
                <w:highlight w:val="none"/>
              </w:rPr>
              <w:t>（GB 16423-2006）</w:t>
            </w:r>
          </w:p>
          <w:p>
            <w:pPr>
              <w:ind w:firstLine="420" w:firstLineChars="200"/>
              <w:rPr>
                <w:rFonts w:ascii="宋体" w:hAnsi="宋体"/>
                <w:szCs w:val="21"/>
              </w:rPr>
            </w:pPr>
            <w:r>
              <w:rPr>
                <w:rFonts w:hint="eastAsia" w:ascii="宋体" w:hAnsi="宋体"/>
                <w:szCs w:val="21"/>
              </w:rPr>
              <w:t>4.15露天矿山，应保存下列图纸，并根据实际情况的变化及时更新：</w:t>
            </w:r>
          </w:p>
          <w:p>
            <w:pPr>
              <w:ind w:firstLine="420" w:firstLineChars="200"/>
              <w:rPr>
                <w:rFonts w:ascii="宋体" w:hAnsi="宋体"/>
                <w:szCs w:val="21"/>
              </w:rPr>
            </w:pPr>
            <w:r>
              <w:rPr>
                <w:rFonts w:hint="eastAsia" w:ascii="宋体" w:hAnsi="宋体"/>
                <w:szCs w:val="21"/>
              </w:rPr>
              <w:t>——地形地质图；</w:t>
            </w:r>
          </w:p>
          <w:p>
            <w:pPr>
              <w:ind w:firstLine="420" w:firstLineChars="200"/>
              <w:rPr>
                <w:rFonts w:ascii="宋体" w:hAnsi="宋体"/>
                <w:szCs w:val="21"/>
              </w:rPr>
            </w:pPr>
            <w:r>
              <w:rPr>
                <w:rFonts w:hint="eastAsia" w:ascii="宋体" w:hAnsi="宋体"/>
                <w:szCs w:val="21"/>
              </w:rPr>
              <w:t>——采剥工程年末图；</w:t>
            </w:r>
          </w:p>
          <w:p>
            <w:pPr>
              <w:ind w:firstLine="420" w:firstLineChars="200"/>
              <w:rPr>
                <w:rFonts w:ascii="宋体" w:hAnsi="宋体"/>
                <w:szCs w:val="21"/>
              </w:rPr>
            </w:pPr>
            <w:r>
              <w:rPr>
                <w:rFonts w:hint="eastAsia" w:ascii="宋体" w:hAnsi="宋体"/>
                <w:szCs w:val="21"/>
              </w:rPr>
              <w:t>——防排水系统及排水设备布置图。</w:t>
            </w:r>
          </w:p>
        </w:tc>
        <w:tc>
          <w:tcPr>
            <w:tcW w:w="3687" w:type="dxa"/>
            <w:vAlign w:val="center"/>
          </w:tcPr>
          <w:p>
            <w:pPr>
              <w:ind w:firstLine="420" w:firstLineChars="200"/>
              <w:rPr>
                <w:rFonts w:ascii="宋体" w:hAnsi="宋体"/>
                <w:szCs w:val="21"/>
              </w:rPr>
            </w:pPr>
            <w:r>
              <w:rPr>
                <w:rFonts w:ascii="宋体" w:hAnsi="宋体"/>
                <w:szCs w:val="21"/>
              </w:rPr>
              <w:t>《安全生产违法行为行政处罚办法》第四十五条</w:t>
            </w:r>
            <w:r>
              <w:rPr>
                <w:rFonts w:hint="eastAsia" w:ascii="宋体" w:hAnsi="宋体"/>
                <w:szCs w:val="21"/>
              </w:rPr>
              <w:t xml:space="preserve">  </w:t>
            </w:r>
            <w:r>
              <w:rPr>
                <w:rFonts w:ascii="宋体" w:hAnsi="宋体"/>
                <w:szCs w:val="21"/>
              </w:rPr>
              <w:t>生产经营单位及其主要负责人或者其他人员有下列行为之一的，给予警告，并可以对生产经营单位处1万元以上3万元以下罚款，对其主要负责人、其他有关人员处1000元以上1万元以下的罚款：</w:t>
            </w:r>
          </w:p>
          <w:p>
            <w:pPr>
              <w:ind w:firstLine="420" w:firstLineChars="200"/>
              <w:rPr>
                <w:rFonts w:ascii="宋体" w:hAnsi="宋体"/>
                <w:szCs w:val="21"/>
              </w:rPr>
            </w:pPr>
            <w:r>
              <w:rPr>
                <w:rFonts w:ascii="宋体" w:hAnsi="宋体"/>
                <w:szCs w:val="21"/>
              </w:rPr>
              <w:t>（一）违反操作规程或者安全管理规定作业的</w:t>
            </w:r>
          </w:p>
          <w:p>
            <w:pPr>
              <w:pStyle w:val="2"/>
              <w:ind w:firstLine="420"/>
            </w:pPr>
            <w:r>
              <w:rPr>
                <w:rFonts w:hint="eastAsia" w:ascii="宋体" w:hAnsi="宋体" w:cs="宋体"/>
                <w:kern w:val="0"/>
                <w:szCs w:val="21"/>
                <w:highlight w:val="none"/>
              </w:rPr>
              <w:t>……</w:t>
            </w:r>
          </w:p>
        </w:tc>
        <w:tc>
          <w:tcPr>
            <w:tcW w:w="871" w:type="dxa"/>
            <w:vAlign w:val="center"/>
          </w:tcPr>
          <w:p>
            <w:pPr>
              <w:widowControl/>
              <w:adjustRightInd w:val="0"/>
              <w:snapToGrid w:val="0"/>
              <w:rPr>
                <w:rFonts w:ascii="宋体" w:hAnsi="宋体" w:cs="宋体"/>
                <w:kern w:val="0"/>
                <w:szCs w:val="21"/>
              </w:rPr>
            </w:pPr>
            <w:r>
              <w:rPr>
                <w:rFonts w:hint="eastAsia" w:ascii="宋体" w:hAnsi="宋体" w:cs="宋体"/>
                <w:kern w:val="0"/>
                <w:szCs w:val="21"/>
              </w:rPr>
              <w:t>按设计执行。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restart"/>
            <w:vAlign w:val="center"/>
          </w:tcPr>
          <w:p>
            <w:pPr>
              <w:jc w:val="center"/>
              <w:rPr>
                <w:rFonts w:ascii="宋体" w:hAnsi="宋体"/>
                <w:szCs w:val="21"/>
              </w:rPr>
            </w:pPr>
            <w:r>
              <w:rPr>
                <w:rFonts w:hint="eastAsia" w:ascii="宋体" w:hAnsi="宋体"/>
                <w:szCs w:val="21"/>
              </w:rPr>
              <w:t>3</w:t>
            </w:r>
          </w:p>
        </w:tc>
        <w:tc>
          <w:tcPr>
            <w:tcW w:w="1704" w:type="dxa"/>
            <w:vMerge w:val="restart"/>
            <w:vAlign w:val="center"/>
          </w:tcPr>
          <w:p>
            <w:pPr>
              <w:jc w:val="left"/>
              <w:rPr>
                <w:rFonts w:ascii="宋体" w:hAnsi="宋体"/>
                <w:szCs w:val="21"/>
              </w:rPr>
            </w:pPr>
            <w:r>
              <w:rPr>
                <w:rFonts w:hint="eastAsia" w:ascii="宋体" w:hAnsi="宋体"/>
                <w:szCs w:val="21"/>
              </w:rPr>
              <w:t>开采方式情况</w:t>
            </w:r>
          </w:p>
        </w:tc>
        <w:tc>
          <w:tcPr>
            <w:tcW w:w="1983" w:type="dxa"/>
            <w:vAlign w:val="center"/>
          </w:tcPr>
          <w:p>
            <w:pPr>
              <w:rPr>
                <w:rFonts w:ascii="宋体" w:hAnsi="宋体"/>
                <w:szCs w:val="21"/>
              </w:rPr>
            </w:pPr>
            <w:r>
              <w:rPr>
                <w:rFonts w:hint="eastAsia" w:ascii="思源黑体 CN" w:hAnsi="思源黑体 CN" w:eastAsia="思源黑体 CN" w:cs="思源黑体 CN"/>
                <w:szCs w:val="21"/>
              </w:rPr>
              <w:t>★</w:t>
            </w:r>
            <w:r>
              <w:rPr>
                <w:rFonts w:hint="eastAsia" w:ascii="宋体" w:hAnsi="宋体"/>
                <w:szCs w:val="21"/>
              </w:rPr>
              <w:t>3.1 分台阶开采</w:t>
            </w:r>
          </w:p>
        </w:tc>
        <w:tc>
          <w:tcPr>
            <w:tcW w:w="4818" w:type="dxa"/>
            <w:vAlign w:val="center"/>
          </w:tcPr>
          <w:p>
            <w:pPr>
              <w:spacing w:line="240" w:lineRule="exact"/>
              <w:ind w:firstLine="420" w:firstLineChars="200"/>
              <w:rPr>
                <w:rFonts w:ascii="宋体" w:hAnsi="宋体"/>
                <w:szCs w:val="21"/>
              </w:rPr>
            </w:pPr>
            <w:r>
              <w:rPr>
                <w:rFonts w:ascii="宋体" w:hAnsi="宋体"/>
                <w:szCs w:val="21"/>
              </w:rPr>
              <w:t>《安全生产法》第三十八条</w:t>
            </w:r>
            <w:r>
              <w:rPr>
                <w:rFonts w:hint="eastAsia" w:ascii="宋体" w:hAnsi="宋体"/>
                <w:szCs w:val="21"/>
              </w:rPr>
              <w:t xml:space="preserve">  </w:t>
            </w:r>
            <w:r>
              <w:rPr>
                <w:rFonts w:ascii="宋体" w:hAnsi="宋体"/>
                <w:szCs w:val="21"/>
              </w:rPr>
              <w:t>生产经营单位应当建立健全生产安全事故隐患排查治理制度，采取技术、管理措施，及时发现并消除事故隐患。事故隐患排查治理情况应当如实记录，并向从业人员通报。</w:t>
            </w:r>
          </w:p>
          <w:p>
            <w:pPr>
              <w:spacing w:line="240" w:lineRule="exact"/>
              <w:ind w:firstLine="420" w:firstLineChars="200"/>
              <w:rPr>
                <w:rFonts w:ascii="宋体" w:hAnsi="宋体"/>
                <w:szCs w:val="21"/>
              </w:rPr>
            </w:pPr>
            <w:r>
              <w:rPr>
                <w:rFonts w:hint="eastAsia" w:ascii="宋体" w:hAnsi="宋体"/>
                <w:szCs w:val="21"/>
              </w:rPr>
              <w:t>……</w:t>
            </w:r>
          </w:p>
          <w:p>
            <w:pPr>
              <w:spacing w:line="240" w:lineRule="exact"/>
              <w:ind w:firstLine="420" w:firstLineChars="200"/>
              <w:rPr>
                <w:rFonts w:ascii="宋体" w:hAnsi="宋体"/>
                <w:szCs w:val="21"/>
              </w:rPr>
            </w:pPr>
            <w:r>
              <w:rPr>
                <w:rFonts w:hint="eastAsia" w:ascii="宋体" w:hAnsi="宋体"/>
                <w:szCs w:val="21"/>
              </w:rPr>
              <w:t>《金属非金属矿山安全规程》</w:t>
            </w:r>
            <w:r>
              <w:rPr>
                <w:rFonts w:hint="eastAsia" w:ascii="宋体" w:hAnsi="宋体"/>
                <w:szCs w:val="21"/>
                <w:highlight w:val="none"/>
              </w:rPr>
              <w:t>（GB 16423-2006）</w:t>
            </w:r>
          </w:p>
          <w:p>
            <w:pPr>
              <w:spacing w:line="240" w:lineRule="exact"/>
              <w:ind w:firstLine="420" w:firstLineChars="200"/>
              <w:rPr>
                <w:rFonts w:ascii="宋体" w:hAnsi="宋体"/>
                <w:szCs w:val="21"/>
              </w:rPr>
            </w:pPr>
            <w:r>
              <w:rPr>
                <w:rFonts w:hint="eastAsia" w:ascii="宋体" w:hAnsi="宋体"/>
                <w:szCs w:val="21"/>
              </w:rPr>
              <w:t>5.1.2</w:t>
            </w:r>
            <w:r>
              <w:rPr>
                <w:rFonts w:hint="eastAsia" w:ascii="宋体" w:hAnsi="宋体"/>
                <w:szCs w:val="21"/>
                <w:lang w:val="en-US" w:eastAsia="zh-CN"/>
              </w:rPr>
              <w:t xml:space="preserve">  </w:t>
            </w:r>
            <w:r>
              <w:rPr>
                <w:rFonts w:hint="eastAsia" w:ascii="宋体" w:hAnsi="宋体"/>
                <w:szCs w:val="21"/>
              </w:rPr>
              <w:t>露天开采应遵循自上而下的开采顺序，分台阶开采，并坚持“采剥并举，剥离先行”的原则。</w:t>
            </w:r>
          </w:p>
          <w:p>
            <w:pPr>
              <w:spacing w:line="240" w:lineRule="exact"/>
              <w:ind w:firstLine="420" w:firstLineChars="200"/>
              <w:rPr>
                <w:rFonts w:ascii="宋体" w:hAnsi="宋体"/>
                <w:bCs/>
                <w:szCs w:val="21"/>
              </w:rPr>
            </w:pPr>
            <w:r>
              <w:rPr>
                <w:rFonts w:hint="eastAsia" w:ascii="宋体" w:hAnsi="宋体"/>
                <w:bCs/>
                <w:szCs w:val="21"/>
              </w:rPr>
              <w:t>《国家安全监管总局关于印发〈金属非金属矿山重大生产安全事故隐患判定标准（试行）〉的通知》(安监总管一〔2017〕98号)</w:t>
            </w:r>
          </w:p>
          <w:p>
            <w:pPr>
              <w:spacing w:line="240" w:lineRule="exact"/>
              <w:ind w:firstLine="420" w:firstLineChars="200"/>
              <w:rPr>
                <w:rFonts w:ascii="宋体" w:hAnsi="宋体"/>
                <w:bCs/>
                <w:szCs w:val="21"/>
              </w:rPr>
            </w:pPr>
            <w:r>
              <w:rPr>
                <w:rFonts w:hint="eastAsia" w:ascii="宋体" w:hAnsi="宋体"/>
                <w:bCs/>
                <w:szCs w:val="21"/>
              </w:rPr>
              <w:t>二、金属非金属露天矿山重大生产安全事故隐患</w:t>
            </w:r>
          </w:p>
          <w:p>
            <w:pPr>
              <w:spacing w:line="240" w:lineRule="exact"/>
              <w:ind w:firstLine="420" w:firstLineChars="200"/>
              <w:rPr>
                <w:rFonts w:ascii="宋体" w:hAnsi="宋体"/>
                <w:szCs w:val="21"/>
              </w:rPr>
            </w:pPr>
            <w:r>
              <w:rPr>
                <w:rFonts w:hint="eastAsia" w:ascii="宋体" w:hAnsi="宋体"/>
                <w:szCs w:val="21"/>
              </w:rPr>
              <w:t>（三）未采用自上而下、分台阶或分层的方式进行开采。</w:t>
            </w:r>
          </w:p>
        </w:tc>
        <w:tc>
          <w:tcPr>
            <w:tcW w:w="3687" w:type="dxa"/>
            <w:vAlign w:val="center"/>
          </w:tcPr>
          <w:p>
            <w:pPr>
              <w:ind w:firstLine="420" w:firstLineChars="200"/>
              <w:rPr>
                <w:rFonts w:ascii="宋体" w:hAnsi="宋体"/>
                <w:szCs w:val="21"/>
              </w:rPr>
            </w:pPr>
            <w:r>
              <w:rPr>
                <w:rFonts w:hint="eastAsia" w:ascii="宋体" w:hAnsi="宋体"/>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60"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jc w:val="left"/>
              <w:rPr>
                <w:rFonts w:ascii="宋体" w:hAnsi="宋体"/>
                <w:szCs w:val="21"/>
              </w:rPr>
            </w:pPr>
          </w:p>
        </w:tc>
        <w:tc>
          <w:tcPr>
            <w:tcW w:w="1983" w:type="dxa"/>
            <w:vAlign w:val="center"/>
          </w:tcPr>
          <w:p>
            <w:pPr>
              <w:rPr>
                <w:rFonts w:ascii="宋体" w:hAnsi="宋体"/>
                <w:szCs w:val="21"/>
              </w:rPr>
            </w:pPr>
            <w:r>
              <w:rPr>
                <w:rFonts w:hint="eastAsia" w:ascii="思源黑体 CN" w:hAnsi="思源黑体 CN" w:eastAsia="思源黑体 CN" w:cs="思源黑体 CN"/>
                <w:szCs w:val="21"/>
              </w:rPr>
              <w:t>★</w:t>
            </w:r>
            <w:r>
              <w:rPr>
                <w:rFonts w:hint="eastAsia" w:ascii="宋体" w:hAnsi="宋体"/>
                <w:szCs w:val="21"/>
              </w:rPr>
              <w:t>3.2 台阶参数</w:t>
            </w:r>
          </w:p>
        </w:tc>
        <w:tc>
          <w:tcPr>
            <w:tcW w:w="4818" w:type="dxa"/>
            <w:vAlign w:val="center"/>
          </w:tcPr>
          <w:p>
            <w:pPr>
              <w:ind w:firstLine="420" w:firstLineChars="200"/>
              <w:rPr>
                <w:rFonts w:ascii="宋体" w:hAnsi="宋体"/>
                <w:szCs w:val="21"/>
              </w:rPr>
            </w:pPr>
            <w:r>
              <w:rPr>
                <w:rFonts w:ascii="宋体" w:hAnsi="宋体"/>
                <w:szCs w:val="21"/>
              </w:rPr>
              <w:t>《安全生产法》第三十八条</w:t>
            </w:r>
            <w:r>
              <w:rPr>
                <w:rFonts w:hint="eastAsia" w:ascii="宋体" w:hAnsi="宋体"/>
                <w:szCs w:val="21"/>
              </w:rPr>
              <w:t xml:space="preserve">  </w:t>
            </w:r>
            <w:r>
              <w:rPr>
                <w:rFonts w:ascii="宋体" w:hAnsi="宋体"/>
                <w:szCs w:val="21"/>
              </w:rPr>
              <w:t>生产经营单位应当建立健全生产安全事故隐患排查治理制度，采取技术、管理措施，及时发现并消除事故隐患。事故隐患排查治理情况应当如实记录，并向从业人员通报。</w:t>
            </w:r>
          </w:p>
          <w:p>
            <w:pPr>
              <w:ind w:firstLine="420" w:firstLineChars="200"/>
              <w:rPr>
                <w:rFonts w:ascii="宋体" w:hAnsi="宋体"/>
                <w:szCs w:val="21"/>
              </w:rPr>
            </w:pPr>
            <w:r>
              <w:rPr>
                <w:rFonts w:hint="eastAsia" w:ascii="宋体" w:hAnsi="宋体"/>
                <w:szCs w:val="21"/>
              </w:rPr>
              <w:t>……</w:t>
            </w:r>
          </w:p>
          <w:p>
            <w:pPr>
              <w:ind w:firstLine="420" w:firstLineChars="200"/>
              <w:rPr>
                <w:rFonts w:ascii="宋体" w:hAnsi="宋体"/>
                <w:szCs w:val="21"/>
              </w:rPr>
            </w:pPr>
            <w:r>
              <w:rPr>
                <w:rFonts w:hint="eastAsia" w:ascii="宋体" w:hAnsi="宋体"/>
                <w:szCs w:val="21"/>
              </w:rPr>
              <w:t>《金属非金属矿山安全规程》</w:t>
            </w:r>
            <w:r>
              <w:rPr>
                <w:rFonts w:hint="eastAsia" w:ascii="宋体" w:hAnsi="宋体"/>
                <w:szCs w:val="21"/>
                <w:highlight w:val="none"/>
              </w:rPr>
              <w:t>（GB 16423-2006）</w:t>
            </w:r>
          </w:p>
          <w:p>
            <w:pPr>
              <w:ind w:firstLine="420" w:firstLineChars="200"/>
              <w:rPr>
                <w:rFonts w:ascii="宋体" w:hAnsi="宋体"/>
                <w:szCs w:val="21"/>
              </w:rPr>
            </w:pPr>
            <w:r>
              <w:rPr>
                <w:rFonts w:hint="eastAsia" w:ascii="宋体" w:hAnsi="宋体"/>
                <w:szCs w:val="21"/>
              </w:rPr>
              <w:t>5.2.1.1  生产台阶高度应符合表1的规定。开采结束，并段后的台阶高度超过表1的规定时，应经过技术论证，在保证安全的前提下，由设计确定。</w:t>
            </w:r>
          </w:p>
          <w:p>
            <w:pPr>
              <w:ind w:firstLine="420" w:firstLineChars="200"/>
              <w:rPr>
                <w:rFonts w:ascii="宋体" w:hAnsi="宋体"/>
                <w:bCs/>
                <w:szCs w:val="21"/>
              </w:rPr>
            </w:pPr>
            <w:r>
              <w:rPr>
                <w:rFonts w:hint="eastAsia" w:ascii="宋体" w:hAnsi="宋体"/>
                <w:bCs/>
                <w:szCs w:val="21"/>
              </w:rPr>
              <w:t>《国家安全监管总局关于印发〈金属非金属矿山重大生产安全事故隐患判定标准（试行）〉的通知》(安监总管一〔2017〕98号)</w:t>
            </w:r>
          </w:p>
          <w:p>
            <w:pPr>
              <w:ind w:firstLine="420" w:firstLineChars="200"/>
              <w:rPr>
                <w:rFonts w:ascii="宋体" w:hAnsi="宋体"/>
                <w:szCs w:val="21"/>
              </w:rPr>
            </w:pPr>
            <w:r>
              <w:rPr>
                <w:rFonts w:hint="eastAsia" w:ascii="宋体" w:hAnsi="宋体"/>
                <w:szCs w:val="21"/>
              </w:rPr>
              <w:t>二、</w:t>
            </w:r>
            <w:r>
              <w:rPr>
                <w:rFonts w:hint="eastAsia" w:ascii="宋体" w:hAnsi="宋体"/>
                <w:bCs/>
                <w:szCs w:val="21"/>
              </w:rPr>
              <w:t>金属非金属露天矿山重大生产安全事故隐患</w:t>
            </w:r>
          </w:p>
          <w:p>
            <w:pPr>
              <w:ind w:firstLine="420" w:firstLineChars="200"/>
              <w:rPr>
                <w:rFonts w:ascii="宋体" w:hAnsi="宋体"/>
                <w:szCs w:val="21"/>
              </w:rPr>
            </w:pPr>
            <w:r>
              <w:rPr>
                <w:rFonts w:hint="eastAsia" w:ascii="宋体" w:hAnsi="宋体"/>
                <w:szCs w:val="21"/>
              </w:rPr>
              <w:t>（四）工作帮坡角大于设计工作帮坡角，或台阶（分层）高度超过设计高度。</w:t>
            </w:r>
          </w:p>
        </w:tc>
        <w:tc>
          <w:tcPr>
            <w:tcW w:w="3687" w:type="dxa"/>
            <w:vAlign w:val="center"/>
          </w:tcPr>
          <w:p>
            <w:pPr>
              <w:ind w:firstLine="420" w:firstLineChars="200"/>
              <w:rPr>
                <w:rFonts w:ascii="宋体" w:hAnsi="宋体"/>
                <w:szCs w:val="21"/>
              </w:rPr>
            </w:pPr>
            <w:r>
              <w:rPr>
                <w:rFonts w:ascii="宋体" w:hAnsi="宋体"/>
                <w:szCs w:val="21"/>
              </w:rPr>
              <w:t>《安全生产法》第九十九条</w:t>
            </w:r>
            <w:r>
              <w:rPr>
                <w:rFonts w:hint="eastAsia" w:ascii="宋体" w:hAnsi="宋体"/>
                <w:szCs w:val="21"/>
              </w:rPr>
              <w:t xml:space="preserve">  </w:t>
            </w:r>
            <w:r>
              <w:rPr>
                <w:rFonts w:ascii="宋体" w:hAnsi="宋体"/>
                <w:szCs w:val="21"/>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jc w:val="left"/>
              <w:rPr>
                <w:rFonts w:ascii="宋体" w:hAnsi="宋体"/>
                <w:szCs w:val="21"/>
              </w:rPr>
            </w:pPr>
          </w:p>
        </w:tc>
        <w:tc>
          <w:tcPr>
            <w:tcW w:w="1983" w:type="dxa"/>
            <w:vAlign w:val="center"/>
          </w:tcPr>
          <w:p>
            <w:pPr>
              <w:spacing w:line="240" w:lineRule="atLeast"/>
              <w:rPr>
                <w:rFonts w:ascii="宋体" w:hAnsi="宋体"/>
                <w:szCs w:val="21"/>
              </w:rPr>
            </w:pPr>
            <w:r>
              <w:rPr>
                <w:rFonts w:hint="eastAsia" w:ascii="思源黑体 CN" w:hAnsi="思源黑体 CN" w:eastAsia="思源黑体 CN" w:cs="思源黑体 CN"/>
                <w:szCs w:val="21"/>
              </w:rPr>
              <w:t>★</w:t>
            </w:r>
            <w:r>
              <w:rPr>
                <w:rFonts w:ascii="宋体" w:hAnsi="宋体"/>
                <w:szCs w:val="21"/>
              </w:rPr>
              <w:t>3.3 凹陷露天矿山</w:t>
            </w:r>
            <w:r>
              <w:rPr>
                <w:rFonts w:hint="eastAsia" w:ascii="宋体" w:hAnsi="宋体"/>
                <w:szCs w:val="21"/>
              </w:rPr>
              <w:t>的</w:t>
            </w:r>
            <w:r>
              <w:rPr>
                <w:rFonts w:ascii="宋体" w:hAnsi="宋体"/>
                <w:szCs w:val="21"/>
              </w:rPr>
              <w:t>防洪、排洪设施</w:t>
            </w:r>
          </w:p>
        </w:tc>
        <w:tc>
          <w:tcPr>
            <w:tcW w:w="4818" w:type="dxa"/>
            <w:vAlign w:val="center"/>
          </w:tcPr>
          <w:p>
            <w:pPr>
              <w:spacing w:line="240" w:lineRule="atLeast"/>
              <w:ind w:firstLine="420" w:firstLineChars="200"/>
              <w:rPr>
                <w:rFonts w:ascii="宋体" w:hAnsi="宋体"/>
                <w:szCs w:val="21"/>
              </w:rPr>
            </w:pPr>
            <w:r>
              <w:rPr>
                <w:rFonts w:ascii="宋体" w:hAnsi="宋体"/>
                <w:szCs w:val="21"/>
              </w:rPr>
              <w:t>《安全生产法》第三十八条  生产经营单位应当建立健全生产安全事故隐患排查治理制度，采取技术、管理措施，及时发现并消除事故隐患。事故隐患排查治理情况应当如实记录，并向从业人员通报。</w:t>
            </w:r>
          </w:p>
          <w:p>
            <w:pPr>
              <w:spacing w:line="240" w:lineRule="atLeast"/>
              <w:ind w:firstLine="420" w:firstLineChars="200"/>
              <w:rPr>
                <w:rFonts w:ascii="宋体" w:hAnsi="宋体"/>
                <w:szCs w:val="21"/>
              </w:rPr>
            </w:pPr>
            <w:r>
              <w:rPr>
                <w:rFonts w:hint="eastAsia" w:ascii="宋体" w:hAnsi="宋体"/>
                <w:szCs w:val="21"/>
              </w:rPr>
              <w:t>……</w:t>
            </w:r>
          </w:p>
          <w:p>
            <w:pPr>
              <w:spacing w:line="240" w:lineRule="atLeast"/>
              <w:ind w:firstLine="420" w:firstLineChars="200"/>
              <w:rPr>
                <w:rFonts w:ascii="宋体" w:hAnsi="宋体"/>
                <w:szCs w:val="21"/>
              </w:rPr>
            </w:pPr>
            <w:r>
              <w:rPr>
                <w:rFonts w:hint="eastAsia" w:ascii="宋体" w:hAnsi="宋体"/>
                <w:szCs w:val="21"/>
              </w:rPr>
              <w:t>《金属非金属矿山安全规程</w:t>
            </w:r>
            <w:r>
              <w:rPr>
                <w:rFonts w:hint="eastAsia" w:ascii="宋体" w:hAnsi="宋体"/>
                <w:szCs w:val="21"/>
                <w:highlight w:val="none"/>
              </w:rPr>
              <w:t>》（GB 16423-2006）</w:t>
            </w:r>
          </w:p>
          <w:p>
            <w:pPr>
              <w:spacing w:line="240" w:lineRule="atLeast"/>
              <w:ind w:firstLine="420" w:firstLineChars="200"/>
              <w:rPr>
                <w:rFonts w:ascii="宋体" w:hAnsi="宋体"/>
                <w:szCs w:val="21"/>
              </w:rPr>
            </w:pPr>
            <w:r>
              <w:rPr>
                <w:rFonts w:ascii="宋体" w:hAnsi="宋体"/>
                <w:szCs w:val="21"/>
              </w:rPr>
              <w:t xml:space="preserve">5.1.4 </w:t>
            </w:r>
            <w:r>
              <w:rPr>
                <w:rFonts w:hint="eastAsia" w:ascii="宋体" w:hAnsi="宋体"/>
                <w:szCs w:val="21"/>
                <w:lang w:val="en-US" w:eastAsia="zh-CN"/>
              </w:rPr>
              <w:t xml:space="preserve"> </w:t>
            </w:r>
            <w:r>
              <w:rPr>
                <w:rFonts w:hint="eastAsia" w:ascii="宋体" w:hAnsi="宋体"/>
                <w:szCs w:val="21"/>
              </w:rPr>
              <w:t>采剥和排土作业，不应对深部开采或邻近矿山造成水害和其他潜在安全隐患。</w:t>
            </w:r>
          </w:p>
          <w:p>
            <w:pPr>
              <w:spacing w:line="240" w:lineRule="atLeast"/>
              <w:ind w:firstLine="420" w:firstLineChars="200"/>
              <w:rPr>
                <w:rFonts w:ascii="宋体" w:hAnsi="宋体"/>
                <w:szCs w:val="21"/>
              </w:rPr>
            </w:pPr>
            <w:r>
              <w:rPr>
                <w:rFonts w:hint="eastAsia" w:ascii="宋体" w:hAnsi="宋体"/>
                <w:szCs w:val="21"/>
              </w:rPr>
              <w:t>露天矿山，尤其是深凹露天矿山，应设置专用的防洪、排洪设施。</w:t>
            </w:r>
          </w:p>
          <w:p>
            <w:pPr>
              <w:spacing w:line="240" w:lineRule="atLeast"/>
              <w:ind w:firstLine="420" w:firstLineChars="200"/>
              <w:rPr>
                <w:rFonts w:ascii="宋体" w:hAnsi="宋体"/>
                <w:bCs/>
                <w:szCs w:val="21"/>
              </w:rPr>
            </w:pPr>
            <w:r>
              <w:rPr>
                <w:rFonts w:hint="eastAsia" w:ascii="宋体" w:hAnsi="宋体"/>
                <w:bCs/>
                <w:szCs w:val="21"/>
              </w:rPr>
              <w:t>《国家安全监管总局关于印发〈金属非金属矿山重大生产安全事故隐患判定标准（试行）〉的通知》(安监总管一〔2017〕98号)</w:t>
            </w:r>
          </w:p>
          <w:p>
            <w:pPr>
              <w:spacing w:line="240" w:lineRule="atLeast"/>
              <w:ind w:firstLine="420" w:firstLineChars="200"/>
              <w:rPr>
                <w:rFonts w:ascii="宋体" w:hAnsi="宋体"/>
                <w:szCs w:val="21"/>
              </w:rPr>
            </w:pPr>
            <w:r>
              <w:rPr>
                <w:rFonts w:hint="eastAsia" w:ascii="宋体" w:hAnsi="宋体"/>
                <w:szCs w:val="21"/>
              </w:rPr>
              <w:t>二、</w:t>
            </w:r>
            <w:r>
              <w:rPr>
                <w:rFonts w:hint="eastAsia" w:ascii="宋体" w:hAnsi="宋体"/>
                <w:bCs/>
                <w:szCs w:val="21"/>
              </w:rPr>
              <w:t>金属非金属露天矿山重大生产安全事故隐患</w:t>
            </w:r>
          </w:p>
          <w:p>
            <w:pPr>
              <w:spacing w:line="240" w:lineRule="atLeast"/>
              <w:ind w:firstLine="420" w:firstLineChars="200"/>
              <w:rPr>
                <w:rFonts w:ascii="宋体" w:hAnsi="宋体"/>
                <w:szCs w:val="21"/>
              </w:rPr>
            </w:pPr>
            <w:r>
              <w:rPr>
                <w:rFonts w:hint="eastAsia" w:ascii="宋体" w:hAnsi="宋体"/>
                <w:szCs w:val="21"/>
              </w:rPr>
              <w:t>（十）封闭圈深度30米及以上的凹陷露天矿山，未按照设计要求建设防洪、排洪设施。</w:t>
            </w:r>
          </w:p>
        </w:tc>
        <w:tc>
          <w:tcPr>
            <w:tcW w:w="3687" w:type="dxa"/>
            <w:vAlign w:val="center"/>
          </w:tcPr>
          <w:p>
            <w:pPr>
              <w:spacing w:line="240" w:lineRule="atLeast"/>
              <w:ind w:firstLine="420" w:firstLineChars="200"/>
              <w:rPr>
                <w:rFonts w:ascii="宋体" w:hAnsi="宋体"/>
                <w:szCs w:val="21"/>
              </w:rPr>
            </w:pPr>
            <w:r>
              <w:rPr>
                <w:rFonts w:hint="eastAsia" w:ascii="宋体" w:hAnsi="宋体"/>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jc w:val="left"/>
              <w:rPr>
                <w:rFonts w:ascii="宋体" w:hAnsi="宋体"/>
                <w:szCs w:val="21"/>
              </w:rPr>
            </w:pPr>
          </w:p>
        </w:tc>
        <w:tc>
          <w:tcPr>
            <w:tcW w:w="1983" w:type="dxa"/>
            <w:vAlign w:val="center"/>
          </w:tcPr>
          <w:p>
            <w:pPr>
              <w:spacing w:line="240" w:lineRule="atLeast"/>
              <w:rPr>
                <w:rFonts w:ascii="宋体" w:hAnsi="宋体"/>
                <w:szCs w:val="21"/>
              </w:rPr>
            </w:pPr>
            <w:r>
              <w:rPr>
                <w:rFonts w:ascii="宋体" w:hAnsi="宋体"/>
                <w:szCs w:val="21"/>
              </w:rPr>
              <w:t xml:space="preserve">3.4 </w:t>
            </w:r>
            <w:r>
              <w:rPr>
                <w:rFonts w:hint="eastAsia" w:ascii="宋体" w:hAnsi="宋体"/>
                <w:szCs w:val="21"/>
              </w:rPr>
              <w:t>小型露天采石场安全距离</w:t>
            </w:r>
          </w:p>
        </w:tc>
        <w:tc>
          <w:tcPr>
            <w:tcW w:w="4818" w:type="dxa"/>
            <w:vAlign w:val="center"/>
          </w:tcPr>
          <w:p>
            <w:pPr>
              <w:spacing w:line="240" w:lineRule="atLeast"/>
              <w:ind w:firstLine="420" w:firstLineChars="200"/>
              <w:rPr>
                <w:rFonts w:ascii="宋体" w:hAnsi="宋体"/>
                <w:szCs w:val="21"/>
              </w:rPr>
            </w:pPr>
            <w:r>
              <w:rPr>
                <w:rFonts w:ascii="宋体" w:hAnsi="宋体"/>
                <w:szCs w:val="21"/>
              </w:rPr>
              <w:t>《小型露天采石场安全管理与监督检查规定》</w:t>
            </w:r>
            <w:r>
              <w:rPr>
                <w:rFonts w:hint="eastAsia" w:ascii="宋体" w:hAnsi="宋体"/>
                <w:szCs w:val="21"/>
              </w:rPr>
              <w:t>第十二条  相邻的采石场开采范围之间最小距离应当大于</w:t>
            </w:r>
            <w:r>
              <w:rPr>
                <w:rFonts w:ascii="宋体" w:hAnsi="宋体"/>
                <w:szCs w:val="21"/>
              </w:rPr>
              <w:t>300</w:t>
            </w:r>
            <w:r>
              <w:rPr>
                <w:rFonts w:hint="eastAsia" w:ascii="宋体" w:hAnsi="宋体"/>
                <w:szCs w:val="21"/>
              </w:rPr>
              <w:t>米。对可能危及对方生产安全的，双方应当签订安全生产管理协议，明确各自的安全生产管理职责和应当采取的安全措施，指定专门人员进行安全检查与协调。</w:t>
            </w:r>
          </w:p>
        </w:tc>
        <w:tc>
          <w:tcPr>
            <w:tcW w:w="3687" w:type="dxa"/>
            <w:vAlign w:val="center"/>
          </w:tcPr>
          <w:p>
            <w:pPr>
              <w:spacing w:line="240" w:lineRule="atLeast"/>
              <w:ind w:firstLine="420" w:firstLineChars="200"/>
              <w:rPr>
                <w:rFonts w:ascii="宋体" w:hAnsi="宋体"/>
                <w:szCs w:val="21"/>
              </w:rPr>
            </w:pPr>
            <w:r>
              <w:rPr>
                <w:rFonts w:ascii="宋体" w:hAnsi="宋体"/>
                <w:szCs w:val="21"/>
              </w:rPr>
              <w:t>《小型露天采石场安全管理与监督检查规定》</w:t>
            </w:r>
            <w:r>
              <w:rPr>
                <w:rFonts w:hint="eastAsia" w:ascii="宋体" w:hAnsi="宋体"/>
                <w:szCs w:val="21"/>
              </w:rPr>
              <w:t>第三十九条  违反本规定第十二条、第十三条第一、二款、第十四条、第十五条、第十六条、第十七条、第十九条、第二十条第一款、第二十一条、第二十二条规定的，给予警告，并处</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万元以下的罚款。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44"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jc w:val="left"/>
              <w:rPr>
                <w:rFonts w:ascii="宋体" w:hAnsi="宋体"/>
                <w:szCs w:val="21"/>
              </w:rPr>
            </w:pPr>
          </w:p>
        </w:tc>
        <w:tc>
          <w:tcPr>
            <w:tcW w:w="1983" w:type="dxa"/>
            <w:vAlign w:val="center"/>
          </w:tcPr>
          <w:p>
            <w:pPr>
              <w:rPr>
                <w:rFonts w:ascii="宋体" w:hAnsi="宋体"/>
                <w:szCs w:val="21"/>
              </w:rPr>
            </w:pPr>
            <w:r>
              <w:rPr>
                <w:rFonts w:hint="eastAsia" w:ascii="宋体" w:hAnsi="宋体"/>
                <w:szCs w:val="21"/>
              </w:rPr>
              <w:t>3.5 小型露天采石场分层开采</w:t>
            </w:r>
          </w:p>
        </w:tc>
        <w:tc>
          <w:tcPr>
            <w:tcW w:w="4818" w:type="dxa"/>
            <w:vAlign w:val="center"/>
          </w:tcPr>
          <w:p>
            <w:pPr>
              <w:ind w:firstLine="420" w:firstLineChars="200"/>
              <w:rPr>
                <w:rFonts w:ascii="宋体" w:hAnsi="宋体"/>
                <w:szCs w:val="21"/>
              </w:rPr>
            </w:pPr>
            <w:r>
              <w:rPr>
                <w:rFonts w:ascii="宋体" w:hAnsi="宋体"/>
                <w:szCs w:val="21"/>
              </w:rPr>
              <w:t>《小型露天采石场安全管理与监督检查规定》第十五条</w:t>
            </w:r>
            <w:r>
              <w:rPr>
                <w:rFonts w:hint="eastAsia" w:ascii="宋体" w:hAnsi="宋体"/>
                <w:szCs w:val="21"/>
              </w:rPr>
              <w:t xml:space="preserve">  </w:t>
            </w:r>
            <w:r>
              <w:rPr>
                <w:rFonts w:ascii="宋体" w:hAnsi="宋体"/>
                <w:szCs w:val="21"/>
              </w:rPr>
              <w:t>小型露天采石场应当采用台阶式开采。不能采用台阶式开采的，应当自上而下分层顺序开采。</w:t>
            </w:r>
          </w:p>
          <w:p>
            <w:pPr>
              <w:ind w:firstLine="420" w:firstLineChars="200"/>
              <w:rPr>
                <w:rFonts w:ascii="宋体" w:hAnsi="宋体"/>
                <w:szCs w:val="21"/>
              </w:rPr>
            </w:pPr>
            <w:r>
              <w:rPr>
                <w:rFonts w:hint="eastAsia" w:ascii="宋体" w:hAnsi="宋体"/>
                <w:szCs w:val="21"/>
              </w:rPr>
              <w:t>……</w:t>
            </w:r>
          </w:p>
        </w:tc>
        <w:tc>
          <w:tcPr>
            <w:tcW w:w="3687" w:type="dxa"/>
            <w:vAlign w:val="center"/>
          </w:tcPr>
          <w:p>
            <w:pPr>
              <w:ind w:firstLine="420" w:firstLineChars="200"/>
              <w:rPr>
                <w:rFonts w:ascii="宋体" w:hAnsi="宋体"/>
                <w:szCs w:val="21"/>
              </w:rPr>
            </w:pPr>
            <w:r>
              <w:rPr>
                <w:rFonts w:ascii="宋体" w:hAnsi="宋体"/>
                <w:szCs w:val="21"/>
              </w:rPr>
              <w:t>《小型露天采石场安全管理与监督检查规定》</w:t>
            </w:r>
            <w:r>
              <w:rPr>
                <w:rFonts w:hint="eastAsia" w:ascii="宋体" w:hAnsi="宋体"/>
                <w:szCs w:val="21"/>
              </w:rPr>
              <w:t xml:space="preserve">第三十九条 </w:t>
            </w:r>
            <w:r>
              <w:rPr>
                <w:rFonts w:hint="eastAsia" w:ascii="宋体" w:hAnsi="宋体"/>
                <w:szCs w:val="21"/>
                <w:lang w:val="en-US" w:eastAsia="zh-CN"/>
              </w:rPr>
              <w:t xml:space="preserve"> </w:t>
            </w:r>
            <w:r>
              <w:rPr>
                <w:rFonts w:hint="eastAsia" w:ascii="宋体" w:hAnsi="宋体"/>
                <w:szCs w:val="21"/>
              </w:rPr>
              <w:t>违反本规定第十二条、第十三条第一、二款、第十四条、第十五条、第十六条、第十七条、第十九条、第二十条第一款、第二十一条、第二十二条规定的，给予警告，并处</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万元以下的罚款。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44"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jc w:val="left"/>
              <w:rPr>
                <w:rFonts w:ascii="宋体" w:hAnsi="宋体"/>
                <w:szCs w:val="21"/>
              </w:rPr>
            </w:pPr>
          </w:p>
        </w:tc>
        <w:tc>
          <w:tcPr>
            <w:tcW w:w="1983" w:type="dxa"/>
            <w:vAlign w:val="center"/>
          </w:tcPr>
          <w:p>
            <w:pPr>
              <w:jc w:val="left"/>
              <w:rPr>
                <w:rFonts w:ascii="宋体" w:hAnsi="宋体"/>
                <w:szCs w:val="21"/>
              </w:rPr>
            </w:pPr>
            <w:r>
              <w:rPr>
                <w:rFonts w:hint="eastAsia" w:ascii="宋体" w:hAnsi="宋体"/>
                <w:szCs w:val="21"/>
              </w:rPr>
              <w:t>3.6 小型露天采石场分层参数</w:t>
            </w:r>
          </w:p>
        </w:tc>
        <w:tc>
          <w:tcPr>
            <w:tcW w:w="4818" w:type="dxa"/>
            <w:vAlign w:val="center"/>
          </w:tcPr>
          <w:p>
            <w:pPr>
              <w:ind w:firstLine="420" w:firstLineChars="200"/>
              <w:rPr>
                <w:rFonts w:ascii="宋体" w:hAnsi="宋体"/>
                <w:szCs w:val="21"/>
              </w:rPr>
            </w:pPr>
            <w:r>
              <w:rPr>
                <w:rFonts w:ascii="宋体" w:hAnsi="宋体"/>
                <w:szCs w:val="21"/>
              </w:rPr>
              <w:t>《小型露天采石场安全管理与监督检查规定》第十五条</w:t>
            </w:r>
            <w:r>
              <w:rPr>
                <w:rFonts w:hint="eastAsia" w:ascii="宋体" w:hAnsi="宋体"/>
                <w:szCs w:val="21"/>
              </w:rPr>
              <w:t xml:space="preserve">  </w:t>
            </w:r>
            <w:r>
              <w:rPr>
                <w:rFonts w:ascii="宋体" w:hAnsi="宋体"/>
                <w:szCs w:val="21"/>
              </w:rPr>
              <w:t>小型露天采石场应当采用台阶式开采。不能采用台阶式开采的，应当自上而下分层顺序开采。</w:t>
            </w:r>
          </w:p>
          <w:p>
            <w:pPr>
              <w:ind w:firstLine="360"/>
              <w:rPr>
                <w:rFonts w:ascii="宋体" w:hAnsi="宋体"/>
                <w:szCs w:val="21"/>
              </w:rPr>
            </w:pPr>
            <w:r>
              <w:rPr>
                <w:rFonts w:ascii="宋体" w:hAnsi="宋体"/>
                <w:szCs w:val="21"/>
              </w:rPr>
              <w:t>分层开采的分层高度、最大开采高度（第一分层的坡顶线到最后一分层的坡底线的垂直距离）和最终边坡角由设计确定，实施浅孔爆破作业时，分层数不得超过6个，最大开采高度不得超过30米；实施中深孔爆破作业时，分层高度不得超过20米，分层数不得超过3个，最大开采高度不得超过60米。</w:t>
            </w:r>
          </w:p>
          <w:p>
            <w:pPr>
              <w:ind w:firstLine="360"/>
              <w:rPr>
                <w:rFonts w:ascii="宋体" w:hAnsi="宋体"/>
                <w:szCs w:val="21"/>
              </w:rPr>
            </w:pPr>
            <w:r>
              <w:rPr>
                <w:rFonts w:ascii="宋体" w:hAnsi="宋体"/>
                <w:szCs w:val="21"/>
              </w:rPr>
              <w:t>分层开采的凿岩平台宽度由设计确定，最小凿岩平台宽度不得小于4米。</w:t>
            </w:r>
          </w:p>
          <w:p>
            <w:pPr>
              <w:ind w:firstLine="420" w:firstLineChars="200"/>
              <w:rPr>
                <w:rFonts w:ascii="宋体" w:hAnsi="宋体"/>
                <w:szCs w:val="21"/>
              </w:rPr>
            </w:pPr>
            <w:r>
              <w:rPr>
                <w:rFonts w:ascii="宋体" w:hAnsi="宋体"/>
                <w:szCs w:val="21"/>
              </w:rPr>
              <w:t>分层开采的底部装运平台宽度由设计确定，且应当满足调车作业所需的最小平台宽度要求。</w:t>
            </w:r>
          </w:p>
        </w:tc>
        <w:tc>
          <w:tcPr>
            <w:tcW w:w="3687" w:type="dxa"/>
            <w:vAlign w:val="center"/>
          </w:tcPr>
          <w:p>
            <w:pPr>
              <w:ind w:firstLine="420" w:firstLineChars="200"/>
              <w:rPr>
                <w:rFonts w:ascii="宋体" w:hAnsi="宋体"/>
                <w:szCs w:val="21"/>
              </w:rPr>
            </w:pPr>
            <w:r>
              <w:rPr>
                <w:rFonts w:ascii="宋体" w:hAnsi="宋体"/>
                <w:szCs w:val="21"/>
              </w:rPr>
              <w:t>《小型露天采石场安全管理与监督检查规定》</w:t>
            </w:r>
            <w:r>
              <w:rPr>
                <w:rFonts w:hint="eastAsia" w:ascii="宋体" w:hAnsi="宋体"/>
                <w:szCs w:val="21"/>
              </w:rPr>
              <w:t>第三十九条  违反本规定第十二条、第十三条第一、二款、第十四条、第十五条、第十六条、第十七条、第十九条、第二十条第一款、第二十一条、第二十二条规定的，给予警告，并处</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万元以下的罚款。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restart"/>
            <w:vAlign w:val="center"/>
          </w:tcPr>
          <w:p>
            <w:pPr>
              <w:jc w:val="center"/>
              <w:rPr>
                <w:rFonts w:ascii="宋体" w:hAnsi="宋体"/>
                <w:szCs w:val="21"/>
              </w:rPr>
            </w:pPr>
            <w:r>
              <w:rPr>
                <w:rFonts w:hint="eastAsia" w:ascii="宋体" w:hAnsi="宋体"/>
                <w:szCs w:val="21"/>
              </w:rPr>
              <w:t xml:space="preserve">4 </w:t>
            </w:r>
          </w:p>
        </w:tc>
        <w:tc>
          <w:tcPr>
            <w:tcW w:w="1704" w:type="dxa"/>
            <w:vMerge w:val="restart"/>
            <w:vAlign w:val="center"/>
          </w:tcPr>
          <w:p>
            <w:pPr>
              <w:jc w:val="left"/>
              <w:rPr>
                <w:rFonts w:ascii="宋体" w:hAnsi="宋体"/>
                <w:szCs w:val="21"/>
              </w:rPr>
            </w:pPr>
            <w:r>
              <w:rPr>
                <w:rFonts w:hint="eastAsia" w:ascii="宋体" w:hAnsi="宋体"/>
                <w:szCs w:val="21"/>
              </w:rPr>
              <w:t>采掘作业管理情况</w:t>
            </w:r>
          </w:p>
        </w:tc>
        <w:tc>
          <w:tcPr>
            <w:tcW w:w="1983" w:type="dxa"/>
            <w:vAlign w:val="center"/>
          </w:tcPr>
          <w:p>
            <w:pPr>
              <w:rPr>
                <w:rFonts w:ascii="宋体" w:hAnsi="宋体"/>
                <w:szCs w:val="21"/>
              </w:rPr>
            </w:pPr>
            <w:r>
              <w:rPr>
                <w:rFonts w:hint="eastAsia" w:ascii="宋体" w:hAnsi="宋体"/>
                <w:szCs w:val="21"/>
              </w:rPr>
              <w:t xml:space="preserve">4.1 </w:t>
            </w:r>
            <w:r>
              <w:rPr>
                <w:rFonts w:ascii="宋体" w:hAnsi="宋体"/>
                <w:szCs w:val="21"/>
              </w:rPr>
              <w:t>穿孔作业行为</w:t>
            </w:r>
          </w:p>
        </w:tc>
        <w:tc>
          <w:tcPr>
            <w:tcW w:w="4818" w:type="dxa"/>
            <w:vAlign w:val="center"/>
          </w:tcPr>
          <w:p>
            <w:pPr>
              <w:spacing w:line="240" w:lineRule="exact"/>
              <w:ind w:firstLine="420" w:firstLineChars="200"/>
              <w:rPr>
                <w:rFonts w:ascii="宋体" w:hAnsi="宋体"/>
                <w:szCs w:val="21"/>
              </w:rPr>
            </w:pPr>
            <w:r>
              <w:rPr>
                <w:rFonts w:ascii="宋体" w:hAnsi="宋体"/>
                <w:szCs w:val="21"/>
              </w:rPr>
              <w:t>《安全生产法》第五十四条</w:t>
            </w:r>
            <w:r>
              <w:rPr>
                <w:rFonts w:hint="eastAsia" w:ascii="宋体" w:hAnsi="宋体"/>
                <w:szCs w:val="21"/>
              </w:rPr>
              <w:t xml:space="preserve">  </w:t>
            </w:r>
            <w:r>
              <w:rPr>
                <w:rFonts w:ascii="宋体" w:hAnsi="宋体"/>
                <w:szCs w:val="21"/>
              </w:rPr>
              <w:t>从业人员在作业过程中，应当严格遵守本单位的安全生产部门规章制度和操作规程，服从管理，正确佩戴和使用劳动防护用品。</w:t>
            </w:r>
          </w:p>
          <w:p>
            <w:pPr>
              <w:spacing w:line="240" w:lineRule="exact"/>
              <w:ind w:firstLine="420" w:firstLineChars="200"/>
              <w:rPr>
                <w:rFonts w:ascii="宋体" w:hAnsi="宋体"/>
                <w:szCs w:val="21"/>
                <w:highlight w:val="none"/>
              </w:rPr>
            </w:pPr>
            <w:r>
              <w:rPr>
                <w:rFonts w:ascii="宋体" w:hAnsi="宋体"/>
                <w:szCs w:val="21"/>
                <w:highlight w:val="none"/>
              </w:rPr>
              <w:t>《金属非金属矿山安全规程》（GB 16423-2006）</w:t>
            </w:r>
          </w:p>
          <w:p>
            <w:pPr>
              <w:spacing w:line="240" w:lineRule="exact"/>
              <w:ind w:firstLine="420" w:firstLineChars="200"/>
              <w:rPr>
                <w:rFonts w:ascii="宋体" w:hAnsi="宋体"/>
                <w:szCs w:val="21"/>
              </w:rPr>
            </w:pPr>
            <w:r>
              <w:rPr>
                <w:rFonts w:ascii="宋体" w:hAnsi="宋体"/>
                <w:szCs w:val="21"/>
                <w:highlight w:val="none"/>
              </w:rPr>
              <w:t>5.2.2.4</w:t>
            </w:r>
            <w:r>
              <w:rPr>
                <w:rFonts w:hint="eastAsia" w:ascii="宋体" w:hAnsi="宋体"/>
                <w:szCs w:val="21"/>
                <w:highlight w:val="none"/>
              </w:rPr>
              <w:t xml:space="preserve">  移动电缆和停、切、送电源时，应严格穿戴好高压绝缘手套和绝缘鞋，使用符合安全要求的电缆钩；跨越公路的电缆，应埋设在地下。钻机发生接地故障时，应立即停机，同时任何人均不应上、下钻机。打雷、暴雨、大雪或大风天气，不应上钻架顶作业。不应双层作业。</w:t>
            </w:r>
          </w:p>
        </w:tc>
        <w:tc>
          <w:tcPr>
            <w:tcW w:w="3687" w:type="dxa"/>
            <w:vAlign w:val="center"/>
          </w:tcPr>
          <w:p>
            <w:pPr>
              <w:ind w:firstLine="420" w:firstLineChars="200"/>
              <w:rPr>
                <w:rFonts w:ascii="宋体" w:hAnsi="宋体"/>
                <w:szCs w:val="21"/>
              </w:rPr>
            </w:pPr>
            <w:r>
              <w:rPr>
                <w:rFonts w:ascii="宋体" w:hAnsi="宋体"/>
                <w:szCs w:val="21"/>
              </w:rPr>
              <w:t>《安全生产违法行为行政处罚办法》第四十五条</w:t>
            </w:r>
            <w:r>
              <w:rPr>
                <w:rFonts w:hint="eastAsia" w:ascii="宋体" w:hAnsi="宋体"/>
                <w:szCs w:val="21"/>
              </w:rPr>
              <w:t xml:space="preserve">  </w:t>
            </w:r>
            <w:r>
              <w:rPr>
                <w:rFonts w:ascii="宋体" w:hAnsi="宋体"/>
                <w:szCs w:val="21"/>
              </w:rPr>
              <w:t>生产经营单位及其主要负责人或者其他人员有下列行为之一的，给予警告，并可以对生产经营单位处1万元以上3万元以下罚款，对其主要负责人、其他有关人员处1000元以上1万元以下的罚款：</w:t>
            </w:r>
          </w:p>
          <w:p>
            <w:pPr>
              <w:ind w:firstLine="420" w:firstLineChars="200"/>
              <w:rPr>
                <w:rFonts w:ascii="宋体" w:hAnsi="宋体"/>
                <w:szCs w:val="21"/>
              </w:rPr>
            </w:pPr>
            <w:r>
              <w:rPr>
                <w:rFonts w:ascii="宋体" w:hAnsi="宋体"/>
                <w:szCs w:val="21"/>
              </w:rPr>
              <w:t>（一）违反操作规程或者安全管理规定作业的</w:t>
            </w:r>
          </w:p>
          <w:p>
            <w:pPr>
              <w:ind w:firstLine="420" w:firstLineChars="200"/>
              <w:rPr>
                <w:rFonts w:ascii="宋体" w:hAnsi="宋体"/>
                <w:szCs w:val="21"/>
              </w:rPr>
            </w:pPr>
            <w:r>
              <w:rPr>
                <w:rFonts w:hint="eastAsia" w:ascii="宋体" w:hAnsi="宋体"/>
                <w:szCs w:val="21"/>
              </w:rPr>
              <w:t>……</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02"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rPr>
                <w:rFonts w:ascii="宋体" w:hAnsi="宋体"/>
                <w:szCs w:val="21"/>
              </w:rPr>
            </w:pPr>
          </w:p>
        </w:tc>
        <w:tc>
          <w:tcPr>
            <w:tcW w:w="1983" w:type="dxa"/>
            <w:vAlign w:val="center"/>
          </w:tcPr>
          <w:p>
            <w:pPr>
              <w:jc w:val="left"/>
              <w:rPr>
                <w:szCs w:val="21"/>
              </w:rPr>
            </w:pPr>
            <w:r>
              <w:rPr>
                <w:rFonts w:hint="eastAsia" w:ascii="宋体" w:hAnsi="宋体"/>
                <w:szCs w:val="21"/>
              </w:rPr>
              <w:t xml:space="preserve">4.2 </w:t>
            </w:r>
            <w:r>
              <w:rPr>
                <w:szCs w:val="21"/>
              </w:rPr>
              <w:t>铲装作业行为</w:t>
            </w:r>
          </w:p>
        </w:tc>
        <w:tc>
          <w:tcPr>
            <w:tcW w:w="4818" w:type="dxa"/>
            <w:vAlign w:val="center"/>
          </w:tcPr>
          <w:p>
            <w:pPr>
              <w:spacing w:line="240" w:lineRule="exact"/>
              <w:ind w:firstLine="420" w:firstLineChars="200"/>
              <w:rPr>
                <w:rFonts w:ascii="宋体" w:hAnsi="宋体"/>
                <w:szCs w:val="21"/>
                <w:highlight w:val="none"/>
              </w:rPr>
            </w:pPr>
            <w:r>
              <w:rPr>
                <w:rFonts w:ascii="宋体" w:hAnsi="宋体"/>
                <w:szCs w:val="21"/>
              </w:rPr>
              <w:t>《安全生产法》第五十四条</w:t>
            </w:r>
            <w:r>
              <w:rPr>
                <w:rFonts w:hint="eastAsia" w:ascii="宋体" w:hAnsi="宋体"/>
                <w:szCs w:val="21"/>
              </w:rPr>
              <w:t xml:space="preserve">  </w:t>
            </w:r>
            <w:r>
              <w:rPr>
                <w:rFonts w:ascii="宋体" w:hAnsi="宋体"/>
                <w:szCs w:val="21"/>
              </w:rPr>
              <w:t>从业人员在作业过程中，应当严格遵守本单位的安全生产部门规章制度和操作规程，服从管理，正确佩戴和使用劳动防护用品。</w:t>
            </w:r>
          </w:p>
          <w:p>
            <w:pPr>
              <w:spacing w:line="240" w:lineRule="exact"/>
              <w:ind w:firstLine="420" w:firstLineChars="200"/>
              <w:rPr>
                <w:rFonts w:ascii="宋体" w:hAnsi="宋体"/>
                <w:szCs w:val="21"/>
                <w:highlight w:val="none"/>
              </w:rPr>
            </w:pPr>
            <w:r>
              <w:rPr>
                <w:rFonts w:hint="eastAsia" w:ascii="宋体" w:hAnsi="宋体"/>
                <w:szCs w:val="21"/>
                <w:highlight w:val="none"/>
              </w:rPr>
              <w:t>《金属非金属矿山安全规程》（GB 16423-2006）</w:t>
            </w:r>
          </w:p>
          <w:p>
            <w:pPr>
              <w:spacing w:line="240" w:lineRule="exact"/>
              <w:ind w:firstLine="420" w:firstLineChars="200"/>
              <w:rPr>
                <w:rFonts w:ascii="宋体" w:hAnsi="宋体"/>
                <w:szCs w:val="21"/>
              </w:rPr>
            </w:pPr>
            <w:r>
              <w:rPr>
                <w:rFonts w:hint="eastAsia" w:ascii="宋体" w:hAnsi="宋体"/>
                <w:szCs w:val="21"/>
              </w:rPr>
              <w:t>5.2.3.7  两台以上的挖掘机在同一平台上作业时，挖掘机的间距：汽车运输时，应不小于其最大挖掘半径的3倍，且应不小于50m；机车运输时，应不小于二列列车的长度。</w:t>
            </w:r>
          </w:p>
          <w:p>
            <w:pPr>
              <w:spacing w:line="240" w:lineRule="exact"/>
              <w:ind w:firstLine="420" w:firstLineChars="200"/>
              <w:rPr>
                <w:rFonts w:ascii="宋体" w:hAnsi="宋体"/>
                <w:szCs w:val="21"/>
              </w:rPr>
            </w:pPr>
            <w:r>
              <w:rPr>
                <w:rFonts w:hint="eastAsia" w:ascii="宋体" w:hAnsi="宋体"/>
                <w:szCs w:val="21"/>
              </w:rPr>
              <w:t>5.2.3.8  上、下台阶同时作业的挖掘机，应沿台阶走向错开一定的距离；在上部台阶边缘安全带进行辅助作业的挖掘机，应超前下部台阶正常作业的挖掘机最大挖掘半径3倍的距离，且不小于50m。</w:t>
            </w:r>
          </w:p>
        </w:tc>
        <w:tc>
          <w:tcPr>
            <w:tcW w:w="3687" w:type="dxa"/>
            <w:vAlign w:val="center"/>
          </w:tcPr>
          <w:p>
            <w:pPr>
              <w:ind w:firstLine="420" w:firstLineChars="200"/>
              <w:rPr>
                <w:rFonts w:ascii="宋体" w:hAnsi="宋体"/>
                <w:szCs w:val="21"/>
              </w:rPr>
            </w:pPr>
            <w:r>
              <w:rPr>
                <w:rFonts w:ascii="宋体" w:hAnsi="宋体"/>
                <w:szCs w:val="21"/>
              </w:rPr>
              <w:t>《安全生产违法行为行政处罚办法》第四十五条</w:t>
            </w:r>
            <w:r>
              <w:rPr>
                <w:rFonts w:hint="eastAsia" w:ascii="宋体" w:hAnsi="宋体"/>
                <w:szCs w:val="21"/>
              </w:rPr>
              <w:t xml:space="preserve">  </w:t>
            </w:r>
            <w:r>
              <w:rPr>
                <w:rFonts w:ascii="宋体" w:hAnsi="宋体"/>
                <w:szCs w:val="21"/>
              </w:rPr>
              <w:t>生产经营单位及其主要负责人或者其他人员有下列行为之一的，给予警告，并可以对生产经营单位处1万元以上3万元以下罚款，对其主要负责人、其他有关人员处1000元以上1万元以下的罚款：</w:t>
            </w:r>
          </w:p>
          <w:p>
            <w:pPr>
              <w:ind w:firstLine="420" w:firstLineChars="200"/>
              <w:rPr>
                <w:rFonts w:ascii="宋体" w:hAnsi="宋体"/>
                <w:szCs w:val="21"/>
              </w:rPr>
            </w:pPr>
            <w:r>
              <w:rPr>
                <w:rFonts w:ascii="宋体" w:hAnsi="宋体"/>
                <w:szCs w:val="21"/>
              </w:rPr>
              <w:t>（一）违反操作规程或者安全管理规定作业的</w:t>
            </w:r>
          </w:p>
          <w:p>
            <w:pPr>
              <w:ind w:firstLine="420" w:firstLineChars="200"/>
              <w:rPr>
                <w:rFonts w:ascii="宋体" w:hAnsi="宋体"/>
                <w:szCs w:val="21"/>
              </w:rPr>
            </w:pPr>
            <w:r>
              <w:rPr>
                <w:rFonts w:hint="eastAsia" w:ascii="宋体" w:hAnsi="宋体"/>
                <w:szCs w:val="21"/>
              </w:rPr>
              <w:t>……</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60"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jc w:val="left"/>
              <w:rPr>
                <w:rFonts w:ascii="宋体" w:hAnsi="宋体"/>
                <w:szCs w:val="21"/>
              </w:rPr>
            </w:pPr>
          </w:p>
        </w:tc>
        <w:tc>
          <w:tcPr>
            <w:tcW w:w="1983" w:type="dxa"/>
            <w:vAlign w:val="center"/>
          </w:tcPr>
          <w:p>
            <w:pPr>
              <w:rPr>
                <w:rFonts w:ascii="宋体" w:hAnsi="宋体"/>
                <w:szCs w:val="21"/>
              </w:rPr>
            </w:pPr>
            <w:r>
              <w:rPr>
                <w:rFonts w:hint="eastAsia" w:ascii="宋体" w:hAnsi="宋体"/>
                <w:szCs w:val="21"/>
              </w:rPr>
              <w:t xml:space="preserve">4.3 </w:t>
            </w:r>
            <w:r>
              <w:rPr>
                <w:rFonts w:ascii="宋体" w:hAnsi="宋体"/>
                <w:szCs w:val="21"/>
              </w:rPr>
              <w:t>护栏、挡车墙设置</w:t>
            </w:r>
          </w:p>
        </w:tc>
        <w:tc>
          <w:tcPr>
            <w:tcW w:w="4818" w:type="dxa"/>
            <w:vAlign w:val="center"/>
          </w:tcPr>
          <w:p>
            <w:pPr>
              <w:ind w:firstLine="420" w:firstLineChars="200"/>
              <w:rPr>
                <w:rFonts w:ascii="宋体" w:hAnsi="宋体"/>
                <w:szCs w:val="21"/>
              </w:rPr>
            </w:pPr>
            <w:r>
              <w:rPr>
                <w:rFonts w:hint="eastAsia" w:ascii="宋体" w:hAnsi="宋体"/>
                <w:szCs w:val="21"/>
              </w:rPr>
              <w:t>《金属非金属矿山安全规程》</w:t>
            </w:r>
            <w:r>
              <w:rPr>
                <w:rFonts w:hint="eastAsia" w:ascii="宋体" w:hAnsi="宋体"/>
                <w:szCs w:val="21"/>
                <w:highlight w:val="none"/>
              </w:rPr>
              <w:t>（GB 16423-2006）</w:t>
            </w:r>
          </w:p>
          <w:p>
            <w:pPr>
              <w:ind w:firstLine="420" w:firstLineChars="200"/>
              <w:rPr>
                <w:rFonts w:ascii="宋体" w:hAnsi="宋体"/>
                <w:szCs w:val="21"/>
              </w:rPr>
            </w:pPr>
            <w:r>
              <w:rPr>
                <w:rFonts w:ascii="宋体" w:hAnsi="宋体"/>
                <w:szCs w:val="21"/>
              </w:rPr>
              <w:t>5.3.2.6</w:t>
            </w:r>
            <w:r>
              <w:rPr>
                <w:rFonts w:hint="eastAsia" w:ascii="宋体" w:hAnsi="宋体"/>
                <w:szCs w:val="21"/>
              </w:rPr>
              <w:t xml:space="preserve">  山坡填方的弯道、坡度较大的填方地段以及高堤路基路段，外侧应设置护栏、挡车墙等。</w:t>
            </w:r>
          </w:p>
        </w:tc>
        <w:tc>
          <w:tcPr>
            <w:tcW w:w="3687" w:type="dxa"/>
            <w:vAlign w:val="center"/>
          </w:tcPr>
          <w:p>
            <w:pPr>
              <w:spacing w:line="300" w:lineRule="exact"/>
              <w:ind w:firstLine="420" w:firstLineChars="200"/>
              <w:rPr>
                <w:rFonts w:ascii="宋体" w:hAnsi="宋体"/>
                <w:szCs w:val="21"/>
              </w:rPr>
            </w:pPr>
            <w:r>
              <w:rPr>
                <w:rFonts w:ascii="宋体" w:hAnsi="宋体"/>
                <w:szCs w:val="21"/>
              </w:rPr>
              <w:t>《安全生产违法行为行政处罚办法》第四十五条</w:t>
            </w:r>
            <w:r>
              <w:rPr>
                <w:rFonts w:hint="eastAsia" w:ascii="宋体" w:hAnsi="宋体"/>
                <w:szCs w:val="21"/>
              </w:rPr>
              <w:t xml:space="preserve">  </w:t>
            </w:r>
            <w:r>
              <w:rPr>
                <w:rFonts w:ascii="宋体" w:hAnsi="宋体"/>
                <w:szCs w:val="21"/>
              </w:rPr>
              <w:t>生产经营单位及其主要负责人或者其他人员有下列行为之一的，给予警告，并可以对生产经营单位处1万元以上3万元以下罚款，对其主要负责人、其他有关人员处1000元以上1万元以下的罚款：</w:t>
            </w:r>
          </w:p>
          <w:p>
            <w:pPr>
              <w:spacing w:line="300" w:lineRule="exact"/>
              <w:ind w:firstLine="420" w:firstLineChars="200"/>
              <w:rPr>
                <w:rFonts w:ascii="宋体" w:hAnsi="宋体"/>
                <w:szCs w:val="21"/>
              </w:rPr>
            </w:pPr>
            <w:r>
              <w:rPr>
                <w:rFonts w:ascii="宋体" w:hAnsi="宋体"/>
                <w:szCs w:val="21"/>
              </w:rPr>
              <w:t>（一）违反操作规程或者安全管理规定作业的</w:t>
            </w:r>
          </w:p>
          <w:p>
            <w:pPr>
              <w:spacing w:line="300" w:lineRule="exact"/>
              <w:ind w:firstLine="420" w:firstLineChars="200"/>
              <w:rPr>
                <w:rFonts w:ascii="宋体" w:hAnsi="宋体"/>
                <w:szCs w:val="21"/>
              </w:rPr>
            </w:pPr>
            <w:r>
              <w:rPr>
                <w:rFonts w:hint="eastAsia" w:ascii="宋体" w:hAnsi="宋体"/>
                <w:szCs w:val="21"/>
                <w:highlight w:val="none"/>
              </w:rPr>
              <w:t>……</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restart"/>
            <w:vAlign w:val="center"/>
          </w:tcPr>
          <w:p>
            <w:pPr>
              <w:spacing w:line="240" w:lineRule="atLeast"/>
              <w:jc w:val="center"/>
              <w:rPr>
                <w:rFonts w:ascii="宋体" w:hAnsi="宋体"/>
                <w:szCs w:val="21"/>
              </w:rPr>
            </w:pPr>
            <w:r>
              <w:rPr>
                <w:rFonts w:ascii="宋体" w:hAnsi="宋体"/>
                <w:szCs w:val="21"/>
              </w:rPr>
              <w:t>5</w:t>
            </w:r>
          </w:p>
        </w:tc>
        <w:tc>
          <w:tcPr>
            <w:tcW w:w="1704" w:type="dxa"/>
            <w:vMerge w:val="restart"/>
            <w:vAlign w:val="center"/>
          </w:tcPr>
          <w:p>
            <w:pPr>
              <w:spacing w:line="240" w:lineRule="atLeast"/>
              <w:jc w:val="left"/>
              <w:rPr>
                <w:rFonts w:ascii="宋体" w:hAnsi="宋体"/>
                <w:szCs w:val="21"/>
              </w:rPr>
            </w:pPr>
            <w:r>
              <w:rPr>
                <w:rFonts w:hint="eastAsia" w:ascii="宋体" w:hAnsi="宋体"/>
                <w:szCs w:val="21"/>
              </w:rPr>
              <w:t>运输系统</w:t>
            </w:r>
          </w:p>
        </w:tc>
        <w:tc>
          <w:tcPr>
            <w:tcW w:w="1983" w:type="dxa"/>
            <w:vAlign w:val="center"/>
          </w:tcPr>
          <w:p>
            <w:pPr>
              <w:spacing w:line="240" w:lineRule="atLeast"/>
              <w:rPr>
                <w:rFonts w:ascii="宋体" w:hAnsi="宋体"/>
                <w:szCs w:val="21"/>
              </w:rPr>
            </w:pPr>
            <w:r>
              <w:rPr>
                <w:rFonts w:ascii="宋体" w:hAnsi="宋体"/>
                <w:szCs w:val="21"/>
              </w:rPr>
              <w:t xml:space="preserve">5.1 </w:t>
            </w:r>
            <w:r>
              <w:rPr>
                <w:rFonts w:hint="eastAsia" w:ascii="宋体" w:hAnsi="宋体"/>
                <w:szCs w:val="21"/>
              </w:rPr>
              <w:t>铁路运输</w:t>
            </w:r>
          </w:p>
        </w:tc>
        <w:tc>
          <w:tcPr>
            <w:tcW w:w="4818" w:type="dxa"/>
            <w:vAlign w:val="center"/>
          </w:tcPr>
          <w:p>
            <w:pPr>
              <w:spacing w:line="240" w:lineRule="atLeast"/>
              <w:ind w:firstLine="420" w:firstLineChars="200"/>
              <w:rPr>
                <w:rFonts w:ascii="宋体" w:hAnsi="宋体"/>
                <w:szCs w:val="21"/>
                <w:highlight w:val="none"/>
              </w:rPr>
            </w:pPr>
            <w:r>
              <w:rPr>
                <w:rFonts w:ascii="宋体" w:hAnsi="宋体"/>
                <w:szCs w:val="21"/>
              </w:rPr>
              <w:t>《金属非金属矿山安全规程</w:t>
            </w:r>
            <w:r>
              <w:rPr>
                <w:rFonts w:ascii="宋体" w:hAnsi="宋体"/>
                <w:szCs w:val="21"/>
                <w:highlight w:val="none"/>
              </w:rPr>
              <w:t>》（GB 16423-2006）</w:t>
            </w:r>
          </w:p>
          <w:p>
            <w:pPr>
              <w:spacing w:line="240" w:lineRule="atLeast"/>
              <w:ind w:firstLine="420" w:firstLineChars="200"/>
              <w:rPr>
                <w:rFonts w:ascii="宋体" w:hAnsi="宋体"/>
                <w:szCs w:val="21"/>
              </w:rPr>
            </w:pPr>
            <w:r>
              <w:rPr>
                <w:rFonts w:ascii="宋体" w:hAnsi="宋体"/>
                <w:szCs w:val="21"/>
              </w:rPr>
              <w:t>5.3.1.9</w:t>
            </w:r>
            <w:r>
              <w:rPr>
                <w:rFonts w:hint="eastAsia" w:ascii="宋体" w:hAnsi="宋体"/>
                <w:szCs w:val="21"/>
              </w:rPr>
              <w:t xml:space="preserve">  </w:t>
            </w:r>
            <w:r>
              <w:rPr>
                <w:rFonts w:ascii="宋体" w:hAnsi="宋体"/>
                <w:szCs w:val="21"/>
              </w:rPr>
              <w:t>同一调车线路，不应两端同时进行调车。采取溜放方式调车时，应有相应的安全制动措施。在运行区间内不准甩车。在站线坡度大于2.5‰(滚动轴承车辆大于1.5‰，窄轨大于3‰)的坡道上进行甩车作业时，应采取防溜措施。</w:t>
            </w:r>
          </w:p>
        </w:tc>
        <w:tc>
          <w:tcPr>
            <w:tcW w:w="3687" w:type="dxa"/>
            <w:vAlign w:val="center"/>
          </w:tcPr>
          <w:p>
            <w:pPr>
              <w:spacing w:line="240" w:lineRule="exact"/>
              <w:ind w:firstLine="420" w:firstLineChars="200"/>
              <w:rPr>
                <w:rFonts w:ascii="宋体" w:hAnsi="宋体"/>
                <w:szCs w:val="21"/>
              </w:rPr>
            </w:pPr>
            <w:r>
              <w:rPr>
                <w:rFonts w:hint="eastAsia" w:ascii="宋体" w:hAnsi="宋体"/>
                <w:szCs w:val="21"/>
              </w:rPr>
              <w:t>《安全生产违法行为行政处罚办法》第四十五条  生产经营单位及其主要负责人或者其他人员有下列行为之一的，给予警告，并可以对生产经营单位处1万元以上3万元以下罚款，对其主要负责人、其他有关人员处1000元以上1万元以下的罚款：</w:t>
            </w:r>
          </w:p>
          <w:p>
            <w:pPr>
              <w:spacing w:line="240" w:lineRule="exact"/>
              <w:ind w:firstLine="420" w:firstLineChars="200"/>
              <w:rPr>
                <w:rFonts w:ascii="宋体" w:hAnsi="宋体"/>
                <w:szCs w:val="21"/>
              </w:rPr>
            </w:pPr>
            <w:r>
              <w:rPr>
                <w:rFonts w:hint="eastAsia" w:ascii="宋体" w:hAnsi="宋体"/>
                <w:szCs w:val="21"/>
              </w:rPr>
              <w:t>（一）违反操作规程或者安全管理规定作业的；</w:t>
            </w:r>
          </w:p>
          <w:p>
            <w:pPr>
              <w:spacing w:line="240" w:lineRule="exact"/>
              <w:ind w:firstLine="420" w:firstLineChars="200"/>
              <w:rPr>
                <w:rFonts w:ascii="宋体" w:hAnsi="宋体"/>
                <w:szCs w:val="21"/>
              </w:rPr>
            </w:pPr>
            <w:r>
              <w:rPr>
                <w:rFonts w:hint="eastAsia" w:ascii="宋体" w:hAnsi="宋体"/>
                <w:szCs w:val="21"/>
              </w:rPr>
              <w:t>……</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60"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jc w:val="left"/>
              <w:rPr>
                <w:rFonts w:ascii="宋体" w:hAnsi="宋体"/>
                <w:szCs w:val="21"/>
              </w:rPr>
            </w:pPr>
          </w:p>
        </w:tc>
        <w:tc>
          <w:tcPr>
            <w:tcW w:w="1983" w:type="dxa"/>
            <w:vMerge w:val="restart"/>
            <w:vAlign w:val="center"/>
          </w:tcPr>
          <w:p>
            <w:pPr>
              <w:rPr>
                <w:rFonts w:ascii="宋体" w:hAnsi="宋体"/>
                <w:szCs w:val="21"/>
              </w:rPr>
            </w:pPr>
            <w:r>
              <w:rPr>
                <w:rFonts w:ascii="宋体" w:hAnsi="宋体"/>
                <w:szCs w:val="21"/>
              </w:rPr>
              <w:t xml:space="preserve">5.2 </w:t>
            </w:r>
            <w:r>
              <w:rPr>
                <w:rFonts w:hint="eastAsia" w:ascii="宋体" w:hAnsi="宋体"/>
                <w:szCs w:val="21"/>
              </w:rPr>
              <w:t>道路运输</w:t>
            </w:r>
          </w:p>
        </w:tc>
        <w:tc>
          <w:tcPr>
            <w:tcW w:w="4818" w:type="dxa"/>
            <w:vMerge w:val="restart"/>
            <w:vAlign w:val="center"/>
          </w:tcPr>
          <w:p>
            <w:pPr>
              <w:ind w:firstLine="420" w:firstLineChars="200"/>
              <w:rPr>
                <w:rFonts w:ascii="宋体" w:hAnsi="宋体"/>
                <w:szCs w:val="21"/>
              </w:rPr>
            </w:pPr>
            <w:r>
              <w:rPr>
                <w:rFonts w:ascii="宋体" w:hAnsi="宋体"/>
                <w:szCs w:val="21"/>
              </w:rPr>
              <w:t>《金属非金属矿山安全规程</w:t>
            </w:r>
            <w:r>
              <w:rPr>
                <w:rFonts w:ascii="宋体" w:hAnsi="宋体"/>
                <w:szCs w:val="21"/>
                <w:highlight w:val="none"/>
              </w:rPr>
              <w:t>》（GB 16423-2006）</w:t>
            </w:r>
          </w:p>
          <w:p>
            <w:pPr>
              <w:ind w:firstLine="420" w:firstLineChars="200"/>
              <w:rPr>
                <w:rFonts w:ascii="宋体" w:hAnsi="宋体"/>
                <w:szCs w:val="21"/>
              </w:rPr>
            </w:pPr>
            <w:r>
              <w:rPr>
                <w:rFonts w:ascii="宋体" w:hAnsi="宋体"/>
                <w:szCs w:val="21"/>
              </w:rPr>
              <w:t>5.3.2.5</w:t>
            </w:r>
            <w:r>
              <w:rPr>
                <w:rFonts w:hint="eastAsia" w:ascii="宋体" w:hAnsi="宋体"/>
                <w:szCs w:val="21"/>
              </w:rPr>
              <w:t xml:space="preserve">  </w:t>
            </w:r>
            <w:r>
              <w:rPr>
                <w:rFonts w:ascii="宋体" w:hAnsi="宋体"/>
                <w:szCs w:val="21"/>
              </w:rPr>
              <w:t>冰雪或多雨季节道路较滑时，应有防滑措施并减速行驶；前后车距应不小于40m；拖挂其他车辆时，应采取有效的安全措施，并有专人指挥。</w:t>
            </w:r>
          </w:p>
        </w:tc>
        <w:tc>
          <w:tcPr>
            <w:tcW w:w="3687" w:type="dxa"/>
            <w:vMerge w:val="restart"/>
            <w:vAlign w:val="center"/>
          </w:tcPr>
          <w:p>
            <w:pPr>
              <w:spacing w:line="240" w:lineRule="exact"/>
              <w:ind w:firstLine="420" w:firstLineChars="200"/>
              <w:rPr>
                <w:rFonts w:ascii="宋体" w:hAnsi="宋体"/>
                <w:szCs w:val="21"/>
              </w:rPr>
            </w:pPr>
            <w:r>
              <w:rPr>
                <w:rFonts w:hint="eastAsia" w:ascii="宋体" w:hAnsi="宋体"/>
                <w:szCs w:val="21"/>
              </w:rPr>
              <w:t>《安全生产违法行为行政处罚办法》第四十五条  生产经营单位及其主要负责人或者其他人员有下列行为之一的，给予警告，并可以对生产经营单位处</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万元以下罚款，对其主要负责人、其他有关人员处</w:t>
            </w:r>
            <w:r>
              <w:rPr>
                <w:rFonts w:ascii="宋体" w:hAnsi="宋体"/>
                <w:szCs w:val="21"/>
              </w:rPr>
              <w:t>1000</w:t>
            </w:r>
            <w:r>
              <w:rPr>
                <w:rFonts w:hint="eastAsia" w:ascii="宋体" w:hAnsi="宋体"/>
                <w:szCs w:val="21"/>
              </w:rPr>
              <w:t>元以上</w:t>
            </w:r>
            <w:r>
              <w:rPr>
                <w:rFonts w:ascii="宋体" w:hAnsi="宋体"/>
                <w:szCs w:val="21"/>
              </w:rPr>
              <w:t>1</w:t>
            </w:r>
            <w:r>
              <w:rPr>
                <w:rFonts w:hint="eastAsia" w:ascii="宋体" w:hAnsi="宋体"/>
                <w:szCs w:val="21"/>
              </w:rPr>
              <w:t>万元以下的罚款：</w:t>
            </w:r>
          </w:p>
          <w:p>
            <w:pPr>
              <w:spacing w:line="240" w:lineRule="exact"/>
              <w:ind w:firstLine="420" w:firstLineChars="200"/>
              <w:rPr>
                <w:rFonts w:ascii="宋体" w:hAnsi="宋体"/>
                <w:szCs w:val="21"/>
              </w:rPr>
            </w:pPr>
            <w:r>
              <w:rPr>
                <w:rFonts w:hint="eastAsia" w:ascii="宋体" w:hAnsi="宋体"/>
                <w:szCs w:val="21"/>
              </w:rPr>
              <w:t>（一）违反操作规程或者安全管理规定作业的；</w:t>
            </w:r>
          </w:p>
          <w:p>
            <w:pPr>
              <w:spacing w:line="240" w:lineRule="exact"/>
              <w:ind w:firstLine="420" w:firstLineChars="200"/>
              <w:rPr>
                <w:rFonts w:ascii="宋体" w:hAnsi="宋体"/>
                <w:szCs w:val="21"/>
              </w:rPr>
            </w:pPr>
            <w:r>
              <w:rPr>
                <w:rFonts w:ascii="宋体" w:hAnsi="宋体"/>
                <w:szCs w:val="21"/>
              </w:rPr>
              <w:t>……</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jc w:val="left"/>
              <w:rPr>
                <w:rFonts w:ascii="宋体" w:hAnsi="宋体"/>
                <w:szCs w:val="21"/>
              </w:rPr>
            </w:pPr>
          </w:p>
        </w:tc>
        <w:tc>
          <w:tcPr>
            <w:tcW w:w="1983" w:type="dxa"/>
            <w:vMerge w:val="continue"/>
            <w:vAlign w:val="center"/>
          </w:tcPr>
          <w:p>
            <w:pPr>
              <w:rPr>
                <w:rFonts w:ascii="宋体" w:hAnsi="宋体"/>
                <w:szCs w:val="21"/>
              </w:rPr>
            </w:pPr>
          </w:p>
        </w:tc>
        <w:tc>
          <w:tcPr>
            <w:tcW w:w="4818" w:type="dxa"/>
            <w:vMerge w:val="continue"/>
            <w:vAlign w:val="center"/>
          </w:tcPr>
          <w:p>
            <w:pPr>
              <w:ind w:firstLine="420" w:firstLineChars="200"/>
              <w:rPr>
                <w:rFonts w:ascii="宋体" w:hAnsi="宋体"/>
                <w:szCs w:val="21"/>
              </w:rPr>
            </w:pPr>
          </w:p>
        </w:tc>
        <w:tc>
          <w:tcPr>
            <w:tcW w:w="3687" w:type="dxa"/>
            <w:vMerge w:val="continue"/>
            <w:vAlign w:val="center"/>
          </w:tcPr>
          <w:p>
            <w:pPr>
              <w:ind w:firstLine="420" w:firstLineChars="200"/>
              <w:rPr>
                <w:rFonts w:ascii="宋体" w:hAnsi="宋体"/>
                <w:szCs w:val="21"/>
              </w:rPr>
            </w:pP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44" w:hRule="atLeast"/>
          <w:jc w:val="center"/>
        </w:trPr>
        <w:tc>
          <w:tcPr>
            <w:tcW w:w="816" w:type="dxa"/>
            <w:vMerge w:val="continue"/>
            <w:vAlign w:val="center"/>
          </w:tcPr>
          <w:p>
            <w:pPr>
              <w:keepNext/>
              <w:keepLines/>
              <w:spacing w:before="260" w:after="260" w:line="416" w:lineRule="auto"/>
              <w:jc w:val="center"/>
              <w:rPr>
                <w:rFonts w:ascii="宋体" w:hAnsi="宋体"/>
                <w:szCs w:val="21"/>
              </w:rPr>
            </w:pPr>
          </w:p>
        </w:tc>
        <w:tc>
          <w:tcPr>
            <w:tcW w:w="1704" w:type="dxa"/>
            <w:vMerge w:val="continue"/>
            <w:vAlign w:val="center"/>
          </w:tcPr>
          <w:p>
            <w:pPr>
              <w:keepNext/>
              <w:keepLines/>
              <w:spacing w:before="260" w:after="260" w:line="416" w:lineRule="auto"/>
              <w:jc w:val="left"/>
              <w:rPr>
                <w:rFonts w:ascii="宋体" w:hAnsi="宋体"/>
                <w:szCs w:val="21"/>
              </w:rPr>
            </w:pPr>
          </w:p>
        </w:tc>
        <w:tc>
          <w:tcPr>
            <w:tcW w:w="1983" w:type="dxa"/>
            <w:vMerge w:val="restart"/>
            <w:vAlign w:val="center"/>
          </w:tcPr>
          <w:p>
            <w:pPr>
              <w:rPr>
                <w:rFonts w:ascii="宋体" w:hAnsi="宋体"/>
                <w:szCs w:val="21"/>
              </w:rPr>
            </w:pPr>
            <w:r>
              <w:rPr>
                <w:rFonts w:ascii="宋体" w:hAnsi="宋体"/>
                <w:szCs w:val="21"/>
              </w:rPr>
              <w:t xml:space="preserve">5.3 </w:t>
            </w:r>
            <w:r>
              <w:rPr>
                <w:rFonts w:hint="eastAsia" w:ascii="宋体" w:hAnsi="宋体"/>
                <w:szCs w:val="21"/>
              </w:rPr>
              <w:t>溜槽、平硐溜井运输</w:t>
            </w:r>
          </w:p>
        </w:tc>
        <w:tc>
          <w:tcPr>
            <w:tcW w:w="4818" w:type="dxa"/>
            <w:vMerge w:val="restart"/>
            <w:vAlign w:val="center"/>
          </w:tcPr>
          <w:p>
            <w:pPr>
              <w:ind w:firstLine="420" w:firstLineChars="200"/>
              <w:rPr>
                <w:rFonts w:ascii="宋体" w:hAnsi="宋体"/>
                <w:szCs w:val="21"/>
              </w:rPr>
            </w:pPr>
            <w:r>
              <w:rPr>
                <w:rFonts w:ascii="宋体" w:hAnsi="宋体"/>
                <w:szCs w:val="21"/>
              </w:rPr>
              <w:t>《金属非金属矿山安全规程》</w:t>
            </w:r>
            <w:r>
              <w:rPr>
                <w:rFonts w:ascii="宋体" w:hAnsi="宋体"/>
                <w:szCs w:val="21"/>
                <w:highlight w:val="none"/>
              </w:rPr>
              <w:t>（GB 16423-2006）</w:t>
            </w:r>
          </w:p>
          <w:p>
            <w:pPr>
              <w:ind w:firstLine="420" w:firstLineChars="200"/>
              <w:rPr>
                <w:rFonts w:ascii="宋体" w:hAnsi="宋体"/>
                <w:szCs w:val="21"/>
              </w:rPr>
            </w:pPr>
            <w:r>
              <w:rPr>
                <w:rFonts w:ascii="宋体" w:hAnsi="宋体"/>
                <w:szCs w:val="21"/>
              </w:rPr>
              <w:t>5.3.3.5</w:t>
            </w:r>
            <w:r>
              <w:rPr>
                <w:rFonts w:hint="eastAsia" w:ascii="宋体" w:hAnsi="宋体"/>
                <w:szCs w:val="21"/>
                <w:lang w:val="en-US" w:eastAsia="zh-CN"/>
              </w:rPr>
              <w:t xml:space="preserve">  </w:t>
            </w:r>
            <w:r>
              <w:rPr>
                <w:rFonts w:ascii="宋体" w:hAnsi="宋体"/>
                <w:szCs w:val="21"/>
              </w:rPr>
              <w:t>溜井的卸矿口应设挡墙，并设明显标志、良好照明和安全护栏，以防人员和卸矿车辆坠人。</w:t>
            </w:r>
          </w:p>
        </w:tc>
        <w:tc>
          <w:tcPr>
            <w:tcW w:w="3687" w:type="dxa"/>
            <w:vMerge w:val="restart"/>
            <w:vAlign w:val="center"/>
          </w:tcPr>
          <w:p>
            <w:pPr>
              <w:ind w:firstLine="420" w:firstLineChars="200"/>
              <w:rPr>
                <w:rFonts w:ascii="宋体" w:hAnsi="宋体"/>
                <w:szCs w:val="21"/>
              </w:rPr>
            </w:pPr>
            <w:r>
              <w:rPr>
                <w:rFonts w:ascii="宋体" w:hAnsi="宋体"/>
                <w:szCs w:val="21"/>
              </w:rPr>
              <w:t>《安全生产违法行为行政处罚办法》第四十五条</w:t>
            </w:r>
            <w:r>
              <w:rPr>
                <w:rFonts w:hint="eastAsia" w:ascii="宋体" w:hAnsi="宋体"/>
                <w:szCs w:val="21"/>
              </w:rPr>
              <w:t xml:space="preserve">  </w:t>
            </w:r>
            <w:r>
              <w:rPr>
                <w:rFonts w:ascii="宋体" w:hAnsi="宋体"/>
                <w:szCs w:val="21"/>
              </w:rPr>
              <w:t>生产经营单位及其主要负责人或者其他人员有下列行为之一的，给予警告，并可以对生产经营单位处1万元以上3万元以下罚款，对其主要负责人、其他有关人员处1000元以上1万元以下的罚款：</w:t>
            </w:r>
          </w:p>
          <w:p>
            <w:pPr>
              <w:ind w:firstLine="420" w:firstLineChars="200"/>
              <w:rPr>
                <w:rFonts w:ascii="宋体" w:hAnsi="宋体"/>
                <w:szCs w:val="21"/>
              </w:rPr>
            </w:pPr>
            <w:r>
              <w:rPr>
                <w:rFonts w:ascii="宋体" w:hAnsi="宋体"/>
                <w:szCs w:val="21"/>
              </w:rPr>
              <w:t>（一）违反操作规程或者安全管理规定作业的</w:t>
            </w:r>
          </w:p>
          <w:p>
            <w:pPr>
              <w:ind w:firstLine="420" w:firstLineChars="200"/>
              <w:rPr>
                <w:rFonts w:ascii="宋体" w:hAnsi="宋体"/>
                <w:szCs w:val="21"/>
              </w:rPr>
            </w:pPr>
            <w:r>
              <w:rPr>
                <w:rFonts w:hint="eastAsia" w:ascii="宋体" w:hAnsi="宋体"/>
                <w:szCs w:val="21"/>
                <w:highlight w:val="none"/>
              </w:rPr>
              <w:t>……</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44" w:hRule="atLeast"/>
          <w:jc w:val="center"/>
        </w:trPr>
        <w:tc>
          <w:tcPr>
            <w:tcW w:w="816" w:type="dxa"/>
            <w:vMerge w:val="continue"/>
            <w:vAlign w:val="center"/>
          </w:tcPr>
          <w:p>
            <w:pPr>
              <w:keepNext/>
              <w:keepLines/>
              <w:spacing w:before="340" w:after="330" w:line="578" w:lineRule="auto"/>
              <w:jc w:val="center"/>
              <w:outlineLvl w:val="0"/>
              <w:rPr>
                <w:rFonts w:ascii="宋体" w:hAnsi="宋体"/>
                <w:szCs w:val="21"/>
              </w:rPr>
            </w:pPr>
          </w:p>
        </w:tc>
        <w:tc>
          <w:tcPr>
            <w:tcW w:w="1704" w:type="dxa"/>
            <w:vMerge w:val="continue"/>
            <w:vAlign w:val="center"/>
          </w:tcPr>
          <w:p>
            <w:pPr>
              <w:keepNext/>
              <w:keepLines/>
              <w:spacing w:before="340" w:after="330" w:line="578" w:lineRule="auto"/>
              <w:jc w:val="left"/>
              <w:outlineLvl w:val="0"/>
              <w:rPr>
                <w:rFonts w:ascii="宋体" w:hAnsi="宋体"/>
                <w:szCs w:val="21"/>
              </w:rPr>
            </w:pPr>
          </w:p>
        </w:tc>
        <w:tc>
          <w:tcPr>
            <w:tcW w:w="1983" w:type="dxa"/>
            <w:vMerge w:val="continue"/>
            <w:vAlign w:val="center"/>
          </w:tcPr>
          <w:p>
            <w:pPr>
              <w:keepNext/>
              <w:keepLines/>
              <w:spacing w:before="340" w:after="330" w:line="578" w:lineRule="auto"/>
              <w:outlineLvl w:val="0"/>
              <w:rPr>
                <w:rFonts w:ascii="宋体" w:hAnsi="宋体"/>
                <w:szCs w:val="21"/>
              </w:rPr>
            </w:pPr>
          </w:p>
        </w:tc>
        <w:tc>
          <w:tcPr>
            <w:tcW w:w="4818" w:type="dxa"/>
            <w:vMerge w:val="continue"/>
            <w:vAlign w:val="center"/>
          </w:tcPr>
          <w:p>
            <w:pPr>
              <w:keepNext/>
              <w:keepLines/>
              <w:spacing w:before="340" w:after="330" w:line="578" w:lineRule="auto"/>
              <w:ind w:firstLine="420" w:firstLineChars="200"/>
              <w:outlineLvl w:val="0"/>
              <w:rPr>
                <w:rFonts w:ascii="宋体" w:hAnsi="宋体"/>
                <w:szCs w:val="21"/>
              </w:rPr>
            </w:pPr>
          </w:p>
        </w:tc>
        <w:tc>
          <w:tcPr>
            <w:tcW w:w="3687" w:type="dxa"/>
            <w:vMerge w:val="continue"/>
            <w:vAlign w:val="center"/>
          </w:tcPr>
          <w:p>
            <w:pPr>
              <w:keepNext/>
              <w:keepLines/>
              <w:spacing w:before="340" w:after="330" w:line="578" w:lineRule="auto"/>
              <w:ind w:firstLine="420" w:firstLineChars="200"/>
              <w:outlineLvl w:val="0"/>
              <w:rPr>
                <w:rFonts w:ascii="宋体" w:hAnsi="宋体"/>
                <w:szCs w:val="21"/>
              </w:rPr>
            </w:pP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jc w:val="left"/>
              <w:rPr>
                <w:rFonts w:ascii="宋体" w:hAnsi="宋体"/>
                <w:szCs w:val="21"/>
              </w:rPr>
            </w:pPr>
          </w:p>
        </w:tc>
        <w:tc>
          <w:tcPr>
            <w:tcW w:w="1983" w:type="dxa"/>
            <w:vAlign w:val="center"/>
          </w:tcPr>
          <w:p>
            <w:pPr>
              <w:rPr>
                <w:rFonts w:ascii="宋体" w:hAnsi="宋体"/>
                <w:szCs w:val="21"/>
              </w:rPr>
            </w:pPr>
            <w:r>
              <w:rPr>
                <w:rFonts w:ascii="宋体" w:hAnsi="宋体"/>
                <w:szCs w:val="21"/>
              </w:rPr>
              <w:t xml:space="preserve">5.4 </w:t>
            </w:r>
            <w:r>
              <w:rPr>
                <w:rFonts w:hint="eastAsia" w:ascii="宋体" w:hAnsi="宋体"/>
                <w:szCs w:val="21"/>
              </w:rPr>
              <w:t>带式输送机运输</w:t>
            </w:r>
          </w:p>
        </w:tc>
        <w:tc>
          <w:tcPr>
            <w:tcW w:w="4818" w:type="dxa"/>
            <w:vAlign w:val="center"/>
          </w:tcPr>
          <w:p>
            <w:pPr>
              <w:ind w:firstLine="420" w:firstLineChars="200"/>
              <w:rPr>
                <w:rFonts w:ascii="宋体" w:hAnsi="宋体"/>
                <w:szCs w:val="21"/>
              </w:rPr>
            </w:pPr>
            <w:r>
              <w:rPr>
                <w:rFonts w:hint="eastAsia" w:ascii="宋体" w:hAnsi="宋体"/>
                <w:szCs w:val="21"/>
              </w:rPr>
              <w:t xml:space="preserve">《安全生产法》第三十三条  安全设备的设计、制造、安装、使用、检测、改造和报废，应当符合国家标准或者行业标准。 </w:t>
            </w:r>
          </w:p>
          <w:p>
            <w:pPr>
              <w:ind w:firstLine="420" w:firstLineChars="200"/>
              <w:rPr>
                <w:rFonts w:ascii="宋体" w:hAnsi="宋体"/>
                <w:szCs w:val="21"/>
              </w:rPr>
            </w:pPr>
            <w:r>
              <w:rPr>
                <w:rFonts w:hint="eastAsia" w:ascii="宋体" w:hAnsi="宋体"/>
                <w:szCs w:val="21"/>
              </w:rPr>
              <w:t>……</w:t>
            </w:r>
          </w:p>
          <w:p>
            <w:pPr>
              <w:ind w:firstLine="420" w:firstLineChars="200"/>
              <w:rPr>
                <w:rFonts w:ascii="宋体" w:hAnsi="宋体"/>
                <w:szCs w:val="21"/>
              </w:rPr>
            </w:pPr>
            <w:r>
              <w:rPr>
                <w:rFonts w:ascii="宋体" w:hAnsi="宋体"/>
                <w:szCs w:val="21"/>
              </w:rPr>
              <w:t>《金属非金属矿山安全规程》</w:t>
            </w:r>
            <w:r>
              <w:rPr>
                <w:rFonts w:ascii="宋体" w:hAnsi="宋体"/>
                <w:szCs w:val="21"/>
                <w:highlight w:val="none"/>
              </w:rPr>
              <w:t>（GB 16423-2006）</w:t>
            </w:r>
          </w:p>
          <w:p>
            <w:pPr>
              <w:ind w:firstLine="420" w:firstLineChars="200"/>
              <w:rPr>
                <w:rFonts w:ascii="宋体" w:hAnsi="宋体"/>
                <w:szCs w:val="21"/>
              </w:rPr>
            </w:pPr>
            <w:r>
              <w:rPr>
                <w:rFonts w:ascii="宋体" w:hAnsi="宋体"/>
                <w:szCs w:val="21"/>
              </w:rPr>
              <w:t>5.3.4.6</w:t>
            </w:r>
            <w:r>
              <w:rPr>
                <w:rFonts w:hint="eastAsia" w:ascii="宋体" w:hAnsi="宋体"/>
                <w:szCs w:val="21"/>
              </w:rPr>
              <w:t xml:space="preserve">  </w:t>
            </w:r>
            <w:r>
              <w:rPr>
                <w:rFonts w:ascii="宋体" w:hAnsi="宋体"/>
                <w:szCs w:val="21"/>
              </w:rPr>
              <w:t>各装、卸料点，应设有与输送机联锁的空仓、满仓等保护装置，并设有声光信号。</w:t>
            </w:r>
          </w:p>
          <w:p>
            <w:pPr>
              <w:ind w:firstLine="420" w:firstLineChars="200"/>
              <w:rPr>
                <w:rFonts w:ascii="宋体" w:hAnsi="宋体"/>
                <w:szCs w:val="21"/>
              </w:rPr>
            </w:pPr>
            <w:r>
              <w:rPr>
                <w:rFonts w:ascii="宋体" w:hAnsi="宋体"/>
                <w:szCs w:val="21"/>
              </w:rPr>
              <w:t>5.3.4.7</w:t>
            </w:r>
            <w:r>
              <w:rPr>
                <w:rFonts w:hint="eastAsia" w:ascii="宋体" w:hAnsi="宋体"/>
                <w:szCs w:val="21"/>
              </w:rPr>
              <w:t xml:space="preserve">  </w:t>
            </w:r>
            <w:r>
              <w:rPr>
                <w:rFonts w:ascii="宋体" w:hAnsi="宋体"/>
                <w:szCs w:val="21"/>
              </w:rPr>
              <w:t>带式输送机应设有防止胶带跑偏、撕裂、断带的装置，并有可靠的制动、胶带和卷筒清扫以及过速保护、过载保护、防大块冲击等装置；线路上应有信号、电气联锁和紧急停车装置；上行的输送机，应设防逆转装置。</w:t>
            </w:r>
          </w:p>
        </w:tc>
        <w:tc>
          <w:tcPr>
            <w:tcW w:w="3687" w:type="dxa"/>
            <w:vAlign w:val="center"/>
          </w:tcPr>
          <w:p>
            <w:pPr>
              <w:ind w:firstLine="420" w:firstLineChars="200"/>
              <w:rPr>
                <w:rFonts w:ascii="宋体" w:hAnsi="宋体"/>
                <w:szCs w:val="21"/>
              </w:rPr>
            </w:pPr>
            <w:r>
              <w:rPr>
                <w:rFonts w:hint="eastAsia" w:ascii="宋体" w:hAnsi="宋体"/>
                <w:szCs w:val="21"/>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ind w:firstLine="420" w:firstLineChars="200"/>
              <w:rPr>
                <w:rFonts w:ascii="宋体" w:hAnsi="宋体"/>
                <w:szCs w:val="21"/>
              </w:rPr>
            </w:pPr>
            <w:r>
              <w:rPr>
                <w:rFonts w:hint="eastAsia" w:ascii="宋体" w:hAnsi="宋体"/>
                <w:szCs w:val="21"/>
              </w:rPr>
              <w:t>……</w:t>
            </w:r>
          </w:p>
          <w:p>
            <w:pPr>
              <w:ind w:firstLine="420" w:firstLineChars="200"/>
              <w:rPr>
                <w:rFonts w:ascii="宋体" w:hAnsi="宋体"/>
                <w:szCs w:val="21"/>
              </w:rPr>
            </w:pPr>
            <w:r>
              <w:rPr>
                <w:rFonts w:hint="eastAsia" w:ascii="宋体" w:hAnsi="宋体"/>
                <w:szCs w:val="21"/>
              </w:rPr>
              <w:t>（二）安全设备的安装、使用、检测、改造和报废不符合国家标准或者行业标准的；</w:t>
            </w:r>
          </w:p>
          <w:p>
            <w:pPr>
              <w:ind w:firstLine="420" w:firstLineChars="200"/>
              <w:rPr>
                <w:rFonts w:ascii="宋体" w:hAnsi="宋体"/>
                <w:szCs w:val="21"/>
              </w:rPr>
            </w:pPr>
            <w:r>
              <w:rPr>
                <w:rFonts w:hint="eastAsia" w:ascii="宋体" w:hAnsi="宋体"/>
                <w:szCs w:val="21"/>
              </w:rPr>
              <w:t>……</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25"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jc w:val="left"/>
              <w:rPr>
                <w:rFonts w:ascii="宋体" w:hAnsi="宋体"/>
                <w:szCs w:val="21"/>
              </w:rPr>
            </w:pPr>
          </w:p>
        </w:tc>
        <w:tc>
          <w:tcPr>
            <w:tcW w:w="1983" w:type="dxa"/>
            <w:vAlign w:val="center"/>
          </w:tcPr>
          <w:p>
            <w:pPr>
              <w:rPr>
                <w:rFonts w:ascii="宋体" w:hAnsi="宋体"/>
                <w:szCs w:val="21"/>
              </w:rPr>
            </w:pPr>
            <w:r>
              <w:rPr>
                <w:rFonts w:hint="eastAsia" w:ascii="思源黑体 CN" w:hAnsi="思源黑体 CN" w:eastAsia="思源黑体 CN" w:cs="思源黑体 CN"/>
                <w:szCs w:val="21"/>
              </w:rPr>
              <w:t>★</w:t>
            </w:r>
            <w:r>
              <w:rPr>
                <w:rFonts w:hint="eastAsia" w:ascii="宋体" w:hAnsi="宋体"/>
                <w:szCs w:val="21"/>
              </w:rPr>
              <w:t>5.5 主要无轨运输巷道及露天采场禁止采用人力或畜力运输矿岩</w:t>
            </w:r>
          </w:p>
        </w:tc>
        <w:tc>
          <w:tcPr>
            <w:tcW w:w="4818" w:type="dxa"/>
            <w:vAlign w:val="center"/>
          </w:tcPr>
          <w:p>
            <w:pPr>
              <w:ind w:firstLine="420" w:firstLineChars="200"/>
              <w:rPr>
                <w:rFonts w:ascii="宋体" w:hAnsi="宋体"/>
                <w:szCs w:val="21"/>
              </w:rPr>
            </w:pPr>
            <w:r>
              <w:rPr>
                <w:rFonts w:hint="eastAsia" w:ascii="宋体" w:hAnsi="宋体"/>
                <w:szCs w:val="21"/>
              </w:rPr>
              <w:t>《安全生产法》第三十五条  国家对严重危及生产安全的工艺、设备实行淘汰制度，具体目录由国务院安全生产监督管理部门会同国务院有关部门制定并公布。法律、行政法规对目录的制定另有规定的，适用其规定。</w:t>
            </w:r>
          </w:p>
          <w:p>
            <w:pPr>
              <w:ind w:firstLine="420" w:firstLineChars="200"/>
              <w:rPr>
                <w:rFonts w:ascii="宋体" w:hAnsi="宋体"/>
                <w:szCs w:val="21"/>
              </w:rPr>
            </w:pPr>
            <w:r>
              <w:rPr>
                <w:rFonts w:hint="eastAsia" w:ascii="宋体" w:hAnsi="宋体"/>
                <w:szCs w:val="21"/>
              </w:rPr>
              <w:t>……</w:t>
            </w:r>
          </w:p>
          <w:p>
            <w:pPr>
              <w:ind w:firstLine="420" w:firstLineChars="200"/>
              <w:rPr>
                <w:rFonts w:ascii="宋体" w:hAnsi="宋体"/>
                <w:szCs w:val="21"/>
              </w:rPr>
            </w:pPr>
            <w:r>
              <w:rPr>
                <w:rFonts w:hint="eastAsia" w:ascii="宋体" w:hAnsi="宋体"/>
                <w:szCs w:val="21"/>
              </w:rPr>
              <w:t>生产经营单位不得使用应当淘汰的危及生产安全的工艺、设备。</w:t>
            </w:r>
          </w:p>
          <w:p>
            <w:pPr>
              <w:ind w:firstLine="420" w:firstLineChars="200"/>
              <w:rPr>
                <w:rFonts w:ascii="宋体" w:hAnsi="宋体"/>
                <w:szCs w:val="21"/>
              </w:rPr>
            </w:pPr>
            <w:r>
              <w:rPr>
                <w:rFonts w:hint="eastAsia" w:ascii="宋体" w:hAnsi="宋体"/>
                <w:szCs w:val="21"/>
              </w:rPr>
              <w:t>《国家安全监管总局关于发布金属非金属矿山禁止使用的设备及工艺目录（第二批）的通知》（安监总管一〔2015〕13号）</w:t>
            </w:r>
          </w:p>
          <w:p>
            <w:pPr>
              <w:ind w:firstLine="420" w:firstLineChars="200"/>
              <w:rPr>
                <w:rFonts w:ascii="宋体" w:hAnsi="宋体"/>
                <w:szCs w:val="21"/>
              </w:rPr>
            </w:pPr>
            <w:r>
              <w:rPr>
                <w:rFonts w:hint="eastAsia" w:ascii="宋体" w:hAnsi="宋体"/>
                <w:szCs w:val="21"/>
              </w:rPr>
              <w:t>新建、改建、扩建的矿山从本目录发布之日起，一律禁止使用下列设备及工艺。现有生产矿山在用下列设备及工艺的，按照本目录规定的时限予以强制淘汰。</w:t>
            </w:r>
          </w:p>
          <w:p>
            <w:pPr>
              <w:ind w:firstLine="420" w:firstLineChars="200"/>
              <w:rPr>
                <w:rFonts w:ascii="宋体" w:hAnsi="宋体"/>
                <w:szCs w:val="21"/>
              </w:rPr>
            </w:pPr>
            <w:r>
              <w:rPr>
                <w:rFonts w:ascii="宋体" w:hAnsi="宋体"/>
                <w:szCs w:val="21"/>
              </w:rPr>
              <w:t>7</w:t>
            </w:r>
            <w:r>
              <w:rPr>
                <w:rFonts w:hint="eastAsia" w:ascii="宋体" w:hAnsi="宋体"/>
                <w:szCs w:val="21"/>
              </w:rPr>
              <w:t>．主要无轨运输巷道及露天采场采用人力或畜力运输矿岩；</w:t>
            </w:r>
          </w:p>
        </w:tc>
        <w:tc>
          <w:tcPr>
            <w:tcW w:w="3687" w:type="dxa"/>
            <w:vAlign w:val="center"/>
          </w:tcPr>
          <w:p>
            <w:pPr>
              <w:ind w:firstLine="420" w:firstLineChars="200"/>
              <w:jc w:val="left"/>
              <w:rPr>
                <w:rFonts w:ascii="宋体" w:hAnsi="宋体"/>
                <w:szCs w:val="21"/>
              </w:rPr>
            </w:pPr>
            <w:r>
              <w:rPr>
                <w:rFonts w:ascii="宋体" w:hAnsi="宋体"/>
                <w:szCs w:val="21"/>
              </w:rPr>
              <w:t>《安全生产法》第九十六条</w:t>
            </w:r>
            <w:r>
              <w:rPr>
                <w:rFonts w:hint="eastAsia" w:ascii="宋体" w:hAnsi="宋体"/>
                <w:szCs w:val="21"/>
              </w:rPr>
              <w:t xml:space="preserve">  </w:t>
            </w:r>
            <w:r>
              <w:rPr>
                <w:rFonts w:ascii="宋体" w:hAnsi="宋体"/>
                <w:szCs w:val="21"/>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ind w:firstLine="420" w:firstLineChars="200"/>
              <w:jc w:val="left"/>
              <w:rPr>
                <w:rFonts w:ascii="宋体" w:hAnsi="宋体"/>
                <w:szCs w:val="21"/>
              </w:rPr>
            </w:pPr>
            <w:r>
              <w:rPr>
                <w:rFonts w:hint="eastAsia" w:ascii="宋体" w:hAnsi="宋体"/>
                <w:szCs w:val="21"/>
              </w:rPr>
              <w:t>……</w:t>
            </w:r>
          </w:p>
          <w:p>
            <w:pPr>
              <w:ind w:firstLine="420" w:firstLineChars="200"/>
              <w:rPr>
                <w:rFonts w:ascii="宋体" w:hAnsi="宋体"/>
                <w:szCs w:val="21"/>
              </w:rPr>
            </w:pPr>
            <w:r>
              <w:rPr>
                <w:rFonts w:ascii="宋体" w:hAnsi="宋体"/>
                <w:szCs w:val="21"/>
              </w:rPr>
              <w:t>（六）使用应当淘汰的危及生产安全的工艺、设备的。</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restart"/>
            <w:vAlign w:val="center"/>
          </w:tcPr>
          <w:p>
            <w:pPr>
              <w:jc w:val="center"/>
              <w:rPr>
                <w:rFonts w:ascii="宋体" w:hAnsi="宋体"/>
                <w:szCs w:val="21"/>
              </w:rPr>
            </w:pPr>
            <w:r>
              <w:rPr>
                <w:rFonts w:hint="eastAsia" w:ascii="宋体" w:hAnsi="宋体"/>
                <w:szCs w:val="21"/>
              </w:rPr>
              <w:t>6</w:t>
            </w:r>
          </w:p>
        </w:tc>
        <w:tc>
          <w:tcPr>
            <w:tcW w:w="1704" w:type="dxa"/>
            <w:vMerge w:val="restart"/>
            <w:vAlign w:val="center"/>
          </w:tcPr>
          <w:p>
            <w:pPr>
              <w:jc w:val="left"/>
              <w:rPr>
                <w:rFonts w:ascii="宋体" w:hAnsi="宋体"/>
                <w:szCs w:val="21"/>
              </w:rPr>
            </w:pPr>
            <w:r>
              <w:rPr>
                <w:rFonts w:hint="eastAsia" w:ascii="宋体" w:hAnsi="宋体"/>
                <w:szCs w:val="21"/>
              </w:rPr>
              <w:t>边坡现场管理情况</w:t>
            </w:r>
          </w:p>
        </w:tc>
        <w:tc>
          <w:tcPr>
            <w:tcW w:w="1983" w:type="dxa"/>
            <w:vAlign w:val="center"/>
          </w:tcPr>
          <w:p>
            <w:pPr>
              <w:rPr>
                <w:rFonts w:ascii="宋体" w:hAnsi="宋体"/>
                <w:szCs w:val="21"/>
              </w:rPr>
            </w:pPr>
            <w:r>
              <w:rPr>
                <w:rFonts w:hint="eastAsia" w:ascii="思源黑体 CN" w:hAnsi="思源黑体 CN" w:eastAsia="思源黑体 CN" w:cs="思源黑体 CN"/>
                <w:szCs w:val="21"/>
              </w:rPr>
              <w:t>★</w:t>
            </w:r>
            <w:r>
              <w:rPr>
                <w:rFonts w:hint="eastAsia" w:ascii="宋体" w:hAnsi="宋体"/>
                <w:szCs w:val="21"/>
              </w:rPr>
              <w:t>6.1 采场工作帮和高陡边帮不稳定区段异常情况处理</w:t>
            </w:r>
          </w:p>
        </w:tc>
        <w:tc>
          <w:tcPr>
            <w:tcW w:w="4818" w:type="dxa"/>
            <w:vAlign w:val="center"/>
          </w:tcPr>
          <w:p>
            <w:pPr>
              <w:ind w:firstLine="420" w:firstLineChars="200"/>
              <w:rPr>
                <w:rFonts w:ascii="宋体" w:hAnsi="宋体"/>
                <w:szCs w:val="21"/>
              </w:rPr>
            </w:pPr>
            <w:r>
              <w:rPr>
                <w:rFonts w:ascii="宋体" w:hAnsi="宋体"/>
                <w:szCs w:val="21"/>
              </w:rPr>
              <w:t>《安全生产法》第三十八条</w:t>
            </w:r>
            <w:r>
              <w:rPr>
                <w:rFonts w:hint="eastAsia" w:ascii="宋体" w:hAnsi="宋体"/>
                <w:szCs w:val="21"/>
              </w:rPr>
              <w:t xml:space="preserve">  </w:t>
            </w:r>
            <w:r>
              <w:rPr>
                <w:rFonts w:ascii="宋体" w:hAnsi="宋体"/>
                <w:szCs w:val="21"/>
              </w:rPr>
              <w:t>生产经营单位应当建立健全生产安全事故隐患排查治理制度，采取技术、管理措施，及时发现并消除事故隐患。事故隐患排查治理情况应当如实记录，并向从业人员通报。</w:t>
            </w:r>
          </w:p>
          <w:p>
            <w:pPr>
              <w:ind w:firstLine="420" w:firstLineChars="200"/>
              <w:rPr>
                <w:rFonts w:ascii="宋体" w:hAnsi="宋体"/>
                <w:szCs w:val="21"/>
              </w:rPr>
            </w:pPr>
            <w:r>
              <w:rPr>
                <w:rFonts w:hint="eastAsia" w:ascii="宋体" w:hAnsi="宋体"/>
                <w:szCs w:val="21"/>
              </w:rPr>
              <w:t>……</w:t>
            </w:r>
          </w:p>
          <w:p>
            <w:pPr>
              <w:ind w:firstLine="420" w:firstLineChars="200"/>
              <w:rPr>
                <w:rFonts w:ascii="宋体" w:hAnsi="宋体"/>
                <w:szCs w:val="21"/>
              </w:rPr>
            </w:pPr>
            <w:r>
              <w:rPr>
                <w:rFonts w:ascii="宋体" w:hAnsi="宋体"/>
                <w:szCs w:val="21"/>
              </w:rPr>
              <w:t>《金属非金属矿山安全规程》</w:t>
            </w:r>
            <w:r>
              <w:rPr>
                <w:rFonts w:ascii="宋体" w:hAnsi="宋体"/>
                <w:szCs w:val="21"/>
                <w:highlight w:val="none"/>
              </w:rPr>
              <w:t>（GB 16423-2006）</w:t>
            </w:r>
          </w:p>
          <w:p>
            <w:pPr>
              <w:ind w:firstLine="420" w:firstLineChars="200"/>
              <w:rPr>
                <w:rFonts w:ascii="宋体" w:hAnsi="宋体"/>
                <w:szCs w:val="21"/>
              </w:rPr>
            </w:pPr>
            <w:r>
              <w:rPr>
                <w:rFonts w:hint="eastAsia" w:ascii="宋体" w:hAnsi="宋体"/>
                <w:szCs w:val="21"/>
              </w:rPr>
              <w:t>5.2.5.3  对采场工作帮应每季度检查一次，高陡边帮应每月检查一次，不稳定区段在暴雨过后应及时检查，发现异常应立即处理。</w:t>
            </w:r>
          </w:p>
          <w:p>
            <w:pPr>
              <w:ind w:firstLine="420" w:firstLineChars="200"/>
              <w:rPr>
                <w:rFonts w:ascii="宋体" w:hAnsi="宋体"/>
                <w:bCs/>
                <w:szCs w:val="21"/>
              </w:rPr>
            </w:pPr>
            <w:r>
              <w:rPr>
                <w:rFonts w:hint="eastAsia" w:ascii="宋体" w:hAnsi="宋体"/>
                <w:bCs/>
                <w:szCs w:val="21"/>
              </w:rPr>
              <w:t>《国家安全监管总局关于印发〈金属非金属矿山重大生产安全事故隐患判定标准（试行）〉的通知》(安监总管一〔2017〕98号)</w:t>
            </w:r>
          </w:p>
          <w:p>
            <w:pPr>
              <w:ind w:firstLine="420" w:firstLineChars="200"/>
              <w:rPr>
                <w:rFonts w:ascii="宋体" w:hAnsi="宋体"/>
                <w:szCs w:val="21"/>
              </w:rPr>
            </w:pPr>
            <w:r>
              <w:rPr>
                <w:rFonts w:hint="eastAsia" w:ascii="宋体" w:hAnsi="宋体"/>
                <w:szCs w:val="21"/>
              </w:rPr>
              <w:t>二、</w:t>
            </w:r>
            <w:r>
              <w:rPr>
                <w:rFonts w:hint="eastAsia" w:ascii="宋体" w:hAnsi="宋体"/>
                <w:bCs/>
                <w:szCs w:val="21"/>
              </w:rPr>
              <w:t>金属非金属露天矿山重大生产安全事故隐患</w:t>
            </w:r>
          </w:p>
          <w:p>
            <w:pPr>
              <w:ind w:firstLine="420" w:firstLineChars="200"/>
              <w:rPr>
                <w:rFonts w:ascii="宋体" w:hAnsi="宋体"/>
                <w:szCs w:val="21"/>
              </w:rPr>
            </w:pPr>
            <w:r>
              <w:rPr>
                <w:rFonts w:hint="eastAsia" w:ascii="宋体" w:hAnsi="宋体"/>
                <w:szCs w:val="21"/>
              </w:rPr>
              <w:t>（六）未按国家标准或行业标准对采场边坡、排土场稳定性进行评估。</w:t>
            </w:r>
          </w:p>
        </w:tc>
        <w:tc>
          <w:tcPr>
            <w:tcW w:w="3687" w:type="dxa"/>
            <w:vAlign w:val="center"/>
          </w:tcPr>
          <w:p>
            <w:pPr>
              <w:ind w:firstLine="420" w:firstLineChars="200"/>
              <w:rPr>
                <w:rFonts w:ascii="宋体" w:hAnsi="宋体"/>
                <w:szCs w:val="21"/>
              </w:rPr>
            </w:pPr>
            <w:r>
              <w:rPr>
                <w:rFonts w:ascii="宋体" w:hAnsi="宋体"/>
                <w:szCs w:val="21"/>
              </w:rPr>
              <w:t>《安全生产法》第九十九条</w:t>
            </w:r>
            <w:r>
              <w:rPr>
                <w:rFonts w:hint="eastAsia" w:ascii="宋体" w:hAnsi="宋体"/>
                <w:szCs w:val="21"/>
              </w:rPr>
              <w:t xml:space="preserve">  </w:t>
            </w:r>
            <w:r>
              <w:rPr>
                <w:rFonts w:ascii="宋体" w:hAnsi="宋体"/>
                <w:szCs w:val="21"/>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jc w:val="left"/>
              <w:rPr>
                <w:rFonts w:ascii="宋体" w:hAnsi="宋体"/>
                <w:szCs w:val="21"/>
              </w:rPr>
            </w:pPr>
          </w:p>
        </w:tc>
        <w:tc>
          <w:tcPr>
            <w:tcW w:w="1983" w:type="dxa"/>
            <w:vAlign w:val="center"/>
          </w:tcPr>
          <w:p>
            <w:pPr>
              <w:jc w:val="left"/>
              <w:rPr>
                <w:rFonts w:ascii="宋体" w:hAnsi="宋体"/>
                <w:szCs w:val="21"/>
              </w:rPr>
            </w:pPr>
            <w:r>
              <w:rPr>
                <w:rFonts w:hint="eastAsia" w:ascii="宋体" w:hAnsi="宋体"/>
                <w:szCs w:val="21"/>
              </w:rPr>
              <w:t>6.2 运输和行人的非工作帮管理</w:t>
            </w:r>
          </w:p>
        </w:tc>
        <w:tc>
          <w:tcPr>
            <w:tcW w:w="4818" w:type="dxa"/>
            <w:vAlign w:val="center"/>
          </w:tcPr>
          <w:p>
            <w:pPr>
              <w:ind w:firstLine="420" w:firstLineChars="200"/>
              <w:rPr>
                <w:rFonts w:ascii="宋体" w:hAnsi="宋体"/>
                <w:szCs w:val="21"/>
                <w:highlight w:val="none"/>
              </w:rPr>
            </w:pPr>
            <w:r>
              <w:rPr>
                <w:rFonts w:ascii="宋体" w:hAnsi="宋体"/>
                <w:szCs w:val="21"/>
              </w:rPr>
              <w:t>《金属非金属矿山安全规程》</w:t>
            </w:r>
            <w:r>
              <w:rPr>
                <w:rFonts w:ascii="宋体" w:hAnsi="宋体"/>
                <w:szCs w:val="21"/>
                <w:highlight w:val="none"/>
              </w:rPr>
              <w:t>（GB 16423-2006）</w:t>
            </w:r>
          </w:p>
          <w:p>
            <w:pPr>
              <w:ind w:firstLine="420" w:firstLineChars="200"/>
              <w:rPr>
                <w:rFonts w:ascii="宋体" w:hAnsi="宋体"/>
                <w:szCs w:val="21"/>
              </w:rPr>
            </w:pPr>
            <w:r>
              <w:rPr>
                <w:rFonts w:hint="eastAsia" w:ascii="宋体" w:hAnsi="宋体"/>
                <w:szCs w:val="21"/>
              </w:rPr>
              <w:t>5.2.5.5  对运输和行人的非工作帮，应定期进行安全稳定性检查(雨季应加强)，发现坍塌或滑落征兆，应立即停止采剥作业，撤出人员和设备，查明原因，及时采取安全措施，并报告矿有关主管部门。</w:t>
            </w:r>
          </w:p>
        </w:tc>
        <w:tc>
          <w:tcPr>
            <w:tcW w:w="3687" w:type="dxa"/>
            <w:vAlign w:val="center"/>
          </w:tcPr>
          <w:p>
            <w:pPr>
              <w:ind w:firstLine="420" w:firstLineChars="200"/>
              <w:rPr>
                <w:rFonts w:ascii="宋体" w:hAnsi="宋体"/>
                <w:szCs w:val="21"/>
              </w:rPr>
            </w:pPr>
            <w:r>
              <w:rPr>
                <w:rFonts w:ascii="宋体" w:hAnsi="宋体"/>
                <w:szCs w:val="21"/>
              </w:rPr>
              <w:t>《安全生产违法行为行政处罚办法》第四十五条</w:t>
            </w:r>
            <w:r>
              <w:rPr>
                <w:rFonts w:hint="eastAsia" w:ascii="宋体" w:hAnsi="宋体"/>
                <w:szCs w:val="21"/>
              </w:rPr>
              <w:t xml:space="preserve">  </w:t>
            </w:r>
            <w:r>
              <w:rPr>
                <w:rFonts w:ascii="宋体" w:hAnsi="宋体"/>
                <w:szCs w:val="21"/>
              </w:rPr>
              <w:t>生产经营单位及其主要负责人或者其他人员有下列行为之一的，给予警告，并可以对生产经营单位处1万元以上3万元以下罚款，对其主要负责人、其他有关人员处1000元以上1万元以下的罚款：</w:t>
            </w:r>
          </w:p>
          <w:p>
            <w:pPr>
              <w:ind w:firstLine="420" w:firstLineChars="200"/>
              <w:rPr>
                <w:rFonts w:ascii="宋体" w:hAnsi="宋体"/>
                <w:szCs w:val="21"/>
              </w:rPr>
            </w:pPr>
            <w:r>
              <w:rPr>
                <w:rFonts w:ascii="宋体" w:hAnsi="宋体"/>
                <w:szCs w:val="21"/>
              </w:rPr>
              <w:t>（一）违反操作规程或者安全管理规定作业的；</w:t>
            </w:r>
          </w:p>
          <w:p>
            <w:pPr>
              <w:rPr>
                <w:rFonts w:ascii="宋体" w:hAnsi="宋体"/>
                <w:szCs w:val="21"/>
              </w:rPr>
            </w:pPr>
            <w:r>
              <w:rPr>
                <w:rFonts w:hint="eastAsia" w:ascii="宋体" w:hAnsi="宋体"/>
                <w:szCs w:val="21"/>
              </w:rPr>
              <w:t xml:space="preserve">    ……</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90"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jc w:val="left"/>
              <w:rPr>
                <w:rFonts w:ascii="宋体" w:hAnsi="宋体"/>
                <w:szCs w:val="21"/>
              </w:rPr>
            </w:pPr>
          </w:p>
        </w:tc>
        <w:tc>
          <w:tcPr>
            <w:tcW w:w="1983" w:type="dxa"/>
            <w:vAlign w:val="center"/>
          </w:tcPr>
          <w:p>
            <w:pPr>
              <w:rPr>
                <w:rFonts w:ascii="宋体" w:hAnsi="宋体"/>
                <w:szCs w:val="21"/>
              </w:rPr>
            </w:pPr>
            <w:r>
              <w:rPr>
                <w:rFonts w:hint="eastAsia" w:ascii="宋体" w:hAnsi="宋体"/>
                <w:szCs w:val="21"/>
              </w:rPr>
              <w:t>6.3 采剥工作面形成伞檐、空洞等</w:t>
            </w:r>
          </w:p>
        </w:tc>
        <w:tc>
          <w:tcPr>
            <w:tcW w:w="4818" w:type="dxa"/>
            <w:vAlign w:val="center"/>
          </w:tcPr>
          <w:p>
            <w:pPr>
              <w:ind w:firstLine="420" w:firstLineChars="200"/>
              <w:rPr>
                <w:rFonts w:ascii="宋体" w:hAnsi="宋体"/>
                <w:szCs w:val="21"/>
              </w:rPr>
            </w:pPr>
            <w:r>
              <w:rPr>
                <w:rFonts w:ascii="宋体" w:hAnsi="宋体"/>
                <w:szCs w:val="21"/>
              </w:rPr>
              <w:t>《金属非金属矿山安全规程》</w:t>
            </w:r>
            <w:r>
              <w:rPr>
                <w:rFonts w:ascii="宋体" w:hAnsi="宋体"/>
                <w:szCs w:val="21"/>
                <w:highlight w:val="none"/>
              </w:rPr>
              <w:t>（GB 16423-2006）</w:t>
            </w:r>
          </w:p>
          <w:p>
            <w:pPr>
              <w:ind w:firstLine="420" w:firstLineChars="200"/>
              <w:rPr>
                <w:rFonts w:ascii="宋体" w:hAnsi="宋体"/>
                <w:szCs w:val="21"/>
              </w:rPr>
            </w:pPr>
            <w:r>
              <w:rPr>
                <w:rFonts w:hint="eastAsia" w:ascii="宋体" w:hAnsi="宋体"/>
                <w:szCs w:val="21"/>
              </w:rPr>
              <w:t>5.2.5.7  露天采场各作业水平上、下台阶之间的超前距离，应在设计中明确规定。不应从下部不分台阶掏采。采剥工作面不应形成伞檐、空洞等。</w:t>
            </w:r>
          </w:p>
        </w:tc>
        <w:tc>
          <w:tcPr>
            <w:tcW w:w="3687" w:type="dxa"/>
            <w:vAlign w:val="center"/>
          </w:tcPr>
          <w:p>
            <w:pPr>
              <w:ind w:firstLine="420" w:firstLineChars="200"/>
              <w:rPr>
                <w:rFonts w:ascii="宋体" w:hAnsi="宋体"/>
                <w:szCs w:val="21"/>
              </w:rPr>
            </w:pPr>
            <w:r>
              <w:rPr>
                <w:rFonts w:ascii="宋体" w:hAnsi="宋体"/>
                <w:szCs w:val="21"/>
              </w:rPr>
              <w:t>《安全生产违法行为行政处罚办法》第四十五条  生产经营单位及其主要负责人或者其他人员有下列行为之一的，给予警告，并可以对生产经营单位处1万元以上3万元以下罚款，对其主要负责人、其他有关人员处1000元以上1万元以下的罚款：</w:t>
            </w:r>
          </w:p>
          <w:p>
            <w:pPr>
              <w:ind w:firstLine="420" w:firstLineChars="200"/>
              <w:rPr>
                <w:rFonts w:ascii="宋体" w:hAnsi="宋体"/>
                <w:szCs w:val="21"/>
              </w:rPr>
            </w:pPr>
            <w:r>
              <w:rPr>
                <w:rFonts w:ascii="宋体" w:hAnsi="宋体"/>
                <w:szCs w:val="21"/>
              </w:rPr>
              <w:t>（一）违反操作规程或者安全管理规定作业的；</w:t>
            </w:r>
          </w:p>
          <w:p>
            <w:pPr>
              <w:ind w:firstLine="420" w:firstLineChars="200"/>
              <w:rPr>
                <w:rFonts w:ascii="宋体" w:hAnsi="宋体"/>
                <w:szCs w:val="21"/>
              </w:rPr>
            </w:pPr>
            <w:r>
              <w:rPr>
                <w:rFonts w:hint="eastAsia" w:ascii="宋体" w:hAnsi="宋体"/>
                <w:szCs w:val="21"/>
              </w:rPr>
              <w:t>……</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649"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jc w:val="left"/>
              <w:rPr>
                <w:rFonts w:ascii="宋体" w:hAnsi="宋体"/>
                <w:szCs w:val="21"/>
              </w:rPr>
            </w:pPr>
          </w:p>
        </w:tc>
        <w:tc>
          <w:tcPr>
            <w:tcW w:w="1983" w:type="dxa"/>
            <w:vAlign w:val="center"/>
          </w:tcPr>
          <w:p>
            <w:pPr>
              <w:spacing w:line="240" w:lineRule="atLeast"/>
              <w:rPr>
                <w:rFonts w:ascii="宋体" w:hAnsi="宋体"/>
                <w:szCs w:val="21"/>
              </w:rPr>
            </w:pPr>
            <w:r>
              <w:rPr>
                <w:rFonts w:hint="eastAsia" w:ascii="思源黑体 CN" w:hAnsi="思源黑体 CN" w:eastAsia="思源黑体 CN" w:cs="思源黑体 CN"/>
                <w:szCs w:val="21"/>
              </w:rPr>
              <w:t>★</w:t>
            </w:r>
            <w:r>
              <w:rPr>
                <w:rFonts w:ascii="宋体" w:hAnsi="宋体"/>
                <w:szCs w:val="21"/>
              </w:rPr>
              <w:t xml:space="preserve">6.4 </w:t>
            </w:r>
            <w:r>
              <w:rPr>
                <w:rFonts w:hint="eastAsia" w:ascii="宋体" w:hAnsi="宋体"/>
                <w:szCs w:val="21"/>
              </w:rPr>
              <w:t>开采</w:t>
            </w:r>
            <w:r>
              <w:rPr>
                <w:rFonts w:ascii="宋体" w:hAnsi="宋体"/>
                <w:szCs w:val="21"/>
              </w:rPr>
              <w:t>矿柱</w:t>
            </w:r>
            <w:r>
              <w:rPr>
                <w:rFonts w:hint="eastAsia" w:ascii="宋体" w:hAnsi="宋体"/>
                <w:szCs w:val="21"/>
              </w:rPr>
              <w:t>或</w:t>
            </w:r>
            <w:r>
              <w:rPr>
                <w:rFonts w:ascii="宋体" w:hAnsi="宋体"/>
                <w:szCs w:val="21"/>
              </w:rPr>
              <w:t>岩柱</w:t>
            </w:r>
          </w:p>
        </w:tc>
        <w:tc>
          <w:tcPr>
            <w:tcW w:w="4818" w:type="dxa"/>
            <w:vAlign w:val="center"/>
          </w:tcPr>
          <w:p>
            <w:pPr>
              <w:spacing w:line="240" w:lineRule="atLeast"/>
              <w:ind w:firstLine="420" w:firstLineChars="200"/>
              <w:rPr>
                <w:rFonts w:ascii="宋体" w:hAnsi="宋体"/>
                <w:szCs w:val="21"/>
              </w:rPr>
            </w:pPr>
            <w:r>
              <w:rPr>
                <w:rFonts w:ascii="宋体" w:hAnsi="宋体"/>
                <w:szCs w:val="21"/>
              </w:rPr>
              <w:t>《安全生产法》第三十八条  生产经营单位应当建立健全生产安全事故隐患排查治理制度，采取技术、管理措施，及时发现并消除事故隐患。事故隐患排查治理情况应当如实记录，并向从业人员通报。</w:t>
            </w:r>
          </w:p>
          <w:p>
            <w:pPr>
              <w:spacing w:line="240" w:lineRule="atLeast"/>
              <w:ind w:firstLine="420" w:firstLineChars="200"/>
              <w:rPr>
                <w:rFonts w:ascii="宋体" w:hAnsi="宋体"/>
                <w:szCs w:val="21"/>
              </w:rPr>
            </w:pPr>
            <w:r>
              <w:rPr>
                <w:rFonts w:hint="eastAsia" w:ascii="宋体" w:hAnsi="宋体"/>
                <w:szCs w:val="21"/>
              </w:rPr>
              <w:t>……</w:t>
            </w:r>
          </w:p>
          <w:p>
            <w:pPr>
              <w:spacing w:line="240" w:lineRule="atLeast"/>
              <w:ind w:firstLine="420" w:firstLineChars="200"/>
              <w:rPr>
                <w:rFonts w:ascii="宋体" w:hAnsi="宋体"/>
                <w:szCs w:val="21"/>
              </w:rPr>
            </w:pPr>
            <w:r>
              <w:rPr>
                <w:rFonts w:ascii="宋体" w:hAnsi="宋体"/>
                <w:szCs w:val="21"/>
              </w:rPr>
              <w:t>《金属非金属矿山安全规程</w:t>
            </w:r>
            <w:r>
              <w:rPr>
                <w:rFonts w:ascii="宋体" w:hAnsi="宋体"/>
                <w:szCs w:val="21"/>
                <w:highlight w:val="none"/>
              </w:rPr>
              <w:t>》（GB 16423-2006）</w:t>
            </w:r>
          </w:p>
          <w:p>
            <w:pPr>
              <w:spacing w:line="240" w:lineRule="atLeast"/>
              <w:ind w:firstLine="420" w:firstLineChars="200"/>
              <w:rPr>
                <w:rFonts w:asciiTheme="minorEastAsia" w:hAnsiTheme="minorEastAsia" w:eastAsiaTheme="minorEastAsia"/>
                <w:szCs w:val="21"/>
              </w:rPr>
            </w:pPr>
            <w:r>
              <w:rPr>
                <w:rFonts w:asciiTheme="minorEastAsia" w:hAnsiTheme="minorEastAsia" w:eastAsiaTheme="minorEastAsia"/>
                <w:szCs w:val="21"/>
              </w:rPr>
              <w:t>5.1.3</w:t>
            </w:r>
            <w:r>
              <w:rPr>
                <w:rFonts w:hint="eastAsia" w:asciiTheme="minorEastAsia" w:hAnsiTheme="minorEastAsia" w:eastAsiaTheme="minorEastAsia"/>
                <w:szCs w:val="21"/>
              </w:rPr>
              <w:t xml:space="preserve">  设计规定保留的矿</w:t>
            </w:r>
            <w:r>
              <w:rPr>
                <w:rFonts w:asciiTheme="minorEastAsia" w:hAnsiTheme="minorEastAsia" w:eastAsiaTheme="minorEastAsia"/>
                <w:szCs w:val="21"/>
              </w:rPr>
              <w:t>(岩)柱、挂帮矿体，在规定的期限内，未经技术论证不应开采或破坏。</w:t>
            </w:r>
          </w:p>
          <w:p>
            <w:pPr>
              <w:spacing w:line="240" w:lineRule="atLeast"/>
              <w:ind w:firstLine="420" w:firstLineChars="200"/>
              <w:rPr>
                <w:rFonts w:ascii="宋体" w:hAnsi="宋体"/>
                <w:bCs/>
                <w:szCs w:val="21"/>
              </w:rPr>
            </w:pPr>
            <w:r>
              <w:rPr>
                <w:rFonts w:hint="eastAsia" w:ascii="宋体" w:hAnsi="宋体"/>
                <w:bCs/>
                <w:szCs w:val="21"/>
              </w:rPr>
              <w:t>《国家安全监管总局关于印发〈金属非金属矿山重大生产安全事故隐患判定标准（试行）〉的通知》(安监总管一〔2017〕98号)</w:t>
            </w:r>
          </w:p>
          <w:p>
            <w:pPr>
              <w:spacing w:line="240" w:lineRule="atLeast"/>
              <w:ind w:firstLine="420" w:firstLineChars="200"/>
              <w:rPr>
                <w:rFonts w:ascii="宋体" w:hAnsi="宋体"/>
                <w:szCs w:val="21"/>
              </w:rPr>
            </w:pPr>
            <w:r>
              <w:rPr>
                <w:rFonts w:hint="eastAsia" w:ascii="宋体" w:hAnsi="宋体"/>
                <w:szCs w:val="21"/>
              </w:rPr>
              <w:t>二、</w:t>
            </w:r>
            <w:r>
              <w:rPr>
                <w:rFonts w:hint="eastAsia" w:ascii="宋体" w:hAnsi="宋体"/>
                <w:bCs/>
                <w:szCs w:val="21"/>
              </w:rPr>
              <w:t>金属非金属露天矿山重大生产安全事故隐患</w:t>
            </w:r>
          </w:p>
          <w:p>
            <w:pPr>
              <w:spacing w:line="240" w:lineRule="atLeast"/>
              <w:ind w:firstLine="420" w:firstLineChars="200"/>
              <w:rPr>
                <w:rFonts w:asciiTheme="minorEastAsia" w:hAnsiTheme="minorEastAsia" w:eastAsiaTheme="minorEastAsia"/>
                <w:szCs w:val="21"/>
              </w:rPr>
            </w:pPr>
            <w:r>
              <w:rPr>
                <w:rFonts w:hint="eastAsia" w:ascii="宋体" w:hAnsi="宋体"/>
                <w:szCs w:val="21"/>
              </w:rPr>
              <w:t>（五）擅自开采或破坏设计规定保留的矿柱、岩柱和挂帮矿体。</w:t>
            </w:r>
          </w:p>
        </w:tc>
        <w:tc>
          <w:tcPr>
            <w:tcW w:w="3687" w:type="dxa"/>
            <w:vAlign w:val="center"/>
          </w:tcPr>
          <w:p>
            <w:pPr>
              <w:spacing w:line="240" w:lineRule="atLeast"/>
              <w:ind w:firstLine="420" w:firstLineChars="200"/>
              <w:rPr>
                <w:rFonts w:ascii="宋体" w:hAnsi="宋体"/>
                <w:szCs w:val="21"/>
              </w:rPr>
            </w:pPr>
            <w:r>
              <w:rPr>
                <w:rFonts w:hint="eastAsia" w:ascii="宋体" w:hAnsi="宋体"/>
                <w:szCs w:val="21"/>
                <w:highlight w:val="none"/>
              </w:rPr>
              <w:t>《安全生</w:t>
            </w:r>
            <w:r>
              <w:rPr>
                <w:rFonts w:hint="eastAsia" w:ascii="宋体" w:hAnsi="宋体"/>
                <w:szCs w:val="21"/>
              </w:rPr>
              <w:t>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480"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jc w:val="left"/>
              <w:rPr>
                <w:rFonts w:ascii="宋体" w:hAnsi="宋体"/>
                <w:szCs w:val="21"/>
              </w:rPr>
            </w:pPr>
          </w:p>
        </w:tc>
        <w:tc>
          <w:tcPr>
            <w:tcW w:w="1983" w:type="dxa"/>
            <w:vAlign w:val="center"/>
          </w:tcPr>
          <w:p>
            <w:pPr>
              <w:jc w:val="left"/>
              <w:rPr>
                <w:rFonts w:ascii="宋体" w:hAnsi="宋体"/>
                <w:szCs w:val="21"/>
              </w:rPr>
            </w:pPr>
            <w:r>
              <w:rPr>
                <w:rFonts w:hint="eastAsia" w:ascii="宋体" w:hAnsi="宋体"/>
                <w:szCs w:val="21"/>
              </w:rPr>
              <w:t>6.5 废弃巷道、采空区和溶洞处理及警示标志设置</w:t>
            </w:r>
          </w:p>
        </w:tc>
        <w:tc>
          <w:tcPr>
            <w:tcW w:w="4818" w:type="dxa"/>
            <w:vAlign w:val="center"/>
          </w:tcPr>
          <w:p>
            <w:pPr>
              <w:ind w:firstLine="420" w:firstLineChars="200"/>
              <w:rPr>
                <w:rFonts w:ascii="宋体" w:hAnsi="宋体"/>
                <w:szCs w:val="21"/>
              </w:rPr>
            </w:pPr>
            <w:r>
              <w:rPr>
                <w:rFonts w:ascii="宋体" w:hAnsi="宋体"/>
                <w:szCs w:val="21"/>
              </w:rPr>
              <w:t>《安全生产法》第三十二条</w:t>
            </w:r>
            <w:r>
              <w:rPr>
                <w:rFonts w:hint="eastAsia" w:ascii="宋体" w:hAnsi="宋体"/>
                <w:szCs w:val="21"/>
              </w:rPr>
              <w:t xml:space="preserve">  </w:t>
            </w:r>
            <w:r>
              <w:rPr>
                <w:rFonts w:ascii="宋体" w:hAnsi="宋体"/>
                <w:szCs w:val="21"/>
              </w:rPr>
              <w:t>生产经营单位应当在有较大危险因素的生产经营场所和有关设施、设备上，设置明显的安全警示标志。</w:t>
            </w:r>
          </w:p>
          <w:p>
            <w:pPr>
              <w:ind w:firstLine="420" w:firstLineChars="200"/>
              <w:rPr>
                <w:rFonts w:ascii="宋体" w:hAnsi="宋体"/>
                <w:szCs w:val="21"/>
              </w:rPr>
            </w:pPr>
            <w:r>
              <w:rPr>
                <w:rFonts w:ascii="宋体" w:hAnsi="宋体"/>
                <w:szCs w:val="21"/>
              </w:rPr>
              <w:t>《金属非金属矿山安全规程</w:t>
            </w:r>
            <w:r>
              <w:rPr>
                <w:rFonts w:ascii="宋体" w:hAnsi="宋体"/>
                <w:szCs w:val="21"/>
                <w:highlight w:val="none"/>
              </w:rPr>
              <w:t>》（GB 16423-2006）</w:t>
            </w:r>
          </w:p>
          <w:p>
            <w:pPr>
              <w:ind w:firstLine="420" w:firstLineChars="200"/>
              <w:rPr>
                <w:rFonts w:ascii="宋体" w:hAnsi="宋体"/>
                <w:szCs w:val="21"/>
              </w:rPr>
            </w:pPr>
            <w:r>
              <w:rPr>
                <w:rFonts w:hint="eastAsia" w:ascii="宋体" w:hAnsi="宋体"/>
                <w:szCs w:val="21"/>
              </w:rPr>
              <w:t>5.2.5.1  开采境界内和最终边坡邻近地段的废弃巷道、采空区和溶洞，应及时标在矿山平面图上，并随着采掘作业的进行，及时设置明显的警示标志。</w:t>
            </w:r>
          </w:p>
        </w:tc>
        <w:tc>
          <w:tcPr>
            <w:tcW w:w="3687" w:type="dxa"/>
            <w:vAlign w:val="center"/>
          </w:tcPr>
          <w:p>
            <w:pPr>
              <w:ind w:firstLine="420" w:firstLineChars="200"/>
              <w:rPr>
                <w:rFonts w:ascii="宋体" w:hAnsi="宋体"/>
                <w:szCs w:val="21"/>
              </w:rPr>
            </w:pPr>
            <w:r>
              <w:rPr>
                <w:rFonts w:ascii="宋体" w:hAnsi="宋体"/>
                <w:szCs w:val="21"/>
              </w:rPr>
              <w:t>《安全生产法》第九十六条</w:t>
            </w:r>
            <w:r>
              <w:rPr>
                <w:rFonts w:hint="eastAsia" w:ascii="宋体" w:hAnsi="宋体"/>
                <w:szCs w:val="21"/>
              </w:rPr>
              <w:t xml:space="preserve">  </w:t>
            </w:r>
            <w:r>
              <w:rPr>
                <w:rFonts w:ascii="宋体" w:hAnsi="宋体"/>
                <w:szCs w:val="21"/>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rPr>
                <w:rFonts w:ascii="宋体" w:hAnsi="宋体"/>
                <w:szCs w:val="21"/>
              </w:rPr>
            </w:pPr>
            <w:r>
              <w:rPr>
                <w:rFonts w:ascii="宋体" w:hAnsi="宋体"/>
                <w:szCs w:val="21"/>
              </w:rPr>
              <w:t xml:space="preserve">    （一）未在有较大危险因素的生产经营场所和有关设施、设备上设置明显的安全警示标志的</w:t>
            </w:r>
            <w:r>
              <w:rPr>
                <w:rFonts w:hint="eastAsia" w:ascii="宋体" w:hAnsi="宋体"/>
                <w:szCs w:val="21"/>
              </w:rPr>
              <w:t>；</w:t>
            </w:r>
          </w:p>
          <w:p>
            <w:pPr>
              <w:rPr>
                <w:rFonts w:ascii="宋体" w:hAnsi="宋体"/>
                <w:szCs w:val="21"/>
              </w:rPr>
            </w:pPr>
            <w:r>
              <w:rPr>
                <w:rFonts w:hint="eastAsia" w:ascii="宋体" w:hAnsi="宋体"/>
                <w:szCs w:val="21"/>
              </w:rPr>
              <w:t xml:space="preserve">    ……</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60"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jc w:val="left"/>
              <w:rPr>
                <w:rFonts w:ascii="宋体" w:hAnsi="宋体"/>
                <w:szCs w:val="21"/>
              </w:rPr>
            </w:pPr>
          </w:p>
        </w:tc>
        <w:tc>
          <w:tcPr>
            <w:tcW w:w="1983" w:type="dxa"/>
            <w:vAlign w:val="center"/>
          </w:tcPr>
          <w:p>
            <w:pPr>
              <w:spacing w:line="240" w:lineRule="atLeast"/>
              <w:jc w:val="left"/>
              <w:rPr>
                <w:rFonts w:ascii="宋体" w:hAnsi="宋体"/>
                <w:szCs w:val="21"/>
              </w:rPr>
            </w:pPr>
            <w:r>
              <w:rPr>
                <w:rFonts w:hint="eastAsia" w:ascii="思源黑体 CN" w:hAnsi="思源黑体 CN" w:eastAsia="思源黑体 CN" w:cs="思源黑体 CN"/>
                <w:szCs w:val="21"/>
              </w:rPr>
              <w:t>★</w:t>
            </w:r>
            <w:r>
              <w:rPr>
                <w:rFonts w:ascii="宋体" w:hAnsi="宋体"/>
                <w:szCs w:val="21"/>
              </w:rPr>
              <w:t>6.</w:t>
            </w:r>
            <w:r>
              <w:rPr>
                <w:rFonts w:hint="eastAsia" w:ascii="宋体" w:hAnsi="宋体"/>
                <w:szCs w:val="21"/>
              </w:rPr>
              <w:t>6</w:t>
            </w:r>
            <w:r>
              <w:rPr>
                <w:rFonts w:hint="eastAsia" w:ascii="宋体" w:hAnsi="宋体"/>
                <w:szCs w:val="21"/>
                <w:lang w:val="en-US" w:eastAsia="zh-CN"/>
              </w:rPr>
              <w:t xml:space="preserve"> </w:t>
            </w:r>
            <w:r>
              <w:rPr>
                <w:rFonts w:hint="eastAsia" w:asciiTheme="minorEastAsia" w:hAnsiTheme="minorEastAsia" w:eastAsiaTheme="minorEastAsia"/>
                <w:szCs w:val="21"/>
              </w:rPr>
              <w:t>地下开采改为露天开采形成的</w:t>
            </w:r>
            <w:r>
              <w:rPr>
                <w:rFonts w:ascii="宋体" w:hAnsi="宋体"/>
                <w:szCs w:val="21"/>
              </w:rPr>
              <w:t>采空区</w:t>
            </w:r>
          </w:p>
        </w:tc>
        <w:tc>
          <w:tcPr>
            <w:tcW w:w="4818" w:type="dxa"/>
            <w:vAlign w:val="center"/>
          </w:tcPr>
          <w:p>
            <w:pPr>
              <w:spacing w:line="240" w:lineRule="atLeast"/>
              <w:ind w:firstLine="420" w:firstLineChars="200"/>
              <w:rPr>
                <w:rFonts w:ascii="宋体" w:hAnsi="宋体"/>
                <w:szCs w:val="21"/>
              </w:rPr>
            </w:pPr>
            <w:r>
              <w:rPr>
                <w:rFonts w:ascii="宋体" w:hAnsi="宋体"/>
                <w:szCs w:val="21"/>
              </w:rPr>
              <w:t>《安全生产法》第三十八条  生产经营单位应当建立健全生产安全事故隐患排查治理制度，采取技术、管理措施，及时发现并消除事故隐患。事故隐患排查治理情况应当如实记录，并向从业人员通报。</w:t>
            </w:r>
          </w:p>
          <w:p>
            <w:pPr>
              <w:spacing w:line="240" w:lineRule="atLeast"/>
              <w:ind w:firstLine="420" w:firstLineChars="200"/>
              <w:rPr>
                <w:rFonts w:ascii="宋体" w:hAnsi="宋体"/>
                <w:szCs w:val="21"/>
              </w:rPr>
            </w:pPr>
            <w:r>
              <w:rPr>
                <w:rFonts w:hint="eastAsia" w:ascii="宋体" w:hAnsi="宋体"/>
                <w:szCs w:val="21"/>
              </w:rPr>
              <w:t>……</w:t>
            </w:r>
          </w:p>
          <w:p>
            <w:pPr>
              <w:spacing w:line="240" w:lineRule="atLeast"/>
              <w:ind w:firstLine="420" w:firstLineChars="200"/>
              <w:rPr>
                <w:rFonts w:ascii="宋体" w:hAnsi="宋体"/>
                <w:szCs w:val="21"/>
              </w:rPr>
            </w:pPr>
            <w:r>
              <w:rPr>
                <w:rFonts w:ascii="宋体" w:hAnsi="宋体"/>
                <w:szCs w:val="21"/>
              </w:rPr>
              <w:t>《金属非金属矿山安全规程》</w:t>
            </w:r>
            <w:r>
              <w:rPr>
                <w:rFonts w:ascii="宋体" w:hAnsi="宋体"/>
                <w:szCs w:val="21"/>
                <w:highlight w:val="none"/>
              </w:rPr>
              <w:t>（GB 16423-2006）</w:t>
            </w:r>
          </w:p>
          <w:p>
            <w:pPr>
              <w:spacing w:line="240" w:lineRule="atLeast"/>
              <w:ind w:firstLine="420" w:firstLineChars="200"/>
              <w:rPr>
                <w:rFonts w:asciiTheme="minorEastAsia" w:hAnsiTheme="minorEastAsia" w:eastAsiaTheme="minorEastAsia"/>
                <w:szCs w:val="21"/>
              </w:rPr>
            </w:pPr>
            <w:r>
              <w:rPr>
                <w:rFonts w:asciiTheme="minorEastAsia" w:hAnsiTheme="minorEastAsia" w:eastAsiaTheme="minorEastAsia"/>
                <w:szCs w:val="21"/>
              </w:rPr>
              <w:t>5.2.6.4</w:t>
            </w:r>
            <w:r>
              <w:rPr>
                <w:rFonts w:hint="eastAsia" w:asciiTheme="minorEastAsia" w:hAnsiTheme="minorEastAsia" w:eastAsiaTheme="minorEastAsia"/>
                <w:szCs w:val="21"/>
              </w:rPr>
              <w:t xml:space="preserve">  地下开采改为露天开采时，应将全部地下巷道、采空区和矿柱的位置，绘制在矿山平、剖面对照图上。地下巷道和采空区的处理方法，应在设计中确定。地下开采的塌陷区范围内，不应布置重要矿山工程。</w:t>
            </w:r>
          </w:p>
          <w:p>
            <w:pPr>
              <w:spacing w:line="240" w:lineRule="atLeast"/>
              <w:ind w:firstLine="420" w:firstLineChars="200"/>
              <w:rPr>
                <w:rFonts w:ascii="宋体" w:hAnsi="宋体"/>
                <w:bCs/>
                <w:szCs w:val="21"/>
              </w:rPr>
            </w:pPr>
            <w:r>
              <w:rPr>
                <w:rFonts w:hint="eastAsia" w:ascii="宋体" w:hAnsi="宋体"/>
                <w:bCs/>
                <w:szCs w:val="21"/>
              </w:rPr>
              <w:t>《国家安全监管总局关于印发〈金属非金属矿山重大生产安全事故隐患判定标准（试行）〉的通知》(安监总管一〔2017〕98号)</w:t>
            </w:r>
          </w:p>
          <w:p>
            <w:pPr>
              <w:spacing w:line="240" w:lineRule="atLeast"/>
              <w:ind w:firstLine="420" w:firstLineChars="200"/>
              <w:rPr>
                <w:rFonts w:ascii="宋体" w:hAnsi="宋体"/>
                <w:szCs w:val="21"/>
              </w:rPr>
            </w:pPr>
            <w:r>
              <w:rPr>
                <w:rFonts w:hint="eastAsia" w:ascii="宋体" w:hAnsi="宋体"/>
                <w:szCs w:val="21"/>
              </w:rPr>
              <w:t>二、</w:t>
            </w:r>
            <w:r>
              <w:rPr>
                <w:rFonts w:hint="eastAsia" w:ascii="宋体" w:hAnsi="宋体"/>
                <w:bCs/>
                <w:szCs w:val="21"/>
              </w:rPr>
              <w:t>金属非金属露天矿山重大生产安全事故隐患</w:t>
            </w:r>
          </w:p>
          <w:p>
            <w:pPr>
              <w:spacing w:line="240" w:lineRule="atLeast"/>
              <w:ind w:firstLine="420" w:firstLineChars="200"/>
              <w:rPr>
                <w:rFonts w:asciiTheme="minorEastAsia" w:hAnsiTheme="minorEastAsia" w:eastAsiaTheme="minorEastAsia"/>
                <w:szCs w:val="21"/>
              </w:rPr>
            </w:pPr>
            <w:r>
              <w:rPr>
                <w:rFonts w:hint="eastAsia" w:ascii="宋体" w:hAnsi="宋体"/>
                <w:szCs w:val="21"/>
              </w:rPr>
              <w:t>（一）地下转露天开采，未探明采空区或未对采空区实施专项安全技术措施。</w:t>
            </w:r>
          </w:p>
        </w:tc>
        <w:tc>
          <w:tcPr>
            <w:tcW w:w="3687" w:type="dxa"/>
            <w:vAlign w:val="center"/>
          </w:tcPr>
          <w:p>
            <w:pPr>
              <w:spacing w:line="240" w:lineRule="atLeast"/>
              <w:ind w:firstLine="420" w:firstLineChars="200"/>
              <w:rPr>
                <w:rFonts w:ascii="宋体" w:hAnsi="宋体"/>
                <w:szCs w:val="21"/>
              </w:rPr>
            </w:pPr>
            <w:r>
              <w:rPr>
                <w:rFonts w:hint="eastAsia" w:ascii="宋体" w:hAnsi="宋体"/>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10" w:hRule="atLeast"/>
          <w:jc w:val="center"/>
        </w:trPr>
        <w:tc>
          <w:tcPr>
            <w:tcW w:w="816" w:type="dxa"/>
            <w:vAlign w:val="center"/>
          </w:tcPr>
          <w:p>
            <w:pPr>
              <w:jc w:val="center"/>
              <w:rPr>
                <w:rFonts w:ascii="宋体" w:hAnsi="宋体"/>
                <w:szCs w:val="21"/>
              </w:rPr>
            </w:pPr>
            <w:r>
              <w:rPr>
                <w:rFonts w:hint="eastAsia" w:ascii="宋体" w:hAnsi="宋体"/>
                <w:szCs w:val="21"/>
              </w:rPr>
              <w:t>7</w:t>
            </w:r>
          </w:p>
        </w:tc>
        <w:tc>
          <w:tcPr>
            <w:tcW w:w="1704" w:type="dxa"/>
            <w:vAlign w:val="center"/>
          </w:tcPr>
          <w:p>
            <w:pPr>
              <w:jc w:val="left"/>
              <w:rPr>
                <w:rFonts w:ascii="宋体" w:hAnsi="宋体"/>
                <w:szCs w:val="21"/>
              </w:rPr>
            </w:pPr>
            <w:r>
              <w:rPr>
                <w:rFonts w:hint="eastAsia" w:ascii="宋体" w:hAnsi="宋体"/>
                <w:szCs w:val="21"/>
              </w:rPr>
              <w:t>边坡监测监与稳定性专项分析</w:t>
            </w:r>
          </w:p>
        </w:tc>
        <w:tc>
          <w:tcPr>
            <w:tcW w:w="1983" w:type="dxa"/>
            <w:vAlign w:val="center"/>
          </w:tcPr>
          <w:p>
            <w:pPr>
              <w:rPr>
                <w:rFonts w:ascii="宋体" w:hAnsi="宋体"/>
                <w:szCs w:val="21"/>
              </w:rPr>
            </w:pPr>
            <w:r>
              <w:rPr>
                <w:rFonts w:hint="eastAsia" w:ascii="思源黑体 CN" w:hAnsi="思源黑体 CN" w:eastAsia="思源黑体 CN" w:cs="思源黑体 CN"/>
                <w:szCs w:val="21"/>
              </w:rPr>
              <w:t>★</w:t>
            </w:r>
            <w:r>
              <w:rPr>
                <w:rFonts w:hint="eastAsia" w:ascii="宋体" w:hAnsi="宋体"/>
                <w:szCs w:val="21"/>
              </w:rPr>
              <w:t>边坡监测系统设计及定期监测及稳定性分析</w:t>
            </w:r>
          </w:p>
        </w:tc>
        <w:tc>
          <w:tcPr>
            <w:tcW w:w="4818" w:type="dxa"/>
            <w:vAlign w:val="center"/>
          </w:tcPr>
          <w:p>
            <w:pPr>
              <w:ind w:firstLine="420" w:firstLineChars="200"/>
              <w:rPr>
                <w:rFonts w:ascii="宋体" w:hAnsi="宋体"/>
                <w:szCs w:val="21"/>
              </w:rPr>
            </w:pPr>
            <w:r>
              <w:rPr>
                <w:rFonts w:ascii="宋体" w:hAnsi="宋体"/>
                <w:szCs w:val="21"/>
              </w:rPr>
              <w:t>《安全生产法》第三十八条</w:t>
            </w:r>
            <w:r>
              <w:rPr>
                <w:rFonts w:hint="eastAsia" w:ascii="宋体" w:hAnsi="宋体"/>
                <w:szCs w:val="21"/>
                <w:lang w:val="en-US" w:eastAsia="zh-CN"/>
              </w:rPr>
              <w:t xml:space="preserve">  </w:t>
            </w:r>
            <w:r>
              <w:rPr>
                <w:rFonts w:ascii="宋体" w:hAnsi="宋体"/>
                <w:szCs w:val="21"/>
              </w:rPr>
              <w:t>生产经营单位应当建立健全生产安全事故隐患排查治理制度，采取技术、管理措施，及时发现并消除事故隐患。事故隐患排查治理情况应当如实记录，并向从业人员通报。</w:t>
            </w:r>
          </w:p>
          <w:p>
            <w:pPr>
              <w:ind w:firstLine="420" w:firstLineChars="200"/>
              <w:rPr>
                <w:rFonts w:ascii="宋体" w:hAnsi="宋体"/>
                <w:szCs w:val="21"/>
              </w:rPr>
            </w:pPr>
            <w:r>
              <w:rPr>
                <w:rFonts w:hint="eastAsia" w:ascii="宋体" w:hAnsi="宋体"/>
                <w:szCs w:val="21"/>
              </w:rPr>
              <w:t>……</w:t>
            </w:r>
          </w:p>
          <w:p>
            <w:pPr>
              <w:ind w:firstLine="420" w:firstLineChars="200"/>
              <w:rPr>
                <w:rFonts w:ascii="宋体" w:hAnsi="宋体"/>
                <w:szCs w:val="21"/>
              </w:rPr>
            </w:pPr>
            <w:r>
              <w:rPr>
                <w:rFonts w:ascii="宋体" w:hAnsi="宋体"/>
                <w:szCs w:val="21"/>
              </w:rPr>
              <w:t>《金属非金属矿山安全规程</w:t>
            </w:r>
            <w:r>
              <w:rPr>
                <w:rFonts w:ascii="宋体" w:hAnsi="宋体"/>
                <w:szCs w:val="21"/>
                <w:highlight w:val="none"/>
              </w:rPr>
              <w:t>》（GB 16423-2006）</w:t>
            </w:r>
          </w:p>
          <w:p>
            <w:pPr>
              <w:ind w:firstLine="420" w:firstLineChars="200"/>
              <w:rPr>
                <w:rFonts w:ascii="宋体" w:hAnsi="宋体"/>
                <w:szCs w:val="21"/>
              </w:rPr>
            </w:pPr>
            <w:r>
              <w:rPr>
                <w:rFonts w:hint="eastAsia" w:ascii="宋体" w:hAnsi="宋体"/>
                <w:szCs w:val="21"/>
              </w:rPr>
              <w:t>5.2.5.10  边坡监测系统设计，应根据最终边坡的稳定类型、分区特点确定各区监测级别。对边坡应进行定点定期观测，包括坡体表面和内部位移观测、地下水位动态观测、爆破震动观测等。技术管理部门应及时整理边坡观测资料，据以指导采场安全生产。对存在不稳定因素的最终边坡应长期监测，发现问题及时处理。</w:t>
            </w:r>
          </w:p>
          <w:p>
            <w:pPr>
              <w:ind w:firstLine="420" w:firstLineChars="200"/>
              <w:rPr>
                <w:rFonts w:ascii="宋体" w:hAnsi="宋体"/>
                <w:szCs w:val="21"/>
              </w:rPr>
            </w:pPr>
            <w:r>
              <w:rPr>
                <w:rFonts w:hint="eastAsia" w:ascii="宋体" w:hAnsi="宋体"/>
                <w:szCs w:val="21"/>
              </w:rPr>
              <w:t>5.2.5.11  大、中型矿山或边坡潜在危害性大的矿山，除应建立健全边坡管理和检查制度，对边坡重点部位和有潜在滑坡危险的地段采取有效的防治措施外，还应每5年由有资质的中介机构进行一次检测和稳定性分析。</w:t>
            </w:r>
          </w:p>
          <w:p>
            <w:pPr>
              <w:ind w:firstLine="420" w:firstLineChars="200"/>
              <w:rPr>
                <w:rFonts w:ascii="宋体" w:hAnsi="宋体"/>
                <w:bCs/>
                <w:szCs w:val="21"/>
              </w:rPr>
            </w:pPr>
            <w:r>
              <w:rPr>
                <w:rFonts w:hint="eastAsia" w:ascii="宋体" w:hAnsi="宋体"/>
                <w:bCs/>
                <w:szCs w:val="21"/>
              </w:rPr>
              <w:t>《国家安全监管总局关于印发〈金属非金属矿山重大生产安全事故隐患判定标准（试行）〉的通知》(安监总管一〔2017〕98号)</w:t>
            </w:r>
          </w:p>
          <w:p>
            <w:pPr>
              <w:ind w:firstLine="420" w:firstLineChars="200"/>
              <w:rPr>
                <w:rFonts w:ascii="宋体" w:hAnsi="宋体"/>
                <w:szCs w:val="21"/>
              </w:rPr>
            </w:pPr>
            <w:r>
              <w:rPr>
                <w:rFonts w:hint="eastAsia" w:ascii="宋体" w:hAnsi="宋体"/>
                <w:szCs w:val="21"/>
              </w:rPr>
              <w:t>二、</w:t>
            </w:r>
            <w:r>
              <w:rPr>
                <w:rFonts w:hint="eastAsia" w:ascii="宋体" w:hAnsi="宋体"/>
                <w:bCs/>
                <w:szCs w:val="21"/>
              </w:rPr>
              <w:t>金属非金属露天矿山重大生产安全事故隐患</w:t>
            </w:r>
          </w:p>
          <w:p>
            <w:pPr>
              <w:ind w:firstLine="420" w:firstLineChars="200"/>
              <w:rPr>
                <w:rFonts w:ascii="宋体" w:hAnsi="宋体"/>
                <w:szCs w:val="21"/>
              </w:rPr>
            </w:pPr>
            <w:r>
              <w:rPr>
                <w:rFonts w:hint="eastAsia" w:ascii="宋体" w:hAnsi="宋体"/>
                <w:szCs w:val="21"/>
              </w:rPr>
              <w:t>（七）高度200米及以上的边坡或排土场未进行在线监测。</w:t>
            </w:r>
          </w:p>
        </w:tc>
        <w:tc>
          <w:tcPr>
            <w:tcW w:w="3687" w:type="dxa"/>
            <w:vAlign w:val="center"/>
          </w:tcPr>
          <w:p>
            <w:pPr>
              <w:ind w:firstLine="420" w:firstLineChars="200"/>
              <w:rPr>
                <w:rFonts w:ascii="宋体" w:hAnsi="宋体"/>
                <w:szCs w:val="21"/>
              </w:rPr>
            </w:pPr>
            <w:r>
              <w:rPr>
                <w:rFonts w:hint="eastAsia" w:ascii="宋体" w:hAnsi="宋体"/>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18" w:hRule="atLeast"/>
          <w:jc w:val="center"/>
        </w:trPr>
        <w:tc>
          <w:tcPr>
            <w:tcW w:w="816" w:type="dxa"/>
            <w:vMerge w:val="restart"/>
            <w:vAlign w:val="center"/>
          </w:tcPr>
          <w:p>
            <w:pPr>
              <w:jc w:val="center"/>
              <w:rPr>
                <w:rFonts w:ascii="宋体" w:hAnsi="宋体"/>
                <w:szCs w:val="21"/>
              </w:rPr>
            </w:pPr>
            <w:r>
              <w:rPr>
                <w:rFonts w:hint="eastAsia" w:ascii="宋体" w:hAnsi="宋体"/>
                <w:szCs w:val="21"/>
              </w:rPr>
              <w:t>8</w:t>
            </w:r>
          </w:p>
        </w:tc>
        <w:tc>
          <w:tcPr>
            <w:tcW w:w="1704" w:type="dxa"/>
            <w:vMerge w:val="restart"/>
            <w:vAlign w:val="center"/>
          </w:tcPr>
          <w:p>
            <w:pPr>
              <w:jc w:val="left"/>
              <w:rPr>
                <w:rFonts w:ascii="宋体" w:hAnsi="宋体"/>
                <w:szCs w:val="21"/>
              </w:rPr>
            </w:pPr>
            <w:r>
              <w:rPr>
                <w:rFonts w:hint="eastAsia" w:ascii="宋体" w:hAnsi="宋体"/>
                <w:szCs w:val="21"/>
              </w:rPr>
              <w:t>排土场安全管理</w:t>
            </w:r>
          </w:p>
        </w:tc>
        <w:tc>
          <w:tcPr>
            <w:tcW w:w="1983" w:type="dxa"/>
            <w:vAlign w:val="center"/>
          </w:tcPr>
          <w:p>
            <w:pPr>
              <w:rPr>
                <w:rFonts w:ascii="宋体" w:hAnsi="宋体"/>
                <w:szCs w:val="21"/>
              </w:rPr>
            </w:pPr>
            <w:r>
              <w:rPr>
                <w:rFonts w:hint="eastAsia" w:ascii="思源黑体 CN" w:hAnsi="思源黑体 CN" w:eastAsia="思源黑体 CN" w:cs="思源黑体 CN"/>
                <w:szCs w:val="21"/>
              </w:rPr>
              <w:t>★</w:t>
            </w:r>
            <w:r>
              <w:rPr>
                <w:rFonts w:hint="eastAsia" w:ascii="宋体" w:hAnsi="宋体"/>
                <w:szCs w:val="21"/>
              </w:rPr>
              <w:t>8.1 非正常级</w:t>
            </w:r>
            <w:r>
              <w:rPr>
                <w:rFonts w:ascii="宋体" w:hAnsi="宋体"/>
                <w:szCs w:val="21"/>
              </w:rPr>
              <w:t>排土场</w:t>
            </w:r>
            <w:r>
              <w:rPr>
                <w:rFonts w:hint="eastAsia" w:ascii="宋体" w:hAnsi="宋体"/>
                <w:szCs w:val="21"/>
              </w:rPr>
              <w:t>处理</w:t>
            </w:r>
          </w:p>
        </w:tc>
        <w:tc>
          <w:tcPr>
            <w:tcW w:w="4818" w:type="dxa"/>
            <w:vAlign w:val="center"/>
          </w:tcPr>
          <w:p>
            <w:pPr>
              <w:ind w:firstLine="420" w:firstLineChars="200"/>
              <w:rPr>
                <w:rFonts w:ascii="宋体" w:hAnsi="宋体"/>
                <w:szCs w:val="21"/>
              </w:rPr>
            </w:pPr>
            <w:r>
              <w:rPr>
                <w:rFonts w:ascii="宋体" w:hAnsi="宋体"/>
                <w:szCs w:val="21"/>
              </w:rPr>
              <w:t>《安全生产法》第三十八条</w:t>
            </w:r>
            <w:r>
              <w:rPr>
                <w:rFonts w:hint="eastAsia" w:ascii="宋体" w:hAnsi="宋体"/>
                <w:szCs w:val="21"/>
              </w:rPr>
              <w:t xml:space="preserve">  </w:t>
            </w:r>
            <w:r>
              <w:rPr>
                <w:rFonts w:ascii="宋体" w:hAnsi="宋体"/>
                <w:szCs w:val="21"/>
              </w:rPr>
              <w:t>生产经营单位应当建立健全生产安全事故隐患排查治理制度，采取技术、管理措施，及时发现并消除事故隐患。事故隐患排查治理情况应当如实记录，并向从业人员通报。</w:t>
            </w:r>
          </w:p>
          <w:p>
            <w:pPr>
              <w:ind w:firstLine="420" w:firstLineChars="200"/>
              <w:rPr>
                <w:rFonts w:ascii="宋体" w:hAnsi="宋体"/>
                <w:szCs w:val="21"/>
                <w:highlight w:val="none"/>
              </w:rPr>
            </w:pPr>
            <w:r>
              <w:rPr>
                <w:rFonts w:hint="eastAsia" w:ascii="宋体" w:hAnsi="宋体"/>
                <w:szCs w:val="21"/>
              </w:rPr>
              <w:t>《金属非金属矿山排土场安全生产规则》</w:t>
            </w:r>
            <w:r>
              <w:rPr>
                <w:rFonts w:hint="eastAsia" w:ascii="宋体" w:hAnsi="宋体"/>
                <w:szCs w:val="21"/>
                <w:highlight w:val="none"/>
              </w:rPr>
              <w:t>(AQ 2005-2005)</w:t>
            </w:r>
          </w:p>
          <w:p>
            <w:pPr>
              <w:ind w:firstLine="420" w:firstLineChars="200"/>
              <w:rPr>
                <w:rFonts w:ascii="宋体" w:hAnsi="宋体"/>
                <w:szCs w:val="21"/>
              </w:rPr>
            </w:pPr>
            <w:r>
              <w:rPr>
                <w:rFonts w:hint="eastAsia" w:ascii="宋体" w:hAnsi="宋体"/>
                <w:szCs w:val="21"/>
              </w:rPr>
              <w:t>10.2  非正常级排土场的处理：</w:t>
            </w:r>
          </w:p>
          <w:p>
            <w:pPr>
              <w:ind w:firstLine="420" w:firstLineChars="200"/>
              <w:rPr>
                <w:rFonts w:ascii="宋体" w:hAnsi="宋体"/>
                <w:szCs w:val="21"/>
              </w:rPr>
            </w:pPr>
            <w:r>
              <w:rPr>
                <w:rFonts w:hint="eastAsia" w:ascii="宋体" w:hAnsi="宋体"/>
                <w:szCs w:val="21"/>
              </w:rPr>
              <w:t>10.2.1  对于危险级排土场，企业应停产整治，并采取以下措施：1）处理不良地基或调整排土参数。2）采取措施防止泥石流发生，建立泥石流拦挡设施。3）处理排土场重大危险源。4）疏通、加固或修复排水沟。</w:t>
            </w:r>
          </w:p>
          <w:p>
            <w:pPr>
              <w:ind w:firstLine="420" w:firstLineChars="200"/>
              <w:rPr>
                <w:rFonts w:ascii="宋体" w:hAnsi="宋体"/>
                <w:szCs w:val="21"/>
              </w:rPr>
            </w:pPr>
            <w:r>
              <w:rPr>
                <w:rFonts w:hint="eastAsia" w:ascii="宋体" w:hAnsi="宋体"/>
                <w:szCs w:val="21"/>
              </w:rPr>
              <w:t>10.2.2  对于“病级”排土场，企业应采取以下措施限期消除隐患：1）采取措施控制不良地基的影响。2）将各排土参数修复到排土场作业管理要求的参数或规定的范围内。</w:t>
            </w:r>
          </w:p>
          <w:p>
            <w:pPr>
              <w:ind w:firstLine="420" w:firstLineChars="200"/>
              <w:rPr>
                <w:rFonts w:ascii="宋体" w:hAnsi="宋体"/>
                <w:szCs w:val="21"/>
              </w:rPr>
            </w:pPr>
            <w:r>
              <w:rPr>
                <w:rFonts w:hint="eastAsia" w:ascii="宋体" w:hAnsi="宋体"/>
                <w:szCs w:val="21"/>
              </w:rPr>
              <w:t>10.2.3  企业对非正常级排土场的检查周期：“危险级”排土场每周不少于1次，“病级”排土场每月不少于1次；</w:t>
            </w:r>
          </w:p>
          <w:p>
            <w:pPr>
              <w:ind w:firstLine="420" w:firstLineChars="200"/>
              <w:rPr>
                <w:rFonts w:ascii="宋体" w:hAnsi="宋体"/>
                <w:bCs/>
                <w:szCs w:val="21"/>
              </w:rPr>
            </w:pPr>
            <w:r>
              <w:rPr>
                <w:rFonts w:hint="eastAsia" w:ascii="宋体" w:hAnsi="宋体"/>
                <w:bCs/>
                <w:szCs w:val="21"/>
              </w:rPr>
              <w:t>《国家安全监管总局关于印发〈金属非金属矿山重大生产安全事故隐患判定标准（试行）〉的通知》(安监总管一〔2017〕98号)</w:t>
            </w:r>
          </w:p>
          <w:p>
            <w:pPr>
              <w:ind w:firstLine="420" w:firstLineChars="200"/>
              <w:rPr>
                <w:rFonts w:ascii="宋体" w:hAnsi="宋体"/>
                <w:szCs w:val="21"/>
              </w:rPr>
            </w:pPr>
            <w:r>
              <w:rPr>
                <w:rFonts w:hint="eastAsia" w:ascii="宋体" w:hAnsi="宋体"/>
                <w:szCs w:val="21"/>
              </w:rPr>
              <w:t>二、</w:t>
            </w:r>
            <w:r>
              <w:rPr>
                <w:rFonts w:hint="eastAsia" w:ascii="宋体" w:hAnsi="宋体"/>
                <w:bCs/>
                <w:szCs w:val="21"/>
              </w:rPr>
              <w:t>金属非金属露天矿山重大生产安全事故隐患</w:t>
            </w:r>
          </w:p>
          <w:p>
            <w:pPr>
              <w:ind w:firstLine="420" w:firstLineChars="200"/>
              <w:rPr>
                <w:rFonts w:ascii="宋体" w:hAnsi="宋体"/>
                <w:szCs w:val="21"/>
              </w:rPr>
            </w:pPr>
            <w:r>
              <w:rPr>
                <w:rFonts w:hint="eastAsia" w:ascii="宋体" w:hAnsi="宋体"/>
                <w:szCs w:val="21"/>
              </w:rPr>
              <w:t>（十二）危险级排土场。</w:t>
            </w:r>
          </w:p>
        </w:tc>
        <w:tc>
          <w:tcPr>
            <w:tcW w:w="3687" w:type="dxa"/>
            <w:vAlign w:val="center"/>
          </w:tcPr>
          <w:p>
            <w:pPr>
              <w:ind w:firstLine="420" w:firstLineChars="200"/>
              <w:rPr>
                <w:rFonts w:ascii="宋体" w:hAnsi="宋体"/>
                <w:b/>
                <w:szCs w:val="21"/>
              </w:rPr>
            </w:pPr>
            <w:r>
              <w:rPr>
                <w:rFonts w:ascii="宋体" w:hAnsi="宋体"/>
                <w:szCs w:val="21"/>
              </w:rPr>
              <w:t>《安全生产法》第九十九条</w:t>
            </w:r>
            <w:r>
              <w:rPr>
                <w:rFonts w:hint="eastAsia" w:ascii="宋体" w:hAnsi="宋体"/>
                <w:szCs w:val="21"/>
              </w:rPr>
              <w:t xml:space="preserve">  </w:t>
            </w:r>
            <w:r>
              <w:rPr>
                <w:rFonts w:ascii="宋体" w:hAnsi="宋体"/>
                <w:szCs w:val="21"/>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012"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jc w:val="left"/>
              <w:rPr>
                <w:rFonts w:ascii="宋体" w:hAnsi="宋体"/>
                <w:szCs w:val="21"/>
              </w:rPr>
            </w:pPr>
          </w:p>
        </w:tc>
        <w:tc>
          <w:tcPr>
            <w:tcW w:w="1983" w:type="dxa"/>
            <w:vAlign w:val="center"/>
          </w:tcPr>
          <w:p>
            <w:pPr>
              <w:rPr>
                <w:rFonts w:ascii="宋体" w:hAnsi="宋体"/>
                <w:szCs w:val="21"/>
              </w:rPr>
            </w:pPr>
            <w:r>
              <w:rPr>
                <w:rFonts w:hint="eastAsia" w:ascii="宋体" w:hAnsi="宋体"/>
                <w:szCs w:val="21"/>
              </w:rPr>
              <w:t>8.2 排土场和下游泥石流拦挡坝的汛期巡视及修复</w:t>
            </w:r>
          </w:p>
        </w:tc>
        <w:tc>
          <w:tcPr>
            <w:tcW w:w="4818" w:type="dxa"/>
            <w:vAlign w:val="center"/>
          </w:tcPr>
          <w:p>
            <w:pPr>
              <w:ind w:firstLine="420" w:firstLineChars="200"/>
              <w:rPr>
                <w:rFonts w:ascii="宋体" w:hAnsi="宋体"/>
                <w:szCs w:val="21"/>
                <w:highlight w:val="none"/>
              </w:rPr>
            </w:pPr>
            <w:r>
              <w:rPr>
                <w:rFonts w:hint="eastAsia" w:ascii="宋体" w:hAnsi="宋体"/>
                <w:szCs w:val="21"/>
              </w:rPr>
              <w:t>《金属非金属矿山排土场安全生产规则》</w:t>
            </w:r>
            <w:r>
              <w:rPr>
                <w:rFonts w:hint="eastAsia" w:ascii="宋体" w:hAnsi="宋体"/>
                <w:szCs w:val="21"/>
                <w:highlight w:val="none"/>
              </w:rPr>
              <w:t>(AQ 2005-2005)</w:t>
            </w:r>
          </w:p>
          <w:p>
            <w:pPr>
              <w:ind w:firstLine="420" w:firstLineChars="200"/>
              <w:rPr>
                <w:rFonts w:ascii="宋体" w:hAnsi="宋体"/>
                <w:szCs w:val="21"/>
              </w:rPr>
            </w:pPr>
            <w:r>
              <w:rPr>
                <w:rFonts w:hint="eastAsia" w:ascii="宋体" w:hAnsi="宋体"/>
                <w:szCs w:val="21"/>
              </w:rPr>
              <w:t>7.5  汛期应对排土场和下游泥石流拦挡坝进行巡视，发现问题应及时修复，防止连续暴雨后发生泥石流和垮坝事故。</w:t>
            </w:r>
          </w:p>
        </w:tc>
        <w:tc>
          <w:tcPr>
            <w:tcW w:w="3687" w:type="dxa"/>
            <w:vAlign w:val="center"/>
          </w:tcPr>
          <w:p>
            <w:pPr>
              <w:ind w:firstLine="420" w:firstLineChars="200"/>
              <w:rPr>
                <w:rFonts w:ascii="宋体" w:hAnsi="宋体"/>
                <w:szCs w:val="21"/>
              </w:rPr>
            </w:pPr>
            <w:r>
              <w:rPr>
                <w:rFonts w:ascii="宋体" w:hAnsi="宋体"/>
                <w:szCs w:val="21"/>
              </w:rPr>
              <w:t>《安全生产违法行为行政处罚办法》第四十五条</w:t>
            </w:r>
            <w:r>
              <w:rPr>
                <w:rFonts w:hint="eastAsia" w:ascii="宋体" w:hAnsi="宋体"/>
                <w:szCs w:val="21"/>
              </w:rPr>
              <w:t xml:space="preserve">  </w:t>
            </w:r>
            <w:r>
              <w:rPr>
                <w:rFonts w:ascii="宋体" w:hAnsi="宋体"/>
                <w:szCs w:val="21"/>
              </w:rPr>
              <w:t>生产经营单位及其主要负责人或者其他人员有下列行为之一的，给予警告，并可以对生产经营单位处1万元以上3万元以下罚款，对其主要负责人、其他有关人员处1000元以上1万元以下的罚款：</w:t>
            </w:r>
          </w:p>
          <w:p>
            <w:pPr>
              <w:ind w:firstLine="420" w:firstLineChars="200"/>
              <w:rPr>
                <w:rFonts w:ascii="宋体" w:hAnsi="宋体"/>
                <w:szCs w:val="21"/>
              </w:rPr>
            </w:pPr>
            <w:r>
              <w:rPr>
                <w:rFonts w:ascii="宋体" w:hAnsi="宋体"/>
                <w:szCs w:val="21"/>
              </w:rPr>
              <w:t>（一）违反操作规程或者安全管理规定</w:t>
            </w:r>
            <w:r>
              <w:rPr>
                <w:rFonts w:ascii="宋体" w:hAnsi="宋体"/>
                <w:szCs w:val="21"/>
                <w:highlight w:val="none"/>
              </w:rPr>
              <w:t>作业的</w:t>
            </w:r>
            <w:r>
              <w:rPr>
                <w:rFonts w:hint="eastAsia" w:ascii="宋体" w:hAnsi="宋体"/>
                <w:szCs w:val="21"/>
                <w:highlight w:val="none"/>
                <w:lang w:eastAsia="zh-CN"/>
              </w:rPr>
              <w:t>；</w:t>
            </w:r>
          </w:p>
        </w:tc>
        <w:tc>
          <w:tcPr>
            <w:tcW w:w="871" w:type="dxa"/>
            <w:vAlign w:val="center"/>
          </w:tcPr>
          <w:p>
            <w:pPr>
              <w:widowControl/>
              <w:adjustRightInd w:val="0"/>
              <w:snapToGrid w:val="0"/>
              <w:rPr>
                <w:rFonts w:ascii="宋体" w:hAnsi="宋体" w:cs="宋体"/>
                <w:kern w:val="0"/>
                <w:szCs w:val="21"/>
              </w:rPr>
            </w:pPr>
          </w:p>
        </w:tc>
      </w:tr>
    </w:tbl>
    <w:p>
      <w:pPr>
        <w:rPr>
          <w:rFonts w:ascii="仿宋_GB2312" w:eastAsia="仿宋_GB2312"/>
          <w:sz w:val="32"/>
          <w:szCs w:val="32"/>
        </w:rPr>
        <w:sectPr>
          <w:footerReference r:id="rId4" w:type="default"/>
          <w:pgSz w:w="16838" w:h="11906" w:orient="landscape"/>
          <w:pgMar w:top="1588" w:right="1701" w:bottom="1418" w:left="1474" w:header="0" w:footer="907" w:gutter="0"/>
          <w:pgNumType w:start="157"/>
          <w:cols w:space="425" w:num="1"/>
          <w:docGrid w:type="lines" w:linePitch="312" w:charSpace="0"/>
        </w:sectPr>
      </w:pPr>
    </w:p>
    <w:p>
      <w:pPr>
        <w:pStyle w:val="4"/>
        <w:spacing w:line="240" w:lineRule="auto"/>
        <w:rPr>
          <w:rFonts w:ascii="黑体" w:hAnsi="黑体" w:eastAsia="黑体"/>
          <w:b w:val="0"/>
        </w:rPr>
      </w:pPr>
      <w:bookmarkStart w:id="16" w:name="_Toc497087506"/>
      <w:bookmarkStart w:id="17" w:name="_Toc499799326"/>
      <w:r>
        <w:rPr>
          <w:rFonts w:hint="eastAsia" w:ascii="黑体" w:hAnsi="黑体" w:eastAsia="黑体"/>
          <w:b w:val="0"/>
        </w:rPr>
        <w:t>表2-3  尾矿库</w:t>
      </w:r>
      <w:bookmarkEnd w:id="16"/>
      <w:bookmarkEnd w:id="17"/>
    </w:p>
    <w:tbl>
      <w:tblPr>
        <w:tblStyle w:val="19"/>
        <w:tblW w:w="13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816"/>
        <w:gridCol w:w="1704"/>
        <w:gridCol w:w="1983"/>
        <w:gridCol w:w="4818"/>
        <w:gridCol w:w="3687"/>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50" w:hRule="atLeast"/>
          <w:tblHeader/>
          <w:jc w:val="center"/>
        </w:trPr>
        <w:tc>
          <w:tcPr>
            <w:tcW w:w="816"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序号</w:t>
            </w:r>
          </w:p>
        </w:tc>
        <w:tc>
          <w:tcPr>
            <w:tcW w:w="1704"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检查事项</w:t>
            </w:r>
          </w:p>
        </w:tc>
        <w:tc>
          <w:tcPr>
            <w:tcW w:w="1983"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检查内容</w:t>
            </w:r>
          </w:p>
        </w:tc>
        <w:tc>
          <w:tcPr>
            <w:tcW w:w="4818"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检查依据指引</w:t>
            </w:r>
          </w:p>
        </w:tc>
        <w:tc>
          <w:tcPr>
            <w:tcW w:w="3687"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法律责任指引</w:t>
            </w:r>
          </w:p>
        </w:tc>
        <w:tc>
          <w:tcPr>
            <w:tcW w:w="871"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670" w:hRule="atLeast"/>
          <w:jc w:val="center"/>
        </w:trPr>
        <w:tc>
          <w:tcPr>
            <w:tcW w:w="816" w:type="dxa"/>
            <w:vMerge w:val="restart"/>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c>
          <w:tcPr>
            <w:tcW w:w="1704"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许可情况</w:t>
            </w:r>
          </w:p>
        </w:tc>
        <w:tc>
          <w:tcPr>
            <w:tcW w:w="198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1.1 安全生产许可证取得</w:t>
            </w:r>
          </w:p>
        </w:tc>
        <w:tc>
          <w:tcPr>
            <w:tcW w:w="481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《安全生产许可证条例》第二条  国家对矿山企业、建筑施工企业和危险化学品、烟花爆竹、民用爆炸物品生产企业（以下统称企业）实行安全生产许可制度。</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企业未取得安全生产许可证的，不得从事生产活动。</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《非煤矿矿山企业安全生产许可证实施办法》第二条  非煤矿矿山企业必须依照本实施办法的规定取得安全生产许可证。</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未取得安全生产许可证的，不得从事生产活动。</w:t>
            </w:r>
          </w:p>
        </w:tc>
        <w:tc>
          <w:tcPr>
            <w:tcW w:w="3687" w:type="dxa"/>
            <w:vAlign w:val="center"/>
          </w:tcPr>
          <w:p>
            <w:pPr>
              <w:widowControl/>
              <w:adjustRightInd w:val="0"/>
              <w:snapToGrid w:val="0"/>
              <w:ind w:firstLine="420" w:firstLineChars="200"/>
              <w:rPr>
                <w:rFonts w:hint="eastAsia"/>
              </w:rPr>
            </w:pPr>
            <w:r>
              <w:rPr>
                <w:rFonts w:hint="eastAsia"/>
              </w:rPr>
              <w:t>《安全生产许可证条例》第十九条  违反本条例规定，未取得安全生产许可证擅自进行生产的，责令停止生产，没收违法所得，并处10万元以上50万元以下的罚款；造成重大事故或者其他严重后果，构成犯罪的，依法追究刑事责任。</w:t>
            </w:r>
          </w:p>
          <w:p>
            <w:pPr>
              <w:pStyle w:val="2"/>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《非煤矿矿山企业安全生产许可证实施办法》第四十二条</w:t>
            </w:r>
            <w:r>
              <w:rPr>
                <w:rFonts w:hint="eastAsia" w:eastAsia="宋体" w:cs="Times New Roman"/>
                <w:kern w:val="2"/>
                <w:sz w:val="21"/>
                <w:szCs w:val="22"/>
                <w:lang w:val="en-US" w:eastAsia="zh-CN" w:bidi="ar-SA"/>
              </w:rPr>
              <w:t xml:space="preserve">  </w:t>
            </w:r>
            <w:r>
              <w:rPr>
                <w:rFonts w:hint="eastAsia" w:ascii="Calibri" w:hAnsi="Calibri" w:eastAsia="宋体" w:cs="Times New Roman"/>
                <w:kern w:val="2"/>
                <w:sz w:val="21"/>
                <w:szCs w:val="22"/>
                <w:lang w:val="en-US" w:eastAsia="zh-CN" w:bidi="ar-SA"/>
              </w:rPr>
              <w:t>非煤矿矿山企业有下列行为之一的，责令停止生产，没收违法所得，并处10万元以上50万元以下的罚款：</w:t>
            </w:r>
          </w:p>
          <w:p>
            <w:pPr>
              <w:pStyle w:val="2"/>
            </w:pPr>
            <w:r>
              <w:rPr>
                <w:rFonts w:hint="eastAsia" w:ascii="Calibri" w:hAnsi="Calibri" w:eastAsia="宋体" w:cs="Times New Roman"/>
                <w:kern w:val="2"/>
                <w:sz w:val="21"/>
                <w:szCs w:val="22"/>
                <w:lang w:val="en-US" w:eastAsia="zh-CN" w:bidi="ar-SA"/>
              </w:rPr>
              <w:t>（一）未取得安全生产许可证，擅自进行生产的；</w:t>
            </w:r>
          </w:p>
        </w:tc>
        <w:tc>
          <w:tcPr>
            <w:tcW w:w="871" w:type="dxa"/>
            <w:vMerge w:val="restart"/>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668"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704" w:type="dxa"/>
            <w:vMerge w:val="continue"/>
            <w:vAlign w:val="center"/>
          </w:tcPr>
          <w:p>
            <w:pPr>
              <w:widowControl/>
              <w:adjustRightInd w:val="0"/>
              <w:snapToGrid w:val="0"/>
              <w:spacing w:after="280"/>
              <w:rPr>
                <w:rFonts w:ascii="宋体" w:hAnsi="宋体" w:cs="宋体"/>
                <w:kern w:val="0"/>
                <w:szCs w:val="21"/>
              </w:rPr>
            </w:pPr>
          </w:p>
        </w:tc>
        <w:tc>
          <w:tcPr>
            <w:tcW w:w="198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1.2 安全生产许可证延期</w:t>
            </w:r>
          </w:p>
        </w:tc>
        <w:tc>
          <w:tcPr>
            <w:tcW w:w="481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《安全生产许可证条例》第九条  安全生产许可证的有效期为3年。安全生产许可证有效期满需要延期的，企业应当于期满前3个月向原安全生产许可证颁发管理机关办理延期手续。</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《非煤矿矿山企业安全生产许可证实施办法》第十九条  安全生产许可证的有效期为3年。安全生产许可证有效期满后需要延期的，非煤矿矿山企业应当在安全生产许可证有效期届满前3个月向原安全生产许可证颁发管理机关申请办理延期手续，并提交下列文件、资料：</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（一）延期申请书；</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（二）安全生产许可证正本和副本；</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（三）本实施办法第二章规定的相应文件、资料。</w:t>
            </w:r>
          </w:p>
        </w:tc>
        <w:tc>
          <w:tcPr>
            <w:tcW w:w="3687"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《安全生产许可证条例》第二十条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《非煤矿矿山企业安全生产许可证实施办法》第四十五条  非煤矿矿山企业在安全生产许可证有效期满未办理延期手续，继续进行生产的，责令停止生产，限期补办延期手续，没收违法所得，并处5万元以上10万元以下的罚款；逾期仍不办理延期手续，继续进行生产的，依照本实施办法第四十二条的规定处罚。</w:t>
            </w:r>
          </w:p>
        </w:tc>
        <w:tc>
          <w:tcPr>
            <w:tcW w:w="871"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18"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704" w:type="dxa"/>
            <w:vMerge w:val="continue"/>
            <w:vAlign w:val="center"/>
          </w:tcPr>
          <w:p>
            <w:pPr>
              <w:widowControl/>
              <w:adjustRightInd w:val="0"/>
              <w:snapToGrid w:val="0"/>
              <w:spacing w:after="280"/>
              <w:rPr>
                <w:rFonts w:ascii="宋体" w:hAnsi="宋体" w:cs="宋体"/>
                <w:kern w:val="0"/>
                <w:szCs w:val="21"/>
              </w:rPr>
            </w:pPr>
          </w:p>
        </w:tc>
        <w:tc>
          <w:tcPr>
            <w:tcW w:w="198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1.3 安全生产许可证变更</w:t>
            </w:r>
          </w:p>
        </w:tc>
        <w:tc>
          <w:tcPr>
            <w:tcW w:w="481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《非煤矿矿山企业安全生产许可证实施办法》第二十一条  非煤矿矿山企业在安全生产许可证有效期内有下列情形之一的，应当自工商营业执照变更之日起30个工作日内向原安全生产许可证颁发管理机关申请变更安全生产许可证：</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（一）变更单位名称的；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（二）变更主要负责人的；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（三）变更单位地址的；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（四）变更经济类型的；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（五）变更许可范围的。</w:t>
            </w:r>
          </w:p>
        </w:tc>
        <w:tc>
          <w:tcPr>
            <w:tcW w:w="3687"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《非煤矿矿山企业安全生产许可证实施办法》第四十四条  非煤矿矿山企业在安全生产许可证有效期内，出现需要变更安全生产许可证的情形，未按本实施办法第二十一条的规定申请、办理变更手续的，责令限期办理变更手续，并处1万元以上3万元以下罚款。</w:t>
            </w:r>
          </w:p>
          <w:p>
            <w:pPr>
              <w:widowControl/>
              <w:adjustRightInd w:val="0"/>
              <w:snapToGrid w:val="0"/>
              <w:ind w:firstLine="420" w:firstLineChars="200"/>
              <w:rPr>
                <w:rFonts w:ascii="宋体" w:hAnsi="宋体" w:cs="宋体"/>
                <w:kern w:val="0"/>
                <w:szCs w:val="21"/>
              </w:rPr>
            </w:pPr>
            <w:r>
              <w:rPr>
                <w:rFonts w:ascii="宋体" w:hAnsi="宋体"/>
                <w:szCs w:val="21"/>
              </w:rPr>
              <w:t>……</w:t>
            </w:r>
          </w:p>
        </w:tc>
        <w:tc>
          <w:tcPr>
            <w:tcW w:w="871"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668" w:hRule="atLeast"/>
          <w:jc w:val="center"/>
        </w:trPr>
        <w:tc>
          <w:tcPr>
            <w:tcW w:w="816" w:type="dxa"/>
            <w:vMerge w:val="continue"/>
            <w:vAlign w:val="center"/>
          </w:tcPr>
          <w:p>
            <w:pPr>
              <w:widowControl/>
              <w:adjustRightInd w:val="0"/>
              <w:snapToGrid w:val="0"/>
              <w:jc w:val="center"/>
              <w:rPr>
                <w:rFonts w:ascii="宋体" w:hAnsi="宋体" w:cs="宋体"/>
                <w:kern w:val="0"/>
                <w:szCs w:val="21"/>
              </w:rPr>
            </w:pPr>
          </w:p>
        </w:tc>
        <w:tc>
          <w:tcPr>
            <w:tcW w:w="1704" w:type="dxa"/>
            <w:vMerge w:val="continue"/>
            <w:vAlign w:val="center"/>
          </w:tcPr>
          <w:p>
            <w:pPr>
              <w:widowControl/>
              <w:adjustRightInd w:val="0"/>
              <w:snapToGrid w:val="0"/>
              <w:spacing w:after="280"/>
              <w:rPr>
                <w:rFonts w:ascii="宋体" w:hAnsi="宋体" w:cs="宋体"/>
                <w:kern w:val="0"/>
                <w:szCs w:val="21"/>
              </w:rPr>
            </w:pPr>
          </w:p>
        </w:tc>
        <w:tc>
          <w:tcPr>
            <w:tcW w:w="198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1.4 转让、冒用安全生产许可证或者使用伪造的安全生产许可证</w:t>
            </w:r>
          </w:p>
        </w:tc>
        <w:tc>
          <w:tcPr>
            <w:tcW w:w="481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《安全生产许可证条例》第十三条  企业不得转让、冒用安全生产许可证或者使用伪造的安全生产许可证。</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《非煤矿矿山企业安全生产许可证实施办法》</w:t>
            </w:r>
            <w:r>
              <w:rPr>
                <w:rFonts w:hint="eastAsia" w:ascii="宋体" w:hAnsi="宋体" w:cs="宋体"/>
                <w:kern w:val="0"/>
                <w:szCs w:val="21"/>
                <w:highlight w:val="none"/>
              </w:rPr>
              <w:t>第二十七条</w:t>
            </w:r>
            <w:r>
              <w:rPr>
                <w:rFonts w:hint="eastAsia" w:ascii="宋体" w:hAnsi="宋体" w:cs="宋体"/>
                <w:kern w:val="0"/>
                <w:szCs w:val="21"/>
              </w:rPr>
              <w:t xml:space="preserve">  非煤矿矿山企业不得转让、冒用、买卖、出租、出借或者使用伪造的安全生产许可证。</w:t>
            </w:r>
          </w:p>
        </w:tc>
        <w:tc>
          <w:tcPr>
            <w:tcW w:w="3687" w:type="dxa"/>
            <w:vAlign w:val="center"/>
          </w:tcPr>
          <w:p>
            <w:pPr>
              <w:widowControl/>
              <w:adjustRightInd w:val="0"/>
              <w:snapToGrid w:val="0"/>
              <w:ind w:firstLine="420" w:firstLineChars="200"/>
            </w:pPr>
            <w:r>
              <w:rPr>
                <w:rFonts w:hint="eastAsia"/>
              </w:rPr>
              <w:t>《安全生产许可证条例》第二十一条  违反本条例规定，转让安全生产许可证的，没收违法所得，处10万元以上50万元以下的罚款，并吊销其安全生产许可证；构成犯罪的，依法追究刑事责任；接受转让的，依照本条例第十九条的规定处罚。</w:t>
            </w:r>
          </w:p>
          <w:p>
            <w:pPr>
              <w:widowControl/>
              <w:adjustRightInd w:val="0"/>
              <w:snapToGrid w:val="0"/>
              <w:ind w:firstLine="420" w:firstLineChars="200"/>
              <w:rPr>
                <w:rFonts w:hint="eastAsia"/>
              </w:rPr>
            </w:pPr>
            <w:r>
              <w:rPr>
                <w:rFonts w:hint="eastAsia"/>
              </w:rPr>
              <w:t>冒用安全生产许可证或者使用伪造的安全生产许可证的，依照本条例第十九条的规定处罚。</w:t>
            </w:r>
          </w:p>
          <w:p>
            <w:pPr>
              <w:widowControl/>
              <w:adjustRightInd w:val="0"/>
              <w:snapToGrid w:val="0"/>
              <w:ind w:firstLine="420" w:firstLineChars="200"/>
              <w:rPr>
                <w:rFonts w:hint="eastAsia"/>
                <w:lang w:val="en-US" w:eastAsia="zh-CN"/>
              </w:rPr>
            </w:pPr>
            <w:r>
              <w:rPr>
                <w:rFonts w:hint="eastAsia"/>
                <w:lang w:val="en-US" w:eastAsia="zh-CN"/>
              </w:rPr>
              <w:t>《非煤矿矿山企业安全生产许可证实施办法》第四十一条  取得安全生产许可证的非煤矿矿山企业有下列行为之一的，吊销其安全生产许可证：</w:t>
            </w:r>
          </w:p>
          <w:p>
            <w:pPr>
              <w:widowControl/>
              <w:adjustRightInd w:val="0"/>
              <w:snapToGrid w:val="0"/>
              <w:ind w:firstLine="420" w:firstLineChars="200"/>
              <w:rPr>
                <w:rFonts w:hint="eastAsia"/>
                <w:lang w:val="en-US" w:eastAsia="zh-CN"/>
              </w:rPr>
            </w:pPr>
            <w:r>
              <w:rPr>
                <w:rFonts w:hint="eastAsia"/>
                <w:lang w:val="en-US" w:eastAsia="zh-CN"/>
              </w:rPr>
              <w:t>（一）倒卖、出租、出借或者以其他形式非法转让安全生产许可证的；</w:t>
            </w:r>
          </w:p>
          <w:p>
            <w:pPr>
              <w:widowControl/>
              <w:adjustRightInd w:val="0"/>
              <w:snapToGrid w:val="0"/>
              <w:ind w:firstLine="420" w:firstLineChars="200"/>
              <w:rPr>
                <w:rFonts w:hint="eastAsia"/>
                <w:lang w:val="en-US" w:eastAsia="zh-CN"/>
              </w:rPr>
            </w:pPr>
            <w:r>
              <w:rPr>
                <w:rFonts w:hint="eastAsia"/>
                <w:lang w:val="en-US" w:eastAsia="zh-CN"/>
              </w:rPr>
              <w:t>……</w:t>
            </w:r>
          </w:p>
          <w:p>
            <w:pPr>
              <w:widowControl/>
              <w:adjustRightInd w:val="0"/>
              <w:snapToGrid w:val="0"/>
              <w:ind w:firstLine="420" w:firstLineChars="200"/>
              <w:rPr>
                <w:rFonts w:hint="eastAsia"/>
                <w:lang w:val="en-US" w:eastAsia="zh-CN"/>
              </w:rPr>
            </w:pPr>
            <w:r>
              <w:rPr>
                <w:rFonts w:hint="eastAsia"/>
                <w:lang w:val="en-US" w:eastAsia="zh-CN"/>
              </w:rPr>
              <w:t>第四十二条  非煤矿矿山企业有下列行为之一的，责令停止生产，没收违法所得，并处10万元以上50万元以下的罚款：</w:t>
            </w:r>
          </w:p>
          <w:p>
            <w:pPr>
              <w:widowControl/>
              <w:adjustRightInd w:val="0"/>
              <w:snapToGrid w:val="0"/>
              <w:ind w:firstLine="420" w:firstLineChars="200"/>
              <w:rPr>
                <w:rFonts w:hint="eastAsia"/>
                <w:lang w:val="en-US" w:eastAsia="zh-CN"/>
              </w:rPr>
            </w:pPr>
            <w:r>
              <w:rPr>
                <w:rFonts w:hint="eastAsia"/>
                <w:lang w:val="en-US" w:eastAsia="zh-CN"/>
              </w:rPr>
              <w:t>（二）接受转让的安全生产许可证的；</w:t>
            </w:r>
          </w:p>
          <w:p>
            <w:pPr>
              <w:widowControl/>
              <w:adjustRightInd w:val="0"/>
              <w:snapToGrid w:val="0"/>
              <w:ind w:firstLine="420" w:firstLineChars="200"/>
              <w:rPr>
                <w:rFonts w:hint="eastAsia"/>
                <w:lang w:val="en-US" w:eastAsia="zh-CN"/>
              </w:rPr>
            </w:pPr>
            <w:r>
              <w:rPr>
                <w:rFonts w:hint="eastAsia"/>
                <w:lang w:val="en-US" w:eastAsia="zh-CN"/>
              </w:rPr>
              <w:t>（三）冒用安全生产许可证的；</w:t>
            </w:r>
          </w:p>
          <w:p>
            <w:pPr>
              <w:widowControl/>
              <w:adjustRightInd w:val="0"/>
              <w:snapToGrid w:val="0"/>
              <w:ind w:firstLine="420" w:firstLineChars="200"/>
            </w:pPr>
            <w:r>
              <w:rPr>
                <w:rFonts w:hint="eastAsia"/>
                <w:lang w:val="en-US" w:eastAsia="zh-CN"/>
              </w:rPr>
              <w:t>（四）使用伪造的安全生产许可证的。</w:t>
            </w:r>
          </w:p>
        </w:tc>
        <w:tc>
          <w:tcPr>
            <w:tcW w:w="871"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799" w:hRule="atLeast"/>
          <w:jc w:val="center"/>
        </w:trPr>
        <w:tc>
          <w:tcPr>
            <w:tcW w:w="816" w:type="dxa"/>
            <w:vAlign w:val="center"/>
          </w:tcPr>
          <w:p>
            <w:pPr>
              <w:jc w:val="center"/>
              <w:rPr>
                <w:rFonts w:ascii="宋体" w:hAnsi="宋体"/>
                <w:szCs w:val="21"/>
              </w:rPr>
            </w:pPr>
            <w:r>
              <w:rPr>
                <w:rFonts w:hint="eastAsia" w:ascii="宋体" w:hAnsi="宋体"/>
                <w:szCs w:val="21"/>
              </w:rPr>
              <w:t>2</w:t>
            </w:r>
          </w:p>
        </w:tc>
        <w:tc>
          <w:tcPr>
            <w:tcW w:w="1704" w:type="dxa"/>
            <w:vAlign w:val="center"/>
          </w:tcPr>
          <w:p>
            <w:pPr>
              <w:rPr>
                <w:rFonts w:ascii="宋体" w:hAnsi="宋体"/>
                <w:szCs w:val="21"/>
              </w:rPr>
            </w:pPr>
            <w:r>
              <w:rPr>
                <w:rFonts w:hint="eastAsia" w:ascii="宋体" w:hAnsi="宋体"/>
                <w:szCs w:val="21"/>
              </w:rPr>
              <w:t>库区活动情况</w:t>
            </w:r>
          </w:p>
        </w:tc>
        <w:tc>
          <w:tcPr>
            <w:tcW w:w="1983" w:type="dxa"/>
            <w:vAlign w:val="center"/>
          </w:tcPr>
          <w:p>
            <w:pPr>
              <w:rPr>
                <w:rFonts w:ascii="宋体" w:hAnsi="宋体"/>
                <w:szCs w:val="21"/>
              </w:rPr>
            </w:pPr>
            <w:r>
              <w:rPr>
                <w:rFonts w:hint="eastAsia" w:ascii="思源黑体 CN" w:hAnsi="思源黑体 CN" w:eastAsia="思源黑体 CN" w:cs="思源黑体 CN"/>
                <w:szCs w:val="21"/>
              </w:rPr>
              <w:t>★</w:t>
            </w:r>
            <w:r>
              <w:rPr>
                <w:rFonts w:hint="eastAsia" w:ascii="宋体" w:hAnsi="宋体"/>
                <w:szCs w:val="21"/>
              </w:rPr>
              <w:t>危及尾矿库安全事项检查</w:t>
            </w:r>
          </w:p>
        </w:tc>
        <w:tc>
          <w:tcPr>
            <w:tcW w:w="4818" w:type="dxa"/>
            <w:vAlign w:val="center"/>
          </w:tcPr>
          <w:p>
            <w:pPr>
              <w:ind w:firstLine="420" w:firstLineChars="200"/>
            </w:pPr>
            <w:r>
              <w:rPr>
                <w:rFonts w:hint="eastAsia"/>
              </w:rPr>
              <w:t>《安全生产法》第三十八条  生产经营单位应当建立健全生产安全事故隐患排查治理制度，采取技术、管理措施，及时发现并消除事故隐患。事故隐患排查治理情况应当如实记录，并向从业人员通报。</w:t>
            </w:r>
          </w:p>
          <w:p>
            <w:pPr>
              <w:ind w:firstLine="420" w:firstLineChars="200"/>
            </w:pPr>
            <w:r>
              <w:rPr>
                <w:rFonts w:hint="eastAsia"/>
              </w:rPr>
              <w:t>……</w:t>
            </w:r>
          </w:p>
          <w:p>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《尾矿库安全技术规程》(AQ 2006-2005)</w:t>
            </w:r>
          </w:p>
          <w:p>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6.7.2  严禁在尾矿坝上和库区周围进行乱采、滥挖和非法爆破等。</w:t>
            </w:r>
          </w:p>
          <w:p>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7.3.3  检查库区范围内危及尾矿库安全的主要内容：违章爆破、采石和建筑，违章进行尾矿回采、取水，外来尾矿、废石、废水和废弃物排入，放牧和开垦等。</w:t>
            </w:r>
          </w:p>
          <w:p>
            <w:pPr>
              <w:pStyle w:val="2"/>
              <w:ind w:firstLine="420"/>
              <w:rPr>
                <w:rFonts w:asciiTheme="minorEastAsia" w:hAnsiTheme="minorEastAsia" w:eastAsiaTheme="minorEastAsia"/>
                <w:highlight w:val="none"/>
              </w:rPr>
            </w:pPr>
            <w:r>
              <w:rPr>
                <w:rFonts w:hint="eastAsia" w:eastAsia="宋体"/>
              </w:rPr>
              <w:t>《国家安全监管总局关于印发〈金属非金属矿山重大生产安全事故隐患判定标准（试行）〉的通知》（安监</w:t>
            </w:r>
            <w:r>
              <w:rPr>
                <w:rFonts w:hint="eastAsia" w:eastAsia="宋体"/>
                <w:highlight w:val="none"/>
              </w:rPr>
              <w:t>总</w:t>
            </w:r>
            <w:r>
              <w:rPr>
                <w:rFonts w:hint="eastAsia" w:asciiTheme="minorEastAsia" w:hAnsiTheme="minorEastAsia" w:eastAsiaTheme="minorEastAsia"/>
                <w:highlight w:val="none"/>
              </w:rPr>
              <w:t>管一〔2017〕98号）</w:t>
            </w:r>
          </w:p>
          <w:p>
            <w:pPr>
              <w:pStyle w:val="2"/>
              <w:ind w:firstLine="420"/>
              <w:rPr>
                <w:rFonts w:asciiTheme="minorEastAsia" w:hAnsiTheme="minorEastAsia" w:eastAsiaTheme="minorEastAsia"/>
              </w:rPr>
            </w:pPr>
            <w:r>
              <w:rPr>
                <w:rFonts w:hint="eastAsia" w:asciiTheme="minorEastAsia" w:hAnsiTheme="minorEastAsia" w:eastAsiaTheme="minorEastAsia"/>
              </w:rPr>
              <w:t>三、</w:t>
            </w:r>
            <w:r>
              <w:rPr>
                <w:rFonts w:hint="eastAsia" w:eastAsia="宋体"/>
              </w:rPr>
              <w:t>尾矿库重大生产安全事故隐患</w:t>
            </w:r>
          </w:p>
          <w:p>
            <w:pPr>
              <w:pStyle w:val="2"/>
              <w:ind w:firstLine="420"/>
              <w:rPr>
                <w:rFonts w:eastAsia="宋体"/>
              </w:rPr>
            </w:pPr>
            <w:r>
              <w:rPr>
                <w:rFonts w:hint="eastAsia" w:eastAsia="宋体"/>
              </w:rPr>
              <w:t>（一）库区和尾矿坝上存在未按批准的设计方案进行开采、挖掘、爆破等活动。</w:t>
            </w:r>
          </w:p>
        </w:tc>
        <w:tc>
          <w:tcPr>
            <w:tcW w:w="3687" w:type="dxa"/>
            <w:vAlign w:val="center"/>
          </w:tcPr>
          <w:p>
            <w:pPr>
              <w:ind w:firstLine="315" w:firstLineChars="150"/>
              <w:rPr>
                <w:rFonts w:ascii="宋体" w:hAnsi="宋体"/>
                <w:szCs w:val="21"/>
              </w:rPr>
            </w:pPr>
            <w:r>
              <w:rPr>
                <w:rFonts w:hint="eastAsia" w:ascii="宋体" w:hAnsi="宋体"/>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18" w:hRule="atLeast"/>
          <w:jc w:val="center"/>
        </w:trPr>
        <w:tc>
          <w:tcPr>
            <w:tcW w:w="816" w:type="dxa"/>
            <w:vMerge w:val="restart"/>
            <w:vAlign w:val="center"/>
          </w:tcPr>
          <w:p>
            <w:pPr>
              <w:jc w:val="center"/>
              <w:rPr>
                <w:rFonts w:ascii="宋体" w:hAnsi="宋体"/>
                <w:szCs w:val="21"/>
              </w:rPr>
            </w:pPr>
            <w:r>
              <w:rPr>
                <w:rFonts w:hint="eastAsia" w:ascii="宋体" w:hAnsi="宋体"/>
                <w:szCs w:val="21"/>
              </w:rPr>
              <w:t>3</w:t>
            </w:r>
          </w:p>
        </w:tc>
        <w:tc>
          <w:tcPr>
            <w:tcW w:w="1704" w:type="dxa"/>
            <w:vMerge w:val="restart"/>
            <w:vAlign w:val="center"/>
          </w:tcPr>
          <w:p>
            <w:pPr>
              <w:rPr>
                <w:rFonts w:ascii="宋体" w:hAnsi="宋体"/>
                <w:szCs w:val="21"/>
              </w:rPr>
            </w:pPr>
            <w:r>
              <w:rPr>
                <w:rFonts w:hint="eastAsia" w:ascii="宋体" w:hAnsi="宋体"/>
                <w:szCs w:val="21"/>
              </w:rPr>
              <w:t>坝体管理</w:t>
            </w:r>
          </w:p>
        </w:tc>
        <w:tc>
          <w:tcPr>
            <w:tcW w:w="1983" w:type="dxa"/>
            <w:vAlign w:val="center"/>
          </w:tcPr>
          <w:p>
            <w:pPr>
              <w:rPr>
                <w:rFonts w:ascii="宋体" w:hAnsi="宋体"/>
                <w:szCs w:val="21"/>
              </w:rPr>
            </w:pPr>
            <w:r>
              <w:rPr>
                <w:rFonts w:hint="eastAsia" w:ascii="宋体" w:hAnsi="宋体"/>
                <w:szCs w:val="21"/>
              </w:rPr>
              <w:t>3.1 堆积坝</w:t>
            </w:r>
          </w:p>
        </w:tc>
        <w:tc>
          <w:tcPr>
            <w:tcW w:w="4818" w:type="dxa"/>
            <w:vAlign w:val="center"/>
          </w:tcPr>
          <w:p>
            <w:pPr>
              <w:ind w:firstLine="420" w:firstLineChars="200"/>
              <w:rPr>
                <w:rFonts w:hint="eastAsia" w:ascii="宋体" w:hAnsi="宋体" w:eastAsia="宋体"/>
                <w:szCs w:val="21"/>
                <w:lang w:eastAsia="zh-CN"/>
              </w:rPr>
            </w:pPr>
            <w:r>
              <w:rPr>
                <w:rFonts w:hint="eastAsia" w:ascii="宋体" w:hAnsi="宋体"/>
                <w:szCs w:val="21"/>
              </w:rPr>
              <w:t>《尾矿库安全监督管理规定》第十八条  对生产运行的尾矿库，未经技术论证和安全生产监督管理部门的批准，任何单位和个人不得对下列事项进行变更：</w:t>
            </w:r>
            <w:r>
              <w:rPr>
                <w:rFonts w:hint="eastAsia" w:ascii="宋体" w:hAnsi="宋体"/>
                <w:szCs w:val="21"/>
                <w:lang w:eastAsia="zh-CN"/>
              </w:rPr>
              <w:t>……</w:t>
            </w:r>
          </w:p>
          <w:p>
            <w:pPr>
              <w:ind w:firstLine="420" w:firstLineChars="200"/>
              <w:rPr>
                <w:rFonts w:ascii="宋体" w:hAnsi="宋体"/>
                <w:szCs w:val="21"/>
              </w:rPr>
            </w:pPr>
            <w:r>
              <w:rPr>
                <w:rFonts w:hint="eastAsia" w:ascii="宋体" w:hAnsi="宋体"/>
                <w:szCs w:val="21"/>
              </w:rPr>
              <w:t>（二）排放方式；</w:t>
            </w:r>
          </w:p>
          <w:p>
            <w:pPr>
              <w:ind w:firstLine="420" w:firstLineChars="200"/>
              <w:rPr>
                <w:rFonts w:ascii="宋体" w:hAnsi="宋体"/>
                <w:szCs w:val="21"/>
              </w:rPr>
            </w:pPr>
            <w:r>
              <w:rPr>
                <w:rFonts w:hint="eastAsia" w:ascii="宋体" w:hAnsi="宋体"/>
                <w:szCs w:val="21"/>
              </w:rPr>
              <w:t>《尾矿库安全技术规程》(AQ 2006-2005）</w:t>
            </w:r>
          </w:p>
          <w:p>
            <w:pPr>
              <w:ind w:firstLine="420" w:firstLineChars="200"/>
              <w:rPr>
                <w:rFonts w:ascii="宋体" w:hAnsi="宋体"/>
                <w:szCs w:val="21"/>
              </w:rPr>
            </w:pPr>
            <w:r>
              <w:rPr>
                <w:rFonts w:hint="eastAsia" w:ascii="宋体" w:hAnsi="宋体"/>
                <w:szCs w:val="21"/>
              </w:rPr>
              <w:t>6.3.4  上游式筑坝法，应于坝前均匀放矿，维持坝体均匀上升，不得任意在库后或一侧岸坡放矿。应做到：a) 粗粒尾矿沉积于坝前，细粒尾矿排至库内，在沉积滩范围内不允许有大面积矿泥沉积；b) 坝顶及沉积滩面应均匀平整，沉积滩长度及滩顶最低高程必须满足防洪设计要求；c) 矿浆排放不得冲刷初期坝和子坝，严禁矿浆沿子坝内坡趾流动冲刷坝体。</w:t>
            </w:r>
            <w:r>
              <w:rPr>
                <w:rFonts w:ascii="宋体" w:hAnsi="宋体"/>
                <w:szCs w:val="21"/>
              </w:rPr>
              <w:t xml:space="preserve">d) </w:t>
            </w:r>
            <w:r>
              <w:rPr>
                <w:rFonts w:hint="eastAsia" w:ascii="宋体" w:hAnsi="宋体"/>
                <w:szCs w:val="21"/>
              </w:rPr>
              <w:t>放矿时应有专人管理，不得离岗。</w:t>
            </w:r>
          </w:p>
        </w:tc>
        <w:tc>
          <w:tcPr>
            <w:tcW w:w="3687" w:type="dxa"/>
            <w:vAlign w:val="center"/>
          </w:tcPr>
          <w:p>
            <w:pPr>
              <w:ind w:firstLine="420" w:firstLineChars="200"/>
              <w:rPr>
                <w:rFonts w:hint="eastAsia" w:ascii="宋体" w:hAnsi="宋体"/>
                <w:szCs w:val="21"/>
              </w:rPr>
            </w:pPr>
            <w:r>
              <w:rPr>
                <w:rFonts w:hint="eastAsia" w:ascii="宋体" w:hAnsi="宋体"/>
                <w:szCs w:val="21"/>
              </w:rPr>
              <w:t>《尾矿库安全监督管理规定》第四十条</w:t>
            </w:r>
            <w:r>
              <w:rPr>
                <w:rFonts w:hint="eastAsia" w:ascii="宋体" w:hAnsi="宋体"/>
                <w:szCs w:val="21"/>
                <w:lang w:val="en-US" w:eastAsia="zh-CN"/>
              </w:rPr>
              <w:t xml:space="preserve">  </w:t>
            </w:r>
            <w:r>
              <w:rPr>
                <w:rFonts w:hint="eastAsia" w:ascii="宋体" w:hAnsi="宋体"/>
                <w:szCs w:val="21"/>
              </w:rPr>
              <w:t>生产经营单位或者尾矿库管理单位违反本规定第十八条规定的，给予警告，并处3万元的罚款；情节严重的，依法责令停产整顿或者提请县级以上地方人民政府按照规定权限予以关闭。</w:t>
            </w:r>
          </w:p>
          <w:p>
            <w:pPr>
              <w:ind w:firstLine="420" w:firstLineChars="200"/>
              <w:rPr>
                <w:highlight w:val="none"/>
              </w:rPr>
            </w:pPr>
            <w:r>
              <w:rPr>
                <w:rFonts w:hint="eastAsia"/>
              </w:rPr>
              <w:t>《安全生产违法行为行政处罚办法》第四十五条  生产经营单位及其主要负责人或者其他人员有下列行为之一的，给予警告，并可以对生产经营单位处</w:t>
            </w:r>
            <w:r>
              <w:rPr>
                <w:rFonts w:hint="eastAsia" w:asciiTheme="minorEastAsia" w:hAnsiTheme="minorEastAsia" w:eastAsiaTheme="minorEastAsia"/>
                <w:highlight w:val="none"/>
              </w:rPr>
              <w:t>1万元以上3万元以下罚款，对其主要负责人、其他有关人员处1000元以上1万元</w:t>
            </w:r>
            <w:r>
              <w:rPr>
                <w:rFonts w:hint="eastAsia"/>
                <w:highlight w:val="none"/>
              </w:rPr>
              <w:t>以下的罚款：</w:t>
            </w:r>
          </w:p>
          <w:p>
            <w:pPr>
              <w:ind w:firstLine="420" w:firstLineChars="200"/>
              <w:rPr>
                <w:highlight w:val="none"/>
              </w:rPr>
            </w:pPr>
            <w:r>
              <w:rPr>
                <w:rFonts w:hint="eastAsia"/>
                <w:highlight w:val="none"/>
              </w:rPr>
              <w:t>（一）违反操作规程或者安全管理规定作业的；</w:t>
            </w:r>
          </w:p>
          <w:p>
            <w:pPr>
              <w:pStyle w:val="2"/>
              <w:ind w:firstLine="420"/>
            </w:pPr>
            <w:r>
              <w:rPr>
                <w:rFonts w:ascii="宋体" w:hAnsi="宋体"/>
                <w:szCs w:val="21"/>
                <w:highlight w:val="none"/>
              </w:rPr>
              <w:t>……</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60"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rPr>
                <w:rFonts w:ascii="宋体" w:hAnsi="宋体"/>
                <w:szCs w:val="21"/>
              </w:rPr>
            </w:pPr>
          </w:p>
        </w:tc>
        <w:tc>
          <w:tcPr>
            <w:tcW w:w="1983" w:type="dxa"/>
            <w:vAlign w:val="center"/>
          </w:tcPr>
          <w:p>
            <w:pPr>
              <w:rPr>
                <w:rFonts w:ascii="宋体" w:hAnsi="宋体"/>
                <w:szCs w:val="21"/>
              </w:rPr>
            </w:pPr>
            <w:r>
              <w:rPr>
                <w:rFonts w:hint="eastAsia" w:ascii="思源黑体 CN" w:hAnsi="思源黑体 CN" w:eastAsia="思源黑体 CN" w:cs="思源黑体 CN"/>
                <w:szCs w:val="21"/>
              </w:rPr>
              <w:t>★</w:t>
            </w:r>
            <w:r>
              <w:rPr>
                <w:rFonts w:hint="eastAsia" w:ascii="宋体" w:hAnsi="宋体"/>
                <w:szCs w:val="21"/>
              </w:rPr>
              <w:t>3.2 坝面维护</w:t>
            </w:r>
          </w:p>
        </w:tc>
        <w:tc>
          <w:tcPr>
            <w:tcW w:w="4818" w:type="dxa"/>
            <w:vAlign w:val="center"/>
          </w:tcPr>
          <w:p>
            <w:pPr>
              <w:ind w:firstLine="420" w:firstLineChars="200"/>
              <w:rPr>
                <w:rFonts w:ascii="宋体" w:hAnsi="宋体"/>
                <w:szCs w:val="21"/>
              </w:rPr>
            </w:pPr>
            <w:r>
              <w:rPr>
                <w:rFonts w:ascii="宋体" w:hAnsi="宋体"/>
                <w:szCs w:val="21"/>
              </w:rPr>
              <w:t>《安全生产法》第三十八条  生产经营单位应当建立健全生产安全事故隐患排查治理制度，采取技术、管理措施，及时发现并消除事故隐患。事故隐患排查治理情况应当如实记录，并向从业人员通报。</w:t>
            </w:r>
          </w:p>
          <w:p>
            <w:pPr>
              <w:ind w:firstLine="420" w:firstLineChars="200"/>
              <w:rPr>
                <w:rFonts w:hint="eastAsia" w:asciiTheme="minorEastAsia" w:hAnsiTheme="minorEastAsia" w:eastAsiaTheme="minorEastAsia" w:cstheme="minorEastAsia"/>
              </w:rPr>
            </w:pPr>
            <w:r>
              <w:rPr>
                <w:rFonts w:hint="eastAsia" w:ascii="宋体" w:hAnsi="宋体"/>
                <w:szCs w:val="21"/>
              </w:rPr>
              <w:t>……</w:t>
            </w:r>
          </w:p>
          <w:p>
            <w:pPr>
              <w:pStyle w:val="2"/>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《尾矿库安全技术规程》(AQ</w:t>
            </w:r>
            <w:r>
              <w:rPr>
                <w:rFonts w:asciiTheme="minorEastAsia" w:hAnsiTheme="minorEastAsia" w:eastAsiaTheme="minorEastAsia" w:cstheme="minorEastAsia"/>
              </w:rPr>
              <w:t xml:space="preserve"> 2006-2005</w:t>
            </w:r>
            <w:r>
              <w:rPr>
                <w:rFonts w:hint="eastAsia" w:asciiTheme="minorEastAsia" w:hAnsiTheme="minorEastAsia" w:eastAsiaTheme="minorEastAsia" w:cstheme="minorEastAsia"/>
              </w:rPr>
              <w:t>）</w:t>
            </w:r>
          </w:p>
          <w:p>
            <w:pPr>
              <w:pStyle w:val="2"/>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xml:space="preserve">6.3.10  尾矿坝下游坡面上不得有积水坑。 </w:t>
            </w:r>
          </w:p>
          <w:p>
            <w:pPr>
              <w:pStyle w:val="2"/>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xml:space="preserve">6.3.13  坝体出现冲沟、裂缝、塌坑和滑坡等现象时，应及时妥善处理。 </w:t>
            </w:r>
          </w:p>
          <w:p>
            <w:pPr>
              <w:pStyle w:val="2"/>
              <w:ind w:firstLine="420"/>
              <w:rPr>
                <w:rFonts w:asciiTheme="minorEastAsia" w:hAnsiTheme="minorEastAsia" w:eastAsiaTheme="minorEastAsia" w:cstheme="minorEastAsia"/>
              </w:rPr>
            </w:pPr>
            <w:r>
              <w:rPr>
                <w:rFonts w:asciiTheme="minorEastAsia" w:hAnsiTheme="minorEastAsia" w:eastAsiaTheme="minorEastAsia" w:cstheme="minorEastAsia"/>
              </w:rPr>
              <w:t xml:space="preserve">6.5.4  </w:t>
            </w:r>
            <w:r>
              <w:rPr>
                <w:rFonts w:hint="eastAsia" w:asciiTheme="minorEastAsia" w:hAnsiTheme="minorEastAsia" w:eastAsiaTheme="minorEastAsia" w:cstheme="minorEastAsia"/>
              </w:rPr>
              <w:t>当坝面或坝肩出现集中渗流、流土、管涌、大面积沼泽化、渗水量增大或渗水变浑等异常现象时，可采取下列措施处理：a)在渗漏水部位铺设土工布或天然反滤料，其上再以堆石料压坡；</w:t>
            </w:r>
            <w:r>
              <w:rPr>
                <w:rFonts w:asciiTheme="minorEastAsia" w:hAnsiTheme="minorEastAsia" w:eastAsiaTheme="minorEastAsia" w:cstheme="minorEastAsia"/>
              </w:rPr>
              <w:t xml:space="preserve"> </w:t>
            </w:r>
            <w:r>
              <w:rPr>
                <w:rFonts w:hint="eastAsia" w:asciiTheme="minorEastAsia" w:hAnsiTheme="minorEastAsia" w:eastAsiaTheme="minorEastAsia" w:cstheme="minorEastAsia"/>
              </w:rPr>
              <w:t>b)增设排渗设施，降低浸润线。</w:t>
            </w:r>
          </w:p>
          <w:p>
            <w:pPr>
              <w:pStyle w:val="2"/>
              <w:spacing w:line="240" w:lineRule="atLeast"/>
              <w:ind w:firstLine="420"/>
              <w:rPr>
                <w:rFonts w:asciiTheme="minorEastAsia" w:hAnsiTheme="minorEastAsia" w:eastAsiaTheme="minorEastAsia" w:cstheme="minorEastAsia"/>
              </w:rPr>
            </w:pPr>
            <w:r>
              <w:rPr>
                <w:rFonts w:asciiTheme="minorEastAsia" w:hAnsiTheme="minorEastAsia" w:eastAsiaTheme="minorEastAsia" w:cstheme="minorEastAsia"/>
              </w:rPr>
              <w:t>8.2……</w:t>
            </w:r>
          </w:p>
          <w:p>
            <w:pPr>
              <w:pStyle w:val="2"/>
              <w:spacing w:line="240" w:lineRule="atLeas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尾矿库有下列工况之一的为危库：</w:t>
            </w:r>
            <w:r>
              <w:rPr>
                <w:rFonts w:asciiTheme="minorEastAsia" w:hAnsiTheme="minorEastAsia" w:eastAsiaTheme="minorEastAsia" w:cstheme="minorEastAsia"/>
              </w:rPr>
              <w:t>……</w:t>
            </w:r>
          </w:p>
          <w:p>
            <w:pPr>
              <w:pStyle w:val="2"/>
              <w:spacing w:line="240" w:lineRule="atLeast"/>
              <w:ind w:firstLine="420"/>
              <w:rPr>
                <w:rFonts w:asciiTheme="minorEastAsia" w:hAnsiTheme="minorEastAsia" w:eastAsiaTheme="minorEastAsia" w:cstheme="minorEastAsia"/>
              </w:rPr>
            </w:pPr>
            <w:r>
              <w:rPr>
                <w:rFonts w:asciiTheme="minorEastAsia" w:hAnsiTheme="minorEastAsia" w:eastAsiaTheme="minorEastAsia" w:cstheme="minorEastAsia"/>
              </w:rPr>
              <w:t>d)</w:t>
            </w:r>
            <w:r>
              <w:rPr>
                <w:rFonts w:hint="eastAsia" w:asciiTheme="minorEastAsia" w:hAnsiTheme="minorEastAsia" w:eastAsiaTheme="minorEastAsia" w:cstheme="minorEastAsia"/>
              </w:rPr>
              <w:t>坝体出现贯穿性横向裂缝，且出现较大范围管涌、流土变形，坝体出现深层滑动迹象；</w:t>
            </w:r>
          </w:p>
          <w:p>
            <w:pPr>
              <w:pStyle w:val="2"/>
              <w:ind w:firstLine="420"/>
              <w:rPr>
                <w:rFonts w:asciiTheme="minorEastAsia" w:hAnsiTheme="minorEastAsia" w:eastAsiaTheme="minorEastAsia" w:cstheme="minorEastAsia"/>
              </w:rPr>
            </w:pPr>
            <w:r>
              <w:rPr>
                <w:rFonts w:asciiTheme="minorEastAsia" w:hAnsiTheme="minorEastAsia" w:eastAsiaTheme="minorEastAsia" w:cstheme="minorEastAsia"/>
              </w:rPr>
              <w:t>……</w:t>
            </w:r>
          </w:p>
          <w:p>
            <w:pPr>
              <w:pStyle w:val="2"/>
              <w:spacing w:line="240" w:lineRule="atLeast"/>
              <w:ind w:firstLine="42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《国家安全监管总局关于印发〈金属非金属矿山重大生产安全事故隐患判定标准（试行）〉的通知》</w:t>
            </w:r>
            <w:r>
              <w:rPr>
                <w:rFonts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rPr>
              <w:t>安监总管一〔</w:t>
            </w:r>
            <w:r>
              <w:rPr>
                <w:rFonts w:asciiTheme="minorEastAsia" w:hAnsiTheme="minorEastAsia" w:eastAsiaTheme="minorEastAsia" w:cstheme="minorEastAsia"/>
                <w:bCs/>
                <w:szCs w:val="21"/>
              </w:rPr>
              <w:t>2017〕98号)</w:t>
            </w:r>
          </w:p>
          <w:p>
            <w:pPr>
              <w:pStyle w:val="2"/>
              <w:ind w:firstLine="42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三、</w:t>
            </w:r>
            <w:r>
              <w:rPr>
                <w:rFonts w:hint="eastAsia" w:eastAsia="宋体"/>
              </w:rPr>
              <w:t>尾矿库重大生产安全事故隐患</w:t>
            </w:r>
          </w:p>
          <w:p>
            <w:pPr>
              <w:pStyle w:val="2"/>
              <w:ind w:firstLine="42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（二）坝体出现贯穿性横向裂缝，且出现较大范围管涌、流土变形，坝体出现深层滑动迹象。</w:t>
            </w:r>
          </w:p>
          <w:p>
            <w:pPr>
              <w:pStyle w:val="2"/>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《尾矿库安全监督管理规定》第二十四条</w:t>
            </w:r>
            <w:r>
              <w:rPr>
                <w:rFonts w:asciiTheme="minorEastAsia" w:hAnsiTheme="minorEastAsia" w:eastAsiaTheme="minorEastAsia" w:cstheme="minorEastAsia"/>
              </w:rPr>
              <w:t xml:space="preserve">  </w:t>
            </w:r>
            <w:r>
              <w:rPr>
                <w:rFonts w:hint="eastAsia" w:asciiTheme="minorEastAsia" w:hAnsiTheme="minorEastAsia" w:eastAsiaTheme="minorEastAsia" w:cstheme="minorEastAsia"/>
              </w:rPr>
              <w:t>尾矿库出现下列重大险情之一的，生产经营单位应当按照安全监管权限和职责立即报告当地县级安全生产监督管理部门和人民政府，并启动应急预案，进行抢险：</w:t>
            </w:r>
          </w:p>
          <w:p>
            <w:pPr>
              <w:pStyle w:val="2"/>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 xml:space="preserve">（一）坝体出现严重的管涌、流土等现象的； </w:t>
            </w:r>
          </w:p>
          <w:p>
            <w:pPr>
              <w:pStyle w:val="2"/>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（二）坝体出现严重裂缝、坍塌和滑动迹象的；</w:t>
            </w:r>
          </w:p>
          <w:p>
            <w:pPr>
              <w:pStyle w:val="2"/>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3687" w:type="dxa"/>
            <w:vAlign w:val="center"/>
          </w:tcPr>
          <w:p>
            <w:pPr>
              <w:ind w:firstLine="420" w:firstLineChars="200"/>
              <w:rPr>
                <w:rFonts w:hint="eastAsia" w:ascii="宋体" w:hAnsi="宋体"/>
                <w:szCs w:val="21"/>
              </w:rPr>
            </w:pPr>
            <w:r>
              <w:rPr>
                <w:rFonts w:hint="eastAsia" w:ascii="宋体" w:hAnsi="宋体"/>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ind w:firstLine="420" w:firstLineChars="200"/>
              <w:rPr>
                <w:rFonts w:ascii="宋体" w:hAnsi="宋体"/>
                <w:szCs w:val="21"/>
              </w:rPr>
            </w:pPr>
            <w:r>
              <w:rPr>
                <w:rFonts w:hint="eastAsia" w:ascii="宋体" w:hAnsi="宋体"/>
                <w:szCs w:val="21"/>
              </w:rPr>
              <w:t>《尾矿库安全监督管理规定》第三十九条  生产经营单位或者尾矿库管理单位违反本规定第八条第二款、第十九条、第二十条、第二十一条、第二十二条、第二十三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rPr>
                <w:rFonts w:ascii="宋体" w:hAnsi="宋体"/>
                <w:szCs w:val="21"/>
              </w:rPr>
            </w:pPr>
          </w:p>
        </w:tc>
        <w:tc>
          <w:tcPr>
            <w:tcW w:w="1983" w:type="dxa"/>
            <w:vAlign w:val="center"/>
          </w:tcPr>
          <w:p>
            <w:pPr>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 xml:space="preserve"> 坝肩截水沟</w:t>
            </w:r>
          </w:p>
        </w:tc>
        <w:tc>
          <w:tcPr>
            <w:tcW w:w="4818" w:type="dxa"/>
            <w:vAlign w:val="center"/>
          </w:tcPr>
          <w:p>
            <w:pPr>
              <w:ind w:firstLine="420" w:firstLineChars="200"/>
              <w:rPr>
                <w:rFonts w:ascii="宋体" w:hAnsi="宋体"/>
                <w:szCs w:val="21"/>
              </w:rPr>
            </w:pPr>
            <w:r>
              <w:rPr>
                <w:rFonts w:hint="eastAsia" w:ascii="宋体" w:hAnsi="宋体"/>
                <w:szCs w:val="21"/>
              </w:rPr>
              <w:t>《尾矿库安全技术规程》(AQ 2006-2005)</w:t>
            </w:r>
          </w:p>
          <w:p>
            <w:pPr>
              <w:ind w:firstLine="420" w:firstLineChars="200"/>
              <w:rPr>
                <w:rFonts w:ascii="宋体" w:hAnsi="宋体"/>
                <w:szCs w:val="21"/>
              </w:rPr>
            </w:pPr>
            <w:r>
              <w:rPr>
                <w:rFonts w:ascii="宋体" w:hAnsi="宋体"/>
                <w:szCs w:val="21"/>
              </w:rPr>
              <w:t xml:space="preserve">5.3.24  </w:t>
            </w:r>
            <w:r>
              <w:rPr>
                <w:rFonts w:hint="eastAsia" w:ascii="宋体" w:hAnsi="宋体"/>
                <w:szCs w:val="21"/>
              </w:rPr>
              <w:t>尾矿堆积坝下游坡与两岸山坡结合处应设置截水沟。</w:t>
            </w:r>
          </w:p>
          <w:p>
            <w:pPr>
              <w:ind w:firstLine="420" w:firstLineChars="200"/>
              <w:rPr>
                <w:rFonts w:ascii="宋体" w:hAnsi="宋体"/>
                <w:szCs w:val="21"/>
              </w:rPr>
            </w:pPr>
            <w:r>
              <w:rPr>
                <w:rFonts w:ascii="宋体" w:hAnsi="宋体"/>
                <w:szCs w:val="21"/>
              </w:rPr>
              <w:t>7.2.9  检查坝面保护设施。检查坝肩截水沟和坝坡排水沟断面尺寸，沿线山坡稳定性，护砌变形、破损、断裂和磨蚀，沟内淤堵等；检查坝坡土石覆盖保护层实施情况。</w:t>
            </w:r>
          </w:p>
        </w:tc>
        <w:tc>
          <w:tcPr>
            <w:tcW w:w="3687"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《安全生产违法行为行政处罚办法》第四十五条  生产经营单位及其主要负责人或者其他人员有下列行为之一的，给予警告，并可以对生产经营单位处1万元以上3万元以下罚款，对其主要负责人、其他有关人员处1000元以上1万元以下的罚款：</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（一）违反操作规程或者安全管理规定作业的。</w:t>
            </w:r>
          </w:p>
          <w:p>
            <w:pPr>
              <w:pStyle w:val="2"/>
              <w:ind w:firstLine="420"/>
            </w:pPr>
            <w:r>
              <w:rPr>
                <w:rFonts w:hint="eastAsia" w:asciiTheme="minorEastAsia" w:hAnsiTheme="minorEastAsia" w:eastAsiaTheme="minorEastAsia"/>
                <w:szCs w:val="21"/>
              </w:rPr>
              <w:t>……</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rPr>
                <w:rFonts w:ascii="宋体" w:hAnsi="宋体"/>
                <w:szCs w:val="21"/>
              </w:rPr>
            </w:pPr>
          </w:p>
        </w:tc>
        <w:tc>
          <w:tcPr>
            <w:tcW w:w="1983" w:type="dxa"/>
            <w:vAlign w:val="center"/>
          </w:tcPr>
          <w:p>
            <w:pPr>
              <w:rPr>
                <w:rFonts w:ascii="宋体" w:hAnsi="宋体"/>
                <w:szCs w:val="21"/>
              </w:rPr>
            </w:pPr>
            <w:r>
              <w:rPr>
                <w:rFonts w:hint="eastAsia" w:ascii="思源黑体 CN" w:hAnsi="思源黑体 CN" w:eastAsia="思源黑体 CN" w:cs="思源黑体 CN"/>
                <w:szCs w:val="21"/>
              </w:rPr>
              <w:t>★</w:t>
            </w:r>
            <w:r>
              <w:rPr>
                <w:rFonts w:ascii="宋体" w:hAnsi="宋体"/>
                <w:szCs w:val="21"/>
              </w:rPr>
              <w:t>3.4</w:t>
            </w:r>
            <w:r>
              <w:rPr>
                <w:rFonts w:hint="eastAsia" w:ascii="宋体" w:hAnsi="宋体"/>
                <w:szCs w:val="21"/>
              </w:rPr>
              <w:t xml:space="preserve"> 堆积坝坡比</w:t>
            </w:r>
          </w:p>
        </w:tc>
        <w:tc>
          <w:tcPr>
            <w:tcW w:w="4818" w:type="dxa"/>
            <w:vAlign w:val="center"/>
          </w:tcPr>
          <w:p>
            <w:pPr>
              <w:ind w:firstLine="420" w:firstLineChars="200"/>
              <w:rPr>
                <w:rFonts w:ascii="宋体" w:hAnsi="宋体"/>
                <w:szCs w:val="21"/>
              </w:rPr>
            </w:pPr>
            <w:r>
              <w:rPr>
                <w:rFonts w:ascii="宋体" w:hAnsi="宋体"/>
                <w:szCs w:val="21"/>
              </w:rPr>
              <w:t xml:space="preserve">《安全生产法》第三十八条  生产经营单位应当建立健全生产安全事故隐患排查治理制度，采取技术、管理措施，及时发现并消除事故隐患。事故隐患排查治理情况应当如实记录，并向从业人员通报。 </w:t>
            </w:r>
          </w:p>
          <w:p>
            <w:pPr>
              <w:ind w:firstLine="420" w:firstLineChars="200"/>
              <w:rPr>
                <w:rFonts w:ascii="宋体" w:hAnsi="宋体"/>
                <w:szCs w:val="21"/>
              </w:rPr>
            </w:pPr>
            <w:r>
              <w:rPr>
                <w:rFonts w:hint="eastAsia" w:ascii="宋体" w:hAnsi="宋体"/>
                <w:szCs w:val="21"/>
              </w:rPr>
              <w:t>……</w:t>
            </w:r>
          </w:p>
          <w:p>
            <w:pPr>
              <w:ind w:firstLine="420" w:firstLineChars="200"/>
              <w:rPr>
                <w:rFonts w:ascii="宋体" w:hAnsi="宋体"/>
                <w:szCs w:val="21"/>
              </w:rPr>
            </w:pPr>
            <w:r>
              <w:rPr>
                <w:rFonts w:hint="eastAsia" w:ascii="宋体" w:hAnsi="宋体"/>
                <w:szCs w:val="21"/>
              </w:rPr>
              <w:t>《尾矿库安全技术规程》(AQ 2006-2005)</w:t>
            </w:r>
          </w:p>
          <w:p>
            <w:pPr>
              <w:ind w:firstLine="420" w:firstLineChars="200"/>
              <w:rPr>
                <w:rFonts w:ascii="宋体" w:hAnsi="宋体"/>
                <w:kern w:val="0"/>
                <w:szCs w:val="21"/>
              </w:rPr>
            </w:pPr>
            <w:r>
              <w:rPr>
                <w:rFonts w:ascii="宋体" w:hAnsi="宋体"/>
                <w:kern w:val="0"/>
                <w:szCs w:val="21"/>
              </w:rPr>
              <w:t>6.3.2  尾矿坝滩顶高程必须满足生产、防汛、冬季冰下放矿和回水要求。</w:t>
            </w:r>
            <w:r>
              <w:rPr>
                <w:rFonts w:hint="eastAsia" w:ascii="宋体" w:hAnsi="宋体"/>
                <w:kern w:val="0"/>
                <w:szCs w:val="21"/>
              </w:rPr>
              <w:t>尾矿坝堆积坡比不得陡于设计规定。</w:t>
            </w:r>
          </w:p>
          <w:p>
            <w:pPr>
              <w:ind w:firstLine="420" w:firstLineChars="200"/>
              <w:rPr>
                <w:rFonts w:ascii="宋体" w:hAnsi="宋体"/>
                <w:bCs/>
                <w:szCs w:val="21"/>
              </w:rPr>
            </w:pPr>
            <w:r>
              <w:rPr>
                <w:rFonts w:hint="eastAsia" w:ascii="宋体" w:hAnsi="宋体"/>
                <w:bCs/>
                <w:szCs w:val="21"/>
              </w:rPr>
              <w:t>《国家安全监管总局关于印发〈金属非金属矿山重大生产安全事故隐患判定标准（试行）〉的通知》(安监总管一〔2017〕98号)</w:t>
            </w:r>
          </w:p>
          <w:p>
            <w:pPr>
              <w:ind w:firstLine="420" w:firstLineChars="200"/>
              <w:rPr>
                <w:rFonts w:ascii="宋体" w:hAnsi="宋体"/>
                <w:kern w:val="0"/>
                <w:szCs w:val="21"/>
              </w:rPr>
            </w:pPr>
            <w:r>
              <w:rPr>
                <w:rFonts w:hint="eastAsia" w:ascii="宋体" w:hAnsi="宋体"/>
                <w:kern w:val="0"/>
                <w:szCs w:val="21"/>
              </w:rPr>
              <w:t>三、</w:t>
            </w:r>
            <w:r>
              <w:rPr>
                <w:rFonts w:hint="eastAsia"/>
              </w:rPr>
              <w:t>尾矿库重大生产安全事故隐患</w:t>
            </w:r>
          </w:p>
          <w:p>
            <w:pPr>
              <w:ind w:firstLine="420" w:firstLineChars="200"/>
              <w:rPr>
                <w:rFonts w:ascii="宋体" w:hAnsi="宋体"/>
                <w:kern w:val="0"/>
                <w:szCs w:val="21"/>
              </w:rPr>
            </w:pPr>
            <w:r>
              <w:rPr>
                <w:rFonts w:hint="eastAsia" w:ascii="宋体" w:hAnsi="宋体"/>
                <w:kern w:val="0"/>
                <w:szCs w:val="21"/>
              </w:rPr>
              <w:t>（三）坝外坡坡比陡于设计坡比。</w:t>
            </w:r>
          </w:p>
        </w:tc>
        <w:tc>
          <w:tcPr>
            <w:tcW w:w="3687" w:type="dxa"/>
            <w:vAlign w:val="center"/>
          </w:tcPr>
          <w:p>
            <w:pPr>
              <w:ind w:firstLine="420" w:firstLineChars="200"/>
              <w:rPr>
                <w:rFonts w:ascii="宋体" w:hAnsi="宋体"/>
                <w:szCs w:val="21"/>
              </w:rPr>
            </w:pPr>
            <w:r>
              <w:rPr>
                <w:rFonts w:hint="eastAsia" w:ascii="宋体" w:hAnsi="宋体"/>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60"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rPr>
                <w:rFonts w:ascii="宋体" w:hAnsi="宋体"/>
                <w:szCs w:val="21"/>
              </w:rPr>
            </w:pPr>
          </w:p>
        </w:tc>
        <w:tc>
          <w:tcPr>
            <w:tcW w:w="1983" w:type="dxa"/>
            <w:vAlign w:val="center"/>
          </w:tcPr>
          <w:p>
            <w:pPr>
              <w:spacing w:line="240" w:lineRule="atLeast"/>
              <w:rPr>
                <w:rFonts w:ascii="宋体" w:hAnsi="宋体"/>
                <w:szCs w:val="21"/>
              </w:rPr>
            </w:pPr>
            <w:r>
              <w:rPr>
                <w:rFonts w:hint="eastAsia" w:ascii="思源黑体 CN" w:hAnsi="思源黑体 CN" w:eastAsia="思源黑体 CN" w:cs="思源黑体 CN"/>
                <w:szCs w:val="21"/>
              </w:rPr>
              <w:t>★</w:t>
            </w:r>
            <w:r>
              <w:rPr>
                <w:rFonts w:ascii="宋体" w:hAnsi="宋体"/>
                <w:szCs w:val="21"/>
              </w:rPr>
              <w:t>3.</w:t>
            </w:r>
            <w:r>
              <w:rPr>
                <w:rFonts w:hint="eastAsia" w:ascii="宋体" w:hAnsi="宋体"/>
                <w:szCs w:val="21"/>
              </w:rPr>
              <w:t>5 子坝堆筑上升速度</w:t>
            </w:r>
          </w:p>
        </w:tc>
        <w:tc>
          <w:tcPr>
            <w:tcW w:w="4818" w:type="dxa"/>
            <w:vAlign w:val="center"/>
          </w:tcPr>
          <w:p>
            <w:pPr>
              <w:spacing w:line="240" w:lineRule="atLeast"/>
              <w:ind w:firstLine="420" w:firstLineChars="200"/>
              <w:rPr>
                <w:rFonts w:ascii="宋体" w:hAnsi="宋体"/>
                <w:szCs w:val="21"/>
              </w:rPr>
            </w:pPr>
            <w:r>
              <w:rPr>
                <w:rFonts w:ascii="宋体" w:hAnsi="宋体"/>
                <w:szCs w:val="21"/>
              </w:rPr>
              <w:t xml:space="preserve">《安全生产法》第三十八条  生产经营单位应当建立健全生产安全事故隐患排查治理制度，采取技术、管理措施，及时发现并消除事故隐患。事故隐患排查治理情况应当如实记录，并向从业人员通报。 </w:t>
            </w:r>
          </w:p>
          <w:p>
            <w:pPr>
              <w:spacing w:line="240" w:lineRule="atLeast"/>
              <w:ind w:firstLine="420" w:firstLineChars="200"/>
              <w:rPr>
                <w:rFonts w:ascii="宋体" w:hAnsi="宋体"/>
                <w:szCs w:val="21"/>
              </w:rPr>
            </w:pPr>
            <w:r>
              <w:rPr>
                <w:rFonts w:hint="eastAsia" w:ascii="宋体" w:hAnsi="宋体"/>
                <w:szCs w:val="21"/>
              </w:rPr>
              <w:t>……</w:t>
            </w:r>
          </w:p>
          <w:p>
            <w:pPr>
              <w:spacing w:line="240" w:lineRule="atLeast"/>
              <w:ind w:firstLine="420" w:firstLineChars="200"/>
              <w:rPr>
                <w:rFonts w:ascii="宋体" w:hAnsi="宋体"/>
                <w:bCs/>
                <w:szCs w:val="21"/>
              </w:rPr>
            </w:pPr>
            <w:r>
              <w:rPr>
                <w:rFonts w:hint="eastAsia" w:ascii="宋体" w:hAnsi="宋体"/>
                <w:bCs/>
                <w:szCs w:val="21"/>
              </w:rPr>
              <w:t>《国家安全监管总局关于印发〈金属非金属矿山重大生产安全事故隐患判定标准（试行）〉的通知》</w:t>
            </w:r>
            <w:r>
              <w:rPr>
                <w:rFonts w:ascii="宋体" w:hAnsi="宋体"/>
                <w:bCs/>
                <w:szCs w:val="21"/>
              </w:rPr>
              <w:t>(</w:t>
            </w:r>
            <w:r>
              <w:rPr>
                <w:rFonts w:hint="eastAsia" w:ascii="宋体" w:hAnsi="宋体"/>
                <w:bCs/>
                <w:szCs w:val="21"/>
              </w:rPr>
              <w:t>安监总管一〔2017〕98号)</w:t>
            </w:r>
          </w:p>
          <w:p>
            <w:pPr>
              <w:spacing w:line="240" w:lineRule="atLeast"/>
              <w:ind w:firstLine="420" w:firstLineChars="200"/>
              <w:rPr>
                <w:rFonts w:ascii="宋体" w:hAnsi="宋体"/>
                <w:kern w:val="0"/>
                <w:szCs w:val="21"/>
              </w:rPr>
            </w:pPr>
            <w:r>
              <w:rPr>
                <w:rFonts w:hint="eastAsia" w:ascii="宋体" w:hAnsi="宋体"/>
                <w:kern w:val="0"/>
                <w:szCs w:val="21"/>
              </w:rPr>
              <w:t>三、</w:t>
            </w:r>
            <w:r>
              <w:rPr>
                <w:rFonts w:hint="eastAsia"/>
              </w:rPr>
              <w:t>尾矿库重大生产安全事故隐患</w:t>
            </w:r>
          </w:p>
          <w:p>
            <w:pPr>
              <w:spacing w:line="240" w:lineRule="atLeast"/>
              <w:ind w:firstLine="420" w:firstLineChars="200"/>
              <w:rPr>
                <w:rFonts w:hint="eastAsia" w:ascii="宋体" w:hAnsi="宋体" w:eastAsia="宋体"/>
                <w:szCs w:val="21"/>
                <w:lang w:eastAsia="zh-CN"/>
              </w:rPr>
            </w:pPr>
            <w:r>
              <w:rPr>
                <w:rFonts w:hint="eastAsia" w:ascii="宋体" w:hAnsi="宋体"/>
                <w:kern w:val="0"/>
                <w:szCs w:val="21"/>
              </w:rPr>
              <w:t>（五）</w:t>
            </w:r>
            <w:r>
              <w:rPr>
                <w:rFonts w:hint="eastAsia" w:ascii="宋体" w:hAnsi="宋体"/>
                <w:bCs/>
                <w:szCs w:val="21"/>
              </w:rPr>
              <w:t>尾矿堆积坝上升速率大于设计堆积上升速率</w:t>
            </w:r>
            <w:r>
              <w:rPr>
                <w:rFonts w:hint="eastAsia" w:ascii="宋体" w:hAnsi="宋体"/>
                <w:bCs/>
                <w:szCs w:val="21"/>
                <w:lang w:eastAsia="zh-CN"/>
              </w:rPr>
              <w:t>。</w:t>
            </w:r>
          </w:p>
        </w:tc>
        <w:tc>
          <w:tcPr>
            <w:tcW w:w="3687" w:type="dxa"/>
            <w:vAlign w:val="center"/>
          </w:tcPr>
          <w:p>
            <w:pPr>
              <w:ind w:firstLine="420" w:firstLineChars="200"/>
              <w:rPr>
                <w:rFonts w:ascii="宋体" w:hAnsi="宋体"/>
                <w:szCs w:val="21"/>
              </w:rPr>
            </w:pPr>
            <w:r>
              <w:rPr>
                <w:rFonts w:hint="eastAsia" w:ascii="宋体" w:hAnsi="宋体"/>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60" w:hRule="atLeast"/>
          <w:jc w:val="center"/>
        </w:trPr>
        <w:tc>
          <w:tcPr>
            <w:tcW w:w="816" w:type="dxa"/>
            <w:vAlign w:val="center"/>
          </w:tcPr>
          <w:p>
            <w:pPr>
              <w:jc w:val="center"/>
              <w:rPr>
                <w:rFonts w:ascii="宋体" w:hAnsi="宋体"/>
                <w:szCs w:val="21"/>
              </w:rPr>
            </w:pPr>
          </w:p>
        </w:tc>
        <w:tc>
          <w:tcPr>
            <w:tcW w:w="1704" w:type="dxa"/>
            <w:vAlign w:val="center"/>
          </w:tcPr>
          <w:p>
            <w:pPr>
              <w:rPr>
                <w:rFonts w:ascii="宋体" w:hAnsi="宋体"/>
                <w:szCs w:val="21"/>
              </w:rPr>
            </w:pPr>
          </w:p>
        </w:tc>
        <w:tc>
          <w:tcPr>
            <w:tcW w:w="1983" w:type="dxa"/>
            <w:vAlign w:val="center"/>
          </w:tcPr>
          <w:p>
            <w:pPr>
              <w:spacing w:line="240" w:lineRule="atLeast"/>
              <w:rPr>
                <w:rFonts w:ascii="宋体" w:hAnsi="宋体"/>
                <w:szCs w:val="21"/>
              </w:rPr>
            </w:pPr>
            <w:r>
              <w:rPr>
                <w:rFonts w:ascii="宋体" w:hAnsi="宋体"/>
                <w:szCs w:val="21"/>
              </w:rPr>
              <w:t>3.6</w:t>
            </w:r>
            <w:r>
              <w:rPr>
                <w:rFonts w:hint="eastAsia" w:ascii="宋体" w:hAnsi="宋体"/>
                <w:szCs w:val="21"/>
              </w:rPr>
              <w:t xml:space="preserve"> 子坝堆筑前岸坡处理</w:t>
            </w:r>
          </w:p>
        </w:tc>
        <w:tc>
          <w:tcPr>
            <w:tcW w:w="4818" w:type="dxa"/>
            <w:vAlign w:val="center"/>
          </w:tcPr>
          <w:p>
            <w:pPr>
              <w:spacing w:line="240" w:lineRule="atLeast"/>
              <w:ind w:firstLine="420" w:firstLineChars="200"/>
              <w:rPr>
                <w:rFonts w:ascii="宋体" w:hAnsi="宋体"/>
                <w:szCs w:val="21"/>
              </w:rPr>
            </w:pPr>
            <w:r>
              <w:rPr>
                <w:rFonts w:hint="eastAsia" w:ascii="宋体" w:hAnsi="宋体"/>
                <w:szCs w:val="21"/>
              </w:rPr>
              <w:t>《尾矿库安全技术规程》(AQ 2006-2005)</w:t>
            </w:r>
          </w:p>
          <w:p>
            <w:pPr>
              <w:spacing w:line="240" w:lineRule="atLeast"/>
              <w:ind w:firstLine="420" w:firstLineChars="200"/>
              <w:rPr>
                <w:rFonts w:ascii="宋体" w:hAnsi="宋体"/>
                <w:szCs w:val="21"/>
              </w:rPr>
            </w:pPr>
            <w:r>
              <w:rPr>
                <w:rFonts w:ascii="宋体" w:hAnsi="宋体"/>
                <w:szCs w:val="21"/>
              </w:rPr>
              <w:t>6.3.3</w:t>
            </w:r>
            <w:r>
              <w:rPr>
                <w:rFonts w:hint="eastAsia" w:ascii="宋体" w:hAnsi="宋体"/>
                <w:szCs w:val="21"/>
              </w:rPr>
              <w:t>每期子坝堆筑前必须进行岸坡处理，将树木、树根、草皮、废石、坟墓及其他有害构筑物全部清除。若遇有泉眼、水井、地道或洞穴等．应作妥善处理。清除杂物不得就地堆积，应运到库外。</w:t>
            </w:r>
          </w:p>
          <w:p>
            <w:pPr>
              <w:ind w:firstLine="420" w:firstLineChars="200"/>
              <w:rPr>
                <w:rFonts w:ascii="宋体" w:hAnsi="宋体"/>
                <w:szCs w:val="21"/>
              </w:rPr>
            </w:pPr>
            <w:r>
              <w:rPr>
                <w:rFonts w:ascii="宋体" w:hAnsi="宋体"/>
                <w:szCs w:val="21"/>
              </w:rPr>
              <w:t>……</w:t>
            </w:r>
          </w:p>
        </w:tc>
        <w:tc>
          <w:tcPr>
            <w:tcW w:w="3687"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《安全生产违法行为行政处罚办法》第四十五条  生产经营单位及其主要负责人或者其他人员有下列行为之一的，给予警告，并可以对生产经营单位处1万元以上3万元以下罚款，对其主要负责人、其他有关人员处1000元以上1万元以下的罚款：</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（一）违反操作规程或者安全管理规定作业的。</w:t>
            </w:r>
          </w:p>
          <w:p>
            <w:pPr>
              <w:pStyle w:val="2"/>
              <w:ind w:firstLine="420"/>
            </w:pPr>
            <w:r>
              <w:rPr>
                <w:rFonts w:hint="eastAsia" w:asciiTheme="minorEastAsia" w:hAnsiTheme="minorEastAsia" w:eastAsiaTheme="minorEastAsia"/>
                <w:szCs w:val="21"/>
              </w:rPr>
              <w:t>……</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60" w:hRule="atLeast"/>
          <w:jc w:val="center"/>
        </w:trPr>
        <w:tc>
          <w:tcPr>
            <w:tcW w:w="816" w:type="dxa"/>
            <w:vAlign w:val="center"/>
          </w:tcPr>
          <w:p>
            <w:pPr>
              <w:jc w:val="center"/>
              <w:rPr>
                <w:rFonts w:ascii="宋体" w:hAnsi="宋体"/>
                <w:szCs w:val="21"/>
              </w:rPr>
            </w:pPr>
          </w:p>
        </w:tc>
        <w:tc>
          <w:tcPr>
            <w:tcW w:w="1704" w:type="dxa"/>
            <w:vAlign w:val="center"/>
          </w:tcPr>
          <w:p>
            <w:pPr>
              <w:rPr>
                <w:rFonts w:ascii="宋体" w:hAnsi="宋体"/>
                <w:szCs w:val="21"/>
              </w:rPr>
            </w:pPr>
          </w:p>
        </w:tc>
        <w:tc>
          <w:tcPr>
            <w:tcW w:w="1983" w:type="dxa"/>
            <w:vAlign w:val="center"/>
          </w:tcPr>
          <w:p>
            <w:pPr>
              <w:spacing w:line="240" w:lineRule="atLeast"/>
              <w:rPr>
                <w:rFonts w:ascii="宋体" w:hAnsi="宋体"/>
                <w:szCs w:val="21"/>
              </w:rPr>
            </w:pPr>
            <w:r>
              <w:rPr>
                <w:rFonts w:hint="eastAsia" w:ascii="思源黑体 CN" w:hAnsi="思源黑体 CN" w:eastAsia="思源黑体 CN" w:cs="思源黑体 CN"/>
                <w:szCs w:val="21"/>
              </w:rPr>
              <w:t>★</w:t>
            </w:r>
            <w:r>
              <w:rPr>
                <w:rFonts w:hint="eastAsia" w:ascii="宋体" w:hAnsi="宋体"/>
                <w:szCs w:val="21"/>
              </w:rPr>
              <w:t>3</w:t>
            </w:r>
            <w:r>
              <w:rPr>
                <w:rFonts w:ascii="宋体" w:hAnsi="宋体"/>
                <w:szCs w:val="21"/>
              </w:rPr>
              <w:t>.7</w:t>
            </w:r>
            <w:r>
              <w:rPr>
                <w:rFonts w:hint="eastAsia" w:ascii="宋体" w:hAnsi="宋体"/>
                <w:szCs w:val="21"/>
              </w:rPr>
              <w:t xml:space="preserve"> 尾矿库安全评价及稳定性评估</w:t>
            </w:r>
          </w:p>
        </w:tc>
        <w:tc>
          <w:tcPr>
            <w:tcW w:w="4818" w:type="dxa"/>
            <w:vAlign w:val="center"/>
          </w:tcPr>
          <w:p>
            <w:pPr>
              <w:ind w:firstLine="420" w:firstLineChars="200"/>
              <w:rPr>
                <w:rFonts w:ascii="宋体" w:hAnsi="宋体"/>
                <w:szCs w:val="21"/>
              </w:rPr>
            </w:pPr>
            <w:r>
              <w:rPr>
                <w:rFonts w:hint="eastAsia" w:ascii="宋体" w:hAnsi="宋体"/>
                <w:szCs w:val="21"/>
              </w:rPr>
              <w:t>《安全生产法》第三十八条  生产经营单位应当建立健全生产安全事故隐患排查治理制度，采取技术、管理措施，及时发现并消除事故隐患。事故隐患排查治理情况应当如实记录，并向从业人员通报。</w:t>
            </w:r>
          </w:p>
          <w:p>
            <w:pPr>
              <w:spacing w:line="240" w:lineRule="atLeast"/>
              <w:ind w:firstLine="420" w:firstLineChars="200"/>
              <w:rPr>
                <w:rFonts w:hint="eastAsia" w:ascii="宋体" w:hAnsi="宋体"/>
                <w:szCs w:val="21"/>
              </w:rPr>
            </w:pP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《国家安全监管总局关于印发〈金属非金属矿山重大生产安全事故隐患判定标准（试行）〉的通知》(安监总管一〔2017〕98号)</w:t>
            </w:r>
          </w:p>
          <w:p>
            <w:pPr>
              <w:ind w:firstLine="420" w:firstLineChars="200"/>
              <w:rPr>
                <w:rFonts w:hint="eastAsia" w:ascii="宋体" w:hAnsi="宋体"/>
                <w:szCs w:val="21"/>
              </w:rPr>
            </w:pPr>
            <w:r>
              <w:rPr>
                <w:rFonts w:hint="eastAsia" w:ascii="宋体" w:hAnsi="宋体"/>
                <w:szCs w:val="21"/>
              </w:rPr>
              <w:t>三、尾矿库重大生产安全事故隐患</w:t>
            </w:r>
          </w:p>
          <w:p>
            <w:pPr>
              <w:ind w:firstLine="420" w:firstLineChars="200"/>
              <w:rPr>
                <w:rFonts w:hint="eastAsia" w:ascii="宋体" w:hAnsi="宋体"/>
                <w:szCs w:val="21"/>
              </w:rPr>
            </w:pPr>
            <w:r>
              <w:rPr>
                <w:rFonts w:hint="eastAsia" w:ascii="宋体" w:hAnsi="宋体"/>
                <w:szCs w:val="21"/>
              </w:rPr>
              <w:t>（六）未按法规、国家标准或行业标准对坝体稳定性进行评估</w:t>
            </w:r>
          </w:p>
          <w:p>
            <w:pPr>
              <w:spacing w:line="240" w:lineRule="atLeast"/>
              <w:ind w:firstLine="420" w:firstLineChars="200"/>
              <w:rPr>
                <w:rFonts w:ascii="宋体" w:hAnsi="宋体"/>
                <w:szCs w:val="21"/>
              </w:rPr>
            </w:pPr>
            <w:r>
              <w:rPr>
                <w:rFonts w:hint="eastAsia" w:ascii="宋体" w:hAnsi="宋体"/>
                <w:szCs w:val="21"/>
              </w:rPr>
              <w:t xml:space="preserve">《尾矿库安全监督管理规定》第十九条 </w:t>
            </w:r>
            <w:r>
              <w:rPr>
                <w:rFonts w:ascii="宋体" w:hAnsi="宋体"/>
                <w:szCs w:val="21"/>
              </w:rPr>
              <w:t xml:space="preserve"> 尾矿库应当每三年至少进行一次</w:t>
            </w:r>
            <w:r>
              <w:fldChar w:fldCharType="begin"/>
            </w:r>
            <w:r>
              <w:instrText xml:space="preserve"> HYPERLINK "https://baike.baidu.com/item/%E5%AE%89%E5%85%A8%E7%8E%B0%E7%8A%B6%E8%AF%84%E4%BB%B7" \t "_blank" </w:instrText>
            </w:r>
            <w:r>
              <w:fldChar w:fldCharType="separate"/>
            </w:r>
            <w:r>
              <w:rPr>
                <w:rStyle w:val="17"/>
                <w:rFonts w:ascii="宋体" w:hAnsi="宋体"/>
                <w:color w:val="auto"/>
                <w:szCs w:val="21"/>
                <w:u w:val="none"/>
              </w:rPr>
              <w:t>安全现状评价</w:t>
            </w:r>
            <w:r>
              <w:rPr>
                <w:rStyle w:val="17"/>
                <w:rFonts w:ascii="宋体" w:hAnsi="宋体"/>
                <w:color w:val="auto"/>
                <w:szCs w:val="21"/>
                <w:u w:val="none"/>
              </w:rPr>
              <w:fldChar w:fldCharType="end"/>
            </w:r>
            <w:r>
              <w:rPr>
                <w:rFonts w:ascii="宋体" w:hAnsi="宋体"/>
                <w:szCs w:val="21"/>
              </w:rPr>
              <w:t>。安全现状评价应当符合国家标准或者行业标准的要求。</w:t>
            </w:r>
            <w:r>
              <w:rPr>
                <w:rFonts w:hint="eastAsia" w:ascii="宋体" w:hAnsi="宋体"/>
                <w:szCs w:val="21"/>
              </w:rPr>
              <w:t>尾矿库安全现状评价工作应当有能够进行尾矿坝稳定性验算、尾矿库水文计算、构筑物计算的专业技术人员参加。上游式尾矿坝堆积至二分之一至三分之二最终设计坝高时，应当对坝体进行一次全面勘察，并进行稳定性专项评价。</w:t>
            </w:r>
          </w:p>
        </w:tc>
        <w:tc>
          <w:tcPr>
            <w:tcW w:w="3687" w:type="dxa"/>
            <w:vAlign w:val="center"/>
          </w:tcPr>
          <w:p>
            <w:pPr>
              <w:ind w:firstLine="420" w:firstLineChars="200"/>
              <w:rPr>
                <w:rFonts w:hint="eastAsia"/>
              </w:rPr>
            </w:pPr>
            <w:r>
              <w:rPr>
                <w:rFonts w:hint="eastAsia"/>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pStyle w:val="2"/>
            </w:pPr>
            <w:r>
              <w:rPr>
                <w:rFonts w:hint="eastAsia" w:ascii="Calibri" w:hAnsi="Calibri" w:eastAsia="宋体" w:cs="Times New Roman"/>
                <w:kern w:val="2"/>
                <w:sz w:val="21"/>
                <w:szCs w:val="22"/>
                <w:lang w:val="en-US" w:eastAsia="zh-CN" w:bidi="ar-SA"/>
              </w:rPr>
              <w:t>《尾矿库安全监督管理规定》第三十九条  生产经营单位或者尾矿库管理单位违反本规定第八条第二款、第十九条、第二十条、第二十一条、第二十二条、第二十三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60" w:hRule="atLeast"/>
          <w:jc w:val="center"/>
        </w:trPr>
        <w:tc>
          <w:tcPr>
            <w:tcW w:w="816" w:type="dxa"/>
            <w:vAlign w:val="center"/>
          </w:tcPr>
          <w:p>
            <w:pPr>
              <w:jc w:val="center"/>
              <w:rPr>
                <w:rFonts w:ascii="宋体" w:hAnsi="宋体"/>
                <w:szCs w:val="21"/>
              </w:rPr>
            </w:pPr>
          </w:p>
        </w:tc>
        <w:tc>
          <w:tcPr>
            <w:tcW w:w="1704" w:type="dxa"/>
            <w:vAlign w:val="center"/>
          </w:tcPr>
          <w:p>
            <w:pPr>
              <w:rPr>
                <w:rFonts w:ascii="宋体" w:hAnsi="宋体"/>
                <w:szCs w:val="21"/>
              </w:rPr>
            </w:pPr>
          </w:p>
        </w:tc>
        <w:tc>
          <w:tcPr>
            <w:tcW w:w="1983" w:type="dxa"/>
            <w:vAlign w:val="center"/>
          </w:tcPr>
          <w:p>
            <w:pPr>
              <w:spacing w:line="240" w:lineRule="atLeast"/>
              <w:rPr>
                <w:rFonts w:ascii="宋体" w:hAnsi="宋体"/>
                <w:szCs w:val="21"/>
              </w:rPr>
            </w:pPr>
            <w:r>
              <w:rPr>
                <w:rFonts w:hint="eastAsia" w:ascii="思源黑体 CN" w:hAnsi="思源黑体 CN" w:eastAsia="思源黑体 CN" w:cs="思源黑体 CN"/>
                <w:szCs w:val="21"/>
              </w:rPr>
              <w:t>★</w:t>
            </w:r>
            <w:r>
              <w:rPr>
                <w:rFonts w:hint="eastAsia" w:ascii="宋体" w:hAnsi="宋体"/>
                <w:szCs w:val="21"/>
              </w:rPr>
              <w:t>3</w:t>
            </w:r>
            <w:r>
              <w:rPr>
                <w:rFonts w:ascii="宋体" w:hAnsi="宋体"/>
                <w:szCs w:val="21"/>
              </w:rPr>
              <w:t>.8</w:t>
            </w:r>
            <w:r>
              <w:rPr>
                <w:rFonts w:hint="eastAsia" w:ascii="宋体" w:hAnsi="宋体"/>
                <w:szCs w:val="21"/>
              </w:rPr>
              <w:t>坝体超过设计坝高，或者超设计库容储存尾矿</w:t>
            </w:r>
          </w:p>
        </w:tc>
        <w:tc>
          <w:tcPr>
            <w:tcW w:w="4818" w:type="dxa"/>
            <w:vAlign w:val="center"/>
          </w:tcPr>
          <w:p>
            <w:pPr>
              <w:ind w:firstLine="420" w:firstLineChars="200"/>
              <w:rPr>
                <w:rFonts w:ascii="宋体" w:hAnsi="宋体"/>
                <w:szCs w:val="21"/>
              </w:rPr>
            </w:pPr>
            <w:r>
              <w:rPr>
                <w:rFonts w:hint="eastAsia" w:ascii="宋体" w:hAnsi="宋体"/>
                <w:szCs w:val="21"/>
              </w:rPr>
              <w:t>《安全生产法》第三十八条  生产经营单位应当建立健全生产安全事故隐患排查治理制度，采取技术、管理措施，及时发现并消除事故隐患。事故隐患排查治理情况应当如实记录，并向从业人员通报。</w:t>
            </w:r>
          </w:p>
          <w:p>
            <w:pPr>
              <w:ind w:firstLine="420" w:firstLineChars="200"/>
              <w:rPr>
                <w:rFonts w:hint="eastAsia" w:ascii="宋体" w:hAnsi="宋体"/>
                <w:szCs w:val="21"/>
              </w:rPr>
            </w:pPr>
            <w:r>
              <w:rPr>
                <w:rFonts w:hint="eastAsia" w:ascii="宋体" w:hAnsi="宋体"/>
                <w:szCs w:val="21"/>
              </w:rPr>
              <w:t>……</w:t>
            </w:r>
          </w:p>
          <w:p>
            <w:pPr>
              <w:ind w:firstLine="420" w:firstLineChars="200"/>
              <w:rPr>
                <w:rFonts w:ascii="宋体" w:hAnsi="宋体"/>
                <w:bCs/>
                <w:szCs w:val="21"/>
              </w:rPr>
            </w:pPr>
            <w:r>
              <w:rPr>
                <w:rFonts w:hint="eastAsia" w:ascii="宋体" w:hAnsi="宋体"/>
                <w:bCs/>
                <w:szCs w:val="21"/>
              </w:rPr>
              <w:t>《国家安全监管总局关于印发〈金属非金属矿山重大生产安全事故隐患判定标准（试行）〉的通知》(安监总管一〔2017〕98号)</w:t>
            </w:r>
          </w:p>
          <w:p>
            <w:pPr>
              <w:ind w:firstLine="420" w:firstLineChars="200"/>
              <w:rPr>
                <w:rFonts w:ascii="宋体" w:hAnsi="宋体"/>
                <w:kern w:val="0"/>
                <w:szCs w:val="21"/>
              </w:rPr>
            </w:pPr>
            <w:r>
              <w:rPr>
                <w:rFonts w:hint="eastAsia" w:ascii="宋体" w:hAnsi="宋体"/>
                <w:kern w:val="0"/>
                <w:szCs w:val="21"/>
              </w:rPr>
              <w:t>三、</w:t>
            </w:r>
            <w:r>
              <w:rPr>
                <w:rFonts w:hint="eastAsia"/>
              </w:rPr>
              <w:t>尾矿库重大生产安全事故隐患</w:t>
            </w:r>
          </w:p>
          <w:p>
            <w:pPr>
              <w:ind w:firstLine="420" w:firstLineChars="200"/>
              <w:rPr>
                <w:rFonts w:ascii="宋体" w:hAnsi="宋体"/>
                <w:szCs w:val="21"/>
              </w:rPr>
            </w:pPr>
            <w:r>
              <w:rPr>
                <w:rFonts w:hint="eastAsia" w:ascii="宋体" w:hAnsi="宋体"/>
                <w:kern w:val="0"/>
                <w:szCs w:val="21"/>
              </w:rPr>
              <w:t>（四）坝体超过设计坝高，或超设计库容储存尾矿。</w:t>
            </w:r>
          </w:p>
          <w:p>
            <w:pPr>
              <w:ind w:firstLine="420" w:firstLineChars="200"/>
              <w:rPr>
                <w:rFonts w:ascii="宋体" w:hAnsi="宋体"/>
                <w:szCs w:val="21"/>
              </w:rPr>
            </w:pPr>
            <w:r>
              <w:rPr>
                <w:rFonts w:hint="eastAsia" w:ascii="宋体" w:hAnsi="宋体"/>
                <w:szCs w:val="21"/>
              </w:rPr>
              <w:t>《尾矿库安全监督管理规定》</w:t>
            </w:r>
            <w:r>
              <w:rPr>
                <w:rFonts w:ascii="宋体" w:hAnsi="宋体"/>
                <w:szCs w:val="21"/>
              </w:rPr>
              <w:t>第十八条</w:t>
            </w:r>
            <w:r>
              <w:rPr>
                <w:rFonts w:hint="eastAsia" w:ascii="宋体" w:hAnsi="宋体"/>
                <w:szCs w:val="21"/>
              </w:rPr>
              <w:t xml:space="preserve">  </w:t>
            </w:r>
            <w:r>
              <w:rPr>
                <w:rFonts w:ascii="宋体" w:hAnsi="宋体"/>
                <w:szCs w:val="21"/>
              </w:rPr>
              <w:t>对生产运行的尾矿库，未经技术论证和安全生产监督管理部门的批准，任何单位和个人不得对下列事项进行变更：</w:t>
            </w:r>
          </w:p>
          <w:p>
            <w:pPr>
              <w:ind w:firstLine="420" w:firstLineChars="200"/>
              <w:rPr>
                <w:rFonts w:ascii="宋体" w:hAnsi="宋体"/>
                <w:szCs w:val="21"/>
              </w:rPr>
            </w:pPr>
            <w:r>
              <w:rPr>
                <w:rFonts w:ascii="宋体" w:hAnsi="宋体"/>
                <w:szCs w:val="21"/>
              </w:rPr>
              <w:t>……</w:t>
            </w:r>
          </w:p>
          <w:p>
            <w:pPr>
              <w:ind w:firstLine="420" w:firstLineChars="200"/>
              <w:rPr>
                <w:rFonts w:ascii="宋体" w:hAnsi="宋体"/>
                <w:szCs w:val="21"/>
              </w:rPr>
            </w:pPr>
            <w:r>
              <w:rPr>
                <w:rFonts w:ascii="宋体" w:hAnsi="宋体"/>
                <w:szCs w:val="21"/>
              </w:rPr>
              <w:t>(四)坝型、坝外坡坡比、最终堆积标高和最终坝轴线的位置；</w:t>
            </w:r>
          </w:p>
          <w:p>
            <w:pPr>
              <w:ind w:firstLine="420" w:firstLineChars="200"/>
              <w:rPr>
                <w:rFonts w:ascii="宋体" w:hAnsi="宋体"/>
                <w:szCs w:val="21"/>
              </w:rPr>
            </w:pPr>
            <w:r>
              <w:rPr>
                <w:rFonts w:ascii="宋体" w:hAnsi="宋体"/>
                <w:szCs w:val="21"/>
              </w:rPr>
              <w:t>……</w:t>
            </w:r>
          </w:p>
        </w:tc>
        <w:tc>
          <w:tcPr>
            <w:tcW w:w="3687" w:type="dxa"/>
            <w:vAlign w:val="center"/>
          </w:tcPr>
          <w:p>
            <w:pPr>
              <w:ind w:firstLine="420" w:firstLineChars="200"/>
              <w:rPr>
                <w:rFonts w:hint="eastAsia" w:ascii="宋体" w:hAnsi="宋体"/>
                <w:szCs w:val="21"/>
              </w:rPr>
            </w:pPr>
            <w:r>
              <w:rPr>
                <w:rFonts w:hint="eastAsia" w:ascii="宋体" w:hAnsi="宋体"/>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ind w:firstLine="420" w:firstLineChars="200"/>
              <w:rPr>
                <w:rFonts w:ascii="宋体" w:hAnsi="宋体"/>
                <w:szCs w:val="21"/>
              </w:rPr>
            </w:pPr>
            <w:r>
              <w:rPr>
                <w:rFonts w:hint="eastAsia" w:ascii="宋体" w:hAnsi="宋体"/>
                <w:szCs w:val="21"/>
              </w:rPr>
              <w:t>《尾矿库安全监督管理规定》第四十条</w:t>
            </w:r>
            <w:bookmarkStart w:id="18" w:name="tiao_40_kuan_1"/>
            <w:bookmarkEnd w:id="18"/>
            <w:r>
              <w:rPr>
                <w:rFonts w:hint="eastAsia" w:ascii="宋体" w:hAnsi="宋体"/>
                <w:szCs w:val="21"/>
                <w:lang w:val="en-US" w:eastAsia="zh-CN"/>
              </w:rPr>
              <w:t xml:space="preserve">  </w:t>
            </w:r>
            <w:r>
              <w:rPr>
                <w:rFonts w:hint="eastAsia" w:ascii="宋体" w:hAnsi="宋体"/>
                <w:szCs w:val="21"/>
              </w:rPr>
              <w:t>生产经营单位或者尾矿库管理单位违反本规定第十八条规定的，给予警告，并处3万元的罚款；情节严重的，依法责令停产整顿或者提请县级以上地方人民政府按照规定权限予以关闭。</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restart"/>
            <w:vAlign w:val="center"/>
          </w:tcPr>
          <w:p>
            <w:pPr>
              <w:jc w:val="center"/>
              <w:rPr>
                <w:rFonts w:ascii="宋体" w:hAnsi="宋体"/>
                <w:szCs w:val="21"/>
              </w:rPr>
            </w:pPr>
            <w:r>
              <w:rPr>
                <w:rFonts w:hint="eastAsia" w:ascii="宋体" w:hAnsi="宋体"/>
                <w:szCs w:val="21"/>
              </w:rPr>
              <w:t>4</w:t>
            </w:r>
          </w:p>
        </w:tc>
        <w:tc>
          <w:tcPr>
            <w:tcW w:w="1704" w:type="dxa"/>
            <w:vMerge w:val="restart"/>
            <w:vAlign w:val="center"/>
          </w:tcPr>
          <w:p>
            <w:pPr>
              <w:rPr>
                <w:rFonts w:ascii="宋体" w:hAnsi="宋体"/>
                <w:szCs w:val="21"/>
              </w:rPr>
            </w:pPr>
            <w:r>
              <w:rPr>
                <w:rFonts w:hint="eastAsia" w:ascii="宋体" w:hAnsi="宋体"/>
                <w:szCs w:val="21"/>
              </w:rPr>
              <w:t>防排洪情况</w:t>
            </w:r>
          </w:p>
        </w:tc>
        <w:tc>
          <w:tcPr>
            <w:tcW w:w="1983" w:type="dxa"/>
            <w:vAlign w:val="center"/>
          </w:tcPr>
          <w:p>
            <w:pPr>
              <w:rPr>
                <w:rFonts w:ascii="宋体" w:hAnsi="宋体"/>
                <w:szCs w:val="21"/>
              </w:rPr>
            </w:pPr>
            <w:r>
              <w:rPr>
                <w:rFonts w:hint="eastAsia" w:ascii="思源黑体 CN" w:hAnsi="思源黑体 CN" w:eastAsia="思源黑体 CN" w:cs="思源黑体 CN"/>
                <w:szCs w:val="21"/>
              </w:rPr>
              <w:t>★</w:t>
            </w:r>
            <w:r>
              <w:rPr>
                <w:rFonts w:hint="eastAsia" w:ascii="宋体" w:hAnsi="宋体"/>
                <w:szCs w:val="21"/>
              </w:rPr>
              <w:t>4.1 排洪设施运行</w:t>
            </w:r>
          </w:p>
        </w:tc>
        <w:tc>
          <w:tcPr>
            <w:tcW w:w="4818" w:type="dxa"/>
            <w:vAlign w:val="center"/>
          </w:tcPr>
          <w:p>
            <w:pPr>
              <w:ind w:firstLine="420" w:firstLineChars="200"/>
              <w:rPr>
                <w:rFonts w:ascii="宋体" w:hAnsi="宋体"/>
                <w:szCs w:val="21"/>
              </w:rPr>
            </w:pPr>
            <w:r>
              <w:rPr>
                <w:rFonts w:hint="eastAsia" w:ascii="宋体" w:hAnsi="宋体"/>
                <w:szCs w:val="21"/>
              </w:rPr>
              <w:t>《安全生产法》第三十八条  生产经营单位应当建立健全生产安全事故隐患排查治理制度，采取技术、管理措施，及时发现并消除事故隐患。事故隐患排查治理情况应当如实记录，并向从业人员通报。</w:t>
            </w:r>
          </w:p>
          <w:p>
            <w:pPr>
              <w:ind w:firstLine="420" w:firstLineChars="200"/>
              <w:rPr>
                <w:rFonts w:ascii="宋体" w:hAnsi="宋体"/>
                <w:szCs w:val="21"/>
              </w:rPr>
            </w:pPr>
            <w:r>
              <w:rPr>
                <w:rFonts w:hint="eastAsia" w:ascii="宋体" w:hAnsi="宋体"/>
                <w:szCs w:val="21"/>
              </w:rPr>
              <w:t>……</w:t>
            </w:r>
          </w:p>
          <w:p>
            <w:pPr>
              <w:ind w:firstLine="420" w:firstLineChars="200"/>
              <w:rPr>
                <w:rFonts w:ascii="宋体" w:hAnsi="宋体"/>
                <w:szCs w:val="21"/>
              </w:rPr>
            </w:pPr>
            <w:r>
              <w:rPr>
                <w:rFonts w:hint="eastAsia" w:ascii="宋体" w:hAnsi="宋体"/>
                <w:szCs w:val="21"/>
              </w:rPr>
              <w:t>《尾矿库安全技术规程》(AQ 2006-2005)</w:t>
            </w:r>
          </w:p>
          <w:p>
            <w:pPr>
              <w:ind w:firstLine="420" w:firstLineChars="200"/>
              <w:rPr>
                <w:rFonts w:ascii="Arial" w:hAnsi="Arial" w:cs="Arial"/>
                <w:szCs w:val="21"/>
              </w:rPr>
            </w:pPr>
            <w:r>
              <w:rPr>
                <w:rFonts w:hint="eastAsia" w:ascii="宋体" w:hAnsi="宋体"/>
                <w:szCs w:val="21"/>
              </w:rPr>
              <w:t>6.4.3  汛期前应对排洪设施进行检查、维修和疏浚，确保排洪设施畅通。根据确定的排洪底坎高程，将排洪底坎以上1.5倍调洪高度内的挡板全部打开，清除排洪口前水面漂浮物;</w:t>
            </w:r>
            <w:r>
              <w:rPr>
                <w:rFonts w:hint="eastAsia" w:ascii="Arial" w:hAnsi="Arial" w:cs="Arial"/>
                <w:szCs w:val="21"/>
              </w:rPr>
              <w:t>库内设清晰醒目的水位观测标尺，标明止常运行水位和警戒水位。</w:t>
            </w:r>
          </w:p>
          <w:p>
            <w:pPr>
              <w:ind w:firstLine="420" w:firstLineChars="200"/>
              <w:rPr>
                <w:rFonts w:ascii="宋体" w:hAnsi="宋体"/>
                <w:bCs/>
                <w:szCs w:val="21"/>
              </w:rPr>
            </w:pPr>
            <w:r>
              <w:rPr>
                <w:rFonts w:hint="eastAsia" w:ascii="宋体" w:hAnsi="宋体"/>
                <w:bCs/>
                <w:szCs w:val="21"/>
              </w:rPr>
              <w:t>《国家安全监管总局关于印发〈金属非金属矿山重大生产安全事故隐患判定标准（试行）〉的通知》(安监总管一〔2017〕98号)</w:t>
            </w:r>
          </w:p>
          <w:p>
            <w:pPr>
              <w:ind w:firstLine="420" w:firstLineChars="200"/>
              <w:rPr>
                <w:rFonts w:ascii="宋体" w:hAnsi="宋体"/>
                <w:kern w:val="0"/>
                <w:szCs w:val="21"/>
              </w:rPr>
            </w:pPr>
            <w:r>
              <w:rPr>
                <w:rFonts w:hint="eastAsia" w:ascii="宋体" w:hAnsi="宋体"/>
                <w:kern w:val="0"/>
                <w:szCs w:val="21"/>
              </w:rPr>
              <w:t>三、</w:t>
            </w:r>
            <w:r>
              <w:rPr>
                <w:rFonts w:hint="eastAsia"/>
              </w:rPr>
              <w:t>尾矿库重大生产安全事故隐患</w:t>
            </w:r>
          </w:p>
          <w:p>
            <w:pPr>
              <w:ind w:firstLine="420" w:firstLineChars="200"/>
              <w:rPr>
                <w:rFonts w:ascii="宋体" w:hAnsi="宋体"/>
                <w:szCs w:val="21"/>
              </w:rPr>
            </w:pPr>
            <w:r>
              <w:rPr>
                <w:rFonts w:hint="eastAsia" w:ascii="宋体" w:hAnsi="宋体"/>
                <w:kern w:val="0"/>
                <w:szCs w:val="21"/>
              </w:rPr>
              <w:t>（九）排洪系统构筑物严重堵塞或坍塌，导致排水能力急剧下降。</w:t>
            </w:r>
          </w:p>
        </w:tc>
        <w:tc>
          <w:tcPr>
            <w:tcW w:w="3687" w:type="dxa"/>
            <w:vAlign w:val="center"/>
          </w:tcPr>
          <w:p>
            <w:pPr>
              <w:ind w:firstLine="420" w:firstLineChars="200"/>
              <w:rPr>
                <w:rFonts w:ascii="宋体" w:hAnsi="宋体"/>
                <w:szCs w:val="21"/>
              </w:rPr>
            </w:pPr>
            <w:r>
              <w:rPr>
                <w:rFonts w:hint="eastAsia" w:ascii="宋体" w:hAnsi="宋体"/>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rPr>
                <w:rFonts w:ascii="宋体" w:hAnsi="宋体"/>
                <w:szCs w:val="21"/>
              </w:rPr>
            </w:pPr>
          </w:p>
        </w:tc>
        <w:tc>
          <w:tcPr>
            <w:tcW w:w="1983" w:type="dxa"/>
            <w:vAlign w:val="center"/>
          </w:tcPr>
          <w:p>
            <w:pPr>
              <w:rPr>
                <w:rFonts w:ascii="宋体" w:hAnsi="宋体"/>
                <w:szCs w:val="21"/>
              </w:rPr>
            </w:pPr>
            <w:r>
              <w:rPr>
                <w:rFonts w:hint="eastAsia" w:ascii="思源黑体 CN" w:hAnsi="思源黑体 CN" w:eastAsia="思源黑体 CN" w:cs="思源黑体 CN"/>
                <w:szCs w:val="21"/>
              </w:rPr>
              <w:t>★</w:t>
            </w:r>
            <w:r>
              <w:rPr>
                <w:rFonts w:ascii="宋体" w:hAnsi="宋体"/>
                <w:szCs w:val="21"/>
              </w:rPr>
              <w:t>4.2 浸润线埋深</w:t>
            </w:r>
          </w:p>
        </w:tc>
        <w:tc>
          <w:tcPr>
            <w:tcW w:w="4818" w:type="dxa"/>
            <w:vAlign w:val="center"/>
          </w:tcPr>
          <w:p>
            <w:pPr>
              <w:ind w:firstLine="420" w:firstLineChars="200"/>
              <w:rPr>
                <w:rFonts w:ascii="宋体" w:hAnsi="宋体"/>
                <w:szCs w:val="21"/>
              </w:rPr>
            </w:pPr>
            <w:r>
              <w:rPr>
                <w:rFonts w:ascii="宋体" w:hAnsi="宋体"/>
                <w:szCs w:val="21"/>
              </w:rPr>
              <w:t>《安全生产法》第三十八条  生产经营单位应当建立健全生产安全事故隐患排查治理制度，采取技术、管理措施，及时发现并消除事故隐患。事故隐患排查治理情况应当如实记录，并向从业人员通报。</w:t>
            </w:r>
          </w:p>
          <w:p>
            <w:pPr>
              <w:spacing w:line="240" w:lineRule="atLeast"/>
              <w:ind w:firstLine="420" w:firstLineChars="200"/>
              <w:rPr>
                <w:rFonts w:hint="eastAsia" w:ascii="宋体" w:hAnsi="宋体"/>
                <w:bCs/>
                <w:szCs w:val="21"/>
              </w:rPr>
            </w:pPr>
            <w:r>
              <w:rPr>
                <w:rFonts w:hint="eastAsia" w:ascii="宋体" w:hAnsi="宋体"/>
                <w:bCs/>
                <w:szCs w:val="21"/>
              </w:rPr>
              <w:t>……</w:t>
            </w:r>
          </w:p>
          <w:p>
            <w:pPr>
              <w:spacing w:line="240" w:lineRule="atLeast"/>
              <w:ind w:firstLine="420" w:firstLineChars="200"/>
              <w:rPr>
                <w:rFonts w:hint="eastAsia" w:ascii="宋体" w:hAnsi="宋体"/>
                <w:bCs/>
                <w:szCs w:val="21"/>
              </w:rPr>
            </w:pPr>
            <w:r>
              <w:rPr>
                <w:rFonts w:hint="eastAsia" w:ascii="宋体" w:hAnsi="宋体"/>
                <w:bCs/>
                <w:szCs w:val="21"/>
              </w:rPr>
              <w:t>《尾矿库安全技术规程》(AQ 2006-2005)</w:t>
            </w:r>
          </w:p>
          <w:p>
            <w:pPr>
              <w:spacing w:line="240" w:lineRule="atLeast"/>
              <w:ind w:firstLine="420" w:firstLineChars="200"/>
              <w:rPr>
                <w:rFonts w:hint="eastAsia" w:ascii="宋体" w:hAnsi="宋体"/>
                <w:bCs/>
                <w:szCs w:val="21"/>
              </w:rPr>
            </w:pPr>
            <w:r>
              <w:rPr>
                <w:rFonts w:hint="eastAsia" w:ascii="宋体" w:hAnsi="宋体"/>
                <w:bCs/>
                <w:szCs w:val="21"/>
              </w:rPr>
              <w:t>4.3.5  尾矿坝的渗流控制措施必须确保浸润线低于控制浸润线。</w:t>
            </w:r>
          </w:p>
          <w:p>
            <w:pPr>
              <w:spacing w:line="240" w:lineRule="atLeast"/>
              <w:ind w:firstLine="420" w:firstLineChars="200"/>
              <w:rPr>
                <w:rFonts w:hint="eastAsia" w:ascii="宋体" w:hAnsi="宋体"/>
                <w:bCs/>
                <w:szCs w:val="21"/>
              </w:rPr>
            </w:pPr>
            <w:r>
              <w:rPr>
                <w:rFonts w:hint="eastAsia" w:ascii="宋体" w:hAnsi="宋体"/>
                <w:bCs/>
                <w:szCs w:val="21"/>
              </w:rPr>
              <w:t>6.5.2  在尾矿库运行过程中，如坝体浸润线超过控制线，应经安全技术论证增设或更新排渗设施。</w:t>
            </w:r>
          </w:p>
          <w:p>
            <w:pPr>
              <w:spacing w:line="240" w:lineRule="atLeast"/>
              <w:ind w:firstLine="420" w:firstLineChars="200"/>
              <w:rPr>
                <w:rFonts w:hint="eastAsia" w:ascii="宋体" w:hAnsi="宋体"/>
                <w:bCs/>
                <w:szCs w:val="21"/>
              </w:rPr>
            </w:pPr>
            <w:r>
              <w:rPr>
                <w:rFonts w:hint="eastAsia" w:ascii="宋体" w:hAnsi="宋体"/>
                <w:bCs/>
                <w:szCs w:val="21"/>
              </w:rPr>
              <w:t>《国家安全监管总局关于印发〈金属非金属矿山重大生产安全事故隐患判定标准（试行）〉的通知》(安监总管一〔2017〕98号)</w:t>
            </w:r>
          </w:p>
          <w:p>
            <w:pPr>
              <w:spacing w:line="240" w:lineRule="atLeast"/>
              <w:ind w:firstLine="420" w:firstLineChars="200"/>
              <w:rPr>
                <w:rFonts w:hint="eastAsia" w:ascii="宋体" w:hAnsi="宋体"/>
                <w:bCs/>
                <w:szCs w:val="21"/>
              </w:rPr>
            </w:pPr>
            <w:r>
              <w:rPr>
                <w:rFonts w:hint="eastAsia" w:ascii="宋体" w:hAnsi="宋体"/>
                <w:bCs/>
                <w:szCs w:val="21"/>
              </w:rPr>
              <w:t>三、尾矿库重大生产安全事故隐患</w:t>
            </w:r>
          </w:p>
          <w:p>
            <w:pPr>
              <w:spacing w:line="240" w:lineRule="atLeast"/>
              <w:ind w:firstLine="420" w:firstLineChars="200"/>
              <w:rPr>
                <w:rFonts w:ascii="宋体" w:hAnsi="宋体"/>
                <w:szCs w:val="21"/>
              </w:rPr>
            </w:pPr>
            <w:r>
              <w:rPr>
                <w:rFonts w:hint="eastAsia" w:ascii="宋体" w:hAnsi="宋体"/>
                <w:bCs/>
                <w:szCs w:val="21"/>
              </w:rPr>
              <w:t>（七）浸润线埋深小于控制浸润线埋深。</w:t>
            </w:r>
          </w:p>
        </w:tc>
        <w:tc>
          <w:tcPr>
            <w:tcW w:w="3687" w:type="dxa"/>
            <w:vAlign w:val="center"/>
          </w:tcPr>
          <w:p>
            <w:pPr>
              <w:ind w:firstLine="420" w:firstLineChars="200"/>
              <w:rPr>
                <w:rFonts w:ascii="宋体" w:hAnsi="宋体"/>
                <w:szCs w:val="21"/>
              </w:rPr>
            </w:pPr>
            <w:r>
              <w:rPr>
                <w:rFonts w:hint="eastAsia" w:ascii="宋体" w:hAnsi="宋体"/>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rPr>
                <w:rFonts w:ascii="宋体" w:hAnsi="宋体"/>
                <w:szCs w:val="21"/>
              </w:rPr>
            </w:pPr>
          </w:p>
        </w:tc>
        <w:tc>
          <w:tcPr>
            <w:tcW w:w="1983" w:type="dxa"/>
            <w:vAlign w:val="center"/>
          </w:tcPr>
          <w:p>
            <w:pPr>
              <w:rPr>
                <w:rFonts w:ascii="宋体" w:hAnsi="宋体"/>
                <w:szCs w:val="21"/>
              </w:rPr>
            </w:pPr>
            <w:r>
              <w:rPr>
                <w:rFonts w:hint="eastAsia" w:ascii="思源黑体 CN" w:hAnsi="思源黑体 CN" w:eastAsia="思源黑体 CN" w:cs="思源黑体 CN"/>
                <w:szCs w:val="21"/>
              </w:rPr>
              <w:t>★</w:t>
            </w:r>
            <w:r>
              <w:rPr>
                <w:rFonts w:hint="eastAsia" w:ascii="宋体" w:hAnsi="宋体"/>
                <w:szCs w:val="21"/>
              </w:rPr>
              <w:t>4.3安全超高和干滩长度</w:t>
            </w:r>
          </w:p>
        </w:tc>
        <w:tc>
          <w:tcPr>
            <w:tcW w:w="4818" w:type="dxa"/>
            <w:vAlign w:val="center"/>
          </w:tcPr>
          <w:p>
            <w:pPr>
              <w:ind w:firstLine="420" w:firstLineChars="200"/>
              <w:rPr>
                <w:rFonts w:ascii="宋体" w:hAnsi="宋体"/>
                <w:szCs w:val="21"/>
              </w:rPr>
            </w:pPr>
            <w:r>
              <w:rPr>
                <w:rFonts w:hint="eastAsia" w:ascii="宋体" w:hAnsi="宋体"/>
                <w:szCs w:val="21"/>
              </w:rPr>
              <w:t>《安全生产法》第三十八条  生产经营单位应当建立健全生产安全事故隐患排查治理制度，采取技术、管理措施，及时发现并消除事故隐患。事故隐患排查治理情况应当如实记录，并向从业人员通报。</w:t>
            </w:r>
          </w:p>
          <w:p>
            <w:pPr>
              <w:spacing w:line="240" w:lineRule="atLeast"/>
              <w:ind w:firstLine="420" w:firstLineChars="200"/>
              <w:rPr>
                <w:rFonts w:hint="eastAsia" w:ascii="宋体" w:hAnsi="宋体"/>
                <w:bCs/>
                <w:szCs w:val="21"/>
              </w:rPr>
            </w:pPr>
            <w:r>
              <w:rPr>
                <w:rFonts w:hint="eastAsia" w:ascii="宋体" w:hAnsi="宋体"/>
                <w:bCs/>
                <w:szCs w:val="21"/>
              </w:rPr>
              <w:t>……</w:t>
            </w:r>
          </w:p>
          <w:p>
            <w:pPr>
              <w:spacing w:line="240" w:lineRule="atLeast"/>
              <w:ind w:firstLine="420" w:firstLineChars="200"/>
              <w:rPr>
                <w:rFonts w:hint="eastAsia" w:ascii="宋体" w:hAnsi="宋体"/>
                <w:bCs/>
                <w:szCs w:val="21"/>
              </w:rPr>
            </w:pPr>
            <w:r>
              <w:rPr>
                <w:rFonts w:hint="eastAsia" w:ascii="宋体" w:hAnsi="宋体"/>
                <w:bCs/>
                <w:szCs w:val="21"/>
              </w:rPr>
              <w:t>《尾矿库安全技术规程》(AQ 2006-2005)</w:t>
            </w:r>
          </w:p>
          <w:p>
            <w:pPr>
              <w:spacing w:line="240" w:lineRule="atLeast"/>
              <w:ind w:firstLine="420" w:firstLineChars="200"/>
              <w:rPr>
                <w:rFonts w:hint="eastAsia" w:ascii="宋体" w:hAnsi="宋体"/>
                <w:bCs/>
                <w:szCs w:val="21"/>
              </w:rPr>
            </w:pPr>
            <w:r>
              <w:rPr>
                <w:rFonts w:hint="eastAsia" w:ascii="宋体" w:hAnsi="宋体"/>
                <w:bCs/>
                <w:szCs w:val="21"/>
              </w:rPr>
              <w:t>5.3.9  上游式尾矿坝沉积滩顶至设计洪水位的高差不得小于表3的最小安全超高值，同时，滩顶至设计洪水位边线距离不得小于表3的最小滩长值。</w:t>
            </w:r>
          </w:p>
          <w:p>
            <w:pPr>
              <w:spacing w:line="240" w:lineRule="atLeast"/>
              <w:ind w:firstLine="420" w:firstLineChars="200"/>
              <w:rPr>
                <w:rFonts w:hint="eastAsia" w:ascii="宋体" w:hAnsi="宋体"/>
                <w:bCs/>
                <w:szCs w:val="21"/>
              </w:rPr>
            </w:pPr>
            <w:r>
              <w:rPr>
                <w:rFonts w:hint="eastAsia" w:ascii="宋体" w:hAnsi="宋体"/>
                <w:bCs/>
                <w:szCs w:val="21"/>
              </w:rPr>
              <w:t>5.3.10  下游式和中线式尾矿坝坝顶外缘至设计洪水位水边线的距离不宜小于表4的最小滩长值。</w:t>
            </w:r>
          </w:p>
          <w:p>
            <w:pPr>
              <w:spacing w:line="240" w:lineRule="atLeast"/>
              <w:ind w:firstLine="420" w:firstLineChars="200"/>
              <w:rPr>
                <w:rFonts w:hint="eastAsia" w:ascii="宋体" w:hAnsi="宋体"/>
                <w:bCs/>
                <w:szCs w:val="21"/>
              </w:rPr>
            </w:pPr>
            <w:r>
              <w:rPr>
                <w:rFonts w:hint="eastAsia" w:ascii="宋体" w:hAnsi="宋体"/>
                <w:bCs/>
                <w:szCs w:val="21"/>
              </w:rPr>
              <w:t>当坝体采取防渗余（心）墙时，坝顶至设计洪水位的高差亦不得小于表3的最小安全超高值</w:t>
            </w:r>
          </w:p>
          <w:p>
            <w:pPr>
              <w:spacing w:line="240" w:lineRule="atLeast"/>
              <w:ind w:firstLine="420" w:firstLineChars="200"/>
              <w:rPr>
                <w:rFonts w:hint="eastAsia" w:ascii="宋体" w:hAnsi="宋体"/>
                <w:bCs/>
                <w:szCs w:val="21"/>
              </w:rPr>
            </w:pPr>
            <w:r>
              <w:rPr>
                <w:rFonts w:hint="eastAsia" w:ascii="宋体" w:hAnsi="宋体"/>
                <w:bCs/>
                <w:szCs w:val="21"/>
              </w:rPr>
              <w:t>5.3.11  尾矿库挡水坝在设计洪水位时安全超高不得小于表3的最小安全超高值、最大风壅水面高度和最大风浪爬高三者之和。</w:t>
            </w:r>
          </w:p>
          <w:p>
            <w:pPr>
              <w:spacing w:line="240" w:lineRule="atLeast"/>
              <w:ind w:firstLine="420" w:firstLineChars="200"/>
              <w:rPr>
                <w:rFonts w:hint="eastAsia" w:ascii="宋体" w:hAnsi="宋体"/>
                <w:bCs/>
                <w:szCs w:val="21"/>
              </w:rPr>
            </w:pPr>
            <w:r>
              <w:rPr>
                <w:rFonts w:hint="eastAsia" w:ascii="宋体" w:hAnsi="宋体"/>
                <w:bCs/>
                <w:szCs w:val="21"/>
              </w:rPr>
              <w:t>5.3.12  地震区尾矿坝应符合下列规定：</w:t>
            </w:r>
          </w:p>
          <w:p>
            <w:pPr>
              <w:spacing w:line="240" w:lineRule="atLeast"/>
              <w:ind w:firstLine="420" w:firstLineChars="200"/>
              <w:rPr>
                <w:rFonts w:hint="eastAsia" w:ascii="宋体" w:hAnsi="宋体"/>
                <w:bCs/>
                <w:szCs w:val="21"/>
              </w:rPr>
            </w:pPr>
            <w:r>
              <w:rPr>
                <w:rFonts w:hint="eastAsia" w:ascii="宋体" w:hAnsi="宋体"/>
                <w:bCs/>
                <w:szCs w:val="21"/>
              </w:rPr>
              <w:t>上游式尾矿坝沉积滩顶至正常高水位的高差不得小于表3最小安全超高值与地震壅浪高度之和，滩顶至正常高水位水边线的距离不得小于表3的最小滩长值与地震壅浪高度对应滩长之和。</w:t>
            </w:r>
          </w:p>
          <w:p>
            <w:pPr>
              <w:spacing w:line="240" w:lineRule="atLeast"/>
              <w:ind w:firstLine="420" w:firstLineChars="200"/>
              <w:rPr>
                <w:rFonts w:hint="eastAsia" w:ascii="宋体" w:hAnsi="宋体"/>
                <w:bCs/>
                <w:szCs w:val="21"/>
              </w:rPr>
            </w:pPr>
            <w:r>
              <w:rPr>
                <w:rFonts w:hint="eastAsia" w:ascii="宋体" w:hAnsi="宋体"/>
                <w:bCs/>
                <w:szCs w:val="21"/>
              </w:rPr>
              <w:t>下游式与中线式尾矿坝坝顶外边缘至正常高水位水边线的距离不宜小于表4的最小滩长值与地震壅浪高度对应滩长之和。</w:t>
            </w:r>
          </w:p>
          <w:p>
            <w:pPr>
              <w:spacing w:line="240" w:lineRule="atLeast"/>
              <w:ind w:firstLine="420" w:firstLineChars="200"/>
              <w:rPr>
                <w:rFonts w:ascii="宋体" w:hAnsi="宋体"/>
                <w:szCs w:val="21"/>
              </w:rPr>
            </w:pPr>
            <w:r>
              <w:rPr>
                <w:rFonts w:hint="eastAsia" w:ascii="宋体" w:hAnsi="宋体"/>
                <w:bCs/>
                <w:szCs w:val="21"/>
              </w:rPr>
              <w:t>尾矿库挡水坝坝顶至正常</w:t>
            </w:r>
            <w:r>
              <w:rPr>
                <w:rFonts w:ascii="宋体" w:hAnsi="宋体"/>
                <w:szCs w:val="21"/>
              </w:rPr>
              <w:t>高水位的高差不得小于表3最小安全超高值与地震壅浪高度之和。</w:t>
            </w:r>
          </w:p>
          <w:p>
            <w:pPr>
              <w:ind w:firstLine="420" w:firstLineChars="200"/>
              <w:rPr>
                <w:rFonts w:ascii="宋体" w:hAnsi="宋体"/>
                <w:szCs w:val="21"/>
              </w:rPr>
            </w:pPr>
            <w:r>
              <w:rPr>
                <w:rFonts w:ascii="宋体" w:hAnsi="宋体"/>
                <w:szCs w:val="21"/>
              </w:rPr>
              <w:t>地震壅浪高度可根据抗震设防烈度和水深确定，可采用0.5-1.5m。</w:t>
            </w:r>
          </w:p>
          <w:p>
            <w:pPr>
              <w:spacing w:line="240" w:lineRule="atLeast"/>
              <w:ind w:firstLine="420" w:firstLineChars="200"/>
              <w:rPr>
                <w:rFonts w:ascii="宋体" w:hAnsi="宋体"/>
                <w:bCs/>
                <w:szCs w:val="21"/>
              </w:rPr>
            </w:pPr>
            <w:r>
              <w:rPr>
                <w:rFonts w:hint="eastAsia" w:ascii="宋体" w:hAnsi="宋体"/>
                <w:bCs/>
                <w:szCs w:val="21"/>
              </w:rPr>
              <w:t>《国家安全监管总局关于印发〈金属非金属矿山重大生产安全事故隐患判定标准（试行）〉的通知》</w:t>
            </w:r>
            <w:r>
              <w:rPr>
                <w:rFonts w:ascii="宋体" w:hAnsi="宋体"/>
                <w:bCs/>
                <w:szCs w:val="21"/>
              </w:rPr>
              <w:t>(</w:t>
            </w:r>
            <w:r>
              <w:rPr>
                <w:rFonts w:hint="eastAsia" w:ascii="宋体" w:hAnsi="宋体"/>
                <w:bCs/>
                <w:szCs w:val="21"/>
              </w:rPr>
              <w:t>安监总管一〔2017〕98号)</w:t>
            </w:r>
          </w:p>
          <w:p>
            <w:pPr>
              <w:ind w:firstLine="420" w:firstLineChars="200"/>
              <w:rPr>
                <w:rFonts w:ascii="宋体" w:hAnsi="宋体"/>
                <w:kern w:val="0"/>
                <w:szCs w:val="21"/>
              </w:rPr>
            </w:pPr>
            <w:r>
              <w:rPr>
                <w:rFonts w:hint="eastAsia" w:ascii="宋体" w:hAnsi="宋体"/>
                <w:kern w:val="0"/>
                <w:szCs w:val="21"/>
              </w:rPr>
              <w:t>三、</w:t>
            </w:r>
            <w:r>
              <w:rPr>
                <w:rFonts w:hint="eastAsia"/>
              </w:rPr>
              <w:t>尾矿库重大生产安全事故隐患</w:t>
            </w:r>
          </w:p>
          <w:p>
            <w:pPr>
              <w:ind w:firstLine="420" w:firstLineChars="200"/>
              <w:rPr>
                <w:rFonts w:ascii="宋体" w:hAnsi="宋体"/>
                <w:szCs w:val="21"/>
              </w:rPr>
            </w:pPr>
            <w:r>
              <w:rPr>
                <w:rFonts w:hint="eastAsia" w:ascii="宋体" w:hAnsi="宋体"/>
                <w:szCs w:val="21"/>
              </w:rPr>
              <w:t>（八）安全超高和干滩长度小于设计规定。</w:t>
            </w:r>
          </w:p>
        </w:tc>
        <w:tc>
          <w:tcPr>
            <w:tcW w:w="3687" w:type="dxa"/>
            <w:vAlign w:val="center"/>
          </w:tcPr>
          <w:p>
            <w:pPr>
              <w:ind w:firstLine="420" w:firstLineChars="200"/>
              <w:rPr>
                <w:rFonts w:ascii="宋体" w:hAnsi="宋体"/>
                <w:szCs w:val="21"/>
              </w:rPr>
            </w:pPr>
            <w:r>
              <w:rPr>
                <w:rFonts w:hint="eastAsia" w:ascii="宋体" w:hAnsi="宋体"/>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012"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rPr>
                <w:rFonts w:ascii="宋体" w:hAnsi="宋体"/>
                <w:szCs w:val="21"/>
              </w:rPr>
            </w:pPr>
          </w:p>
        </w:tc>
        <w:tc>
          <w:tcPr>
            <w:tcW w:w="1983" w:type="dxa"/>
            <w:vAlign w:val="center"/>
          </w:tcPr>
          <w:p>
            <w:pPr>
              <w:rPr>
                <w:rFonts w:ascii="宋体" w:hAnsi="宋体"/>
                <w:szCs w:val="21"/>
              </w:rPr>
            </w:pPr>
            <w:r>
              <w:rPr>
                <w:rFonts w:ascii="宋体" w:hAnsi="宋体"/>
                <w:szCs w:val="21"/>
              </w:rPr>
              <w:t>4.4</w:t>
            </w:r>
            <w:r>
              <w:rPr>
                <w:rFonts w:hint="eastAsia" w:ascii="宋体" w:hAnsi="宋体"/>
                <w:szCs w:val="21"/>
              </w:rPr>
              <w:t>防洪物资</w:t>
            </w:r>
          </w:p>
        </w:tc>
        <w:tc>
          <w:tcPr>
            <w:tcW w:w="4818" w:type="dxa"/>
            <w:vAlign w:val="center"/>
          </w:tcPr>
          <w:p>
            <w:pPr>
              <w:ind w:firstLine="420" w:firstLineChars="200"/>
              <w:rPr>
                <w:rFonts w:ascii="宋体" w:hAnsi="宋体"/>
                <w:szCs w:val="21"/>
              </w:rPr>
            </w:pPr>
            <w:r>
              <w:rPr>
                <w:rFonts w:hint="eastAsia" w:ascii="宋体" w:hAnsi="宋体"/>
                <w:szCs w:val="21"/>
              </w:rPr>
              <w:t>《尾矿库安全监督管理规定》第二十一条  生产经营单位应当建立健全防汛责任制，实施</w:t>
            </w:r>
            <w:r>
              <w:rPr>
                <w:rFonts w:ascii="宋体" w:hAnsi="宋体"/>
                <w:szCs w:val="21"/>
              </w:rPr>
              <w:t>24</w:t>
            </w:r>
            <w:r>
              <w:rPr>
                <w:rFonts w:hint="eastAsia" w:ascii="宋体" w:hAnsi="宋体"/>
                <w:szCs w:val="21"/>
              </w:rPr>
              <w:t>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w:t>
            </w:r>
          </w:p>
          <w:p>
            <w:pPr>
              <w:ind w:firstLine="420" w:firstLineChars="200"/>
              <w:rPr>
                <w:rFonts w:ascii="宋体" w:hAnsi="宋体"/>
                <w:szCs w:val="21"/>
              </w:rPr>
            </w:pPr>
            <w:r>
              <w:rPr>
                <w:rFonts w:hint="eastAsia" w:ascii="宋体" w:hAnsi="宋体"/>
                <w:szCs w:val="21"/>
              </w:rPr>
              <w:t>……</w:t>
            </w:r>
          </w:p>
        </w:tc>
        <w:tc>
          <w:tcPr>
            <w:tcW w:w="3687" w:type="dxa"/>
            <w:vAlign w:val="center"/>
          </w:tcPr>
          <w:p>
            <w:pPr>
              <w:ind w:firstLine="420" w:firstLineChars="200"/>
              <w:rPr>
                <w:rFonts w:ascii="宋体" w:hAnsi="宋体"/>
                <w:szCs w:val="21"/>
              </w:rPr>
            </w:pPr>
            <w:r>
              <w:rPr>
                <w:rFonts w:hint="eastAsia" w:ascii="宋体" w:hAnsi="宋体"/>
                <w:szCs w:val="21"/>
              </w:rPr>
              <w:t>《尾矿库安全监督管理规定》第三十九条  生产经营单位或者尾矿库管理单位违反本规定第八条第二款、第十九条、第二十条、第二十一条、第二十二条、第二十四条、第二十六条、第二十九条第一款规定的，给予警告，并处</w:t>
            </w:r>
            <w:r>
              <w:rPr>
                <w:rFonts w:ascii="宋体" w:hAnsi="宋体"/>
                <w:szCs w:val="21"/>
              </w:rPr>
              <w:t>1</w:t>
            </w:r>
            <w:r>
              <w:rPr>
                <w:rFonts w:hint="eastAsia" w:ascii="宋体" w:hAnsi="宋体"/>
                <w:szCs w:val="21"/>
              </w:rPr>
              <w:t>万元以上</w:t>
            </w:r>
            <w:r>
              <w:rPr>
                <w:rFonts w:ascii="宋体" w:hAnsi="宋体"/>
                <w:szCs w:val="21"/>
              </w:rPr>
              <w:t>3</w:t>
            </w:r>
            <w:r>
              <w:rPr>
                <w:rFonts w:hint="eastAsia" w:ascii="宋体" w:hAnsi="宋体"/>
                <w:szCs w:val="21"/>
              </w:rPr>
              <w:t>万元以下的罚款；对主管人员和直接责任人员由其所在单位或者上级主管单位给予行政处分；构成犯罪的，依法追究刑事责任。</w:t>
            </w:r>
          </w:p>
        </w:tc>
        <w:tc>
          <w:tcPr>
            <w:tcW w:w="871"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1704" w:type="dxa"/>
            <w:vMerge w:val="restart"/>
            <w:tcBorders>
              <w:top w:val="single" w:color="auto" w:sz="4" w:space="0"/>
              <w:left w:val="single" w:color="auto" w:sz="4" w:space="0"/>
              <w:right w:val="single" w:color="auto" w:sz="4" w:space="0"/>
            </w:tcBorders>
            <w:vAlign w:val="center"/>
          </w:tcPr>
          <w:p>
            <w:pPr>
              <w:rPr>
                <w:rFonts w:ascii="宋体" w:hAnsi="宋体"/>
                <w:szCs w:val="21"/>
              </w:rPr>
            </w:pPr>
            <w:r>
              <w:rPr>
                <w:rFonts w:hint="eastAsia" w:ascii="宋体" w:hAnsi="宋体"/>
                <w:szCs w:val="21"/>
              </w:rPr>
              <w:t>安全监测</w:t>
            </w: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 xml:space="preserve">5.1 </w:t>
            </w:r>
            <w:r>
              <w:rPr>
                <w:rFonts w:hint="eastAsia" w:ascii="宋体" w:hAnsi="宋体"/>
                <w:szCs w:val="21"/>
              </w:rPr>
              <w:t>人工安全监测设施</w:t>
            </w:r>
          </w:p>
        </w:tc>
        <w:tc>
          <w:tcPr>
            <w:tcW w:w="481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color w:val="333333"/>
                <w:sz w:val="21"/>
                <w:szCs w:val="21"/>
                <w:shd w:val="clear" w:color="auto" w:fill="FFFFFF"/>
              </w:rPr>
              <w:t>《尾矿库安全监测技术规范》（AQ2030-2010）</w:t>
            </w:r>
          </w:p>
          <w:p>
            <w:pPr>
              <w:pStyle w:val="41"/>
              <w:tabs>
                <w:tab w:val="left" w:pos="536"/>
              </w:tabs>
              <w:spacing w:line="320" w:lineRule="exact"/>
              <w:jc w:val="both"/>
              <w:rPr>
                <w:rFonts w:hint="eastAsia" w:asciiTheme="minorEastAsia" w:hAnsiTheme="minorEastAsia" w:eastAsiaTheme="minorEastAsia" w:cstheme="minorEastAsia"/>
                <w:color w:val="333333"/>
                <w:kern w:val="2"/>
                <w:sz w:val="21"/>
                <w:szCs w:val="21"/>
                <w:shd w:val="clear" w:color="auto" w:fill="FFFFFF"/>
                <w:lang w:val="en-US" w:eastAsia="zh-CN" w:bidi="ar-SA"/>
              </w:rPr>
            </w:pPr>
            <w:r>
              <w:rPr>
                <w:rFonts w:hint="eastAsia" w:asciiTheme="minorEastAsia" w:hAnsiTheme="minorEastAsia" w:eastAsiaTheme="minorEastAsia" w:cstheme="minorEastAsia"/>
                <w:color w:val="333333"/>
                <w:kern w:val="2"/>
                <w:sz w:val="21"/>
                <w:szCs w:val="21"/>
                <w:shd w:val="clear" w:color="auto" w:fill="FFFFFF"/>
                <w:lang w:val="en-US" w:eastAsia="zh-CN" w:bidi="ar-SA"/>
              </w:rPr>
              <w:t xml:space="preserve">    4.4.1  尾矿库的安全监测，必须根据尾矿库设计等别、筑坝方式、地形和地质条件、地理环境等因素，设 置必要的监测项目及其相应设施，定期进行监测。</w:t>
            </w:r>
          </w:p>
          <w:p>
            <w:pPr>
              <w:pStyle w:val="41"/>
              <w:tabs>
                <w:tab w:val="left" w:leader="hyphen" w:pos="1060"/>
              </w:tabs>
              <w:spacing w:line="320" w:lineRule="exact"/>
              <w:ind w:firstLine="420" w:firstLineChars="200"/>
            </w:pPr>
            <w:r>
              <w:rPr>
                <w:rFonts w:hint="eastAsia" w:asciiTheme="minorEastAsia" w:hAnsiTheme="minorEastAsia" w:eastAsiaTheme="minorEastAsia" w:cstheme="minorEastAsia"/>
                <w:color w:val="333333"/>
                <w:kern w:val="2"/>
                <w:sz w:val="21"/>
                <w:szCs w:val="21"/>
                <w:shd w:val="clear" w:color="auto" w:fill="FFFFFF"/>
                <w:lang w:val="en-US" w:eastAsia="zh-CN" w:bidi="ar-SA"/>
              </w:rPr>
              <w:t>——一等、二等、三等、四等尾矿库应监测位移、浸润线、干滩、库水位、降水量，必要时还应监测孔隙水压力、渗透水量、混浊度。五等尾矿库应监测位移、浸润线、干滩、库水位。</w:t>
            </w:r>
          </w:p>
        </w:tc>
        <w:tc>
          <w:tcPr>
            <w:tcW w:w="368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《安全生产违法行为行政处罚办法》第四十五条  生产经营单位及其主要负责人或者其他人员有下列行为之一的，给予警告，并可以对生产经营单位处1万元以上3万元以下罚款，对其主要负责人、其他有关人员处1000元以上1万元以下的罚款：</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（一）违反操作规程或者安全管理规定作业的。</w:t>
            </w:r>
          </w:p>
          <w:p>
            <w:pPr>
              <w:pStyle w:val="2"/>
              <w:ind w:firstLine="420"/>
            </w:pPr>
            <w:r>
              <w:rPr>
                <w:rFonts w:hint="eastAsia" w:asciiTheme="minorEastAsia" w:hAnsiTheme="minorEastAsia" w:eastAsiaTheme="minorEastAsia"/>
                <w:szCs w:val="21"/>
              </w:rPr>
              <w:t>……</w:t>
            </w:r>
          </w:p>
        </w:tc>
        <w:tc>
          <w:tcPr>
            <w:tcW w:w="8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continue"/>
            <w:tcBorders>
              <w:left w:val="single" w:color="auto" w:sz="4" w:space="0"/>
              <w:right w:val="single" w:color="auto" w:sz="4" w:space="0"/>
            </w:tcBorders>
            <w:vAlign w:val="center"/>
          </w:tcPr>
          <w:p>
            <w:pPr>
              <w:jc w:val="center"/>
              <w:rPr>
                <w:rFonts w:ascii="宋体" w:hAnsi="宋体"/>
                <w:szCs w:val="21"/>
              </w:rPr>
            </w:pPr>
          </w:p>
        </w:tc>
        <w:tc>
          <w:tcPr>
            <w:tcW w:w="1704" w:type="dxa"/>
            <w:vMerge w:val="continue"/>
            <w:tcBorders>
              <w:left w:val="single" w:color="auto" w:sz="4" w:space="0"/>
              <w:right w:val="single" w:color="auto" w:sz="4" w:space="0"/>
            </w:tcBorders>
            <w:vAlign w:val="center"/>
          </w:tcPr>
          <w:p>
            <w:pPr>
              <w:rPr>
                <w:rFonts w:ascii="宋体" w:hAnsi="宋体"/>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5.2 在线监测系统安装</w:t>
            </w:r>
          </w:p>
        </w:tc>
        <w:tc>
          <w:tcPr>
            <w:tcW w:w="481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《尾矿库安全监督管理规定》第八条  ……</w:t>
            </w:r>
          </w:p>
          <w:p>
            <w:pPr>
              <w:ind w:firstLine="420" w:firstLineChars="200"/>
              <w:rPr>
                <w:rFonts w:ascii="宋体" w:hAnsi="宋体"/>
                <w:szCs w:val="21"/>
              </w:rPr>
            </w:pPr>
            <w:r>
              <w:rPr>
                <w:rFonts w:hint="eastAsia" w:ascii="宋体" w:hAnsi="宋体"/>
                <w:szCs w:val="21"/>
              </w:rPr>
              <w:t>一等、二等、三等尾矿库应当安装在线监测系统。</w:t>
            </w:r>
          </w:p>
        </w:tc>
        <w:tc>
          <w:tcPr>
            <w:tcW w:w="368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《尾矿库安全监督管理规定》第三十九条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8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6</w:t>
            </w:r>
          </w:p>
        </w:tc>
        <w:tc>
          <w:tcPr>
            <w:tcW w:w="1704" w:type="dxa"/>
            <w:tcBorders>
              <w:left w:val="single" w:color="auto" w:sz="4" w:space="0"/>
              <w:right w:val="single" w:color="auto" w:sz="4" w:space="0"/>
            </w:tcBorders>
            <w:vAlign w:val="center"/>
          </w:tcPr>
          <w:p>
            <w:pPr>
              <w:rPr>
                <w:rFonts w:ascii="宋体" w:hAnsi="宋体"/>
                <w:szCs w:val="21"/>
              </w:rPr>
            </w:pPr>
            <w:r>
              <w:rPr>
                <w:rFonts w:hint="eastAsia" w:ascii="宋体" w:hAnsi="宋体"/>
                <w:szCs w:val="21"/>
              </w:rPr>
              <w:t>放矿管理</w:t>
            </w: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思源黑体 CN" w:hAnsi="思源黑体 CN" w:eastAsia="思源黑体 CN" w:cs="思源黑体 CN"/>
                <w:szCs w:val="21"/>
              </w:rPr>
              <w:t>★</w:t>
            </w:r>
            <w:r>
              <w:rPr>
                <w:rFonts w:hint="eastAsia" w:ascii="宋体" w:hAnsi="宋体"/>
                <w:szCs w:val="21"/>
              </w:rPr>
              <w:t>6</w:t>
            </w:r>
            <w:r>
              <w:rPr>
                <w:rFonts w:ascii="宋体" w:hAnsi="宋体"/>
                <w:szCs w:val="21"/>
              </w:rPr>
              <w:t>.1</w:t>
            </w:r>
            <w:r>
              <w:rPr>
                <w:rFonts w:hint="eastAsia" w:ascii="宋体" w:hAnsi="宋体"/>
                <w:szCs w:val="21"/>
              </w:rPr>
              <w:t xml:space="preserve"> 多种矿石性质不同的尾砂混合排放</w:t>
            </w:r>
          </w:p>
        </w:tc>
        <w:tc>
          <w:tcPr>
            <w:tcW w:w="481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ascii="宋体" w:hAnsi="宋体"/>
                <w:szCs w:val="21"/>
              </w:rPr>
              <w:t>《安全生产法》第三十八条  生产经营单位应当建立健全生产安全事故隐患排查治理制度，采取技术、管理措施，及时发现并消除事故隐患。事故隐患排查治理情况应当如实记录，并向从业人员通报。</w:t>
            </w:r>
          </w:p>
          <w:p>
            <w:pPr>
              <w:spacing w:line="240" w:lineRule="atLeast"/>
              <w:ind w:firstLine="420" w:firstLineChars="200"/>
              <w:rPr>
                <w:rFonts w:hint="eastAsia" w:ascii="宋体" w:hAnsi="宋体"/>
                <w:szCs w:val="21"/>
              </w:rPr>
            </w:pPr>
            <w:r>
              <w:rPr>
                <w:rFonts w:hint="eastAsia" w:ascii="宋体" w:hAnsi="宋体"/>
                <w:szCs w:val="21"/>
              </w:rPr>
              <w:t>……</w:t>
            </w:r>
          </w:p>
          <w:p>
            <w:pPr>
              <w:spacing w:line="240" w:lineRule="atLeast"/>
              <w:ind w:firstLine="420" w:firstLineChars="200"/>
              <w:rPr>
                <w:rFonts w:ascii="宋体" w:hAnsi="宋体"/>
                <w:bCs/>
                <w:szCs w:val="21"/>
              </w:rPr>
            </w:pPr>
            <w:r>
              <w:rPr>
                <w:rFonts w:hint="eastAsia" w:ascii="宋体" w:hAnsi="宋体"/>
                <w:bCs/>
                <w:szCs w:val="21"/>
              </w:rPr>
              <w:t>《国家安全监管总局关于印发〈金属非金属矿山重大生产安全事故隐患判定标准（试行）〉的通知》(安监总管一〔2017〕98号)</w:t>
            </w:r>
          </w:p>
          <w:p>
            <w:pPr>
              <w:spacing w:line="240" w:lineRule="atLeast"/>
              <w:ind w:firstLine="420" w:firstLineChars="200"/>
              <w:rPr>
                <w:rFonts w:ascii="宋体" w:hAnsi="宋体"/>
                <w:bCs/>
                <w:szCs w:val="21"/>
              </w:rPr>
            </w:pPr>
            <w:r>
              <w:rPr>
                <w:rFonts w:hint="eastAsia" w:ascii="宋体" w:hAnsi="宋体"/>
                <w:bCs/>
                <w:szCs w:val="21"/>
              </w:rPr>
              <w:t>三、</w:t>
            </w:r>
            <w:r>
              <w:rPr>
                <w:rFonts w:hint="eastAsia"/>
              </w:rPr>
              <w:t>尾矿库重大生产安全事故隐患</w:t>
            </w:r>
          </w:p>
          <w:p>
            <w:pPr>
              <w:ind w:firstLine="420" w:firstLineChars="200"/>
              <w:rPr>
                <w:rFonts w:ascii="宋体" w:hAnsi="宋体"/>
                <w:szCs w:val="21"/>
              </w:rPr>
            </w:pPr>
            <w:r>
              <w:rPr>
                <w:rFonts w:hint="eastAsia" w:ascii="宋体" w:hAnsi="宋体"/>
                <w:bCs/>
                <w:szCs w:val="21"/>
              </w:rPr>
              <w:t>（十一）</w:t>
            </w:r>
            <w:r>
              <w:rPr>
                <w:rFonts w:ascii="宋体" w:hAnsi="宋体"/>
                <w:bCs/>
                <w:szCs w:val="21"/>
              </w:rPr>
              <w:t>多种矿石性质不同的尾砂混合排放时，未按设计要求进行排放</w:t>
            </w:r>
            <w:r>
              <w:rPr>
                <w:rFonts w:hint="eastAsia" w:ascii="宋体" w:hAnsi="宋体"/>
                <w:bCs/>
                <w:szCs w:val="21"/>
              </w:rPr>
              <w:t>。</w:t>
            </w:r>
          </w:p>
          <w:p>
            <w:pPr>
              <w:ind w:firstLine="420" w:firstLineChars="200"/>
              <w:rPr>
                <w:rFonts w:ascii="宋体" w:hAnsi="宋体"/>
                <w:szCs w:val="21"/>
              </w:rPr>
            </w:pPr>
            <w:r>
              <w:rPr>
                <w:rFonts w:hint="eastAsia" w:ascii="宋体" w:hAnsi="宋体"/>
                <w:szCs w:val="21"/>
              </w:rPr>
              <w:t>《尾矿库安全监督管理规定》</w:t>
            </w:r>
            <w:r>
              <w:rPr>
                <w:rFonts w:ascii="宋体" w:hAnsi="宋体"/>
                <w:szCs w:val="21"/>
              </w:rPr>
              <w:t>第十八条</w:t>
            </w:r>
            <w:r>
              <w:rPr>
                <w:rFonts w:hint="eastAsia" w:ascii="宋体" w:hAnsi="宋体"/>
                <w:szCs w:val="21"/>
              </w:rPr>
              <w:t xml:space="preserve">  </w:t>
            </w:r>
            <w:r>
              <w:rPr>
                <w:rFonts w:ascii="宋体" w:hAnsi="宋体"/>
                <w:szCs w:val="21"/>
              </w:rPr>
              <w:t>对生产运行的尾矿库，未经技术论证和安全生产监督管理部门的批准，任何单位和个人不得对下列事项进行变更：</w:t>
            </w:r>
          </w:p>
          <w:p>
            <w:pPr>
              <w:ind w:firstLine="420" w:firstLineChars="200"/>
              <w:rPr>
                <w:rFonts w:ascii="宋体" w:hAnsi="宋体"/>
                <w:szCs w:val="21"/>
              </w:rPr>
            </w:pPr>
            <w:r>
              <w:rPr>
                <w:rFonts w:ascii="宋体" w:hAnsi="宋体"/>
                <w:szCs w:val="21"/>
              </w:rPr>
              <w:t>……</w:t>
            </w:r>
          </w:p>
          <w:p>
            <w:pPr>
              <w:ind w:firstLine="420" w:firstLineChars="200"/>
              <w:rPr>
                <w:rFonts w:ascii="宋体" w:hAnsi="宋体"/>
                <w:szCs w:val="21"/>
              </w:rPr>
            </w:pPr>
            <w:r>
              <w:rPr>
                <w:rFonts w:ascii="宋体" w:hAnsi="宋体"/>
                <w:szCs w:val="21"/>
              </w:rPr>
              <w:t>(三)尾矿物化特性；</w:t>
            </w:r>
          </w:p>
          <w:p>
            <w:pPr>
              <w:ind w:firstLine="420" w:firstLineChars="200"/>
              <w:rPr>
                <w:rFonts w:ascii="宋体" w:hAnsi="宋体"/>
                <w:szCs w:val="21"/>
              </w:rPr>
            </w:pPr>
            <w:r>
              <w:rPr>
                <w:rFonts w:ascii="宋体" w:hAnsi="宋体"/>
                <w:szCs w:val="21"/>
              </w:rPr>
              <w:t>……</w:t>
            </w:r>
          </w:p>
        </w:tc>
        <w:tc>
          <w:tcPr>
            <w:tcW w:w="368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szCs w:val="21"/>
              </w:rPr>
            </w:pPr>
            <w:r>
              <w:rPr>
                <w:rFonts w:hint="eastAsia" w:ascii="宋体" w:hAnsi="宋体"/>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ind w:firstLine="420" w:firstLineChars="200"/>
              <w:rPr>
                <w:rFonts w:ascii="宋体" w:hAnsi="宋体"/>
                <w:szCs w:val="21"/>
              </w:rPr>
            </w:pPr>
            <w:r>
              <w:rPr>
                <w:rFonts w:hint="eastAsia" w:ascii="宋体" w:hAnsi="宋体"/>
                <w:szCs w:val="21"/>
              </w:rPr>
              <w:t>《尾矿库安全监督管理规定》第四十条</w:t>
            </w:r>
            <w:r>
              <w:rPr>
                <w:rFonts w:hint="eastAsia" w:ascii="宋体" w:hAnsi="宋体"/>
                <w:szCs w:val="21"/>
                <w:lang w:val="en-US" w:eastAsia="zh-CN"/>
              </w:rPr>
              <w:t xml:space="preserve">  </w:t>
            </w:r>
            <w:r>
              <w:rPr>
                <w:rFonts w:hint="eastAsia" w:ascii="宋体" w:hAnsi="宋体"/>
                <w:szCs w:val="21"/>
              </w:rPr>
              <w:t>生产经营单位或者尾矿库管理单位违反本规定第十八条规定的</w:t>
            </w:r>
            <w:r>
              <w:rPr>
                <w:rFonts w:hint="eastAsia" w:ascii="宋体" w:hAnsi="宋体"/>
                <w:szCs w:val="21"/>
                <w:lang w:eastAsia="zh-CN"/>
              </w:rPr>
              <w:t>，</w:t>
            </w:r>
            <w:r>
              <w:rPr>
                <w:rFonts w:hint="eastAsia" w:ascii="宋体" w:hAnsi="宋体"/>
                <w:szCs w:val="21"/>
              </w:rPr>
              <w:t>给予警告，并处3万元的罚款；情节严重的，依法责令停产整顿或者提请县级以上地方人民政府按照规定权限予以关闭。</w:t>
            </w:r>
          </w:p>
        </w:tc>
        <w:tc>
          <w:tcPr>
            <w:tcW w:w="8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1704" w:type="dxa"/>
            <w:tcBorders>
              <w:left w:val="single" w:color="auto" w:sz="4" w:space="0"/>
              <w:bottom w:val="single" w:color="auto" w:sz="4" w:space="0"/>
              <w:right w:val="single" w:color="auto" w:sz="4" w:space="0"/>
            </w:tcBorders>
            <w:vAlign w:val="center"/>
          </w:tcPr>
          <w:p>
            <w:pPr>
              <w:rPr>
                <w:rFonts w:ascii="宋体" w:hAnsi="宋体"/>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思源黑体 CN" w:hAnsi="思源黑体 CN" w:eastAsia="思源黑体 CN" w:cs="思源黑体 CN"/>
                <w:szCs w:val="21"/>
              </w:rPr>
              <w:t>★</w:t>
            </w:r>
            <w:r>
              <w:rPr>
                <w:rFonts w:hint="eastAsia" w:ascii="宋体" w:hAnsi="宋体"/>
                <w:szCs w:val="21"/>
              </w:rPr>
              <w:t>6</w:t>
            </w:r>
            <w:r>
              <w:rPr>
                <w:rFonts w:ascii="宋体" w:hAnsi="宋体"/>
                <w:szCs w:val="21"/>
              </w:rPr>
              <w:t>.2</w:t>
            </w:r>
            <w:r>
              <w:rPr>
                <w:rFonts w:hint="eastAsia" w:ascii="宋体" w:hAnsi="宋体"/>
                <w:szCs w:val="21"/>
              </w:rPr>
              <w:t xml:space="preserve"> </w:t>
            </w:r>
            <w:r>
              <w:rPr>
                <w:rFonts w:ascii="宋体" w:hAnsi="宋体"/>
                <w:szCs w:val="21"/>
              </w:rPr>
              <w:t>冰下放矿作业</w:t>
            </w:r>
          </w:p>
        </w:tc>
        <w:tc>
          <w:tcPr>
            <w:tcW w:w="481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ascii="宋体" w:hAnsi="宋体"/>
                <w:szCs w:val="21"/>
              </w:rPr>
              <w:t xml:space="preserve">《安全生产法》第三十八条  生产经营单位应当建立健全生产安全事故隐患排查治理制度，采取技术、管理措施，及时发现并消除事故隐患。事故隐患排查治理情况应当如实记录，并向从业人员通报。 </w:t>
            </w:r>
          </w:p>
          <w:p>
            <w:pPr>
              <w:ind w:firstLine="420" w:firstLineChars="200"/>
              <w:rPr>
                <w:rFonts w:ascii="宋体" w:hAnsi="宋体"/>
                <w:szCs w:val="21"/>
              </w:rPr>
            </w:pPr>
            <w:r>
              <w:rPr>
                <w:rFonts w:hint="eastAsia" w:ascii="宋体" w:hAnsi="宋体"/>
                <w:szCs w:val="21"/>
              </w:rPr>
              <w:t>……</w:t>
            </w:r>
          </w:p>
          <w:p>
            <w:pPr>
              <w:spacing w:line="240" w:lineRule="atLeast"/>
              <w:ind w:firstLine="420" w:firstLineChars="200"/>
              <w:rPr>
                <w:rFonts w:ascii="宋体" w:hAnsi="宋体"/>
                <w:bCs/>
                <w:szCs w:val="21"/>
              </w:rPr>
            </w:pPr>
            <w:r>
              <w:rPr>
                <w:rFonts w:hint="eastAsia" w:ascii="宋体" w:hAnsi="宋体"/>
                <w:bCs/>
                <w:szCs w:val="21"/>
              </w:rPr>
              <w:t>《国家安全监管总局关于印发〈金属非金属矿山重大生产安全事故隐患判定标准（试行）〉的通知》(安监总管一〔2017〕98号)</w:t>
            </w:r>
          </w:p>
          <w:p>
            <w:pPr>
              <w:ind w:firstLine="420" w:firstLineChars="200"/>
              <w:rPr>
                <w:rFonts w:ascii="宋体" w:hAnsi="宋体"/>
                <w:bCs/>
                <w:szCs w:val="21"/>
              </w:rPr>
            </w:pPr>
            <w:r>
              <w:rPr>
                <w:rFonts w:hint="eastAsia" w:ascii="宋体" w:hAnsi="宋体"/>
                <w:bCs/>
                <w:szCs w:val="21"/>
              </w:rPr>
              <w:t>三、</w:t>
            </w:r>
            <w:r>
              <w:rPr>
                <w:rFonts w:hint="eastAsia"/>
              </w:rPr>
              <w:t>尾矿库重大生产安全事故隐患</w:t>
            </w:r>
          </w:p>
          <w:p>
            <w:pPr>
              <w:ind w:firstLine="396" w:firstLineChars="200"/>
              <w:rPr>
                <w:rFonts w:ascii="宋体" w:hAnsi="宋体"/>
                <w:szCs w:val="21"/>
              </w:rPr>
            </w:pPr>
            <w:r>
              <w:rPr>
                <w:rFonts w:hint="eastAsia" w:ascii="宋体" w:hAnsi="宋体"/>
                <w:bCs/>
                <w:spacing w:val="-6"/>
                <w:szCs w:val="21"/>
              </w:rPr>
              <w:t>（十二）</w:t>
            </w:r>
            <w:r>
              <w:rPr>
                <w:rFonts w:ascii="宋体" w:hAnsi="宋体"/>
                <w:bCs/>
                <w:spacing w:val="-6"/>
                <w:szCs w:val="21"/>
              </w:rPr>
              <w:t>冬季未按照设计要求采用冰下放矿作业</w:t>
            </w:r>
            <w:r>
              <w:rPr>
                <w:rFonts w:hint="eastAsia" w:ascii="宋体" w:hAnsi="宋体"/>
                <w:bCs/>
                <w:spacing w:val="-6"/>
                <w:szCs w:val="21"/>
              </w:rPr>
              <w:t>。</w:t>
            </w:r>
          </w:p>
        </w:tc>
        <w:tc>
          <w:tcPr>
            <w:tcW w:w="368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kern w:val="0"/>
                <w:szCs w:val="21"/>
              </w:rPr>
            </w:pPr>
          </w:p>
        </w:tc>
      </w:tr>
    </w:tbl>
    <w:p>
      <w:pPr>
        <w:pStyle w:val="4"/>
        <w:keepNext w:val="0"/>
        <w:keepLines w:val="0"/>
        <w:pageBreakBefore/>
        <w:spacing w:line="240" w:lineRule="auto"/>
      </w:pPr>
      <w:bookmarkStart w:id="19" w:name="_Toc499799327"/>
      <w:r>
        <w:rPr>
          <w:rFonts w:hint="eastAsia" w:ascii="黑体" w:hAnsi="黑体" w:eastAsia="黑体"/>
          <w:b w:val="0"/>
        </w:rPr>
        <w:t>表3  危险化学品生产经营企业监督检查重点事项</w:t>
      </w:r>
      <w:bookmarkEnd w:id="19"/>
    </w:p>
    <w:tbl>
      <w:tblPr>
        <w:tblStyle w:val="19"/>
        <w:tblW w:w="13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814"/>
        <w:gridCol w:w="1704"/>
        <w:gridCol w:w="2551"/>
        <w:gridCol w:w="4251"/>
        <w:gridCol w:w="3545"/>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50" w:hRule="atLeast"/>
          <w:tblHeader/>
          <w:jc w:val="center"/>
        </w:trPr>
        <w:tc>
          <w:tcPr>
            <w:tcW w:w="814" w:type="dxa"/>
            <w:vAlign w:val="center"/>
          </w:tcPr>
          <w:p>
            <w:pPr>
              <w:widowControl/>
              <w:adjustRightInd w:val="0"/>
              <w:snapToGrid w:val="0"/>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序号</w:t>
            </w:r>
          </w:p>
        </w:tc>
        <w:tc>
          <w:tcPr>
            <w:tcW w:w="1704" w:type="dxa"/>
            <w:vAlign w:val="center"/>
          </w:tcPr>
          <w:p>
            <w:pPr>
              <w:widowControl/>
              <w:adjustRightInd w:val="0"/>
              <w:snapToGrid w:val="0"/>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检查事项</w:t>
            </w:r>
          </w:p>
        </w:tc>
        <w:tc>
          <w:tcPr>
            <w:tcW w:w="2551" w:type="dxa"/>
            <w:vAlign w:val="center"/>
          </w:tcPr>
          <w:p>
            <w:pPr>
              <w:widowControl/>
              <w:adjustRightInd w:val="0"/>
              <w:snapToGrid w:val="0"/>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检查内容</w:t>
            </w:r>
          </w:p>
        </w:tc>
        <w:tc>
          <w:tcPr>
            <w:tcW w:w="4251" w:type="dxa"/>
            <w:vAlign w:val="center"/>
          </w:tcPr>
          <w:p>
            <w:pPr>
              <w:widowControl/>
              <w:adjustRightInd w:val="0"/>
              <w:snapToGrid w:val="0"/>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检查依据指引</w:t>
            </w:r>
          </w:p>
        </w:tc>
        <w:tc>
          <w:tcPr>
            <w:tcW w:w="3545" w:type="dxa"/>
            <w:vAlign w:val="center"/>
          </w:tcPr>
          <w:p>
            <w:pPr>
              <w:widowControl/>
              <w:adjustRightInd w:val="0"/>
              <w:snapToGrid w:val="0"/>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法律责任指引</w:t>
            </w:r>
          </w:p>
        </w:tc>
        <w:tc>
          <w:tcPr>
            <w:tcW w:w="1014" w:type="dxa"/>
            <w:vAlign w:val="center"/>
          </w:tcPr>
          <w:p>
            <w:pPr>
              <w:widowControl/>
              <w:adjustRightInd w:val="0"/>
              <w:snapToGrid w:val="0"/>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670" w:hRule="atLeast"/>
          <w:jc w:val="center"/>
        </w:trPr>
        <w:tc>
          <w:tcPr>
            <w:tcW w:w="814" w:type="dxa"/>
            <w:vMerge w:val="restart"/>
            <w:vAlign w:val="center"/>
          </w:tcPr>
          <w:p>
            <w:pPr>
              <w:widowControl/>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704" w:type="dxa"/>
            <w:vMerge w:val="restart"/>
            <w:vAlign w:val="center"/>
          </w:tcPr>
          <w:p>
            <w:pPr>
              <w:widowControl/>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危险化学品安全生产许可证情况</w:t>
            </w:r>
          </w:p>
        </w:tc>
        <w:tc>
          <w:tcPr>
            <w:tcW w:w="2551" w:type="dxa"/>
            <w:vAlign w:val="center"/>
          </w:tcPr>
          <w:p>
            <w:pPr>
              <w:widowControl/>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 安全生产许可证取得</w:t>
            </w:r>
          </w:p>
        </w:tc>
        <w:tc>
          <w:tcPr>
            <w:tcW w:w="4251" w:type="dxa"/>
            <w:vAlign w:val="center"/>
          </w:tcPr>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《安全生产许可证条例》第二条  国家对矿山企业、建筑施工企业和危险化学品、烟花爆竹、民用爆炸物品生产企业（以下统称企业）实行安全生产许可制度。企业未取得安全生产许可证的，不得从事生产活动。</w:t>
            </w:r>
          </w:p>
        </w:tc>
        <w:tc>
          <w:tcPr>
            <w:tcW w:w="3545" w:type="dxa"/>
            <w:vAlign w:val="center"/>
          </w:tcPr>
          <w:p>
            <w:pPr>
              <w:widowControl/>
              <w:adjustRightInd w:val="0"/>
              <w:snapToGrid w:val="0"/>
              <w:ind w:firstLine="315" w:firstLineChars="15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《安全生产许可证条例》第十九条  违反本条例规定，未取得安全生产许可证擅自进行生产的，责令停止生产，没收违法所得，并处10万元以上50万元以下的罚款；造成重大事故或者其他严重后果，构成犯罪的，依法追究刑事责任。</w:t>
            </w:r>
          </w:p>
        </w:tc>
        <w:tc>
          <w:tcPr>
            <w:tcW w:w="1014" w:type="dxa"/>
            <w:vMerge w:val="restart"/>
            <w:vAlign w:val="center"/>
          </w:tcPr>
          <w:p>
            <w:pPr>
              <w:widowControl/>
              <w:adjustRightInd w:val="0"/>
              <w:snapToGrid w:val="0"/>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668" w:hRule="atLeast"/>
          <w:jc w:val="center"/>
        </w:trPr>
        <w:tc>
          <w:tcPr>
            <w:tcW w:w="814" w:type="dxa"/>
            <w:vMerge w:val="continue"/>
            <w:vAlign w:val="center"/>
          </w:tcPr>
          <w:p>
            <w:pPr>
              <w:adjustRightInd w:val="0"/>
              <w:snapToGrid w:val="0"/>
              <w:jc w:val="center"/>
              <w:rPr>
                <w:rFonts w:cs="宋体" w:asciiTheme="minorEastAsia" w:hAnsiTheme="minorEastAsia" w:eastAsiaTheme="minorEastAsia"/>
                <w:kern w:val="0"/>
                <w:szCs w:val="21"/>
              </w:rPr>
            </w:pPr>
          </w:p>
        </w:tc>
        <w:tc>
          <w:tcPr>
            <w:tcW w:w="1704" w:type="dxa"/>
            <w:vMerge w:val="continue"/>
            <w:vAlign w:val="center"/>
          </w:tcPr>
          <w:p>
            <w:pPr>
              <w:adjustRightInd w:val="0"/>
              <w:snapToGrid w:val="0"/>
              <w:rPr>
                <w:rFonts w:cs="宋体" w:asciiTheme="minorEastAsia" w:hAnsiTheme="minorEastAsia" w:eastAsiaTheme="minorEastAsia"/>
                <w:kern w:val="0"/>
                <w:szCs w:val="21"/>
              </w:rPr>
            </w:pPr>
          </w:p>
        </w:tc>
        <w:tc>
          <w:tcPr>
            <w:tcW w:w="2551" w:type="dxa"/>
            <w:vAlign w:val="center"/>
          </w:tcPr>
          <w:p>
            <w:pPr>
              <w:widowControl/>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 安全生产许可证延期</w:t>
            </w:r>
          </w:p>
        </w:tc>
        <w:tc>
          <w:tcPr>
            <w:tcW w:w="4251" w:type="dxa"/>
            <w:vAlign w:val="center"/>
          </w:tcPr>
          <w:p>
            <w:pPr>
              <w:widowControl/>
              <w:adjustRightInd w:val="0"/>
              <w:snapToGrid w:val="0"/>
              <w:ind w:firstLine="210" w:firstLineChars="1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《安全生产许可证条例》第九条  安全生产许可证的有效期为3年。安全生产许可证有效期满需要延期的，企业应当于期满前3个月向原安全生产许可证颁发管理机关办理延期手续。</w:t>
            </w:r>
          </w:p>
        </w:tc>
        <w:tc>
          <w:tcPr>
            <w:tcW w:w="3545" w:type="dxa"/>
            <w:vAlign w:val="center"/>
          </w:tcPr>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《安全生产许可证条例》第二十条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tc>
        <w:tc>
          <w:tcPr>
            <w:tcW w:w="1014" w:type="dxa"/>
            <w:vMerge w:val="continue"/>
            <w:vAlign w:val="center"/>
          </w:tcPr>
          <w:p>
            <w:pPr>
              <w:widowControl/>
              <w:adjustRightInd w:val="0"/>
              <w:snapToGrid w:val="0"/>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311" w:hRule="atLeast"/>
          <w:jc w:val="center"/>
        </w:trPr>
        <w:tc>
          <w:tcPr>
            <w:tcW w:w="814" w:type="dxa"/>
            <w:vMerge w:val="continue"/>
            <w:vAlign w:val="center"/>
          </w:tcPr>
          <w:p>
            <w:pPr>
              <w:adjustRightInd w:val="0"/>
              <w:snapToGrid w:val="0"/>
              <w:jc w:val="center"/>
              <w:rPr>
                <w:rFonts w:cs="宋体" w:asciiTheme="minorEastAsia" w:hAnsiTheme="minorEastAsia" w:eastAsiaTheme="minorEastAsia"/>
                <w:kern w:val="0"/>
                <w:szCs w:val="21"/>
              </w:rPr>
            </w:pPr>
          </w:p>
        </w:tc>
        <w:tc>
          <w:tcPr>
            <w:tcW w:w="1704" w:type="dxa"/>
            <w:vMerge w:val="continue"/>
            <w:vAlign w:val="center"/>
          </w:tcPr>
          <w:p>
            <w:pPr>
              <w:adjustRightInd w:val="0"/>
              <w:snapToGrid w:val="0"/>
              <w:rPr>
                <w:rFonts w:cs="宋体" w:asciiTheme="minorEastAsia" w:hAnsiTheme="minorEastAsia" w:eastAsiaTheme="minorEastAsia"/>
                <w:kern w:val="0"/>
                <w:szCs w:val="21"/>
              </w:rPr>
            </w:pPr>
          </w:p>
        </w:tc>
        <w:tc>
          <w:tcPr>
            <w:tcW w:w="2551" w:type="dxa"/>
            <w:vMerge w:val="restart"/>
            <w:vAlign w:val="center"/>
          </w:tcPr>
          <w:p>
            <w:pPr>
              <w:widowControl/>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 安全生产许可证变更</w:t>
            </w:r>
          </w:p>
        </w:tc>
        <w:tc>
          <w:tcPr>
            <w:tcW w:w="4251" w:type="dxa"/>
            <w:vAlign w:val="center"/>
          </w:tcPr>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《危险化学品生产企业安全生产许可证实施办法》第三十条  企业在安全生产许可证有效期内变更主要负责人、企业名称或者注册地址的，应当自工商营业执照或者隶属关系变更之日起10个工作日内向实施机关提出变更申请，并提交下列文件、资料：</w:t>
            </w:r>
          </w:p>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（一）变更后的工商营业执照副本复制件；</w:t>
            </w:r>
          </w:p>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（二）变更主要负责人的，还应当提供主要负责人经安全生产监督管理部门考核合格后颁发的安全资格证复制件；</w:t>
            </w:r>
          </w:p>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（三）变更注册地址的，还应当提供相关证明材料。</w:t>
            </w:r>
          </w:p>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对已经受理的变更申请，实施机关应当在对企业提交的文件、资料审查无误后，方可办理安全生产许可证变更手续。</w:t>
            </w:r>
          </w:p>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企业在安全生产许可证有效期内变更隶属关系的，仅需提交隶属关系变更证明材料报实施机关备案。</w:t>
            </w:r>
          </w:p>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第三十一条  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实施机关按照本办法第三十条的规定办理变更手续。</w:t>
            </w:r>
          </w:p>
        </w:tc>
        <w:tc>
          <w:tcPr>
            <w:tcW w:w="3545" w:type="dxa"/>
            <w:vAlign w:val="center"/>
          </w:tcPr>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《危险化学品生产企业安全生产许可证实施办法》第四十七条  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p>
        </w:tc>
        <w:tc>
          <w:tcPr>
            <w:tcW w:w="1014" w:type="dxa"/>
            <w:vMerge w:val="continue"/>
            <w:vAlign w:val="center"/>
          </w:tcPr>
          <w:p>
            <w:pPr>
              <w:widowControl/>
              <w:adjustRightInd w:val="0"/>
              <w:snapToGrid w:val="0"/>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072" w:hRule="atLeast"/>
          <w:jc w:val="center"/>
        </w:trPr>
        <w:tc>
          <w:tcPr>
            <w:tcW w:w="814" w:type="dxa"/>
            <w:vMerge w:val="continue"/>
          </w:tcPr>
          <w:p>
            <w:pPr>
              <w:adjustRightInd w:val="0"/>
              <w:snapToGrid w:val="0"/>
              <w:jc w:val="center"/>
              <w:rPr>
                <w:rFonts w:cs="宋体" w:asciiTheme="minorEastAsia" w:hAnsiTheme="minorEastAsia" w:eastAsiaTheme="minorEastAsia"/>
                <w:kern w:val="0"/>
                <w:szCs w:val="21"/>
              </w:rPr>
            </w:pPr>
          </w:p>
        </w:tc>
        <w:tc>
          <w:tcPr>
            <w:tcW w:w="1704" w:type="dxa"/>
            <w:vMerge w:val="continue"/>
          </w:tcPr>
          <w:p>
            <w:pPr>
              <w:adjustRightInd w:val="0"/>
              <w:snapToGrid w:val="0"/>
              <w:rPr>
                <w:rFonts w:cs="宋体" w:asciiTheme="minorEastAsia" w:hAnsiTheme="minorEastAsia" w:eastAsiaTheme="minorEastAsia"/>
                <w:kern w:val="0"/>
                <w:szCs w:val="21"/>
              </w:rPr>
            </w:pPr>
          </w:p>
        </w:tc>
        <w:tc>
          <w:tcPr>
            <w:tcW w:w="2551" w:type="dxa"/>
            <w:vMerge w:val="continue"/>
            <w:vAlign w:val="center"/>
          </w:tcPr>
          <w:p>
            <w:pPr>
              <w:widowControl/>
              <w:adjustRightInd w:val="0"/>
              <w:snapToGrid w:val="0"/>
              <w:rPr>
                <w:rFonts w:cs="宋体" w:asciiTheme="minorEastAsia" w:hAnsiTheme="minorEastAsia" w:eastAsiaTheme="minorEastAsia"/>
                <w:kern w:val="0"/>
                <w:szCs w:val="21"/>
              </w:rPr>
            </w:pPr>
          </w:p>
        </w:tc>
        <w:tc>
          <w:tcPr>
            <w:tcW w:w="4251" w:type="dxa"/>
            <w:vAlign w:val="center"/>
          </w:tcPr>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《危险化学品生产企业安全生产许可证实施办法》第三十二条  企业在安全生产许可证有效期内，有危险化学品新建、改建、扩建建设项目(以下简称建设项目)的，应当在建设项目安全设施竣工验收合格之日起10个工作日内向原实施机关提出变更申请，并提交建设项目安全设施竣工验收报告等相关文件、资料。实施机关按照本办法第二十七条、第二十八条和第二十九条的规定办理变更手续。</w:t>
            </w:r>
          </w:p>
        </w:tc>
        <w:tc>
          <w:tcPr>
            <w:tcW w:w="3545" w:type="dxa"/>
            <w:vAlign w:val="center"/>
          </w:tcPr>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《危险化学品生产企业安全生产许可证实施办法》</w:t>
            </w:r>
            <w:r>
              <w:rPr>
                <w:rFonts w:hint="eastAsia" w:asciiTheme="minorEastAsia" w:hAnsiTheme="minorEastAsia" w:eastAsiaTheme="minorEastAsia"/>
              </w:rPr>
              <w:t>第四十八条  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w:t>
            </w:r>
          </w:p>
        </w:tc>
        <w:tc>
          <w:tcPr>
            <w:tcW w:w="1014" w:type="dxa"/>
            <w:vMerge w:val="continue"/>
            <w:vAlign w:val="center"/>
          </w:tcPr>
          <w:p>
            <w:pPr>
              <w:widowControl/>
              <w:adjustRightInd w:val="0"/>
              <w:snapToGrid w:val="0"/>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668" w:hRule="atLeast"/>
          <w:jc w:val="center"/>
        </w:trPr>
        <w:tc>
          <w:tcPr>
            <w:tcW w:w="814" w:type="dxa"/>
            <w:vMerge w:val="continue"/>
            <w:vAlign w:val="center"/>
          </w:tcPr>
          <w:p>
            <w:pPr>
              <w:widowControl/>
              <w:adjustRightInd w:val="0"/>
              <w:snapToGrid w:val="0"/>
              <w:jc w:val="center"/>
              <w:rPr>
                <w:rFonts w:cs="宋体" w:asciiTheme="minorEastAsia" w:hAnsiTheme="minorEastAsia" w:eastAsiaTheme="minorEastAsia"/>
                <w:kern w:val="0"/>
                <w:szCs w:val="21"/>
              </w:rPr>
            </w:pPr>
          </w:p>
        </w:tc>
        <w:tc>
          <w:tcPr>
            <w:tcW w:w="1704" w:type="dxa"/>
            <w:vMerge w:val="continue"/>
            <w:vAlign w:val="center"/>
          </w:tcPr>
          <w:p>
            <w:pPr>
              <w:widowControl/>
              <w:adjustRightInd w:val="0"/>
              <w:snapToGrid w:val="0"/>
              <w:rPr>
                <w:rFonts w:cs="宋体" w:asciiTheme="minorEastAsia" w:hAnsiTheme="minorEastAsia" w:eastAsiaTheme="minorEastAsia"/>
                <w:kern w:val="0"/>
                <w:szCs w:val="21"/>
              </w:rPr>
            </w:pPr>
          </w:p>
        </w:tc>
        <w:tc>
          <w:tcPr>
            <w:tcW w:w="2551" w:type="dxa"/>
            <w:vAlign w:val="center"/>
          </w:tcPr>
          <w:p>
            <w:pPr>
              <w:widowControl/>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 转让、冒用安全生产许可证或者使用伪造的安全生产许可证</w:t>
            </w:r>
          </w:p>
        </w:tc>
        <w:tc>
          <w:tcPr>
            <w:tcW w:w="4251" w:type="dxa"/>
            <w:vAlign w:val="center"/>
          </w:tcPr>
          <w:p>
            <w:pPr>
              <w:widowControl/>
              <w:adjustRightInd w:val="0"/>
              <w:snapToGrid w:val="0"/>
              <w:ind w:firstLine="315" w:firstLineChars="15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《安全生产许可证条例》第十三条  企业不得转让、冒用安全生产许可证或者使用伪造的安全生产许可证。</w:t>
            </w:r>
          </w:p>
        </w:tc>
        <w:tc>
          <w:tcPr>
            <w:tcW w:w="3545" w:type="dxa"/>
            <w:vAlign w:val="center"/>
          </w:tcPr>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《安全生产许可证条例》第二十一条  违反本条例规定，转让安全生产许可证的，没收违法所得，处10万元以上50万元以下的罚款，并吊销其安全生产许可证；构成犯罪的，依法追究刑事责任；接受转让的，依照本条例第十九条的规定处罚。</w:t>
            </w:r>
          </w:p>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冒用安全生产许可证或者使用伪造的安全生产许可证的，依照本条例第十九条的规定处罚。</w:t>
            </w:r>
          </w:p>
        </w:tc>
        <w:tc>
          <w:tcPr>
            <w:tcW w:w="1014" w:type="dxa"/>
            <w:vMerge w:val="continue"/>
            <w:vAlign w:val="center"/>
          </w:tcPr>
          <w:p>
            <w:pPr>
              <w:widowControl/>
              <w:adjustRightInd w:val="0"/>
              <w:snapToGrid w:val="0"/>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32" w:hRule="atLeast"/>
          <w:jc w:val="center"/>
        </w:trPr>
        <w:tc>
          <w:tcPr>
            <w:tcW w:w="814"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704"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危险化学品经营许可证情况</w:t>
            </w:r>
          </w:p>
        </w:tc>
        <w:tc>
          <w:tcPr>
            <w:tcW w:w="2551" w:type="dxa"/>
            <w:vAlign w:val="center"/>
          </w:tcPr>
          <w:p>
            <w:pPr>
              <w:rPr>
                <w:rFonts w:asciiTheme="minorEastAsia" w:hAnsiTheme="minorEastAsia" w:eastAsiaTheme="minorEastAsia"/>
                <w:szCs w:val="21"/>
              </w:rPr>
            </w:pPr>
            <w:r>
              <w:rPr>
                <w:rFonts w:hint="eastAsia" w:cs="宋体" w:asciiTheme="minorEastAsia" w:hAnsiTheme="minorEastAsia" w:eastAsiaTheme="minorEastAsia"/>
                <w:kern w:val="0"/>
                <w:szCs w:val="21"/>
              </w:rPr>
              <w:t>2.1 经营许可证取得</w:t>
            </w:r>
          </w:p>
        </w:tc>
        <w:tc>
          <w:tcPr>
            <w:tcW w:w="4251"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《危险化学品安全管理条例》第三十三条  国家对危险化学品经营（包括仓储经营，下同）实行许可制度。未经许可，任何单位和个人不得经营危险化学品。</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依法设立的危险化学品生产企业在其厂区范围内销售本企业生产的危险化学品，不需要取得危险化学品经营许可。</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依照《中华人民共和国港口法》的规定取得港口经营许可证的港口经营人，在港区内从事危险化学品仓储经营，不需要取得危险化学品经营许可。</w:t>
            </w:r>
          </w:p>
        </w:tc>
        <w:tc>
          <w:tcPr>
            <w:tcW w:w="3545"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《危险化学品安全管理条例》第七十七条  ……</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tc>
        <w:tc>
          <w:tcPr>
            <w:tcW w:w="1014" w:type="dxa"/>
            <w:vAlign w:val="center"/>
          </w:tcPr>
          <w:p>
            <w:pPr>
              <w:adjustRightInd w:val="0"/>
              <w:snapToGrid w:val="0"/>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594" w:hRule="atLeast"/>
          <w:jc w:val="center"/>
        </w:trPr>
        <w:tc>
          <w:tcPr>
            <w:tcW w:w="814" w:type="dxa"/>
            <w:vMerge w:val="continue"/>
            <w:vAlign w:val="center"/>
          </w:tcPr>
          <w:p>
            <w:pPr>
              <w:jc w:val="center"/>
              <w:rPr>
                <w:rFonts w:asciiTheme="minorEastAsia" w:hAnsiTheme="minorEastAsia" w:eastAsiaTheme="minorEastAsia"/>
                <w:szCs w:val="21"/>
              </w:rPr>
            </w:pPr>
          </w:p>
        </w:tc>
        <w:tc>
          <w:tcPr>
            <w:tcW w:w="1704" w:type="dxa"/>
            <w:vMerge w:val="continue"/>
            <w:vAlign w:val="center"/>
          </w:tcPr>
          <w:p>
            <w:pPr>
              <w:rPr>
                <w:rFonts w:asciiTheme="minorEastAsia" w:hAnsiTheme="minorEastAsia" w:eastAsiaTheme="minorEastAsia"/>
                <w:szCs w:val="21"/>
              </w:rPr>
            </w:pPr>
          </w:p>
        </w:tc>
        <w:tc>
          <w:tcPr>
            <w:tcW w:w="2551" w:type="dxa"/>
            <w:vAlign w:val="center"/>
          </w:tcPr>
          <w:p>
            <w:pP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 经营许可证延期</w:t>
            </w:r>
          </w:p>
        </w:tc>
        <w:tc>
          <w:tcPr>
            <w:tcW w:w="4251"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《危险化学品经营许可证管理办法》第十八条  经营许可证的有效期为3年。有效期满后，企业需要继续从事危险化学品经营活动的，应当在经营许可证有效期满3个月前，向本办法第五条规定的发证机关提出经营许可证的延期申请，并提交延期申请书及本办法第九条规定的申请文件、资料。</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企业提出经营许可证延期申请时，可以同时提出变更申请，并向发证机关提交相关文件、资料。</w:t>
            </w:r>
          </w:p>
        </w:tc>
        <w:tc>
          <w:tcPr>
            <w:tcW w:w="3545"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《危险化学品安全管理条例》第七十七条  ……</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tc>
        <w:tc>
          <w:tcPr>
            <w:tcW w:w="1014" w:type="dxa"/>
            <w:vAlign w:val="center"/>
          </w:tcPr>
          <w:p>
            <w:pPr>
              <w:adjustRightInd w:val="0"/>
              <w:snapToGrid w:val="0"/>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453" w:hRule="atLeast"/>
          <w:jc w:val="center"/>
        </w:trPr>
        <w:tc>
          <w:tcPr>
            <w:tcW w:w="814" w:type="dxa"/>
            <w:vMerge w:val="continue"/>
            <w:vAlign w:val="center"/>
          </w:tcPr>
          <w:p>
            <w:pPr>
              <w:jc w:val="center"/>
              <w:rPr>
                <w:rFonts w:asciiTheme="minorEastAsia" w:hAnsiTheme="minorEastAsia" w:eastAsiaTheme="minorEastAsia"/>
                <w:szCs w:val="21"/>
              </w:rPr>
            </w:pPr>
          </w:p>
        </w:tc>
        <w:tc>
          <w:tcPr>
            <w:tcW w:w="1704" w:type="dxa"/>
            <w:vMerge w:val="continue"/>
            <w:vAlign w:val="center"/>
          </w:tcPr>
          <w:p>
            <w:pPr>
              <w:rPr>
                <w:rFonts w:asciiTheme="minorEastAsia" w:hAnsiTheme="minorEastAsia" w:eastAsiaTheme="minorEastAsia"/>
                <w:szCs w:val="21"/>
              </w:rPr>
            </w:pPr>
          </w:p>
        </w:tc>
        <w:tc>
          <w:tcPr>
            <w:tcW w:w="2551"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2.3 经营许可证变更</w:t>
            </w:r>
          </w:p>
        </w:tc>
        <w:tc>
          <w:tcPr>
            <w:tcW w:w="4251"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《危险化学品经营许可证管理办法》第十四条  已经取得经营许可证的企业变更企业名称、主要负责人、注册地址或者危险化学品储存设施及其监控措施的，应当自变更之日起20个工作日内，向本办法第五条规定的发证机关提出书面变更申请，并提交下列文件、资料：</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（一）经营许可证变更申请书；</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（二）变更后的工商营业执照副本（复制件）；</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（三）变更后的主要负责人安全资格证书（复制件）；</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（四）变更注册地址的相关证明材料；</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（五）变更后的危险化学品储存设施及其监控措施的专项安全评价报告。</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《危险化学品经营许可证管理办法》第十六条  已经取得经营许可证的企业有新建、改建、扩建危险化学品储存设施建设项目的，应当自建设项目安全设施竣工验收合格之日起20个工作日内，向本办法第五条规定的发证机关提出变更申请，并提交危险化学品建设项目安全设施竣工验收报告（复制件）等相关文件、资料。发证机关应当按照本办法第十条、第十五条的规定进行审查，办理变更手续。</w:t>
            </w:r>
          </w:p>
        </w:tc>
        <w:tc>
          <w:tcPr>
            <w:tcW w:w="3545" w:type="dxa"/>
            <w:vAlign w:val="center"/>
          </w:tcPr>
          <w:p>
            <w:pPr>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《危险化学品经营许可证管理办法》第三十三条  已经取得经营许可证的企业出现本办法第十四条、第十六条规定的情形之一，未依照本办法的规定申请变更的，责令限期改正，处1万元以下的罚款；逾期仍不申请变更的，处1万元以上3万元以下的罚款。</w:t>
            </w:r>
          </w:p>
        </w:tc>
        <w:tc>
          <w:tcPr>
            <w:tcW w:w="1014" w:type="dxa"/>
            <w:vAlign w:val="center"/>
          </w:tcPr>
          <w:p>
            <w:pPr>
              <w:adjustRightInd w:val="0"/>
              <w:snapToGrid w:val="0"/>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586" w:hRule="atLeast"/>
          <w:jc w:val="center"/>
        </w:trPr>
        <w:tc>
          <w:tcPr>
            <w:tcW w:w="814" w:type="dxa"/>
            <w:vMerge w:val="continue"/>
            <w:vAlign w:val="center"/>
          </w:tcPr>
          <w:p>
            <w:pPr>
              <w:jc w:val="center"/>
              <w:rPr>
                <w:rFonts w:asciiTheme="minorEastAsia" w:hAnsiTheme="minorEastAsia" w:eastAsiaTheme="minorEastAsia"/>
                <w:szCs w:val="21"/>
              </w:rPr>
            </w:pPr>
          </w:p>
        </w:tc>
        <w:tc>
          <w:tcPr>
            <w:tcW w:w="1704" w:type="dxa"/>
            <w:vMerge w:val="continue"/>
            <w:vAlign w:val="center"/>
          </w:tcPr>
          <w:p>
            <w:pPr>
              <w:rPr>
                <w:rFonts w:asciiTheme="minorEastAsia" w:hAnsiTheme="minorEastAsia" w:eastAsiaTheme="minorEastAsia"/>
                <w:szCs w:val="21"/>
              </w:rPr>
            </w:pPr>
          </w:p>
        </w:tc>
        <w:tc>
          <w:tcPr>
            <w:tcW w:w="2551"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2.4 伪造、变造或者出租、出借、转让经营许可证，或者使用伪造、变造的经营许可证</w:t>
            </w:r>
          </w:p>
        </w:tc>
        <w:tc>
          <w:tcPr>
            <w:tcW w:w="4251"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《危险化学品经营许可证管理办法》第二十一条  任何单位和个人不得伪造、变造经营许可证，或者出租、出借、转让其取得的经营许可证，或者使用伪造、变造的经营许可证。</w:t>
            </w:r>
          </w:p>
        </w:tc>
        <w:tc>
          <w:tcPr>
            <w:tcW w:w="3545" w:type="dxa"/>
            <w:vAlign w:val="center"/>
          </w:tcPr>
          <w:p>
            <w:pPr>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《危险化学品经营许可证管理办法》第三十一条  伪造、变造或者出租、出借、转让经营许可证，或者使用伪造、变造的经营许可证的，处10万元以上20万元以下的罚款，有违法所得的，没收违法所得；构成违反治安管理行为的，依法给予治安管理处罚；构成犯罪的，依法追究刑事责任。</w:t>
            </w:r>
          </w:p>
        </w:tc>
        <w:tc>
          <w:tcPr>
            <w:tcW w:w="1014" w:type="dxa"/>
            <w:vAlign w:val="center"/>
          </w:tcPr>
          <w:p>
            <w:pPr>
              <w:widowControl/>
              <w:adjustRightInd w:val="0"/>
              <w:snapToGrid w:val="0"/>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99" w:hRule="atLeast"/>
          <w:jc w:val="center"/>
        </w:trPr>
        <w:tc>
          <w:tcPr>
            <w:tcW w:w="814"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704"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人员</w:t>
            </w:r>
            <w:r>
              <w:rPr>
                <w:rFonts w:asciiTheme="minorEastAsia" w:hAnsiTheme="minorEastAsia" w:eastAsiaTheme="minorEastAsia"/>
                <w:szCs w:val="21"/>
              </w:rPr>
              <w:t>管理</w:t>
            </w:r>
            <w:r>
              <w:rPr>
                <w:rFonts w:hint="eastAsia" w:asciiTheme="minorEastAsia" w:hAnsiTheme="minorEastAsia" w:eastAsiaTheme="minorEastAsia"/>
                <w:szCs w:val="21"/>
              </w:rPr>
              <w:t>情况</w:t>
            </w:r>
          </w:p>
        </w:tc>
        <w:tc>
          <w:tcPr>
            <w:tcW w:w="11361" w:type="dxa"/>
            <w:gridSpan w:val="4"/>
            <w:vAlign w:val="center"/>
          </w:tcPr>
          <w:p>
            <w:pPr>
              <w:widowControl/>
              <w:adjustRightInd w:val="0"/>
              <w:snapToGrid w:val="0"/>
              <w:rPr>
                <w:rFonts w:cs="宋体" w:asciiTheme="minorEastAsia" w:hAnsiTheme="minorEastAsia" w:eastAsiaTheme="minorEastAsia"/>
                <w:kern w:val="0"/>
                <w:szCs w:val="21"/>
              </w:rPr>
            </w:pPr>
            <w:r>
              <w:rPr>
                <w:rFonts w:hint="eastAsia" w:ascii="思源黑体 CN" w:hAnsi="思源黑体 CN" w:eastAsia="思源黑体 CN" w:cs="思源黑体 CN"/>
                <w:szCs w:val="21"/>
              </w:rPr>
              <w:t>★</w:t>
            </w:r>
            <w:r>
              <w:rPr>
                <w:rFonts w:hint="eastAsia" w:cs="宋体" w:asciiTheme="minorEastAsia" w:hAnsiTheme="minorEastAsia" w:eastAsiaTheme="minorEastAsia"/>
                <w:kern w:val="0"/>
                <w:szCs w:val="21"/>
              </w:rPr>
              <w:t>3.1按照《安全生产监督检查综合事项》第3项、第4项、第5项执行。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99" w:hRule="atLeast"/>
          <w:jc w:val="center"/>
        </w:trPr>
        <w:tc>
          <w:tcPr>
            <w:tcW w:w="814" w:type="dxa"/>
            <w:vMerge w:val="continue"/>
            <w:vAlign w:val="center"/>
          </w:tcPr>
          <w:p>
            <w:pPr>
              <w:jc w:val="center"/>
              <w:rPr>
                <w:rFonts w:asciiTheme="minorEastAsia" w:hAnsiTheme="minorEastAsia" w:eastAsiaTheme="minorEastAsia"/>
                <w:szCs w:val="21"/>
              </w:rPr>
            </w:pPr>
          </w:p>
        </w:tc>
        <w:tc>
          <w:tcPr>
            <w:tcW w:w="1704" w:type="dxa"/>
            <w:vMerge w:val="continue"/>
            <w:vAlign w:val="center"/>
          </w:tcPr>
          <w:p>
            <w:pPr>
              <w:rPr>
                <w:rFonts w:asciiTheme="minorEastAsia" w:hAnsiTheme="minorEastAsia" w:eastAsiaTheme="minorEastAsia"/>
                <w:szCs w:val="21"/>
              </w:rPr>
            </w:pPr>
          </w:p>
        </w:tc>
        <w:tc>
          <w:tcPr>
            <w:tcW w:w="2551" w:type="dxa"/>
            <w:vAlign w:val="center"/>
          </w:tcPr>
          <w:p>
            <w:pPr>
              <w:widowControl/>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3.2 选用承包商应符合资质；对承包商的安全生产工作统一协调、管理的</w:t>
            </w:r>
          </w:p>
        </w:tc>
        <w:tc>
          <w:tcPr>
            <w:tcW w:w="4251" w:type="dxa"/>
            <w:vAlign w:val="center"/>
          </w:tcPr>
          <w:p>
            <w:pPr>
              <w:adjustRightInd w:val="0"/>
              <w:snapToGrid w:val="0"/>
              <w:ind w:firstLine="420" w:firstLineChars="200"/>
              <w:rPr>
                <w:rFonts w:asciiTheme="minorEastAsia" w:hAnsiTheme="minorEastAsia" w:eastAsiaTheme="minorEastAsia"/>
                <w:szCs w:val="21"/>
              </w:rPr>
            </w:pPr>
            <w:r>
              <w:rPr>
                <w:rFonts w:hint="eastAsia" w:cs="宋体" w:asciiTheme="minorEastAsia" w:hAnsiTheme="minorEastAsia" w:eastAsiaTheme="minorEastAsia"/>
                <w:kern w:val="0"/>
                <w:szCs w:val="21"/>
              </w:rPr>
              <w:t xml:space="preserve">《安全生产法》第四十六条  </w:t>
            </w:r>
            <w:r>
              <w:rPr>
                <w:rFonts w:hint="eastAsia" w:asciiTheme="minorEastAsia" w:hAnsiTheme="minorEastAsia" w:eastAsiaTheme="minorEastAsia"/>
                <w:szCs w:val="21"/>
              </w:rPr>
              <w:t>生产经营单位不得将生产经营项目、场所、设备发包或者出租给不具备安全生产条件或者相应资质的单位或者个人。</w:t>
            </w:r>
          </w:p>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tc>
        <w:tc>
          <w:tcPr>
            <w:tcW w:w="3545" w:type="dxa"/>
            <w:vAlign w:val="center"/>
          </w:tcPr>
          <w:p>
            <w:pPr>
              <w:ind w:firstLine="420" w:firstLineChars="200"/>
              <w:rPr>
                <w:rFonts w:asciiTheme="minorEastAsia" w:hAnsiTheme="minorEastAsia" w:eastAsiaTheme="minorEastAsia"/>
                <w:szCs w:val="21"/>
                <w:highlight w:val="none"/>
              </w:rPr>
            </w:pPr>
            <w:r>
              <w:rPr>
                <w:rFonts w:hint="eastAsia" w:cs="宋体" w:asciiTheme="minorEastAsia" w:hAnsiTheme="minorEastAsia" w:eastAsiaTheme="minorEastAsia"/>
                <w:kern w:val="0"/>
                <w:szCs w:val="21"/>
              </w:rPr>
              <w:t xml:space="preserve">《安全生产法》第一百条 </w:t>
            </w:r>
            <w:r>
              <w:rPr>
                <w:rFonts w:hint="eastAsia" w:cs="宋体" w:asciiTheme="minorEastAsia" w:hAnsiTheme="minorEastAsia" w:eastAsiaTheme="minorEastAsia"/>
                <w:kern w:val="0"/>
                <w:szCs w:val="21"/>
                <w:highlight w:val="none"/>
              </w:rPr>
              <w:t xml:space="preserve"> </w:t>
            </w:r>
            <w:r>
              <w:rPr>
                <w:rFonts w:hint="eastAsia" w:asciiTheme="minorEastAsia" w:hAnsiTheme="minorEastAsia" w:eastAsiaTheme="minorEastAsia"/>
                <w:szCs w:val="21"/>
                <w:highlight w:val="none"/>
              </w:rPr>
              <w:t>……</w:t>
            </w:r>
          </w:p>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tc>
        <w:tc>
          <w:tcPr>
            <w:tcW w:w="1014" w:type="dxa"/>
            <w:vAlign w:val="center"/>
          </w:tcPr>
          <w:p>
            <w:pPr>
              <w:widowControl/>
              <w:adjustRightInd w:val="0"/>
              <w:snapToGrid w:val="0"/>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602" w:hRule="atLeast"/>
          <w:jc w:val="center"/>
        </w:trPr>
        <w:tc>
          <w:tcPr>
            <w:tcW w:w="814" w:type="dxa"/>
            <w:vMerge w:val="restart"/>
            <w:vAlign w:val="center"/>
          </w:tcPr>
          <w:p>
            <w:pPr>
              <w:jc w:val="center"/>
              <w:rPr>
                <w:rFonts w:asciiTheme="minorEastAsia" w:hAnsiTheme="minorEastAsia" w:eastAsiaTheme="minorEastAsia"/>
                <w:szCs w:val="21"/>
              </w:rPr>
            </w:pPr>
            <w:r>
              <w:rPr>
                <w:rFonts w:asciiTheme="minorEastAsia" w:hAnsiTheme="minorEastAsia" w:eastAsiaTheme="minorEastAsia"/>
                <w:szCs w:val="21"/>
              </w:rPr>
              <w:t>4</w:t>
            </w:r>
          </w:p>
        </w:tc>
        <w:tc>
          <w:tcPr>
            <w:tcW w:w="1704" w:type="dxa"/>
            <w:vMerge w:val="restart"/>
            <w:vAlign w:val="center"/>
          </w:tcPr>
          <w:p>
            <w:pPr>
              <w:adjustRightInd w:val="0"/>
              <w:snapToGrid w:val="0"/>
              <w:jc w:val="left"/>
              <w:rPr>
                <w:rFonts w:asciiTheme="minorEastAsia" w:hAnsiTheme="minorEastAsia" w:eastAsiaTheme="minorEastAsia"/>
              </w:rPr>
            </w:pPr>
            <w:r>
              <w:rPr>
                <w:rFonts w:hint="eastAsia" w:asciiTheme="minorEastAsia" w:hAnsiTheme="minorEastAsia" w:eastAsiaTheme="minorEastAsia"/>
              </w:rPr>
              <w:t>工艺管理情况</w:t>
            </w:r>
          </w:p>
        </w:tc>
        <w:tc>
          <w:tcPr>
            <w:tcW w:w="2551" w:type="dxa"/>
            <w:vAlign w:val="center"/>
          </w:tcPr>
          <w:p>
            <w:pPr>
              <w:adjustRightInd w:val="0"/>
              <w:snapToGrid w:val="0"/>
              <w:jc w:val="left"/>
              <w:rPr>
                <w:rFonts w:asciiTheme="minorEastAsia" w:hAnsiTheme="minorEastAsia" w:eastAsiaTheme="minorEastAsia"/>
              </w:rPr>
            </w:pPr>
            <w:r>
              <w:rPr>
                <w:rFonts w:asciiTheme="minorEastAsia" w:hAnsiTheme="minorEastAsia" w:eastAsiaTheme="minorEastAsia"/>
              </w:rPr>
              <w:t xml:space="preserve">4.1 </w:t>
            </w:r>
            <w:r>
              <w:rPr>
                <w:rFonts w:hint="eastAsia" w:asciiTheme="minorEastAsia" w:hAnsiTheme="minorEastAsia" w:eastAsiaTheme="minorEastAsia"/>
              </w:rPr>
              <w:t>操作规程和工艺控制指标的制定</w:t>
            </w:r>
          </w:p>
        </w:tc>
        <w:tc>
          <w:tcPr>
            <w:tcW w:w="4251" w:type="dxa"/>
            <w:vAlign w:val="center"/>
          </w:tcPr>
          <w:p>
            <w:pPr>
              <w:ind w:firstLine="420" w:firstLineChars="200"/>
            </w:pPr>
            <w:r>
              <w:rPr>
                <w:rFonts w:hint="eastAsia"/>
              </w:rPr>
              <w:t xml:space="preserve">《安全生产法》第十八条  </w:t>
            </w:r>
            <w:r>
              <w:t>生产经营单位的主要负责人对本单位安全生产工作负有下列职责：</w:t>
            </w:r>
          </w:p>
          <w:p>
            <w:pPr>
              <w:pStyle w:val="2"/>
              <w:ind w:firstLine="420"/>
            </w:pPr>
            <w:r>
              <w:rPr>
                <w:rFonts w:hint="eastAsia"/>
              </w:rPr>
              <w:t>……</w:t>
            </w:r>
          </w:p>
          <w:p>
            <w:pPr>
              <w:ind w:firstLine="420" w:firstLineChars="200"/>
              <w:rPr>
                <w:rFonts w:hint="eastAsia" w:eastAsia="宋体"/>
                <w:lang w:eastAsia="zh-CN"/>
              </w:rPr>
            </w:pPr>
            <w:r>
              <w:t>（二）组织制定本单位安全生产规章制度和操作规程</w:t>
            </w:r>
            <w:r>
              <w:rPr>
                <w:rFonts w:hint="eastAsia"/>
                <w:lang w:eastAsia="zh-CN"/>
              </w:rPr>
              <w:t>；</w:t>
            </w:r>
          </w:p>
          <w:p>
            <w:pPr>
              <w:pStyle w:val="2"/>
              <w:ind w:firstLine="420"/>
            </w:pPr>
            <w:r>
              <w:rPr>
                <w:rFonts w:hint="eastAsia"/>
              </w:rPr>
              <w:t>……</w:t>
            </w:r>
          </w:p>
        </w:tc>
        <w:tc>
          <w:tcPr>
            <w:tcW w:w="3545" w:type="dxa"/>
            <w:vAlign w:val="center"/>
          </w:tcPr>
          <w:p>
            <w:pPr>
              <w:ind w:firstLine="420" w:firstLineChars="200"/>
            </w:pPr>
            <w:r>
              <w:rPr>
                <w:rFonts w:hint="eastAsia"/>
              </w:rPr>
              <w:t>《安全生产法》第九十一条  生产经营单位的主要负责人未履行本法规定的安全生产管理职责的，责令限期改正；逾期未改正的，处二万元以上五万元以下的罚款，责令生产经营单位停产停业整顿。</w:t>
            </w:r>
          </w:p>
          <w:p>
            <w:pPr>
              <w:pStyle w:val="2"/>
              <w:ind w:firstLine="420"/>
              <w:rPr>
                <w:rFonts w:eastAsiaTheme="minorEastAsia"/>
              </w:rPr>
            </w:pPr>
            <w:r>
              <w:rPr>
                <w:rFonts w:hint="eastAsia" w:asciiTheme="minorEastAsia" w:hAnsiTheme="minorEastAsia" w:eastAsiaTheme="minorEastAsia"/>
                <w:szCs w:val="21"/>
              </w:rPr>
              <w:t>……</w:t>
            </w:r>
          </w:p>
        </w:tc>
        <w:tc>
          <w:tcPr>
            <w:tcW w:w="1014" w:type="dxa"/>
            <w:vMerge w:val="restart"/>
            <w:vAlign w:val="center"/>
          </w:tcPr>
          <w:p>
            <w:pPr>
              <w:widowControl/>
              <w:adjustRightInd w:val="0"/>
              <w:snapToGrid w:val="0"/>
              <w:rPr>
                <w:rFonts w:cs="宋体" w:asciiTheme="minorEastAsia" w:hAnsiTheme="minorEastAsia" w:eastAsiaTheme="minorEastAsia"/>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602" w:hRule="atLeast"/>
          <w:jc w:val="center"/>
        </w:trPr>
        <w:tc>
          <w:tcPr>
            <w:tcW w:w="814" w:type="dxa"/>
            <w:vMerge w:val="continue"/>
            <w:vAlign w:val="center"/>
          </w:tcPr>
          <w:p>
            <w:pPr>
              <w:jc w:val="center"/>
              <w:rPr>
                <w:rFonts w:asciiTheme="minorEastAsia" w:hAnsiTheme="minorEastAsia" w:eastAsiaTheme="minorEastAsia"/>
                <w:szCs w:val="21"/>
              </w:rPr>
            </w:pPr>
          </w:p>
        </w:tc>
        <w:tc>
          <w:tcPr>
            <w:tcW w:w="1704" w:type="dxa"/>
            <w:vMerge w:val="continue"/>
            <w:vAlign w:val="center"/>
          </w:tcPr>
          <w:p>
            <w:pPr>
              <w:adjustRightInd w:val="0"/>
              <w:snapToGrid w:val="0"/>
              <w:jc w:val="left"/>
              <w:rPr>
                <w:rFonts w:asciiTheme="minorEastAsia" w:hAnsiTheme="minorEastAsia" w:eastAsiaTheme="minorEastAsia"/>
              </w:rPr>
            </w:pPr>
          </w:p>
        </w:tc>
        <w:tc>
          <w:tcPr>
            <w:tcW w:w="2551" w:type="dxa"/>
            <w:vAlign w:val="center"/>
          </w:tcPr>
          <w:p>
            <w:pPr>
              <w:tabs>
                <w:tab w:val="center" w:pos="4153"/>
                <w:tab w:val="right" w:pos="8306"/>
              </w:tabs>
              <w:adjustRightInd w:val="0"/>
              <w:snapToGrid w:val="0"/>
              <w:rPr>
                <w:rFonts w:asciiTheme="minorEastAsia" w:hAnsiTheme="minorEastAsia" w:eastAsiaTheme="minorEastAsia"/>
              </w:rPr>
            </w:pPr>
            <w:r>
              <w:rPr>
                <w:rFonts w:hint="eastAsia" w:ascii="思源黑体 CN" w:hAnsi="思源黑体 CN" w:eastAsia="思源黑体 CN" w:cs="思源黑体 CN"/>
                <w:szCs w:val="21"/>
              </w:rPr>
              <w:t>★</w:t>
            </w:r>
            <w:r>
              <w:rPr>
                <w:rFonts w:hint="eastAsia" w:asciiTheme="minorEastAsia" w:hAnsiTheme="minorEastAsia" w:eastAsiaTheme="minorEastAsia"/>
              </w:rPr>
              <w:t>4.</w:t>
            </w:r>
            <w:r>
              <w:rPr>
                <w:rFonts w:hint="eastAsia" w:asciiTheme="minorEastAsia" w:hAnsiTheme="minorEastAsia" w:eastAsiaTheme="minorEastAsia"/>
                <w:lang w:val="en-US" w:eastAsia="zh-CN"/>
              </w:rPr>
              <w:t>2</w:t>
            </w:r>
            <w:r>
              <w:rPr>
                <w:rFonts w:hint="eastAsia" w:asciiTheme="minorEastAsia" w:hAnsiTheme="minorEastAsia" w:eastAsiaTheme="minorEastAsia"/>
              </w:rPr>
              <w:t xml:space="preserve"> 安全设备的安装、使用、检测、维修、改造和报废应符合国家标准或行业标准；工艺、设备应符合国家规定</w:t>
            </w:r>
          </w:p>
        </w:tc>
        <w:tc>
          <w:tcPr>
            <w:tcW w:w="4251" w:type="dxa"/>
            <w:vAlign w:val="center"/>
          </w:tcPr>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rPr>
              <w:t xml:space="preserve">《安全生产法》第三十三条  </w:t>
            </w:r>
            <w:r>
              <w:rPr>
                <w:rFonts w:hint="eastAsia" w:asciiTheme="minorEastAsia" w:hAnsiTheme="minorEastAsia" w:eastAsiaTheme="minorEastAsia"/>
                <w:szCs w:val="21"/>
              </w:rPr>
              <w:t>安全设备的设计、制造、安装、使用、检测、维修、改造和报废，应当符合国家标准或者行业标准。</w:t>
            </w:r>
          </w:p>
          <w:p>
            <w:pPr>
              <w:ind w:firstLine="420" w:firstLineChars="200"/>
              <w:jc w:val="left"/>
              <w:rPr>
                <w:rFonts w:asciiTheme="minorEastAsia" w:hAnsiTheme="minorEastAsia" w:eastAsiaTheme="minorEastAsia"/>
              </w:rPr>
            </w:pPr>
            <w:r>
              <w:rPr>
                <w:rFonts w:hint="eastAsia" w:asciiTheme="minorEastAsia" w:hAnsiTheme="minorEastAsia" w:eastAsiaTheme="minorEastAsia"/>
              </w:rPr>
              <w:t>第三十五条  国家对严重危及生产安全的工艺、设备实行淘汰制度，具体目录由国务院安全生产监督管理部门会同国务院有关部门制定并公布。法律、行政法规对目录的制定另有规定的，适用其规定。</w:t>
            </w:r>
          </w:p>
          <w:p>
            <w:pPr>
              <w:ind w:firstLine="420" w:firstLineChars="200"/>
              <w:jc w:val="left"/>
              <w:rPr>
                <w:rFonts w:asciiTheme="minorEastAsia" w:hAnsiTheme="minorEastAsia" w:eastAsiaTheme="minorEastAsia"/>
              </w:rPr>
            </w:pPr>
            <w:r>
              <w:rPr>
                <w:rFonts w:hint="eastAsia" w:asciiTheme="minorEastAsia" w:hAnsiTheme="minorEastAsia" w:eastAsiaTheme="minorEastAsia"/>
              </w:rPr>
              <w:t>《国家安全监管总局关于印发</w:t>
            </w:r>
            <w:r>
              <w:rPr>
                <w:rFonts w:hint="eastAsia" w:ascii="宋体" w:hAnsi="宋体"/>
                <w:bCs/>
                <w:szCs w:val="21"/>
              </w:rPr>
              <w:t>〈化工和危险化学品生产经营单位重大生产安全事故隐患判定标准（试行）〉</w:t>
            </w:r>
            <w:r>
              <w:rPr>
                <w:rFonts w:hint="eastAsia" w:asciiTheme="minorEastAsia" w:hAnsiTheme="minorEastAsia" w:eastAsiaTheme="minorEastAsia"/>
              </w:rPr>
              <w:t>和</w:t>
            </w:r>
            <w:r>
              <w:rPr>
                <w:rFonts w:hint="eastAsia" w:ascii="宋体" w:hAnsi="宋体"/>
                <w:bCs/>
                <w:szCs w:val="21"/>
              </w:rPr>
              <w:t>〈烟花爆竹生产经营单位重大生产安全事故隐患判定标准（试行）〉</w:t>
            </w:r>
            <w:r>
              <w:rPr>
                <w:rFonts w:hint="eastAsia" w:asciiTheme="minorEastAsia" w:hAnsiTheme="minorEastAsia" w:eastAsiaTheme="minorEastAsia"/>
              </w:rPr>
              <w:t>的通知》（安监总管三〔2017〕121号）</w:t>
            </w:r>
          </w:p>
          <w:p>
            <w:pPr>
              <w:ind w:firstLine="420" w:firstLineChars="200"/>
              <w:jc w:val="left"/>
              <w:rPr>
                <w:rFonts w:asciiTheme="minorEastAsia" w:hAnsiTheme="minorEastAsia" w:eastAsiaTheme="minorEastAsia"/>
              </w:rPr>
            </w:pPr>
            <w:r>
              <w:t>化工和危险化学品类：十一、使用淘汰落后安全技术工艺、设备目录列出的工艺、设备。</w:t>
            </w:r>
          </w:p>
        </w:tc>
        <w:tc>
          <w:tcPr>
            <w:tcW w:w="3545" w:type="dxa"/>
            <w:vAlign w:val="center"/>
          </w:tcPr>
          <w:p>
            <w:pPr>
              <w:ind w:firstLine="420" w:firstLineChars="200"/>
              <w:rPr>
                <w:rFonts w:asciiTheme="minorEastAsia" w:hAnsiTheme="minorEastAsia" w:eastAsiaTheme="minorEastAsia"/>
              </w:rPr>
            </w:pPr>
            <w:r>
              <w:rPr>
                <w:rFonts w:hint="eastAsia" w:asciiTheme="minorEastAsia" w:hAnsiTheme="minorEastAsia" w:eastAsiaTheme="minorEastAsia"/>
                <w:bCs/>
              </w:rPr>
              <w:t>《安全生产法》</w:t>
            </w:r>
            <w:r>
              <w:rPr>
                <w:rFonts w:hint="eastAsia" w:asciiTheme="minorEastAsia" w:hAnsiTheme="minorEastAsia" w:eastAsiaTheme="minorEastAsia"/>
              </w:rPr>
              <w:t>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ind w:firstLine="420" w:firstLineChars="200"/>
              <w:rPr>
                <w:rFonts w:asciiTheme="minorEastAsia" w:hAnsiTheme="minorEastAsia" w:eastAsiaTheme="minorEastAsia"/>
              </w:rPr>
            </w:pPr>
            <w:r>
              <w:rPr>
                <w:rFonts w:hint="eastAsia" w:asciiTheme="minorEastAsia" w:hAnsiTheme="minorEastAsia" w:eastAsiaTheme="minorEastAsia"/>
              </w:rPr>
              <w:t>……</w:t>
            </w:r>
          </w:p>
          <w:p>
            <w:pPr>
              <w:ind w:firstLine="420" w:firstLineChars="200"/>
              <w:rPr>
                <w:rFonts w:asciiTheme="minorEastAsia" w:hAnsiTheme="minorEastAsia" w:eastAsiaTheme="minorEastAsia"/>
              </w:rPr>
            </w:pPr>
            <w:r>
              <w:rPr>
                <w:rFonts w:hint="eastAsia" w:asciiTheme="minorEastAsia" w:hAnsiTheme="minorEastAsia" w:eastAsiaTheme="minorEastAsia"/>
              </w:rPr>
              <w:t>（二）安全设备的安装、使用、检测、改造和报废不符合国家标准或者行业标准的；</w:t>
            </w:r>
          </w:p>
          <w:p>
            <w:pPr>
              <w:pStyle w:val="2"/>
              <w:ind w:firstLine="420"/>
            </w:pPr>
            <w:r>
              <w:rPr>
                <w:rFonts w:hint="eastAsia"/>
              </w:rPr>
              <w:t>……</w:t>
            </w:r>
          </w:p>
          <w:p>
            <w:pPr>
              <w:ind w:firstLine="420" w:firstLineChars="200"/>
              <w:rPr>
                <w:rFonts w:asciiTheme="minorEastAsia" w:hAnsiTheme="minorEastAsia" w:eastAsiaTheme="minorEastAsia"/>
                <w:b/>
                <w:szCs w:val="21"/>
              </w:rPr>
            </w:pPr>
            <w:r>
              <w:rPr>
                <w:rFonts w:hint="eastAsia" w:asciiTheme="minorEastAsia" w:hAnsiTheme="minorEastAsia" w:eastAsiaTheme="minorEastAsia"/>
              </w:rPr>
              <w:t>（六）使用应当淘汰的危及生产安全的工艺、设备的。</w:t>
            </w:r>
          </w:p>
        </w:tc>
        <w:tc>
          <w:tcPr>
            <w:tcW w:w="1014" w:type="dxa"/>
            <w:vMerge w:val="continue"/>
            <w:vAlign w:val="center"/>
          </w:tcPr>
          <w:p>
            <w:pPr>
              <w:widowControl/>
              <w:adjustRightInd w:val="0"/>
              <w:snapToGrid w:val="0"/>
              <w:rPr>
                <w:rFonts w:cs="宋体" w:asciiTheme="minorEastAsia" w:hAnsiTheme="minorEastAsia" w:eastAsiaTheme="minorEastAsia"/>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60" w:hRule="atLeast"/>
          <w:jc w:val="center"/>
        </w:trPr>
        <w:tc>
          <w:tcPr>
            <w:tcW w:w="814" w:type="dxa"/>
            <w:vMerge w:val="continue"/>
            <w:vAlign w:val="center"/>
          </w:tcPr>
          <w:p>
            <w:pPr>
              <w:jc w:val="center"/>
              <w:rPr>
                <w:rFonts w:asciiTheme="minorEastAsia" w:hAnsiTheme="minorEastAsia" w:eastAsiaTheme="minorEastAsia"/>
                <w:szCs w:val="21"/>
              </w:rPr>
            </w:pPr>
          </w:p>
        </w:tc>
        <w:tc>
          <w:tcPr>
            <w:tcW w:w="1704" w:type="dxa"/>
            <w:vMerge w:val="continue"/>
            <w:vAlign w:val="center"/>
          </w:tcPr>
          <w:p>
            <w:pPr>
              <w:adjustRightInd w:val="0"/>
              <w:snapToGrid w:val="0"/>
              <w:jc w:val="left"/>
              <w:rPr>
                <w:rFonts w:asciiTheme="minorEastAsia" w:hAnsiTheme="minorEastAsia" w:eastAsiaTheme="minorEastAsia"/>
              </w:rPr>
            </w:pPr>
          </w:p>
        </w:tc>
        <w:tc>
          <w:tcPr>
            <w:tcW w:w="2551" w:type="dxa"/>
            <w:vAlign w:val="center"/>
          </w:tcPr>
          <w:p>
            <w:pPr>
              <w:tabs>
                <w:tab w:val="center" w:pos="4153"/>
                <w:tab w:val="right" w:pos="8306"/>
              </w:tabs>
              <w:adjustRightInd w:val="0"/>
              <w:snapToGrid w:val="0"/>
              <w:rPr>
                <w:rFonts w:asciiTheme="minorEastAsia" w:hAnsiTheme="minorEastAsia" w:eastAsiaTheme="minorEastAsia"/>
              </w:rPr>
            </w:pPr>
            <w:r>
              <w:rPr>
                <w:rFonts w:hint="eastAsia" w:ascii="思源黑体 CN" w:hAnsi="思源黑体 CN" w:eastAsia="思源黑体 CN" w:cs="思源黑体 CN"/>
                <w:szCs w:val="21"/>
              </w:rPr>
              <w:t>★</w:t>
            </w:r>
            <w:r>
              <w:rPr>
                <w:rFonts w:hint="eastAsia" w:asciiTheme="minorEastAsia" w:hAnsiTheme="minorEastAsia" w:eastAsiaTheme="minorEastAsia"/>
              </w:rPr>
              <w:t>4.</w:t>
            </w:r>
            <w:r>
              <w:rPr>
                <w:rFonts w:hint="eastAsia" w:asciiTheme="minorEastAsia" w:hAnsiTheme="minorEastAsia" w:eastAsiaTheme="minorEastAsia"/>
                <w:lang w:val="en-US" w:eastAsia="zh-CN"/>
              </w:rPr>
              <w:t>3</w:t>
            </w:r>
            <w:r>
              <w:rPr>
                <w:rFonts w:hint="eastAsia" w:asciiTheme="minorEastAsia" w:hAnsiTheme="minorEastAsia" w:eastAsiaTheme="minorEastAsia"/>
              </w:rPr>
              <w:t xml:space="preserve"> 有毒有害、可燃气体泄漏检测报警系统未按照标准设置、使用或定期检测校验；以及报警信号未发送至有操作人员常驻的控制室、现场操作室进行报警的</w:t>
            </w:r>
          </w:p>
        </w:tc>
        <w:tc>
          <w:tcPr>
            <w:tcW w:w="4251"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rPr>
              <w:t xml:space="preserve">《安全生产法》第三十三条  </w:t>
            </w:r>
            <w:r>
              <w:rPr>
                <w:rFonts w:hint="eastAsia" w:asciiTheme="minorEastAsia" w:hAnsiTheme="minorEastAsia" w:eastAsiaTheme="minorEastAsia"/>
                <w:szCs w:val="21"/>
              </w:rPr>
              <w:t>安全设备的设计、制造、安装、使用、检测、维修、改造和报废，应当符合国家标准或者行业标准。</w:t>
            </w:r>
          </w:p>
          <w:p>
            <w:pPr>
              <w:ind w:firstLine="420" w:firstLineChars="200"/>
              <w:rPr>
                <w:rFonts w:asciiTheme="minorEastAsia" w:hAnsiTheme="minorEastAsia" w:eastAsiaTheme="minorEastAsia"/>
              </w:rPr>
            </w:pPr>
            <w:r>
              <w:rPr>
                <w:rFonts w:hint="eastAsia" w:asciiTheme="minorEastAsia" w:hAnsiTheme="minorEastAsia" w:eastAsiaTheme="minorEastAsia"/>
              </w:rPr>
              <w:t>《国家安全监管总局关于印发</w:t>
            </w:r>
            <w:r>
              <w:rPr>
                <w:rFonts w:hint="eastAsia" w:ascii="宋体" w:hAnsi="宋体"/>
                <w:bCs/>
                <w:szCs w:val="21"/>
              </w:rPr>
              <w:t>〈化工和危险化学品生产经营单位重大生产安全事故隐患判定标准（试行）〉</w:t>
            </w:r>
            <w:r>
              <w:rPr>
                <w:rFonts w:hint="eastAsia" w:asciiTheme="minorEastAsia" w:hAnsiTheme="minorEastAsia" w:eastAsiaTheme="minorEastAsia"/>
              </w:rPr>
              <w:t>和</w:t>
            </w:r>
            <w:r>
              <w:rPr>
                <w:rFonts w:hint="eastAsia" w:ascii="宋体" w:hAnsi="宋体"/>
                <w:bCs/>
                <w:szCs w:val="21"/>
              </w:rPr>
              <w:t>〈烟花爆竹生产经营单位重大生产安全事故隐患判定标准（试行）〉</w:t>
            </w:r>
            <w:r>
              <w:rPr>
                <w:rFonts w:hint="eastAsia" w:asciiTheme="minorEastAsia" w:hAnsiTheme="minorEastAsia" w:eastAsiaTheme="minorEastAsia"/>
              </w:rPr>
              <w:t>的通知》（安监总管三〔2017〕121号）</w:t>
            </w:r>
          </w:p>
          <w:p>
            <w:pPr>
              <w:ind w:firstLine="420" w:firstLineChars="200"/>
              <w:rPr>
                <w:rFonts w:asciiTheme="minorEastAsia" w:hAnsiTheme="minorEastAsia" w:eastAsiaTheme="minorEastAsia"/>
              </w:rPr>
            </w:pPr>
            <w:r>
              <w:rPr>
                <w:rFonts w:hint="eastAsia" w:asciiTheme="minorEastAsia" w:hAnsiTheme="minorEastAsia" w:eastAsiaTheme="minorEastAsia"/>
              </w:rPr>
              <w:t>化工和危险化学品类：十二、涉及可燃和有毒有害气体泄漏的场所未按国家标准设置检测报警装置，爆炸危险场所未按国家标准安装使用防爆电气设备。</w:t>
            </w:r>
          </w:p>
        </w:tc>
        <w:tc>
          <w:tcPr>
            <w:tcW w:w="3545" w:type="dxa"/>
            <w:vAlign w:val="center"/>
          </w:tcPr>
          <w:p>
            <w:pPr>
              <w:ind w:firstLine="420" w:firstLineChars="200"/>
            </w:pPr>
            <w:r>
              <w:rPr>
                <w:rFonts w:hint="eastAsia"/>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2"/>
              <w:ind w:firstLine="420"/>
            </w:pPr>
            <w:r>
              <w:rPr>
                <w:rFonts w:hint="eastAsia"/>
              </w:rPr>
              <w:t>……</w:t>
            </w:r>
          </w:p>
          <w:p>
            <w:pPr>
              <w:ind w:firstLine="420" w:firstLineChars="200"/>
            </w:pPr>
            <w:r>
              <w:rPr>
                <w:rFonts w:hint="eastAsia"/>
              </w:rPr>
              <w:t>（二）安全设备的安装、使用、检测、改造和报废不符合国家标准或者行业标准的。</w:t>
            </w:r>
          </w:p>
          <w:p>
            <w:pPr>
              <w:pStyle w:val="2"/>
              <w:ind w:firstLine="420"/>
            </w:pPr>
            <w:r>
              <w:rPr>
                <w:rFonts w:hint="eastAsia"/>
              </w:rPr>
              <w:t>……</w:t>
            </w:r>
          </w:p>
        </w:tc>
        <w:tc>
          <w:tcPr>
            <w:tcW w:w="1014" w:type="dxa"/>
            <w:vMerge w:val="continue"/>
            <w:vAlign w:val="center"/>
          </w:tcPr>
          <w:p>
            <w:pPr>
              <w:widowControl/>
              <w:adjustRightInd w:val="0"/>
              <w:snapToGrid w:val="0"/>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jc w:val="center"/>
        </w:trPr>
        <w:tc>
          <w:tcPr>
            <w:tcW w:w="81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5</w:t>
            </w:r>
          </w:p>
        </w:tc>
        <w:tc>
          <w:tcPr>
            <w:tcW w:w="1704" w:type="dxa"/>
            <w:vAlign w:val="center"/>
          </w:tcPr>
          <w:p>
            <w:pPr>
              <w:tabs>
                <w:tab w:val="center" w:pos="4153"/>
                <w:tab w:val="right" w:pos="8306"/>
              </w:tabs>
              <w:adjustRightInd w:val="0"/>
              <w:snapToGrid w:val="0"/>
              <w:jc w:val="left"/>
              <w:rPr>
                <w:rFonts w:asciiTheme="minorEastAsia" w:hAnsiTheme="minorEastAsia" w:eastAsiaTheme="minorEastAsia"/>
              </w:rPr>
            </w:pPr>
            <w:r>
              <w:rPr>
                <w:rFonts w:hint="eastAsia" w:asciiTheme="minorEastAsia" w:hAnsiTheme="minorEastAsia" w:eastAsiaTheme="minorEastAsia"/>
              </w:rPr>
              <w:t>设备设施管理情况</w:t>
            </w:r>
          </w:p>
        </w:tc>
        <w:tc>
          <w:tcPr>
            <w:tcW w:w="2551" w:type="dxa"/>
            <w:vAlign w:val="center"/>
          </w:tcPr>
          <w:p>
            <w:pPr>
              <w:tabs>
                <w:tab w:val="center" w:pos="4153"/>
                <w:tab w:val="right" w:pos="8306"/>
              </w:tabs>
              <w:adjustRightInd w:val="0"/>
              <w:snapToGrid w:val="0"/>
              <w:jc w:val="left"/>
              <w:rPr>
                <w:rFonts w:asciiTheme="minorEastAsia" w:hAnsiTheme="minorEastAsia" w:eastAsiaTheme="minorEastAsia"/>
              </w:rPr>
            </w:pPr>
            <w:r>
              <w:rPr>
                <w:rFonts w:hint="eastAsia" w:asciiTheme="minorEastAsia" w:hAnsiTheme="minorEastAsia" w:eastAsiaTheme="minorEastAsia"/>
              </w:rPr>
              <w:t>涉及危险化工工艺、重点监管危险化学品的装置设置自动化控制系统，涉及危险化工工艺的大型化工装置设置紧急停车系统</w:t>
            </w:r>
          </w:p>
        </w:tc>
        <w:tc>
          <w:tcPr>
            <w:tcW w:w="4251"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《危险化学品生产企业安全生产许可证实施办法》第九条  企业的厂房、作业场所、储存设施和安全设施、设备、工艺应当符合下列要求：</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涉及危险化工工艺、重点监管危险化学品的装置装设自动化控制系统；涉及危险化工工艺的大型化工装置装设紧急停车系统；涉及易燃易爆、有毒有害气体化学品的场所装设易燃易爆、有毒有害介质泄漏报警等安全设施；</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p>
        </w:tc>
        <w:tc>
          <w:tcPr>
            <w:tcW w:w="3545"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《危险化学品生产企业安全生产许可证实施办法》第四十三条  企业取得安全生产许可证后发现其不具备本办法规定的安全生产条件的，依法暂扣其安全生产许可证1个月以上6个月以下；暂扣期满仍不具备本办法规定的安全生产条件的，依法吊销其安全生产许可证。</w:t>
            </w:r>
          </w:p>
        </w:tc>
        <w:tc>
          <w:tcPr>
            <w:tcW w:w="1014" w:type="dxa"/>
            <w:vAlign w:val="center"/>
          </w:tcPr>
          <w:p>
            <w:pPr>
              <w:widowControl/>
              <w:adjustRightInd w:val="0"/>
              <w:snapToGrid w:val="0"/>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60" w:hRule="atLeast"/>
          <w:jc w:val="center"/>
        </w:trPr>
        <w:tc>
          <w:tcPr>
            <w:tcW w:w="814" w:type="dxa"/>
            <w:vMerge w:val="restart"/>
            <w:vAlign w:val="center"/>
          </w:tcPr>
          <w:p>
            <w:pPr>
              <w:jc w:val="center"/>
              <w:rPr>
                <w:rFonts w:asciiTheme="minorEastAsia" w:hAnsiTheme="minorEastAsia" w:eastAsiaTheme="minorEastAsia"/>
              </w:rPr>
            </w:pPr>
            <w:r>
              <w:rPr>
                <w:rFonts w:asciiTheme="minorEastAsia" w:hAnsiTheme="minorEastAsia" w:eastAsiaTheme="minorEastAsia"/>
              </w:rPr>
              <w:t>6</w:t>
            </w:r>
          </w:p>
        </w:tc>
        <w:tc>
          <w:tcPr>
            <w:tcW w:w="1704" w:type="dxa"/>
            <w:vMerge w:val="restart"/>
            <w:vAlign w:val="center"/>
          </w:tcPr>
          <w:p>
            <w:pPr>
              <w:adjustRightInd w:val="0"/>
              <w:snapToGrid w:val="0"/>
              <w:jc w:val="left"/>
              <w:rPr>
                <w:rFonts w:asciiTheme="minorEastAsia" w:hAnsiTheme="minorEastAsia" w:eastAsiaTheme="minorEastAsia"/>
              </w:rPr>
            </w:pPr>
            <w:r>
              <w:rPr>
                <w:rFonts w:hint="eastAsia" w:asciiTheme="minorEastAsia" w:hAnsiTheme="minorEastAsia" w:eastAsiaTheme="minorEastAsia"/>
              </w:rPr>
              <w:t>安全管理情况</w:t>
            </w:r>
          </w:p>
        </w:tc>
        <w:tc>
          <w:tcPr>
            <w:tcW w:w="2551" w:type="dxa"/>
            <w:vAlign w:val="center"/>
          </w:tcPr>
          <w:p>
            <w:pPr>
              <w:adjustRightInd w:val="0"/>
              <w:snapToGrid w:val="0"/>
              <w:rPr>
                <w:rFonts w:asciiTheme="minorEastAsia" w:hAnsiTheme="minorEastAsia" w:eastAsiaTheme="minorEastAsia"/>
              </w:rPr>
            </w:pPr>
            <w:r>
              <w:rPr>
                <w:rFonts w:asciiTheme="minorEastAsia" w:hAnsiTheme="minorEastAsia" w:eastAsiaTheme="minorEastAsia"/>
              </w:rPr>
              <w:t xml:space="preserve">6.1 </w:t>
            </w:r>
            <w:r>
              <w:rPr>
                <w:rFonts w:hint="eastAsia" w:asciiTheme="minorEastAsia" w:hAnsiTheme="minorEastAsia" w:eastAsiaTheme="minorEastAsia"/>
              </w:rPr>
              <w:t>危险化学品生产装置、罐区等设施与周边的距离</w:t>
            </w:r>
          </w:p>
        </w:tc>
        <w:tc>
          <w:tcPr>
            <w:tcW w:w="4251"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《危险化学品生产企业安全生产许可证实施办法</w:t>
            </w:r>
            <w:r>
              <w:rPr>
                <w:rFonts w:asciiTheme="minorEastAsia" w:hAnsiTheme="minorEastAsia" w:eastAsiaTheme="minorEastAsia"/>
                <w:szCs w:val="21"/>
              </w:rPr>
              <w:t>》</w:t>
            </w:r>
            <w:r>
              <w:rPr>
                <w:rFonts w:hint="eastAsia" w:asciiTheme="minorEastAsia" w:hAnsiTheme="minorEastAsia" w:eastAsiaTheme="minorEastAsia"/>
                <w:szCs w:val="21"/>
              </w:rPr>
              <w:t>第八条  企业选址布局、规划设计以及与重要场所、设施、区域的距离应当符合下列要求：</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（一）国家产业政策；当地县级以上（含县级）人民政府的规划和布局；新设立企业建在地方人民政府规划的专门用于危险化学品生产、储存的区域内；</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危险化学品生产装置或者储存危险化学品数量构成重大危险源的储存设施，与《危险化学品安全管理条例》第十九条第一款规定的八类场所、设施、区域的距离符合有关法律、法规、规章和国家标准或者行业标准的规定；</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（三）总体布局符合《化工企业总图运输设计规范》（GB50489）、《工业企业总平面设计规范》（GB50187）、《建筑设计防火规范》（GB50016）等标准的要求。</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石油化工企业除符合本条第一款规定条件外，还应当符合《石油化工企业设计防火规范》（GB50160）的要求。</w:t>
            </w:r>
          </w:p>
        </w:tc>
        <w:tc>
          <w:tcPr>
            <w:tcW w:w="3545" w:type="dxa"/>
            <w:vAlign w:val="center"/>
          </w:tcPr>
          <w:p>
            <w:pPr>
              <w:ind w:firstLine="420" w:firstLineChars="200"/>
              <w:rPr>
                <w:rFonts w:asciiTheme="minorEastAsia" w:hAnsiTheme="minorEastAsia" w:eastAsiaTheme="minorEastAsia"/>
              </w:rPr>
            </w:pPr>
            <w:r>
              <w:rPr>
                <w:rFonts w:hint="eastAsia" w:asciiTheme="minorEastAsia" w:hAnsiTheme="minorEastAsia" w:eastAsiaTheme="minorEastAsia"/>
                <w:szCs w:val="21"/>
              </w:rPr>
              <w:t>《危险化学品生产企业安全生产许可证实施办法》第四十三条  企业取得安全生产许可证后发现其不具备本办法规定的安全生产条件的，依法暂扣其安全生产许可证1个月以上6个月以下；暂扣期满仍不具备本办法规定的安全生产条件的，依法吊销其安全生产许可证。</w:t>
            </w:r>
          </w:p>
        </w:tc>
        <w:tc>
          <w:tcPr>
            <w:tcW w:w="1014" w:type="dxa"/>
            <w:vAlign w:val="center"/>
          </w:tcPr>
          <w:p>
            <w:pPr>
              <w:widowControl/>
              <w:adjustRightInd w:val="0"/>
              <w:snapToGrid w:val="0"/>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94" w:hRule="atLeast"/>
          <w:jc w:val="center"/>
        </w:trPr>
        <w:tc>
          <w:tcPr>
            <w:tcW w:w="814" w:type="dxa"/>
            <w:vMerge w:val="continue"/>
            <w:vAlign w:val="center"/>
          </w:tcPr>
          <w:p>
            <w:pPr>
              <w:jc w:val="center"/>
              <w:rPr>
                <w:rFonts w:asciiTheme="minorEastAsia" w:hAnsiTheme="minorEastAsia" w:eastAsiaTheme="minorEastAsia"/>
              </w:rPr>
            </w:pPr>
          </w:p>
        </w:tc>
        <w:tc>
          <w:tcPr>
            <w:tcW w:w="1704" w:type="dxa"/>
            <w:vMerge w:val="continue"/>
            <w:vAlign w:val="center"/>
          </w:tcPr>
          <w:p>
            <w:pPr>
              <w:adjustRightInd w:val="0"/>
              <w:snapToGrid w:val="0"/>
              <w:jc w:val="left"/>
              <w:rPr>
                <w:rFonts w:asciiTheme="minorEastAsia" w:hAnsiTheme="minorEastAsia" w:eastAsiaTheme="minorEastAsia"/>
              </w:rPr>
            </w:pPr>
          </w:p>
        </w:tc>
        <w:tc>
          <w:tcPr>
            <w:tcW w:w="2551" w:type="dxa"/>
            <w:vAlign w:val="center"/>
          </w:tcPr>
          <w:p>
            <w:pPr>
              <w:adjustRightInd w:val="0"/>
              <w:snapToGrid w:val="0"/>
              <w:rPr>
                <w:rFonts w:asciiTheme="minorEastAsia" w:hAnsiTheme="minorEastAsia" w:eastAsiaTheme="minorEastAsia"/>
              </w:rPr>
            </w:pPr>
            <w:r>
              <w:rPr>
                <w:rFonts w:asciiTheme="minorEastAsia" w:hAnsiTheme="minorEastAsia" w:eastAsiaTheme="minorEastAsia"/>
              </w:rPr>
              <w:t>6.2</w:t>
            </w:r>
            <w:r>
              <w:rPr>
                <w:rFonts w:hint="eastAsia" w:asciiTheme="minorEastAsia" w:hAnsiTheme="minorEastAsia" w:eastAsiaTheme="minorEastAsia"/>
              </w:rPr>
              <w:t xml:space="preserve"> 危险化学品应按照标准分区、分类、分库存放；应避免超量、超品种储存及相互禁忌物质混放混存</w:t>
            </w:r>
          </w:p>
        </w:tc>
        <w:tc>
          <w:tcPr>
            <w:tcW w:w="4251"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《危险化学品安全管理条例》第二十四条  </w:t>
            </w:r>
            <w:r>
              <w:rPr>
                <w:rFonts w:asciiTheme="minorEastAsia" w:hAnsiTheme="minorEastAsia" w:eastAsiaTheme="minorEastAsia"/>
                <w:szCs w:val="21"/>
              </w:rPr>
              <w:t>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pPr>
              <w:ind w:firstLine="420" w:firstLineChars="200"/>
              <w:rPr>
                <w:rFonts w:asciiTheme="minorEastAsia" w:hAnsiTheme="minorEastAsia" w:eastAsiaTheme="minorEastAsia"/>
              </w:rPr>
            </w:pPr>
            <w:r>
              <w:rPr>
                <w:rFonts w:asciiTheme="minorEastAsia" w:hAnsiTheme="minorEastAsia" w:eastAsiaTheme="minorEastAsia"/>
                <w:szCs w:val="21"/>
              </w:rPr>
              <w:t>危险化学品的储存方式、方法以及储存数量应当符合国家标准或者国家有关规定。</w:t>
            </w:r>
          </w:p>
        </w:tc>
        <w:tc>
          <w:tcPr>
            <w:tcW w:w="3545"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《危险化学品安全管理条例》第七十八条  有下列情形之一的，由安全生产监督管理部门责令改正，可以处5万元以下的罚款；拒不改正的，处5万元以上10万元以下的罚款；情节严重的，责令停产停业整顿：</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（九）危险化学品专用仓库未设专人负责管理，或者对储存的剧毒化学品以及储存数量构成重大危险源的其他危险化学品未实行双人收发、双人保管制度的；</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第八十条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p>
          <w:p>
            <w:pPr>
              <w:ind w:firstLine="420" w:firstLineChars="200"/>
              <w:rPr>
                <w:rFonts w:asciiTheme="minorEastAsia" w:hAnsiTheme="minorEastAsia" w:eastAsiaTheme="minorEastAsia"/>
              </w:rPr>
            </w:pPr>
            <w:r>
              <w:rPr>
                <w:rFonts w:hint="eastAsia" w:asciiTheme="minorEastAsia" w:hAnsiTheme="minorEastAsia" w:eastAsiaTheme="minorEastAsia"/>
                <w:szCs w:val="21"/>
              </w:rPr>
              <w:t>(五)危险化学品的储存方式、方法或者储存数量不符合国家标准或者国家有关规定的。</w:t>
            </w:r>
          </w:p>
        </w:tc>
        <w:tc>
          <w:tcPr>
            <w:tcW w:w="1014" w:type="dxa"/>
            <w:vAlign w:val="center"/>
          </w:tcPr>
          <w:p>
            <w:pPr>
              <w:widowControl/>
              <w:adjustRightInd w:val="0"/>
              <w:snapToGrid w:val="0"/>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445" w:hRule="atLeast"/>
          <w:jc w:val="center"/>
        </w:trPr>
        <w:tc>
          <w:tcPr>
            <w:tcW w:w="814" w:type="dxa"/>
            <w:vMerge w:val="continue"/>
            <w:vAlign w:val="center"/>
          </w:tcPr>
          <w:p>
            <w:pPr>
              <w:jc w:val="center"/>
              <w:rPr>
                <w:rFonts w:asciiTheme="minorEastAsia" w:hAnsiTheme="minorEastAsia" w:eastAsiaTheme="minorEastAsia"/>
              </w:rPr>
            </w:pPr>
          </w:p>
        </w:tc>
        <w:tc>
          <w:tcPr>
            <w:tcW w:w="1704" w:type="dxa"/>
            <w:vMerge w:val="continue"/>
            <w:vAlign w:val="center"/>
          </w:tcPr>
          <w:p>
            <w:pPr>
              <w:adjustRightInd w:val="0"/>
              <w:snapToGrid w:val="0"/>
              <w:jc w:val="left"/>
              <w:rPr>
                <w:rFonts w:asciiTheme="minorEastAsia" w:hAnsiTheme="minorEastAsia" w:eastAsiaTheme="minorEastAsia"/>
              </w:rPr>
            </w:pPr>
          </w:p>
        </w:tc>
        <w:tc>
          <w:tcPr>
            <w:tcW w:w="2551" w:type="dxa"/>
            <w:vAlign w:val="center"/>
          </w:tcPr>
          <w:p>
            <w:pPr>
              <w:adjustRightInd w:val="0"/>
              <w:snapToGrid w:val="0"/>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 xml:space="preserve">3 </w:t>
            </w:r>
            <w:r>
              <w:rPr>
                <w:rFonts w:hint="eastAsia"/>
              </w:rPr>
              <w:t>动火作业应按规定进行可燃气体分析；受限空间作业应按规定进行可燃气体、氧含量和有毒气体分析；作业过程应避免无人监护</w:t>
            </w:r>
          </w:p>
        </w:tc>
        <w:tc>
          <w:tcPr>
            <w:tcW w:w="4251" w:type="dxa"/>
            <w:vAlign w:val="center"/>
          </w:tcPr>
          <w:p>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《化学品生产单位特殊作业安全规范》（GB 30871-2014）</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5.2.1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动火作业应有专人监火,作业前应清除动火现场及周围的易燃物品,或采取其他有效安全防火措施,并配备消防器材,满足作业现场应急需求。</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5.2.2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动火点周围或其下方的地面如有可燃物、空洞、窨井、地沟、水封等,应检查分析并采取清理或封盖等措施;对于动火点周围有可能泄漏易燃、可燃物料的设备,应采取隔离措施。</w:t>
            </w:r>
          </w:p>
          <w:p>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5.2.3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凡在盛有或盛装过危险化学品的设备、管道等生产、储存设施及处于GB50016、GB50160、</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GB50074规定的甲、乙类区域的生产设备上动火作业,应将其与生产系统彻底隔离,并进行清洗、置换,分析合格后方可作业;因条件限制无法进行清洗、置换而确需动火作业时按5.3规定执行。</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6.2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作业前,应根据受限空间盛装(过)的物料特性,对受限空间进行清洗或置换,并达到如下要求:</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a) 氧含量为18%～21%,在富氧环境下不应大于23.5%;</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b) 有毒气体(物质)浓度应符合GBZ2.1的规定;</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c) 可燃气体浓度要求同5.4.2规定。</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6.7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作业监护要求如下:</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a) 在受限空间外应设有专人监护,作业期间监护人员不应离开;</w:t>
            </w:r>
          </w:p>
          <w:p>
            <w:pPr>
              <w:pStyle w:val="2"/>
            </w:pPr>
            <w:r>
              <w:rPr>
                <w:rFonts w:hint="eastAsia" w:asciiTheme="minorEastAsia" w:hAnsiTheme="minorEastAsia" w:eastAsiaTheme="minorEastAsia" w:cstheme="minorEastAsia"/>
              </w:rPr>
              <w:t>b) 在风险较大的受限空间作业时,应增设监护人员,并随时与受限空间内作业人员保持联络。</w:t>
            </w:r>
          </w:p>
        </w:tc>
        <w:tc>
          <w:tcPr>
            <w:tcW w:w="3545"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《安全生产违法行为行政处罚办法》第四十五条  生产经营单位及其主要负责人或者其他人员有下列行为之一的，给予警告，并可以对生产经营单位处1万元以上3万元以下罚款，对其主要负责人、其他有关人员处1000元以上1万元以下的罚款：</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（一）违反操作规程或者安全管理规定作业的；</w:t>
            </w:r>
          </w:p>
          <w:p>
            <w:pPr>
              <w:ind w:firstLine="420" w:firstLineChars="200"/>
              <w:rPr>
                <w:rFonts w:asciiTheme="minorEastAsia" w:hAnsiTheme="minorEastAsia" w:eastAsiaTheme="minorEastAsia"/>
              </w:rPr>
            </w:pPr>
            <w:r>
              <w:rPr>
                <w:rFonts w:hint="eastAsia" w:asciiTheme="minorEastAsia" w:hAnsiTheme="minorEastAsia" w:eastAsiaTheme="minorEastAsia"/>
                <w:szCs w:val="21"/>
              </w:rPr>
              <w:t>……</w:t>
            </w:r>
          </w:p>
        </w:tc>
        <w:tc>
          <w:tcPr>
            <w:tcW w:w="1014" w:type="dxa"/>
            <w:vAlign w:val="center"/>
          </w:tcPr>
          <w:p>
            <w:pPr>
              <w:widowControl/>
              <w:adjustRightInd w:val="0"/>
              <w:snapToGrid w:val="0"/>
              <w:rPr>
                <w:rFonts w:cs="宋体" w:asciiTheme="minorEastAsia" w:hAnsiTheme="minorEastAsia" w:eastAsiaTheme="minorEastAsia"/>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71" w:hRule="atLeast"/>
          <w:jc w:val="center"/>
        </w:trPr>
        <w:tc>
          <w:tcPr>
            <w:tcW w:w="814" w:type="dxa"/>
            <w:vMerge w:val="continue"/>
            <w:vAlign w:val="center"/>
          </w:tcPr>
          <w:p>
            <w:pPr>
              <w:jc w:val="center"/>
              <w:rPr>
                <w:rFonts w:asciiTheme="minorEastAsia" w:hAnsiTheme="minorEastAsia" w:eastAsiaTheme="minorEastAsia"/>
              </w:rPr>
            </w:pPr>
          </w:p>
        </w:tc>
        <w:tc>
          <w:tcPr>
            <w:tcW w:w="1704" w:type="dxa"/>
            <w:vMerge w:val="continue"/>
            <w:vAlign w:val="center"/>
          </w:tcPr>
          <w:p>
            <w:pPr>
              <w:adjustRightInd w:val="0"/>
              <w:snapToGrid w:val="0"/>
              <w:jc w:val="left"/>
              <w:rPr>
                <w:rFonts w:asciiTheme="minorEastAsia" w:hAnsiTheme="minorEastAsia" w:eastAsiaTheme="minorEastAsia"/>
              </w:rPr>
            </w:pPr>
          </w:p>
        </w:tc>
        <w:tc>
          <w:tcPr>
            <w:tcW w:w="2551" w:type="dxa"/>
            <w:vAlign w:val="center"/>
          </w:tcPr>
          <w:p>
            <w:pPr>
              <w:tabs>
                <w:tab w:val="center" w:pos="4153"/>
                <w:tab w:val="right" w:pos="8306"/>
              </w:tabs>
              <w:adjustRightInd w:val="0"/>
              <w:snapToGrid w:val="0"/>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4 危险化学品生产企业应提供化学品安全技术说明书，应在包装（包括外包装件）上粘贴、拴挂化学品安全标签的</w:t>
            </w:r>
          </w:p>
        </w:tc>
        <w:tc>
          <w:tcPr>
            <w:tcW w:w="4251"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《危险化学品安全管理条例》第十五条  </w:t>
            </w:r>
            <w:r>
              <w:rPr>
                <w:rFonts w:asciiTheme="minorEastAsia" w:hAnsiTheme="minorEastAsia" w:eastAsiaTheme="minorEastAsia"/>
                <w:szCs w:val="21"/>
              </w:rPr>
              <w:t>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危险化学品生产企业发现其生产的危险化学品有新的危险特性的，应当立即公告，并及时修订其化学品安全技术说明书和化学品安全标签。</w:t>
            </w:r>
          </w:p>
        </w:tc>
        <w:tc>
          <w:tcPr>
            <w:tcW w:w="3545"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《危险化学品安全管理条例》第七十八条  有下列情形之一的，由安全生产监督管理部门责令改正，可以处5万元以下的罚款；拒不改正的，处5万元以上10万元以下的罚款；情节严重的，责令停产停业整顿：</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（三）危险化学品生产企业未提供化学品安全技术说明书，或者未在包装(包括外包装件)上粘贴、拴挂化学品安全标签的；</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pPr>
              <w:ind w:firstLine="420" w:firstLineChars="200"/>
              <w:rPr>
                <w:rFonts w:asciiTheme="minorEastAsia" w:hAnsiTheme="minorEastAsia" w:eastAsiaTheme="minorEastAsia"/>
              </w:rPr>
            </w:pPr>
            <w:r>
              <w:rPr>
                <w:rFonts w:hint="eastAsia" w:asciiTheme="minorEastAsia" w:hAnsiTheme="minorEastAsia" w:eastAsiaTheme="minorEastAsia"/>
                <w:szCs w:val="21"/>
              </w:rPr>
              <w:t>……</w:t>
            </w:r>
          </w:p>
        </w:tc>
        <w:tc>
          <w:tcPr>
            <w:tcW w:w="1014" w:type="dxa"/>
            <w:vAlign w:val="center"/>
          </w:tcPr>
          <w:p>
            <w:pPr>
              <w:widowControl/>
              <w:adjustRightInd w:val="0"/>
              <w:snapToGrid w:val="0"/>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90" w:hRule="atLeast"/>
          <w:jc w:val="center"/>
        </w:trPr>
        <w:tc>
          <w:tcPr>
            <w:tcW w:w="814" w:type="dxa"/>
            <w:vMerge w:val="continue"/>
            <w:vAlign w:val="center"/>
          </w:tcPr>
          <w:p>
            <w:pPr>
              <w:jc w:val="center"/>
              <w:rPr>
                <w:rFonts w:asciiTheme="minorEastAsia" w:hAnsiTheme="minorEastAsia" w:eastAsiaTheme="minorEastAsia"/>
              </w:rPr>
            </w:pPr>
          </w:p>
        </w:tc>
        <w:tc>
          <w:tcPr>
            <w:tcW w:w="1704" w:type="dxa"/>
            <w:vMerge w:val="continue"/>
            <w:vAlign w:val="center"/>
          </w:tcPr>
          <w:p>
            <w:pPr>
              <w:adjustRightInd w:val="0"/>
              <w:snapToGrid w:val="0"/>
              <w:jc w:val="left"/>
              <w:rPr>
                <w:rFonts w:asciiTheme="minorEastAsia" w:hAnsiTheme="minorEastAsia" w:eastAsiaTheme="minorEastAsia"/>
              </w:rPr>
            </w:pPr>
          </w:p>
        </w:tc>
        <w:tc>
          <w:tcPr>
            <w:tcW w:w="2551" w:type="dxa"/>
            <w:vAlign w:val="center"/>
          </w:tcPr>
          <w:p>
            <w:pPr>
              <w:tabs>
                <w:tab w:val="center" w:pos="4153"/>
                <w:tab w:val="right" w:pos="8306"/>
              </w:tabs>
              <w:adjustRightInd w:val="0"/>
              <w:snapToGrid w:val="0"/>
              <w:rPr>
                <w:rFonts w:asciiTheme="minorEastAsia" w:hAnsiTheme="minorEastAsia" w:eastAsiaTheme="minorEastAsia"/>
              </w:rPr>
            </w:pPr>
            <w:r>
              <w:rPr>
                <w:rFonts w:hint="eastAsia" w:ascii="宋体" w:hAnsi="宋体"/>
                <w:szCs w:val="21"/>
              </w:rPr>
              <w:t>6.5 企业应制定重大危险源管理制度，按照GB 18218辨识并确定重大危险源，</w:t>
            </w:r>
            <w:r>
              <w:rPr>
                <w:rFonts w:ascii="宋体" w:hAnsi="宋体" w:cs="宋体"/>
                <w:szCs w:val="21"/>
              </w:rPr>
              <w:t>建立重大危险源档案</w:t>
            </w:r>
          </w:p>
        </w:tc>
        <w:tc>
          <w:tcPr>
            <w:tcW w:w="4251" w:type="dxa"/>
            <w:vAlign w:val="center"/>
          </w:tcPr>
          <w:p>
            <w:pPr>
              <w:ind w:firstLine="420" w:firstLineChars="200"/>
              <w:rPr>
                <w:rFonts w:hint="eastAsia" w:ascii="Times New Roman" w:hAnsi="Times New Roman" w:cs="宋体"/>
                <w:kern w:val="0"/>
                <w:szCs w:val="21"/>
              </w:rPr>
            </w:pPr>
            <w:r>
              <w:rPr>
                <w:rFonts w:hint="eastAsia" w:ascii="Times New Roman" w:hAnsi="Times New Roman" w:cs="宋体"/>
                <w:kern w:val="0"/>
                <w:szCs w:val="21"/>
              </w:rPr>
              <w:t xml:space="preserve">《危险化学品重大危险源监督管理暂行规定》第七条 </w:t>
            </w:r>
            <w:r>
              <w:rPr>
                <w:rFonts w:ascii="Times New Roman" w:hAnsi="Times New Roman" w:cs="宋体"/>
                <w:kern w:val="0"/>
                <w:szCs w:val="21"/>
              </w:rPr>
              <w:t xml:space="preserve"> </w:t>
            </w:r>
            <w:r>
              <w:rPr>
                <w:rFonts w:hint="eastAsia" w:ascii="Times New Roman" w:hAnsi="Times New Roman" w:cs="宋体"/>
                <w:kern w:val="0"/>
                <w:szCs w:val="21"/>
              </w:rPr>
              <w:t>危险化学品单位应当按照《危险化学品重大危险源辨识》标准，对本单位的危险化学品生产、经营、储存和使用装置、设施或者场所进行重大危险源辨识，并记录辨识过程与结果。</w:t>
            </w:r>
          </w:p>
          <w:p>
            <w:pPr>
              <w:ind w:firstLine="420" w:firstLineChars="200"/>
              <w:rPr>
                <w:rFonts w:hint="eastAsia" w:ascii="Times New Roman" w:hAnsi="Times New Roman" w:cs="宋体"/>
                <w:kern w:val="0"/>
                <w:szCs w:val="21"/>
              </w:rPr>
            </w:pPr>
            <w:r>
              <w:rPr>
                <w:rFonts w:hint="eastAsia" w:ascii="Times New Roman" w:hAnsi="Times New Roman" w:cs="宋体"/>
                <w:kern w:val="0"/>
                <w:szCs w:val="21"/>
              </w:rPr>
              <w:t>第二十二条</w:t>
            </w:r>
            <w:bookmarkStart w:id="20" w:name="tiao_22_kuan_1"/>
            <w:bookmarkEnd w:id="20"/>
            <w:r>
              <w:rPr>
                <w:rFonts w:hint="eastAsia" w:ascii="Times New Roman" w:hAnsi="Times New Roman" w:cs="宋体"/>
                <w:kern w:val="0"/>
                <w:szCs w:val="21"/>
                <w:lang w:val="en-US" w:eastAsia="zh-CN"/>
              </w:rPr>
              <w:t xml:space="preserve">  </w:t>
            </w:r>
            <w:r>
              <w:rPr>
                <w:rFonts w:hint="eastAsia" w:ascii="Times New Roman" w:hAnsi="Times New Roman" w:cs="宋体"/>
                <w:kern w:val="0"/>
                <w:szCs w:val="21"/>
              </w:rPr>
              <w:t>危险化学品单位应当对辨识确认的重大危险源及时、逐项进行登记建档。</w:t>
            </w:r>
          </w:p>
          <w:p>
            <w:pPr>
              <w:ind w:firstLine="420" w:firstLineChars="200"/>
              <w:rPr>
                <w:rFonts w:asciiTheme="minorEastAsia" w:hAnsiTheme="minorEastAsia" w:eastAsiaTheme="minorEastAsia"/>
                <w:szCs w:val="21"/>
              </w:rPr>
            </w:pPr>
            <w:r>
              <w:rPr>
                <w:rFonts w:hint="eastAsia" w:ascii="Times New Roman" w:hAnsi="Times New Roman" w:cs="宋体"/>
                <w:kern w:val="0"/>
                <w:szCs w:val="21"/>
                <w:lang w:eastAsia="zh-CN"/>
              </w:rPr>
              <w:t>……</w:t>
            </w:r>
            <w:r>
              <w:rPr>
                <w:rFonts w:hint="eastAsia" w:ascii="Times New Roman" w:hAnsi="Times New Roman" w:cs="宋体"/>
                <w:kern w:val="0"/>
                <w:szCs w:val="21"/>
              </w:rPr>
              <w:fldChar w:fldCharType="begin"/>
            </w:r>
            <w:r>
              <w:rPr>
                <w:rFonts w:hint="eastAsia" w:ascii="Times New Roman" w:hAnsi="Times New Roman" w:cs="宋体"/>
                <w:kern w:val="0"/>
                <w:szCs w:val="21"/>
              </w:rPr>
              <w:instrText xml:space="preserve"> HYPERLINK "http://www-pkulaw-com-s.vpn.ruc.edu.cn/chl/javascript:void(0);" </w:instrText>
            </w:r>
            <w:r>
              <w:rPr>
                <w:rFonts w:hint="eastAsia" w:ascii="Times New Roman" w:hAnsi="Times New Roman" w:cs="宋体"/>
                <w:kern w:val="0"/>
                <w:szCs w:val="21"/>
              </w:rPr>
              <w:fldChar w:fldCharType="separate"/>
            </w:r>
            <w:r>
              <w:rPr>
                <w:rFonts w:hint="eastAsia" w:ascii="Times New Roman" w:hAnsi="Times New Roman" w:cs="宋体"/>
                <w:kern w:val="0"/>
                <w:szCs w:val="21"/>
              </w:rPr>
              <w:fldChar w:fldCharType="end"/>
            </w:r>
          </w:p>
        </w:tc>
        <w:tc>
          <w:tcPr>
            <w:tcW w:w="3545" w:type="dxa"/>
            <w:vAlign w:val="center"/>
          </w:tcPr>
          <w:p>
            <w:pPr>
              <w:pStyle w:val="2"/>
              <w:ind w:firstLine="420"/>
              <w:rPr>
                <w:rFonts w:hint="eastAsia" w:asciiTheme="minorEastAsia" w:hAnsiTheme="minorEastAsia" w:eastAsiaTheme="minorEastAsia"/>
                <w:szCs w:val="21"/>
              </w:rPr>
            </w:pPr>
            <w:r>
              <w:rPr>
                <w:rFonts w:hint="eastAsia" w:asciiTheme="minorEastAsia" w:hAnsiTheme="minorEastAsia" w:eastAsiaTheme="minorEastAsia"/>
                <w:szCs w:val="21"/>
              </w:rPr>
              <w:t>《危险化学品重大危险源监督管理暂行规定》第三十二条</w:t>
            </w:r>
            <w:bookmarkStart w:id="21" w:name="tiao_32_kuan_1"/>
            <w:bookmarkEnd w:id="21"/>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危险化学品单位有下列行为之一的，由县级以上人民政府安全生产监督管理部门责令限期改正，可以处10万元以下的罚款；逾期未改正的，责令停产停业整顿，并处10万元以上20万元以下的罚款，对其直接负责的主管人员和其他直接责任人员处2万元以上5万元以下的罚款；构成犯罪的，依照</w:t>
            </w: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HYPERLINK "http://www-pkulaw-com-s.vpn.ruc.edu.cn/chl/javascript:SLC(314937)" </w:instrText>
            </w:r>
            <w:r>
              <w:rPr>
                <w:rFonts w:hint="eastAsia" w:asciiTheme="minorEastAsia" w:hAnsiTheme="minorEastAsia" w:eastAsiaTheme="minorEastAsia"/>
                <w:szCs w:val="21"/>
              </w:rPr>
              <w:fldChar w:fldCharType="separate"/>
            </w:r>
            <w:r>
              <w:rPr>
                <w:rFonts w:hint="eastAsia" w:asciiTheme="minorEastAsia" w:hAnsiTheme="minorEastAsia" w:eastAsiaTheme="minorEastAsia"/>
                <w:szCs w:val="21"/>
              </w:rPr>
              <w:t>刑法</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有关规定追究刑事责任：</w:t>
            </w:r>
          </w:p>
          <w:p>
            <w:pPr>
              <w:pStyle w:val="2"/>
              <w:ind w:firstLine="42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p>
          <w:p>
            <w:pPr>
              <w:pStyle w:val="2"/>
              <w:ind w:firstLine="420"/>
              <w:rPr>
                <w:rFonts w:hint="eastAsia" w:asciiTheme="minorEastAsia" w:hAnsiTheme="minorEastAsia" w:eastAsiaTheme="minorEastAsia"/>
                <w:szCs w:val="21"/>
              </w:rPr>
            </w:pPr>
            <w:r>
              <w:rPr>
                <w:rFonts w:hint="eastAsia" w:asciiTheme="minorEastAsia" w:hAnsiTheme="minorEastAsia" w:eastAsiaTheme="minorEastAsia"/>
                <w:szCs w:val="21"/>
              </w:rPr>
              <w:t>（二）未按照本规定要求对重大危险源进行登记建档的；</w:t>
            </w:r>
          </w:p>
          <w:p>
            <w:pPr>
              <w:widowControl/>
              <w:adjustRightInd w:val="0"/>
              <w:snapToGrid w:val="0"/>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p>
          <w:p>
            <w:pPr>
              <w:widowControl/>
              <w:adjustRightInd w:val="0"/>
              <w:snapToGrid w:val="0"/>
              <w:ind w:firstLine="420" w:firstLineChars="200"/>
            </w:pPr>
            <w:r>
              <w:rPr>
                <w:rFonts w:hint="eastAsia"/>
              </w:rPr>
              <w:t xml:space="preserve">第三十四条 </w:t>
            </w:r>
            <w:r>
              <w:t xml:space="preserve"> </w:t>
            </w:r>
            <w:r>
              <w:rPr>
                <w:rFonts w:hint="eastAsia"/>
              </w:rPr>
              <w:t>危险化学品单位有下列情形之一的，由县级以上人民政府安全生产监督管理部门给予警告，可以并处</w:t>
            </w:r>
            <w:r>
              <w:rPr>
                <w:rFonts w:asciiTheme="minorEastAsia" w:hAnsiTheme="minorEastAsia" w:eastAsiaTheme="minorEastAsia"/>
                <w:highlight w:val="none"/>
              </w:rPr>
              <w:t>5000</w:t>
            </w:r>
            <w:r>
              <w:rPr>
                <w:rFonts w:hint="eastAsia" w:asciiTheme="minorEastAsia" w:hAnsiTheme="minorEastAsia" w:eastAsiaTheme="minorEastAsia"/>
                <w:highlight w:val="none"/>
              </w:rPr>
              <w:t>元以上</w:t>
            </w:r>
            <w:r>
              <w:rPr>
                <w:rFonts w:asciiTheme="minorEastAsia" w:hAnsiTheme="minorEastAsia" w:eastAsiaTheme="minorEastAsia"/>
                <w:highlight w:val="none"/>
              </w:rPr>
              <w:t>3</w:t>
            </w:r>
            <w:r>
              <w:rPr>
                <w:rFonts w:hint="eastAsia"/>
              </w:rPr>
              <w:t>万元以下的罚款：</w:t>
            </w:r>
          </w:p>
          <w:p>
            <w:pPr>
              <w:ind w:firstLine="420" w:firstLineChars="200"/>
            </w:pPr>
            <w:r>
              <w:rPr>
                <w:rFonts w:hint="eastAsia"/>
              </w:rPr>
              <w:t>（一）未按照标准对重大危险源进行辨识的。</w:t>
            </w:r>
          </w:p>
          <w:p>
            <w:pPr>
              <w:pStyle w:val="2"/>
              <w:ind w:firstLine="420"/>
              <w:rPr>
                <w:rFonts w:hint="eastAsia" w:eastAsiaTheme="minorEastAsia"/>
                <w:lang w:eastAsia="zh-CN"/>
              </w:rPr>
            </w:pPr>
            <w:r>
              <w:rPr>
                <w:rFonts w:hint="eastAsia" w:asciiTheme="minorEastAsia" w:hAnsiTheme="minorEastAsia" w:eastAsiaTheme="minorEastAsia"/>
                <w:szCs w:val="21"/>
              </w:rPr>
              <w:t>……</w:t>
            </w:r>
          </w:p>
        </w:tc>
        <w:tc>
          <w:tcPr>
            <w:tcW w:w="1014" w:type="dxa"/>
            <w:vAlign w:val="center"/>
          </w:tcPr>
          <w:p>
            <w:pPr>
              <w:widowControl/>
              <w:adjustRightInd w:val="0"/>
              <w:snapToGrid w:val="0"/>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32" w:hRule="atLeast"/>
          <w:jc w:val="center"/>
        </w:trPr>
        <w:tc>
          <w:tcPr>
            <w:tcW w:w="814" w:type="dxa"/>
            <w:vMerge w:val="continue"/>
            <w:vAlign w:val="center"/>
          </w:tcPr>
          <w:p>
            <w:pPr>
              <w:jc w:val="center"/>
              <w:rPr>
                <w:rFonts w:asciiTheme="minorEastAsia" w:hAnsiTheme="minorEastAsia" w:eastAsiaTheme="minorEastAsia"/>
              </w:rPr>
            </w:pPr>
          </w:p>
        </w:tc>
        <w:tc>
          <w:tcPr>
            <w:tcW w:w="1704" w:type="dxa"/>
            <w:vMerge w:val="continue"/>
            <w:vAlign w:val="center"/>
          </w:tcPr>
          <w:p>
            <w:pPr>
              <w:adjustRightInd w:val="0"/>
              <w:snapToGrid w:val="0"/>
              <w:jc w:val="left"/>
              <w:rPr>
                <w:rFonts w:asciiTheme="minorEastAsia" w:hAnsiTheme="minorEastAsia" w:eastAsiaTheme="minorEastAsia"/>
              </w:rPr>
            </w:pPr>
          </w:p>
        </w:tc>
        <w:tc>
          <w:tcPr>
            <w:tcW w:w="2551" w:type="dxa"/>
            <w:vAlign w:val="center"/>
          </w:tcPr>
          <w:p>
            <w:pPr>
              <w:spacing w:line="330" w:lineRule="exact"/>
              <w:ind w:left="1"/>
              <w:rPr>
                <w:rFonts w:ascii="宋体" w:hAnsi="宋体"/>
                <w:szCs w:val="21"/>
              </w:rPr>
            </w:pPr>
            <w:r>
              <w:rPr>
                <w:rFonts w:hint="eastAsia" w:ascii="宋体" w:hAnsi="宋体"/>
                <w:szCs w:val="21"/>
              </w:rPr>
              <w:t>6.6 企业应按照</w:t>
            </w:r>
            <w:r>
              <w:rPr>
                <w:rFonts w:hint="eastAsia" w:ascii="宋体" w:hAnsi="宋体"/>
                <w:spacing w:val="-2"/>
                <w:szCs w:val="21"/>
              </w:rPr>
              <w:t>AQ 3036及</w:t>
            </w:r>
            <w:r>
              <w:rPr>
                <w:rFonts w:hint="eastAsia" w:ascii="宋体" w:hAnsi="宋体"/>
                <w:szCs w:val="21"/>
              </w:rPr>
              <w:t>有关规定设置重大危险源安全监控报警系统，重大危险源涉及的压力、温度、液位、泄漏报警等重要参数的测量要有远传和连续记录</w:t>
            </w:r>
          </w:p>
        </w:tc>
        <w:tc>
          <w:tcPr>
            <w:tcW w:w="4251" w:type="dxa"/>
            <w:vAlign w:val="center"/>
          </w:tcPr>
          <w:p>
            <w:pPr>
              <w:ind w:firstLine="420" w:firstLineChars="200"/>
            </w:pPr>
            <w:r>
              <w:rPr>
                <w:rFonts w:hint="eastAsia"/>
              </w:rPr>
              <w:t>《危险化学品重大危险源监督管理暂行规定》</w:t>
            </w:r>
            <w:r>
              <w:t>第</w:t>
            </w:r>
            <w:r>
              <w:rPr>
                <w:rFonts w:hint="eastAsia"/>
              </w:rPr>
              <w:t>十</w:t>
            </w:r>
            <w:r>
              <w:t>三条</w:t>
            </w:r>
            <w:r>
              <w:rPr>
                <w:rFonts w:hint="eastAsia"/>
              </w:rPr>
              <w:t xml:space="preserve"> </w:t>
            </w:r>
            <w:r>
              <w:t xml:space="preserve"> </w:t>
            </w:r>
            <w:r>
              <w:rPr>
                <w:rFonts w:hint="eastAsia"/>
              </w:rPr>
              <w:t>危险化学品单位应当根据构成重大危险源的危险化学品种类、数量、生产、使用工艺（方式）或者相关设备、设施等实际情况，按照下列要求建立健全安全监测监控体系，完善控制措施：</w:t>
            </w:r>
          </w:p>
          <w:p>
            <w:pPr>
              <w:ind w:firstLine="420" w:firstLineChars="200"/>
            </w:pPr>
            <w:r>
              <w:rPr>
                <w:rFonts w:hint="eastAsia"/>
              </w:rPr>
              <w:t>（一）重大危险源配备温度、压力、液位、流量、组份等信息的不间断采集和监测系统以及可燃气体和有毒有害气体泄漏检测报警装置，并具备信息远传、连续记录、事故预警、信息存储等功能；一级或者二级重大危险源，具备紧急停车功能。记录的电子数据的保存时间不少</w:t>
            </w:r>
            <w:r>
              <w:rPr>
                <w:rFonts w:hint="eastAsia" w:asciiTheme="minorEastAsia" w:hAnsiTheme="minorEastAsia" w:eastAsiaTheme="minorEastAsia"/>
              </w:rPr>
              <w:t>于30天</w:t>
            </w:r>
            <w:r>
              <w:rPr>
                <w:rFonts w:hint="eastAsia"/>
              </w:rPr>
              <w:t>。</w:t>
            </w:r>
          </w:p>
          <w:p>
            <w:pPr>
              <w:pStyle w:val="2"/>
              <w:ind w:firstLine="420"/>
            </w:pPr>
            <w:r>
              <w:rPr>
                <w:rFonts w:hint="eastAsia" w:asciiTheme="minorEastAsia" w:hAnsiTheme="minorEastAsia" w:eastAsiaTheme="minorEastAsia"/>
                <w:szCs w:val="21"/>
              </w:rPr>
              <w:t>……</w:t>
            </w:r>
          </w:p>
        </w:tc>
        <w:tc>
          <w:tcPr>
            <w:tcW w:w="3545" w:type="dxa"/>
            <w:vAlign w:val="center"/>
          </w:tcPr>
          <w:p>
            <w:pPr>
              <w:ind w:firstLine="420" w:firstLineChars="200"/>
            </w:pPr>
            <w:r>
              <w:rPr>
                <w:rFonts w:hint="eastAsia"/>
              </w:rPr>
              <w:t xml:space="preserve">《危险化学品重大危险源监督管理暂行规定》第三十二条 </w:t>
            </w:r>
            <w:r>
              <w:t xml:space="preserve"> </w:t>
            </w:r>
            <w:r>
              <w:rPr>
                <w:rFonts w:hint="eastAsia"/>
              </w:rPr>
              <w:t>危险化学品单位有下列行为之一的，由县级以上人民政府安全生产监督管理部门责令限期改正；逾期未改正的，责令停产停业整顿，可以并处2万元以上10万元以下的罚款：</w:t>
            </w:r>
          </w:p>
          <w:p>
            <w:pPr>
              <w:ind w:firstLine="420" w:firstLineChars="200"/>
            </w:pPr>
            <w:r>
              <w:rPr>
                <w:rFonts w:hint="eastAsia"/>
              </w:rPr>
              <w:t>……</w:t>
            </w:r>
          </w:p>
          <w:p>
            <w:pPr>
              <w:widowControl/>
              <w:adjustRightInd w:val="0"/>
              <w:snapToGrid w:val="0"/>
              <w:ind w:firstLine="420" w:firstLineChars="200"/>
            </w:pPr>
            <w:r>
              <w:rPr>
                <w:rFonts w:hint="eastAsia"/>
              </w:rPr>
              <w:t>（三）未按照本规定及相关标准要求对重大危险源进行安全监测监控的。</w:t>
            </w:r>
          </w:p>
          <w:p>
            <w:pPr>
              <w:pStyle w:val="2"/>
              <w:ind w:firstLine="420"/>
            </w:pPr>
            <w:r>
              <w:rPr>
                <w:rFonts w:hint="eastAsia" w:asciiTheme="minorEastAsia" w:hAnsiTheme="minorEastAsia" w:eastAsiaTheme="minorEastAsia"/>
                <w:szCs w:val="21"/>
              </w:rPr>
              <w:t>……</w:t>
            </w:r>
          </w:p>
        </w:tc>
        <w:tc>
          <w:tcPr>
            <w:tcW w:w="1014" w:type="dxa"/>
            <w:vAlign w:val="center"/>
          </w:tcPr>
          <w:p>
            <w:pPr>
              <w:widowControl/>
              <w:adjustRightInd w:val="0"/>
              <w:snapToGrid w:val="0"/>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90" w:hRule="atLeast"/>
          <w:jc w:val="center"/>
        </w:trPr>
        <w:tc>
          <w:tcPr>
            <w:tcW w:w="814" w:type="dxa"/>
            <w:vMerge w:val="continue"/>
            <w:vAlign w:val="center"/>
          </w:tcPr>
          <w:p>
            <w:pPr>
              <w:jc w:val="center"/>
              <w:rPr>
                <w:rFonts w:asciiTheme="minorEastAsia" w:hAnsiTheme="minorEastAsia" w:eastAsiaTheme="minorEastAsia"/>
              </w:rPr>
            </w:pPr>
          </w:p>
        </w:tc>
        <w:tc>
          <w:tcPr>
            <w:tcW w:w="1704" w:type="dxa"/>
            <w:vMerge w:val="continue"/>
            <w:vAlign w:val="center"/>
          </w:tcPr>
          <w:p>
            <w:pPr>
              <w:adjustRightInd w:val="0"/>
              <w:snapToGrid w:val="0"/>
              <w:jc w:val="left"/>
              <w:rPr>
                <w:rFonts w:asciiTheme="minorEastAsia" w:hAnsiTheme="minorEastAsia" w:eastAsiaTheme="minorEastAsia"/>
              </w:rPr>
            </w:pPr>
          </w:p>
        </w:tc>
        <w:tc>
          <w:tcPr>
            <w:tcW w:w="2551" w:type="dxa"/>
            <w:vAlign w:val="center"/>
          </w:tcPr>
          <w:p>
            <w:pPr>
              <w:spacing w:line="330" w:lineRule="exact"/>
              <w:ind w:left="1"/>
              <w:rPr>
                <w:rFonts w:ascii="宋体" w:hAnsi="宋体"/>
                <w:szCs w:val="21"/>
              </w:rPr>
            </w:pPr>
            <w:r>
              <w:rPr>
                <w:rFonts w:hint="eastAsia" w:ascii="宋体" w:hAnsi="宋体"/>
                <w:szCs w:val="21"/>
              </w:rPr>
              <w:t>6.7 涉及毒性气体、液化气体、</w:t>
            </w:r>
            <w:r>
              <w:rPr>
                <w:rFonts w:hint="eastAsia" w:ascii="宋体" w:hAnsi="宋体" w:cs="宋体"/>
                <w:szCs w:val="21"/>
              </w:rPr>
              <w:t>剧毒液体的一级或者二级重大危险源，应配备独立的安全仪表系统（SIS）</w:t>
            </w:r>
          </w:p>
        </w:tc>
        <w:tc>
          <w:tcPr>
            <w:tcW w:w="4251" w:type="dxa"/>
            <w:vAlign w:val="center"/>
          </w:tcPr>
          <w:p>
            <w:pPr>
              <w:ind w:firstLine="420" w:firstLineChars="200"/>
            </w:pPr>
            <w:r>
              <w:rPr>
                <w:rFonts w:hint="eastAsia"/>
              </w:rPr>
              <w:t>《危险化学品重大危险源监督管理暂行规定》</w:t>
            </w:r>
            <w:r>
              <w:t>第</w:t>
            </w:r>
            <w:r>
              <w:rPr>
                <w:rFonts w:hint="eastAsia"/>
              </w:rPr>
              <w:t>十</w:t>
            </w:r>
            <w:r>
              <w:t>三条</w:t>
            </w:r>
            <w:r>
              <w:rPr>
                <w:rFonts w:hint="eastAsia"/>
              </w:rPr>
              <w:t xml:space="preserve"> </w:t>
            </w:r>
            <w:r>
              <w:t xml:space="preserve"> </w:t>
            </w:r>
            <w:r>
              <w:rPr>
                <w:rFonts w:hint="eastAsia"/>
              </w:rPr>
              <w:t>危险化学品单位应当根据构成重大危险源的危险化学品种类、数量、生产、使用工艺（方式）或者相关设备、设施等实际情况，按照下列要求建立健全安全监测监控体系，完善控制措施：</w:t>
            </w:r>
          </w:p>
          <w:p>
            <w:pPr>
              <w:ind w:firstLine="420" w:firstLineChars="200"/>
            </w:pPr>
            <w:r>
              <w:rPr>
                <w:rFonts w:hint="eastAsia" w:asciiTheme="minorEastAsia" w:hAnsiTheme="minorEastAsia" w:eastAsiaTheme="minorEastAsia"/>
                <w:szCs w:val="21"/>
              </w:rPr>
              <w:t>……</w:t>
            </w:r>
          </w:p>
          <w:p>
            <w:pPr>
              <w:ind w:firstLine="420" w:firstLineChars="200"/>
            </w:pPr>
            <w:r>
              <w:rPr>
                <w:rFonts w:hint="eastAsia"/>
              </w:rPr>
              <w:t>（三）对重大危险源中的毒性气体、剧毒液体和易燃气体等重点设施，设置紧急切断装置；毒性气体的设施，设置泄漏物紧急处置装置。涉及毒性气体、液化气体、剧毒液体的一级或者二级重大危险源，配备独立的安全仪表系统</w:t>
            </w:r>
            <w:r>
              <w:rPr>
                <w:rFonts w:hint="eastAsia" w:asciiTheme="minorEastAsia" w:hAnsiTheme="minorEastAsia" w:eastAsiaTheme="minorEastAsia"/>
                <w:highlight w:val="none"/>
              </w:rPr>
              <w:t>（SIS）</w:t>
            </w:r>
            <w:r>
              <w:rPr>
                <w:rFonts w:hint="eastAsia"/>
              </w:rPr>
              <w:t>。</w:t>
            </w:r>
          </w:p>
          <w:p>
            <w:pPr>
              <w:pStyle w:val="2"/>
              <w:ind w:firstLine="420"/>
            </w:pPr>
            <w:r>
              <w:rPr>
                <w:rFonts w:hint="eastAsia" w:asciiTheme="minorEastAsia" w:hAnsiTheme="minorEastAsia" w:eastAsiaTheme="minorEastAsia"/>
                <w:szCs w:val="21"/>
              </w:rPr>
              <w:t>……</w:t>
            </w:r>
          </w:p>
        </w:tc>
        <w:tc>
          <w:tcPr>
            <w:tcW w:w="3545" w:type="dxa"/>
            <w:vAlign w:val="center"/>
          </w:tcPr>
          <w:p>
            <w:r>
              <w:rPr>
                <w:rFonts w:hint="eastAsia"/>
              </w:rPr>
              <w:t xml:space="preserve">《危险化学品重大危险源监督管理暂行规定》第三十二条 </w:t>
            </w:r>
            <w:r>
              <w:t xml:space="preserve"> </w:t>
            </w:r>
            <w:r>
              <w:rPr>
                <w:rFonts w:hint="eastAsia"/>
              </w:rPr>
              <w:t>危险化学品单位有下列行为之一的，由县级以上人民政府安全生产监督管理部门责令限期改正；逾期未改正的，责令停产停业整顿，可以并</w:t>
            </w:r>
            <w:r>
              <w:rPr>
                <w:rFonts w:hint="eastAsia" w:asciiTheme="minorEastAsia" w:hAnsiTheme="minorEastAsia" w:eastAsiaTheme="minorEastAsia"/>
              </w:rPr>
              <w:t>处2万元以上10</w:t>
            </w:r>
            <w:r>
              <w:rPr>
                <w:rFonts w:hint="eastAsia"/>
              </w:rPr>
              <w:t>万元以下的罚款：</w:t>
            </w:r>
          </w:p>
          <w:p>
            <w:pPr>
              <w:pStyle w:val="2"/>
              <w:ind w:firstLine="420"/>
            </w:pPr>
            <w:r>
              <w:rPr>
                <w:rFonts w:hint="eastAsia" w:asciiTheme="minorEastAsia" w:hAnsiTheme="minorEastAsia" w:eastAsiaTheme="minorEastAsia"/>
                <w:szCs w:val="21"/>
              </w:rPr>
              <w:t>……</w:t>
            </w:r>
          </w:p>
          <w:p>
            <w:r>
              <w:rPr>
                <w:rFonts w:hint="eastAsia"/>
              </w:rPr>
              <w:t xml:space="preserve">    （三）未按照本规定及相关标准要求对重大危险源进行安全监测监控的。</w:t>
            </w:r>
          </w:p>
          <w:p>
            <w:pPr>
              <w:pStyle w:val="2"/>
              <w:ind w:firstLine="420"/>
            </w:pPr>
            <w:r>
              <w:rPr>
                <w:rFonts w:hint="eastAsia" w:asciiTheme="minorEastAsia" w:hAnsiTheme="minorEastAsia" w:eastAsiaTheme="minorEastAsia"/>
                <w:szCs w:val="21"/>
              </w:rPr>
              <w:t>……</w:t>
            </w:r>
          </w:p>
        </w:tc>
        <w:tc>
          <w:tcPr>
            <w:tcW w:w="1014" w:type="dxa"/>
            <w:vAlign w:val="center"/>
          </w:tcPr>
          <w:p>
            <w:pPr>
              <w:widowControl/>
              <w:adjustRightInd w:val="0"/>
              <w:snapToGrid w:val="0"/>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32" w:hRule="atLeast"/>
          <w:jc w:val="center"/>
        </w:trPr>
        <w:tc>
          <w:tcPr>
            <w:tcW w:w="814" w:type="dxa"/>
            <w:vMerge w:val="continue"/>
            <w:vAlign w:val="center"/>
          </w:tcPr>
          <w:p>
            <w:pPr>
              <w:jc w:val="center"/>
              <w:rPr>
                <w:rFonts w:asciiTheme="minorEastAsia" w:hAnsiTheme="minorEastAsia" w:eastAsiaTheme="minorEastAsia"/>
              </w:rPr>
            </w:pPr>
          </w:p>
        </w:tc>
        <w:tc>
          <w:tcPr>
            <w:tcW w:w="1704" w:type="dxa"/>
            <w:vMerge w:val="continue"/>
            <w:vAlign w:val="center"/>
          </w:tcPr>
          <w:p>
            <w:pPr>
              <w:adjustRightInd w:val="0"/>
              <w:snapToGrid w:val="0"/>
              <w:jc w:val="left"/>
              <w:rPr>
                <w:rFonts w:asciiTheme="minorEastAsia" w:hAnsiTheme="minorEastAsia" w:eastAsiaTheme="minorEastAsia"/>
              </w:rPr>
            </w:pPr>
          </w:p>
        </w:tc>
        <w:tc>
          <w:tcPr>
            <w:tcW w:w="2551" w:type="dxa"/>
            <w:vAlign w:val="center"/>
          </w:tcPr>
          <w:p>
            <w:pPr>
              <w:adjustRightInd w:val="0"/>
              <w:snapToGrid w:val="0"/>
              <w:jc w:val="left"/>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8 危险化学品重大危险源的安全生产状况定期检查，采取措施消除事故隐患</w:t>
            </w:r>
          </w:p>
        </w:tc>
        <w:tc>
          <w:tcPr>
            <w:tcW w:w="4251" w:type="dxa"/>
            <w:vAlign w:val="center"/>
          </w:tcPr>
          <w:p>
            <w:pPr>
              <w:ind w:firstLine="420" w:firstLineChars="200"/>
              <w:rPr>
                <w:rFonts w:asciiTheme="minorEastAsia" w:hAnsiTheme="minorEastAsia" w:eastAsiaTheme="minorEastAsia"/>
              </w:rPr>
            </w:pPr>
            <w:r>
              <w:rPr>
                <w:rFonts w:hint="eastAsia" w:asciiTheme="minorEastAsia" w:hAnsiTheme="minorEastAsia" w:eastAsiaTheme="minorEastAsia"/>
                <w:szCs w:val="21"/>
              </w:rPr>
              <w:t>《危险化学品重大危险源监督管理暂行规定》第十六条  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tc>
        <w:tc>
          <w:tcPr>
            <w:tcW w:w="3545" w:type="dxa"/>
            <w:vAlign w:val="center"/>
          </w:tcPr>
          <w:p>
            <w:pPr>
              <w:ind w:firstLine="420" w:firstLineChars="200"/>
              <w:rPr>
                <w:rFonts w:asciiTheme="minorEastAsia" w:hAnsiTheme="minorEastAsia" w:eastAsiaTheme="minorEastAsia"/>
              </w:rPr>
            </w:pPr>
            <w:r>
              <w:rPr>
                <w:rFonts w:hint="eastAsia" w:asciiTheme="minorEastAsia" w:hAnsiTheme="minorEastAsia" w:eastAsiaTheme="minorEastAsia"/>
                <w:szCs w:val="21"/>
              </w:rPr>
              <w:t>《危险化学品重大危险源监督管理暂行规定》第三十五条  危险化学品单位未按照本规定对重大危险源的安全生产状况进行定期检查，采取措施消除事故隐患的，责令立即消除或者限期消除；危险化学品单位拒不执行的，责令停产停业整顿，并处10万元以上50万元以下的罚款，对其直接负责的主管人员和其他直接责任人员处2万元以上5万元以下的罚款。</w:t>
            </w:r>
          </w:p>
        </w:tc>
        <w:tc>
          <w:tcPr>
            <w:tcW w:w="1014" w:type="dxa"/>
            <w:vAlign w:val="center"/>
          </w:tcPr>
          <w:p>
            <w:pPr>
              <w:widowControl/>
              <w:adjustRightInd w:val="0"/>
              <w:snapToGrid w:val="0"/>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12" w:hRule="atLeast"/>
          <w:jc w:val="center"/>
        </w:trPr>
        <w:tc>
          <w:tcPr>
            <w:tcW w:w="814" w:type="dxa"/>
            <w:vMerge w:val="continue"/>
            <w:vAlign w:val="center"/>
          </w:tcPr>
          <w:p>
            <w:pPr>
              <w:jc w:val="center"/>
              <w:rPr>
                <w:rFonts w:asciiTheme="minorEastAsia" w:hAnsiTheme="minorEastAsia" w:eastAsiaTheme="minorEastAsia"/>
              </w:rPr>
            </w:pPr>
          </w:p>
        </w:tc>
        <w:tc>
          <w:tcPr>
            <w:tcW w:w="1704" w:type="dxa"/>
            <w:vMerge w:val="continue"/>
            <w:vAlign w:val="center"/>
          </w:tcPr>
          <w:p>
            <w:pPr>
              <w:adjustRightInd w:val="0"/>
              <w:snapToGrid w:val="0"/>
              <w:jc w:val="left"/>
              <w:rPr>
                <w:rFonts w:asciiTheme="minorEastAsia" w:hAnsiTheme="minorEastAsia" w:eastAsiaTheme="minorEastAsia"/>
              </w:rPr>
            </w:pPr>
          </w:p>
        </w:tc>
        <w:tc>
          <w:tcPr>
            <w:tcW w:w="2551" w:type="dxa"/>
            <w:vAlign w:val="center"/>
          </w:tcPr>
          <w:p>
            <w:pPr>
              <w:adjustRightInd w:val="0"/>
              <w:snapToGrid w:val="0"/>
              <w:jc w:val="left"/>
              <w:rPr>
                <w:rFonts w:asciiTheme="minorEastAsia" w:hAnsiTheme="minorEastAsia" w:eastAsiaTheme="minorEastAsia"/>
              </w:rPr>
            </w:pPr>
            <w:r>
              <w:rPr>
                <w:rFonts w:hint="eastAsia" w:ascii="宋体" w:hAnsi="宋体"/>
                <w:spacing w:val="2"/>
                <w:szCs w:val="21"/>
              </w:rPr>
              <w:t>6.9 企业应将重大危险源及相关安全措施、应急措施</w:t>
            </w:r>
            <w:r>
              <w:rPr>
                <w:rFonts w:ascii="宋体" w:hAnsi="宋体" w:cs="宋体"/>
                <w:spacing w:val="2"/>
                <w:szCs w:val="21"/>
              </w:rPr>
              <w:t>报送当地县级以上人民政府</w:t>
            </w:r>
            <w:r>
              <w:rPr>
                <w:rFonts w:hint="eastAsia" w:ascii="宋体" w:hAnsi="宋体" w:cs="宋体"/>
                <w:spacing w:val="2"/>
                <w:szCs w:val="21"/>
              </w:rPr>
              <w:t>应急</w:t>
            </w:r>
            <w:r>
              <w:rPr>
                <w:rFonts w:ascii="宋体" w:hAnsi="宋体" w:cs="宋体"/>
                <w:spacing w:val="2"/>
                <w:szCs w:val="21"/>
              </w:rPr>
              <w:t>管理部门</w:t>
            </w:r>
            <w:r>
              <w:rPr>
                <w:rFonts w:hint="eastAsia" w:ascii="宋体" w:hAnsi="宋体"/>
                <w:spacing w:val="2"/>
                <w:szCs w:val="21"/>
              </w:rPr>
              <w:t>备案</w:t>
            </w:r>
          </w:p>
        </w:tc>
        <w:tc>
          <w:tcPr>
            <w:tcW w:w="4251" w:type="dxa"/>
            <w:vAlign w:val="center"/>
          </w:tcPr>
          <w:p>
            <w:pPr>
              <w:ind w:firstLine="420" w:firstLineChars="200"/>
              <w:rPr>
                <w:rFonts w:asciiTheme="minorEastAsia" w:hAnsiTheme="minorEastAsia" w:eastAsiaTheme="minorEastAsia"/>
                <w:szCs w:val="21"/>
              </w:rPr>
            </w:pPr>
            <w:r>
              <w:rPr>
                <w:rFonts w:hint="eastAsia" w:ascii="Times New Roman" w:hAnsi="Times New Roman" w:cs="宋体"/>
                <w:kern w:val="0"/>
                <w:szCs w:val="21"/>
              </w:rPr>
              <w:t xml:space="preserve">《危险化学品重大危险源监督管理暂行规定》第二十三条 </w:t>
            </w:r>
            <w:r>
              <w:rPr>
                <w:rFonts w:ascii="Times New Roman" w:hAnsi="Times New Roman" w:cs="宋体"/>
                <w:kern w:val="0"/>
                <w:szCs w:val="21"/>
              </w:rPr>
              <w:t xml:space="preserve"> </w:t>
            </w:r>
            <w:r>
              <w:rPr>
                <w:rFonts w:hint="eastAsia" w:ascii="Times New Roman" w:hAnsi="Times New Roman" w:cs="宋体"/>
                <w:kern w:val="0"/>
                <w:szCs w:val="21"/>
              </w:rPr>
              <w:t>危险化学品单位在完成重大危险源安全评估报告或者安全评价报告后</w:t>
            </w:r>
            <w:r>
              <w:rPr>
                <w:rFonts w:ascii="宋体" w:hAnsi="宋体" w:cs="宋体"/>
                <w:kern w:val="0"/>
                <w:szCs w:val="21"/>
              </w:rPr>
              <w:t>15</w:t>
            </w:r>
            <w:r>
              <w:rPr>
                <w:rFonts w:hint="eastAsia" w:ascii="Times New Roman" w:hAnsi="Times New Roman" w:cs="宋体"/>
                <w:kern w:val="0"/>
                <w:szCs w:val="21"/>
              </w:rPr>
              <w:t>日内，应当填写重大危险源备案申请表，连同本规定第二十二条规定的重大危险源档案材料（其中第二款第五项规定的文件资料只需提供清单），报送所在地县级人民政府安全生产监督管理部门备案。</w:t>
            </w:r>
          </w:p>
        </w:tc>
        <w:tc>
          <w:tcPr>
            <w:tcW w:w="3545" w:type="dxa"/>
            <w:vAlign w:val="center"/>
          </w:tcPr>
          <w:p>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《危险化学品重大危险源监督管理暂行规定》第三十四条  危险化学品单位有下列情形之一的，由县级以上人民政府安全生产监督管理部门给予警告，可以并处</w:t>
            </w:r>
            <w:r>
              <w:rPr>
                <w:rFonts w:hint="eastAsia" w:asciiTheme="minorEastAsia" w:hAnsiTheme="minorEastAsia" w:eastAsiaTheme="minorEastAsia" w:cstheme="minorEastAsia"/>
                <w:highlight w:val="none"/>
              </w:rPr>
              <w:t>5000元以上3</w:t>
            </w:r>
            <w:r>
              <w:rPr>
                <w:rFonts w:hint="eastAsia" w:asciiTheme="minorEastAsia" w:hAnsiTheme="minorEastAsia" w:eastAsiaTheme="minorEastAsia" w:cstheme="minorEastAsia"/>
              </w:rPr>
              <w:t>万元以下的罚款：</w:t>
            </w:r>
          </w:p>
          <w:p>
            <w:pPr>
              <w:pStyle w:val="2"/>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（四）未按照本规定进行重大危险源备案或者核销的。</w:t>
            </w:r>
          </w:p>
          <w:p>
            <w:pPr>
              <w:pStyle w:val="2"/>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w:t>
            </w:r>
          </w:p>
        </w:tc>
        <w:tc>
          <w:tcPr>
            <w:tcW w:w="1014" w:type="dxa"/>
            <w:vAlign w:val="center"/>
          </w:tcPr>
          <w:p>
            <w:pPr>
              <w:widowControl/>
              <w:adjustRightInd w:val="0"/>
              <w:snapToGrid w:val="0"/>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32" w:hRule="atLeast"/>
          <w:jc w:val="center"/>
        </w:trPr>
        <w:tc>
          <w:tcPr>
            <w:tcW w:w="814" w:type="dxa"/>
            <w:vMerge w:val="continue"/>
            <w:vAlign w:val="center"/>
          </w:tcPr>
          <w:p>
            <w:pPr>
              <w:jc w:val="center"/>
              <w:rPr>
                <w:rFonts w:asciiTheme="minorEastAsia" w:hAnsiTheme="minorEastAsia" w:eastAsiaTheme="minorEastAsia"/>
              </w:rPr>
            </w:pPr>
          </w:p>
        </w:tc>
        <w:tc>
          <w:tcPr>
            <w:tcW w:w="1704" w:type="dxa"/>
            <w:vMerge w:val="continue"/>
            <w:vAlign w:val="center"/>
          </w:tcPr>
          <w:p>
            <w:pPr>
              <w:adjustRightInd w:val="0"/>
              <w:snapToGrid w:val="0"/>
              <w:jc w:val="left"/>
              <w:rPr>
                <w:rFonts w:asciiTheme="minorEastAsia" w:hAnsiTheme="minorEastAsia" w:eastAsiaTheme="minorEastAsia"/>
              </w:rPr>
            </w:pPr>
          </w:p>
        </w:tc>
        <w:tc>
          <w:tcPr>
            <w:tcW w:w="2551" w:type="dxa"/>
            <w:vAlign w:val="center"/>
          </w:tcPr>
          <w:p>
            <w:pPr>
              <w:adjustRightInd w:val="0"/>
              <w:snapToGrid w:val="0"/>
              <w:jc w:val="left"/>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10 有毒气体的区域配备便携式检测仪、空气呼吸器等器材和设备</w:t>
            </w:r>
          </w:p>
        </w:tc>
        <w:tc>
          <w:tcPr>
            <w:tcW w:w="4251" w:type="dxa"/>
            <w:vAlign w:val="center"/>
          </w:tcPr>
          <w:p>
            <w:pPr>
              <w:ind w:firstLine="420" w:firstLineChars="200"/>
              <w:rPr>
                <w:rFonts w:asciiTheme="minorEastAsia" w:hAnsiTheme="minorEastAsia" w:eastAsiaTheme="minorEastAsia"/>
              </w:rPr>
            </w:pPr>
            <w:r>
              <w:rPr>
                <w:rFonts w:hint="eastAsia" w:asciiTheme="minorEastAsia" w:hAnsiTheme="minorEastAsia" w:eastAsiaTheme="minorEastAsia"/>
                <w:szCs w:val="21"/>
              </w:rPr>
              <w:t xml:space="preserve">《安全生产法》第七十九条  </w:t>
            </w:r>
            <w:r>
              <w:rPr>
                <w:rFonts w:asciiTheme="minorEastAsia" w:hAnsiTheme="minorEastAsia" w:eastAsiaTheme="minorEastAsia"/>
                <w:szCs w:val="21"/>
              </w:rPr>
              <w:t>危险物品的生产、经营、储存、运输单位以及矿山、金属冶炼、城市轨道交通运营、建筑施工单位应当配备必要的应急救援器材、设备和物资，并进行经常性维护、保养，保证正常运转。</w:t>
            </w:r>
          </w:p>
        </w:tc>
        <w:tc>
          <w:tcPr>
            <w:tcW w:w="3545" w:type="dxa"/>
            <w:vAlign w:val="center"/>
          </w:tcPr>
          <w:p>
            <w:pPr>
              <w:ind w:firstLine="420" w:firstLineChars="200"/>
              <w:rPr>
                <w:rFonts w:asciiTheme="minorHAnsi" w:hAnsiTheme="minorHAnsi" w:eastAsiaTheme="minorEastAsia"/>
              </w:rPr>
            </w:pPr>
            <w:r>
              <w:rPr>
                <w:rFonts w:hint="eastAsia" w:asciiTheme="minorEastAsia" w:hAnsiTheme="minorEastAsia" w:eastAsiaTheme="minorEastAsia"/>
                <w:szCs w:val="21"/>
              </w:rPr>
              <w:t xml:space="preserve">《安全生产违法行为行政处罚办法》第四十六条  </w:t>
            </w:r>
            <w:r>
              <w:rPr>
                <w:rFonts w:hint="eastAsia" w:asciiTheme="minorHAnsi" w:hAnsiTheme="minorHAnsi" w:eastAsiaTheme="minorEastAsia"/>
              </w:rPr>
              <w:t>危险物品的生产、经营、储存单位以及矿山、金属冶炼单位有下列行为之一的，责令改正，并可</w:t>
            </w:r>
            <w:r>
              <w:rPr>
                <w:rFonts w:hint="eastAsia" w:asciiTheme="minorHAnsi" w:hAnsiTheme="minorHAnsi" w:eastAsiaTheme="minorEastAsia"/>
                <w:highlight w:val="none"/>
              </w:rPr>
              <w:t>以</w:t>
            </w:r>
            <w:r>
              <w:rPr>
                <w:rFonts w:hint="eastAsia" w:asciiTheme="minorEastAsia" w:hAnsiTheme="minorEastAsia" w:eastAsiaTheme="minorEastAsia"/>
                <w:highlight w:val="none"/>
              </w:rPr>
              <w:t>处</w:t>
            </w:r>
            <w:r>
              <w:rPr>
                <w:rFonts w:cs="Calibri" w:asciiTheme="minorEastAsia" w:hAnsiTheme="minorEastAsia" w:eastAsiaTheme="minorEastAsia"/>
                <w:highlight w:val="none"/>
              </w:rPr>
              <w:t>1</w:t>
            </w:r>
            <w:r>
              <w:rPr>
                <w:rFonts w:hint="eastAsia" w:asciiTheme="minorEastAsia" w:hAnsiTheme="minorEastAsia" w:eastAsiaTheme="minorEastAsia"/>
                <w:highlight w:val="none"/>
              </w:rPr>
              <w:t>万元以上</w:t>
            </w:r>
            <w:r>
              <w:rPr>
                <w:rFonts w:cs="Calibri" w:asciiTheme="minorEastAsia" w:hAnsiTheme="minorEastAsia" w:eastAsiaTheme="minorEastAsia"/>
                <w:highlight w:val="none"/>
              </w:rPr>
              <w:t>3</w:t>
            </w:r>
            <w:r>
              <w:rPr>
                <w:rFonts w:hint="eastAsia" w:asciiTheme="minorEastAsia" w:hAnsiTheme="minorEastAsia" w:eastAsiaTheme="minorEastAsia"/>
                <w:highlight w:val="none"/>
              </w:rPr>
              <w:t>万</w:t>
            </w:r>
            <w:r>
              <w:rPr>
                <w:rFonts w:hint="eastAsia" w:asciiTheme="minorHAnsi" w:hAnsiTheme="minorHAnsi" w:eastAsiaTheme="minorEastAsia"/>
              </w:rPr>
              <w:t>元以下的罚款：</w:t>
            </w:r>
          </w:p>
          <w:p>
            <w:pPr>
              <w:ind w:firstLine="420" w:firstLineChars="200"/>
              <w:rPr>
                <w:rFonts w:asciiTheme="minorHAnsi" w:hAnsiTheme="minorHAnsi" w:eastAsiaTheme="minorEastAsia"/>
              </w:rPr>
            </w:pPr>
            <w:r>
              <w:rPr>
                <w:rFonts w:hint="eastAsia" w:asciiTheme="minorHAnsi" w:hAnsiTheme="minorHAnsi" w:eastAsiaTheme="minorEastAsia"/>
              </w:rPr>
              <w:t>……</w:t>
            </w:r>
          </w:p>
          <w:p>
            <w:pPr>
              <w:ind w:firstLine="420" w:firstLineChars="200"/>
              <w:rPr>
                <w:rFonts w:asciiTheme="minorEastAsia" w:hAnsiTheme="minorEastAsia" w:eastAsiaTheme="minorEastAsia"/>
              </w:rPr>
            </w:pPr>
            <w:r>
              <w:rPr>
                <w:rFonts w:hint="eastAsia" w:asciiTheme="minorHAnsi" w:hAnsiTheme="minorHAnsi" w:eastAsiaTheme="minorEastAsia"/>
              </w:rPr>
              <w:t>（二）未配备必要的应急救援器材、设备和物资，并进行经常性维护、保养，保证正常运转的。</w:t>
            </w:r>
          </w:p>
        </w:tc>
        <w:tc>
          <w:tcPr>
            <w:tcW w:w="1014" w:type="dxa"/>
            <w:vAlign w:val="center"/>
          </w:tcPr>
          <w:p>
            <w:pPr>
              <w:widowControl/>
              <w:adjustRightInd w:val="0"/>
              <w:snapToGrid w:val="0"/>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4" w:type="dxa"/>
            <w:vMerge w:val="continue"/>
            <w:vAlign w:val="center"/>
          </w:tcPr>
          <w:p>
            <w:pPr>
              <w:jc w:val="center"/>
              <w:rPr>
                <w:rFonts w:asciiTheme="minorEastAsia" w:hAnsiTheme="minorEastAsia" w:eastAsiaTheme="minorEastAsia"/>
              </w:rPr>
            </w:pPr>
          </w:p>
        </w:tc>
        <w:tc>
          <w:tcPr>
            <w:tcW w:w="1704" w:type="dxa"/>
            <w:vMerge w:val="continue"/>
            <w:vAlign w:val="center"/>
          </w:tcPr>
          <w:p>
            <w:pPr>
              <w:adjustRightInd w:val="0"/>
              <w:snapToGrid w:val="0"/>
              <w:jc w:val="left"/>
              <w:rPr>
                <w:rFonts w:asciiTheme="minorEastAsia" w:hAnsiTheme="minorEastAsia" w:eastAsiaTheme="minorEastAsia"/>
              </w:rPr>
            </w:pPr>
          </w:p>
        </w:tc>
        <w:tc>
          <w:tcPr>
            <w:tcW w:w="2551" w:type="dxa"/>
            <w:vAlign w:val="center"/>
          </w:tcPr>
          <w:p>
            <w:pPr>
              <w:adjustRightInd w:val="0"/>
              <w:snapToGrid w:val="0"/>
              <w:jc w:val="left"/>
              <w:rPr>
                <w:rFonts w:asciiTheme="minorEastAsia" w:hAnsiTheme="minorEastAsia" w:eastAsiaTheme="minorEastAsia"/>
              </w:rPr>
            </w:pPr>
            <w:r>
              <w:rPr>
                <w:rFonts w:hint="eastAsia" w:asciiTheme="minorEastAsia" w:hAnsiTheme="minorEastAsia" w:eastAsiaTheme="minorEastAsia"/>
              </w:rPr>
              <w:t>6.11 在有较大危险因素的生产经营场所和有关设施、设备上应设置明显的安全警示标志的</w:t>
            </w:r>
          </w:p>
        </w:tc>
        <w:tc>
          <w:tcPr>
            <w:tcW w:w="4251" w:type="dxa"/>
            <w:vAlign w:val="center"/>
          </w:tcPr>
          <w:p>
            <w:pPr>
              <w:ind w:firstLine="420" w:firstLineChars="200"/>
              <w:rPr>
                <w:rFonts w:asciiTheme="minorEastAsia" w:hAnsiTheme="minorEastAsia" w:eastAsiaTheme="minorEastAsia"/>
              </w:rPr>
            </w:pPr>
            <w:r>
              <w:rPr>
                <w:rFonts w:hint="eastAsia" w:asciiTheme="minorEastAsia" w:hAnsiTheme="minorEastAsia" w:eastAsiaTheme="minorEastAsia"/>
              </w:rPr>
              <w:t xml:space="preserve">《安全生产法》第三十二条  </w:t>
            </w:r>
            <w:r>
              <w:rPr>
                <w:rFonts w:asciiTheme="minorEastAsia" w:hAnsiTheme="minorEastAsia" w:eastAsiaTheme="minorEastAsia"/>
              </w:rPr>
              <w:t>生产经营单位应当在有较大危险因素的生产经营场所和有关设施、设备上，设置明显的安全警示标志。</w:t>
            </w:r>
          </w:p>
        </w:tc>
        <w:tc>
          <w:tcPr>
            <w:tcW w:w="3545" w:type="dxa"/>
            <w:vAlign w:val="center"/>
          </w:tcPr>
          <w:p>
            <w:pPr>
              <w:ind w:firstLine="396" w:firstLineChars="200"/>
              <w:rPr>
                <w:spacing w:val="-6"/>
              </w:rPr>
            </w:pPr>
            <w:r>
              <w:rPr>
                <w:rFonts w:hint="eastAsia"/>
                <w:spacing w:val="-6"/>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ind w:firstLine="420" w:firstLineChars="200"/>
            </w:pPr>
            <w:r>
              <w:rPr>
                <w:rFonts w:hint="eastAsia"/>
              </w:rPr>
              <w:t>（一）未在有较大危险因素的生产经营场所和有关设施、设备上设置明显的安全警示标志的；</w:t>
            </w:r>
          </w:p>
          <w:p>
            <w:pPr>
              <w:pStyle w:val="2"/>
              <w:ind w:firstLine="420"/>
            </w:pPr>
            <w:r>
              <w:rPr>
                <w:rFonts w:hint="eastAsia" w:asciiTheme="minorEastAsia" w:hAnsiTheme="minorEastAsia" w:eastAsiaTheme="minorEastAsia"/>
                <w:szCs w:val="21"/>
              </w:rPr>
              <w:t>……</w:t>
            </w:r>
          </w:p>
        </w:tc>
        <w:tc>
          <w:tcPr>
            <w:tcW w:w="1014" w:type="dxa"/>
            <w:vAlign w:val="center"/>
          </w:tcPr>
          <w:p>
            <w:pPr>
              <w:widowControl/>
              <w:adjustRightInd w:val="0"/>
              <w:snapToGrid w:val="0"/>
              <w:rPr>
                <w:rFonts w:cs="宋体" w:asciiTheme="minorEastAsia" w:hAnsiTheme="minorEastAsia" w:eastAsiaTheme="minorEastAsia"/>
                <w:b/>
                <w:kern w:val="0"/>
                <w:szCs w:val="21"/>
              </w:rPr>
            </w:pPr>
          </w:p>
        </w:tc>
      </w:tr>
    </w:tbl>
    <w:p>
      <w:pPr>
        <w:pStyle w:val="4"/>
        <w:keepNext w:val="0"/>
        <w:keepLines w:val="0"/>
        <w:pageBreakBefore/>
        <w:spacing w:line="240" w:lineRule="auto"/>
        <w:rPr>
          <w:rFonts w:ascii="黑体" w:hAnsi="黑体" w:eastAsia="黑体"/>
          <w:b w:val="0"/>
        </w:rPr>
      </w:pPr>
      <w:bookmarkStart w:id="22" w:name="_Toc499799328"/>
      <w:r>
        <w:rPr>
          <w:rFonts w:hint="eastAsia" w:ascii="黑体" w:hAnsi="黑体" w:eastAsia="黑体"/>
          <w:b w:val="0"/>
        </w:rPr>
        <w:t>表4  烟花爆竹企业监督检查重点事项</w:t>
      </w:r>
      <w:bookmarkEnd w:id="22"/>
    </w:p>
    <w:p>
      <w:pPr>
        <w:pStyle w:val="4"/>
        <w:spacing w:before="468" w:after="312" w:line="240" w:lineRule="auto"/>
        <w:rPr>
          <w:rFonts w:ascii="黑体" w:hAnsi="黑体" w:eastAsia="黑体"/>
        </w:rPr>
      </w:pPr>
      <w:bookmarkStart w:id="23" w:name="_Toc499799329"/>
      <w:r>
        <w:rPr>
          <w:rFonts w:hint="eastAsia" w:ascii="黑体" w:hAnsi="黑体" w:eastAsia="黑体"/>
          <w:b w:val="0"/>
        </w:rPr>
        <w:t>表4</w:t>
      </w:r>
      <w:r>
        <w:rPr>
          <w:rFonts w:ascii="黑体" w:hAnsi="黑体" w:eastAsia="黑体"/>
          <w:b w:val="0"/>
        </w:rPr>
        <w:t xml:space="preserve">-1  </w:t>
      </w:r>
      <w:r>
        <w:rPr>
          <w:rFonts w:hint="eastAsia" w:ascii="黑体" w:hAnsi="黑体" w:eastAsia="黑体"/>
          <w:b w:val="0"/>
        </w:rPr>
        <w:t>烟花爆竹生产企业</w:t>
      </w:r>
      <w:bookmarkEnd w:id="23"/>
    </w:p>
    <w:tbl>
      <w:tblPr>
        <w:tblStyle w:val="19"/>
        <w:tblW w:w="143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346"/>
        <w:gridCol w:w="2551"/>
        <w:gridCol w:w="4250"/>
        <w:gridCol w:w="3972"/>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blHeader/>
        </w:trPr>
        <w:tc>
          <w:tcPr>
            <w:tcW w:w="925"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346"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检查事项</w:t>
            </w:r>
          </w:p>
        </w:tc>
        <w:tc>
          <w:tcPr>
            <w:tcW w:w="2551"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检查内容</w:t>
            </w:r>
          </w:p>
        </w:tc>
        <w:tc>
          <w:tcPr>
            <w:tcW w:w="4250"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检查依据指引</w:t>
            </w:r>
          </w:p>
        </w:tc>
        <w:tc>
          <w:tcPr>
            <w:tcW w:w="3972"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法律责任指引</w:t>
            </w:r>
          </w:p>
        </w:tc>
        <w:tc>
          <w:tcPr>
            <w:tcW w:w="1274"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5"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346" w:type="dxa"/>
            <w:vMerge w:val="restart"/>
            <w:vAlign w:val="center"/>
          </w:tcPr>
          <w:p>
            <w:pPr>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烟花爆竹安全生产许可情况</w:t>
            </w:r>
          </w:p>
        </w:tc>
        <w:tc>
          <w:tcPr>
            <w:tcW w:w="2551" w:type="dxa"/>
            <w:vAlign w:val="center"/>
          </w:tcPr>
          <w:p>
            <w:pPr>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1.1 安全生产许可证取得</w:t>
            </w:r>
          </w:p>
        </w:tc>
        <w:tc>
          <w:tcPr>
            <w:tcW w:w="4250" w:type="dxa"/>
            <w:vAlign w:val="center"/>
          </w:tcPr>
          <w:p>
            <w:pPr>
              <w:adjustRightInd w:val="0"/>
              <w:snapToGrid w:val="0"/>
              <w:ind w:firstLine="420" w:firstLineChars="200"/>
              <w:rPr>
                <w:rFonts w:ascii="宋体" w:hAnsi="宋体" w:cs="宋体"/>
                <w:kern w:val="0"/>
                <w:szCs w:val="21"/>
                <w:highlight w:val="none"/>
              </w:rPr>
            </w:pPr>
            <w:r>
              <w:rPr>
                <w:rFonts w:hint="eastAsia" w:ascii="宋体" w:hAnsi="宋体" w:cs="宋体"/>
                <w:kern w:val="0"/>
                <w:szCs w:val="21"/>
                <w:highlight w:val="none"/>
              </w:rPr>
              <w:t>《安全生产许可证条例》第二条  国家对矿山企业、建筑施工企业和危险化学品、烟花爆竹、民用爆炸物品生产企业（以下统称企业）实行安全生产许可制度。</w:t>
            </w:r>
          </w:p>
          <w:p>
            <w:pPr>
              <w:adjustRightInd w:val="0"/>
              <w:snapToGrid w:val="0"/>
              <w:ind w:firstLine="420" w:firstLineChars="200"/>
              <w:rPr>
                <w:rFonts w:ascii="宋体" w:hAnsi="宋体" w:cs="宋体"/>
                <w:kern w:val="0"/>
                <w:szCs w:val="21"/>
                <w:highlight w:val="none"/>
              </w:rPr>
            </w:pPr>
            <w:r>
              <w:rPr>
                <w:rFonts w:hint="eastAsia" w:ascii="宋体" w:hAnsi="宋体" w:cs="宋体"/>
                <w:kern w:val="0"/>
                <w:szCs w:val="21"/>
                <w:highlight w:val="none"/>
              </w:rPr>
              <w:t>企业未取得安全生产许可证的，不得从事生产活动。</w:t>
            </w:r>
          </w:p>
          <w:p>
            <w:pPr>
              <w:adjustRightInd w:val="0"/>
              <w:snapToGrid w:val="0"/>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《烟花爆竹生产企业安全生产许可证实施办法》第三条  企业应当依照本办法的规定取得烟花爆竹安全生产许可证（以下简称安全生产许可证）。</w:t>
            </w:r>
          </w:p>
          <w:p>
            <w:pPr>
              <w:adjustRightInd w:val="0"/>
              <w:snapToGrid w:val="0"/>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未取得安全生产许可证的，不得从事烟花爆竹生产活动。</w:t>
            </w:r>
          </w:p>
        </w:tc>
        <w:tc>
          <w:tcPr>
            <w:tcW w:w="3972" w:type="dxa"/>
            <w:vAlign w:val="center"/>
          </w:tcPr>
          <w:p>
            <w:pPr>
              <w:adjustRightInd w:val="0"/>
              <w:snapToGrid w:val="0"/>
              <w:ind w:firstLine="420" w:firstLineChars="200"/>
              <w:rPr>
                <w:rFonts w:ascii="宋体" w:hAnsi="宋体" w:cs="宋体"/>
                <w:kern w:val="0"/>
                <w:szCs w:val="21"/>
                <w:highlight w:val="none"/>
              </w:rPr>
            </w:pPr>
            <w:r>
              <w:rPr>
                <w:rFonts w:hint="eastAsia" w:ascii="宋体" w:hAnsi="宋体" w:cs="宋体"/>
                <w:kern w:val="0"/>
                <w:szCs w:val="21"/>
                <w:highlight w:val="none"/>
              </w:rPr>
              <w:t>《安全生产许可证条例》第十九条  违反本条例规定，未取得安全生产许可证擅自进行生产的，责令停止生产，没收违法所得，并处10万元以上50万元以下的罚款；造成重大事故或者其他严重后果，构成犯罪的，依法追究刑事责任。</w:t>
            </w:r>
          </w:p>
          <w:p>
            <w:pPr>
              <w:adjustRightInd w:val="0"/>
              <w:snapToGrid w:val="0"/>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《烟花爆竹生产企业安全生产许可证实施办法》第四十六条  企业有下列行为之一的，责令停止生产，没收违法所得，并处10万元以上50万元以下的罚款：</w:t>
            </w:r>
          </w:p>
          <w:p>
            <w:pPr>
              <w:adjustRightInd w:val="0"/>
              <w:snapToGrid w:val="0"/>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（一）未取得安全生产许可证擅自进行烟花爆竹生产的；</w:t>
            </w: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napToGrid w:val="0"/>
                <w:kern w:val="0"/>
                <w:szCs w:val="21"/>
              </w:rPr>
              <w:t>……</w:t>
            </w:r>
          </w:p>
        </w:tc>
        <w:tc>
          <w:tcPr>
            <w:tcW w:w="1274" w:type="dxa"/>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5" w:type="dxa"/>
            <w:vMerge w:val="continue"/>
            <w:vAlign w:val="center"/>
          </w:tcPr>
          <w:p>
            <w:pPr>
              <w:jc w:val="center"/>
              <w:rPr>
                <w:rFonts w:asciiTheme="minorEastAsia" w:hAnsiTheme="minorEastAsia" w:eastAsiaTheme="minorEastAsia"/>
                <w:szCs w:val="21"/>
              </w:rPr>
            </w:pPr>
          </w:p>
        </w:tc>
        <w:tc>
          <w:tcPr>
            <w:tcW w:w="1346" w:type="dxa"/>
            <w:vMerge w:val="continue"/>
            <w:vAlign w:val="center"/>
          </w:tcPr>
          <w:p>
            <w:pPr>
              <w:adjustRightInd w:val="0"/>
              <w:snapToGrid w:val="0"/>
              <w:jc w:val="center"/>
              <w:rPr>
                <w:rFonts w:asciiTheme="minorEastAsia" w:hAnsiTheme="minorEastAsia" w:eastAsiaTheme="minorEastAsia"/>
                <w:szCs w:val="21"/>
              </w:rPr>
            </w:pPr>
          </w:p>
        </w:tc>
        <w:tc>
          <w:tcPr>
            <w:tcW w:w="2551" w:type="dxa"/>
            <w:vAlign w:val="center"/>
          </w:tcPr>
          <w:p>
            <w:pPr>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1.2 安全生产许可证延期</w:t>
            </w:r>
          </w:p>
        </w:tc>
        <w:tc>
          <w:tcPr>
            <w:tcW w:w="4250" w:type="dxa"/>
            <w:vAlign w:val="center"/>
          </w:tcPr>
          <w:p>
            <w:pPr>
              <w:adjustRightInd w:val="0"/>
              <w:snapToGrid w:val="0"/>
              <w:ind w:firstLine="420" w:firstLineChars="200"/>
            </w:pPr>
            <w:r>
              <w:rPr>
                <w:rFonts w:hint="eastAsia"/>
              </w:rPr>
              <w:t>《安全生产许可证条例》第九条  安全生产许可证的有效期</w:t>
            </w:r>
            <w:r>
              <w:rPr>
                <w:rFonts w:hint="eastAsia" w:asciiTheme="minorEastAsia" w:hAnsiTheme="minorEastAsia" w:eastAsiaTheme="minorEastAsia" w:cstheme="minorEastAsia"/>
                <w:highlight w:val="none"/>
              </w:rPr>
              <w:t>为3年。安全生产许可证有效期满需要延期的，企业应当于期满前3个月向原安全生产许</w:t>
            </w:r>
            <w:r>
              <w:rPr>
                <w:rFonts w:hint="eastAsia"/>
              </w:rPr>
              <w:t>可证颁发管理机关办理延期手续。</w:t>
            </w:r>
          </w:p>
          <w:p>
            <w:pPr>
              <w:pStyle w:val="2"/>
              <w:ind w:firstLine="420"/>
              <w:rPr>
                <w:rFonts w:eastAsiaTheme="minorEastAsia"/>
              </w:rPr>
            </w:pPr>
            <w:r>
              <w:rPr>
                <w:rFonts w:hint="eastAsia" w:asciiTheme="minorEastAsia" w:hAnsiTheme="minorEastAsia" w:eastAsiaTheme="minorEastAsia"/>
                <w:szCs w:val="21"/>
              </w:rPr>
              <w:t>……</w:t>
            </w:r>
          </w:p>
        </w:tc>
        <w:tc>
          <w:tcPr>
            <w:tcW w:w="3972" w:type="dxa"/>
            <w:vAlign w:val="center"/>
          </w:tcPr>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napToGrid w:val="0"/>
                <w:kern w:val="0"/>
                <w:szCs w:val="21"/>
              </w:rPr>
              <w:t>《安全生产许可证条例》</w:t>
            </w:r>
            <w:r>
              <w:rPr>
                <w:rFonts w:hint="eastAsia" w:asciiTheme="minorEastAsia" w:hAnsiTheme="minorEastAsia" w:eastAsiaTheme="minorEastAsia"/>
                <w:szCs w:val="21"/>
              </w:rPr>
              <w:t>第二十条</w:t>
            </w:r>
            <w:r>
              <w:rPr>
                <w:rFonts w:hint="eastAsia" w:asciiTheme="minorEastAsia" w:hAnsiTheme="minorEastAsia" w:eastAsiaTheme="minorEastAsia"/>
                <w:snapToGrid w:val="0"/>
                <w:kern w:val="0"/>
                <w:szCs w:val="21"/>
              </w:rPr>
              <w:t xml:space="preserve"> 违反本条例规定，安全生产许可证有效期满未办理延期手续，继续进行生产的，责令停止生产，限期补办延期手续，没收违法所得，并处</w:t>
            </w:r>
            <w:r>
              <w:rPr>
                <w:rFonts w:asciiTheme="minorEastAsia" w:hAnsiTheme="minorEastAsia" w:eastAsiaTheme="minorEastAsia"/>
                <w:snapToGrid w:val="0"/>
                <w:kern w:val="0"/>
                <w:szCs w:val="21"/>
              </w:rPr>
              <w:t>5</w:t>
            </w:r>
            <w:r>
              <w:rPr>
                <w:rFonts w:hint="eastAsia" w:asciiTheme="minorEastAsia" w:hAnsiTheme="minorEastAsia" w:eastAsiaTheme="minorEastAsia"/>
                <w:snapToGrid w:val="0"/>
                <w:kern w:val="0"/>
                <w:szCs w:val="21"/>
              </w:rPr>
              <w:t>万元以上</w:t>
            </w:r>
            <w:r>
              <w:rPr>
                <w:rFonts w:asciiTheme="minorEastAsia" w:hAnsiTheme="minorEastAsia" w:eastAsiaTheme="minorEastAsia"/>
                <w:snapToGrid w:val="0"/>
                <w:kern w:val="0"/>
                <w:szCs w:val="21"/>
              </w:rPr>
              <w:t>10</w:t>
            </w:r>
            <w:r>
              <w:rPr>
                <w:rFonts w:hint="eastAsia" w:asciiTheme="minorEastAsia" w:hAnsiTheme="minorEastAsia" w:eastAsiaTheme="minorEastAsia"/>
                <w:snapToGrid w:val="0"/>
                <w:kern w:val="0"/>
                <w:szCs w:val="21"/>
              </w:rPr>
              <w:t>万元以下的罚款；逾期仍不办理延期手续，继续进行生产的，依照本条例第十九条的规定处罚。</w:t>
            </w:r>
          </w:p>
        </w:tc>
        <w:tc>
          <w:tcPr>
            <w:tcW w:w="1274" w:type="dxa"/>
            <w:vAlign w:val="center"/>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6" w:hRule="atLeast"/>
        </w:trPr>
        <w:tc>
          <w:tcPr>
            <w:tcW w:w="925" w:type="dxa"/>
            <w:vMerge w:val="continue"/>
            <w:vAlign w:val="center"/>
          </w:tcPr>
          <w:p>
            <w:pPr>
              <w:jc w:val="center"/>
              <w:rPr>
                <w:rFonts w:asciiTheme="minorEastAsia" w:hAnsiTheme="minorEastAsia" w:eastAsiaTheme="minorEastAsia"/>
                <w:szCs w:val="21"/>
              </w:rPr>
            </w:pPr>
          </w:p>
        </w:tc>
        <w:tc>
          <w:tcPr>
            <w:tcW w:w="1346" w:type="dxa"/>
            <w:vMerge w:val="continue"/>
            <w:vAlign w:val="center"/>
          </w:tcPr>
          <w:p>
            <w:pPr>
              <w:adjustRightInd w:val="0"/>
              <w:snapToGrid w:val="0"/>
              <w:jc w:val="center"/>
              <w:rPr>
                <w:rFonts w:asciiTheme="minorEastAsia" w:hAnsiTheme="minorEastAsia" w:eastAsiaTheme="minorEastAsia"/>
                <w:szCs w:val="21"/>
              </w:rPr>
            </w:pPr>
          </w:p>
        </w:tc>
        <w:tc>
          <w:tcPr>
            <w:tcW w:w="2551" w:type="dxa"/>
            <w:vAlign w:val="center"/>
          </w:tcPr>
          <w:p>
            <w:pPr>
              <w:adjustRightInd w:val="0"/>
              <w:snapToGrid w:val="0"/>
              <w:jc w:val="left"/>
              <w:rPr>
                <w:rFonts w:asciiTheme="minorEastAsia" w:hAnsiTheme="minorEastAsia" w:eastAsiaTheme="minorEastAsia"/>
                <w:szCs w:val="21"/>
              </w:rPr>
            </w:pPr>
            <w:r>
              <w:rPr>
                <w:rFonts w:asciiTheme="minorEastAsia" w:hAnsiTheme="minorEastAsia" w:eastAsiaTheme="minorEastAsia"/>
                <w:szCs w:val="21"/>
              </w:rPr>
              <w:t>1.3</w:t>
            </w:r>
            <w:r>
              <w:rPr>
                <w:rFonts w:hint="eastAsia" w:asciiTheme="minorEastAsia" w:hAnsiTheme="minorEastAsia" w:eastAsiaTheme="minorEastAsia"/>
                <w:szCs w:val="21"/>
              </w:rPr>
              <w:t xml:space="preserve"> 安全生产</w:t>
            </w:r>
            <w:r>
              <w:rPr>
                <w:rFonts w:asciiTheme="minorEastAsia" w:hAnsiTheme="minorEastAsia" w:eastAsiaTheme="minorEastAsia"/>
                <w:szCs w:val="21"/>
              </w:rPr>
              <w:t>许可证变更</w:t>
            </w:r>
          </w:p>
        </w:tc>
        <w:tc>
          <w:tcPr>
            <w:tcW w:w="4250" w:type="dxa"/>
            <w:vAlign w:val="center"/>
          </w:tcPr>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《烟花爆竹生产企业安全生产许可证实施办法》第二十七条  企业在安全生产许可证有效期内有下列情形之一的，应当按照本办法第二十八条的规定申请变更安全生产许可证：</w:t>
            </w: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（一）改建、扩建烟花爆竹生产（含储存）设施的；</w:t>
            </w: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（二）变更产品类别、级别范围的；</w:t>
            </w: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（三）变更企业主要负责人的；</w:t>
            </w:r>
          </w:p>
          <w:p>
            <w:pPr>
              <w:adjustRightInd w:val="0"/>
              <w:snapToGrid w:val="0"/>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zCs w:val="21"/>
              </w:rPr>
              <w:t>（四）变更企业名称的。</w:t>
            </w:r>
          </w:p>
        </w:tc>
        <w:tc>
          <w:tcPr>
            <w:tcW w:w="3972" w:type="dxa"/>
            <w:vAlign w:val="center"/>
          </w:tcPr>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《烟花爆竹生产企业安全生产许可证实施办法》第四十三条  企业有下列行为之一的，责令停止违法活动或者限期改正，并处</w:t>
            </w:r>
            <w:r>
              <w:rPr>
                <w:rFonts w:asciiTheme="minorEastAsia" w:hAnsiTheme="minorEastAsia" w:eastAsiaTheme="minorEastAsia"/>
                <w:szCs w:val="21"/>
              </w:rPr>
              <w:t>1</w:t>
            </w:r>
            <w:r>
              <w:rPr>
                <w:rFonts w:hint="eastAsia" w:asciiTheme="minorEastAsia" w:hAnsiTheme="minorEastAsia" w:eastAsiaTheme="minorEastAsia"/>
                <w:szCs w:val="21"/>
              </w:rPr>
              <w:t>万元以上</w:t>
            </w:r>
            <w:r>
              <w:rPr>
                <w:rFonts w:asciiTheme="minorEastAsia" w:hAnsiTheme="minorEastAsia" w:eastAsiaTheme="minorEastAsia"/>
                <w:szCs w:val="21"/>
              </w:rPr>
              <w:t>3</w:t>
            </w:r>
            <w:r>
              <w:rPr>
                <w:rFonts w:hint="eastAsia" w:asciiTheme="minorEastAsia" w:hAnsiTheme="minorEastAsia" w:eastAsiaTheme="minorEastAsia"/>
                <w:szCs w:val="21"/>
              </w:rPr>
              <w:t>万元以下的罚款：</w:t>
            </w: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（一）变更企业主要负责人或者名称，未办理安全生产许可证变更手续的；</w:t>
            </w: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《烟花爆竹生产企业安全生产许可证实施办法》第四十四条企业有下列行为之一的，依法暂扣其安全生产许可证：</w:t>
            </w: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（三）改建、扩建烟花爆竹生产（含储存）设施未办理安全生产许可证变更手续的；</w:t>
            </w: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企业有前款第一项、第二项、第三项行为之一的，并处</w:t>
            </w:r>
            <w:r>
              <w:rPr>
                <w:rFonts w:asciiTheme="minorEastAsia" w:hAnsiTheme="minorEastAsia" w:eastAsiaTheme="minorEastAsia"/>
                <w:szCs w:val="21"/>
              </w:rPr>
              <w:t>1</w:t>
            </w:r>
            <w:r>
              <w:rPr>
                <w:rFonts w:hint="eastAsia" w:asciiTheme="minorEastAsia" w:hAnsiTheme="minorEastAsia" w:eastAsiaTheme="minorEastAsia"/>
                <w:szCs w:val="21"/>
              </w:rPr>
              <w:t>万元以上</w:t>
            </w:r>
            <w:r>
              <w:rPr>
                <w:rFonts w:asciiTheme="minorEastAsia" w:hAnsiTheme="minorEastAsia" w:eastAsiaTheme="minorEastAsia"/>
                <w:szCs w:val="21"/>
              </w:rPr>
              <w:t>3</w:t>
            </w:r>
            <w:r>
              <w:rPr>
                <w:rFonts w:hint="eastAsia" w:asciiTheme="minorEastAsia" w:hAnsiTheme="minorEastAsia" w:eastAsiaTheme="minorEastAsia"/>
                <w:szCs w:val="21"/>
              </w:rPr>
              <w:t>万元以下的罚款。</w:t>
            </w: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第四十六条  企业有下列行为之一的，责令停止生产，没收违法所得，并处</w:t>
            </w:r>
            <w:r>
              <w:rPr>
                <w:rFonts w:asciiTheme="minorEastAsia" w:hAnsiTheme="minorEastAsia" w:eastAsiaTheme="minorEastAsia"/>
                <w:szCs w:val="21"/>
              </w:rPr>
              <w:t>10</w:t>
            </w:r>
            <w:r>
              <w:rPr>
                <w:rFonts w:hint="eastAsia" w:asciiTheme="minorEastAsia" w:hAnsiTheme="minorEastAsia" w:eastAsiaTheme="minorEastAsia"/>
                <w:szCs w:val="21"/>
              </w:rPr>
              <w:t>万元以上</w:t>
            </w:r>
            <w:r>
              <w:rPr>
                <w:rFonts w:asciiTheme="minorEastAsia" w:hAnsiTheme="minorEastAsia" w:eastAsiaTheme="minorEastAsia"/>
                <w:szCs w:val="21"/>
              </w:rPr>
              <w:t>50</w:t>
            </w:r>
            <w:r>
              <w:rPr>
                <w:rFonts w:hint="eastAsia" w:asciiTheme="minorEastAsia" w:hAnsiTheme="minorEastAsia" w:eastAsiaTheme="minorEastAsia"/>
                <w:szCs w:val="21"/>
              </w:rPr>
              <w:t>万元以下的罚款：</w:t>
            </w: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（二）变更产品类别或者级别范围未办理安全生产许可证变更手续的。</w:t>
            </w:r>
          </w:p>
        </w:tc>
        <w:tc>
          <w:tcPr>
            <w:tcW w:w="1274" w:type="dxa"/>
            <w:vMerge w:val="restart"/>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0" w:hRule="atLeast"/>
        </w:trPr>
        <w:tc>
          <w:tcPr>
            <w:tcW w:w="925" w:type="dxa"/>
            <w:vMerge w:val="continue"/>
            <w:vAlign w:val="center"/>
          </w:tcPr>
          <w:p>
            <w:pPr>
              <w:jc w:val="center"/>
              <w:rPr>
                <w:rFonts w:asciiTheme="minorEastAsia" w:hAnsiTheme="minorEastAsia" w:eastAsiaTheme="minorEastAsia"/>
                <w:szCs w:val="21"/>
              </w:rPr>
            </w:pPr>
          </w:p>
        </w:tc>
        <w:tc>
          <w:tcPr>
            <w:tcW w:w="1346" w:type="dxa"/>
            <w:vMerge w:val="continue"/>
            <w:vAlign w:val="center"/>
          </w:tcPr>
          <w:p>
            <w:pPr>
              <w:adjustRightInd w:val="0"/>
              <w:snapToGrid w:val="0"/>
              <w:jc w:val="center"/>
              <w:rPr>
                <w:rFonts w:asciiTheme="minorEastAsia" w:hAnsiTheme="minorEastAsia" w:eastAsiaTheme="minorEastAsia"/>
                <w:szCs w:val="21"/>
              </w:rPr>
            </w:pPr>
          </w:p>
        </w:tc>
        <w:tc>
          <w:tcPr>
            <w:tcW w:w="2551" w:type="dxa"/>
            <w:vAlign w:val="center"/>
          </w:tcPr>
          <w:p>
            <w:pPr>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1.4 出租、转让许可证</w:t>
            </w:r>
          </w:p>
        </w:tc>
        <w:tc>
          <w:tcPr>
            <w:tcW w:w="4250" w:type="dxa"/>
            <w:vAlign w:val="center"/>
          </w:tcPr>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《烟花爆竹生产企业安全生产许可证实施办法》第四十条  企业取得安全生产许可证后，不得出租、转让安全生产许可证，不得将企业、生产线或者工（库）房转包、分包给不具备安全生产条件或者相应资质的其他任何单位或者个人，不得多股东各自独立进行烟花爆竹生产活动。</w:t>
            </w: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p>
        </w:tc>
        <w:tc>
          <w:tcPr>
            <w:tcW w:w="3972" w:type="dxa"/>
            <w:vAlign w:val="center"/>
          </w:tcPr>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《烟花爆竹生产企业安全生产许可证实施办法》第四十五条  企业有下列行为之一的，依法吊销其安全生产许可证：</w:t>
            </w: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（一）出租、转让安全生产许可证的；</w:t>
            </w: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企业有前款第一项行为的，没收违法所得，并处</w:t>
            </w:r>
            <w:r>
              <w:rPr>
                <w:rFonts w:asciiTheme="minorEastAsia" w:hAnsiTheme="minorEastAsia" w:eastAsiaTheme="minorEastAsia"/>
                <w:szCs w:val="21"/>
              </w:rPr>
              <w:t>10</w:t>
            </w:r>
            <w:r>
              <w:rPr>
                <w:rFonts w:hint="eastAsia" w:asciiTheme="minorEastAsia" w:hAnsiTheme="minorEastAsia" w:eastAsiaTheme="minorEastAsia"/>
                <w:szCs w:val="21"/>
              </w:rPr>
              <w:t>万元以上</w:t>
            </w:r>
            <w:r>
              <w:rPr>
                <w:rFonts w:asciiTheme="minorEastAsia" w:hAnsiTheme="minorEastAsia" w:eastAsiaTheme="minorEastAsia"/>
                <w:szCs w:val="21"/>
              </w:rPr>
              <w:t>50</w:t>
            </w:r>
            <w:r>
              <w:rPr>
                <w:rFonts w:hint="eastAsia" w:asciiTheme="minorEastAsia" w:hAnsiTheme="minorEastAsia" w:eastAsiaTheme="minorEastAsia"/>
                <w:szCs w:val="21"/>
              </w:rPr>
              <w:t>万元以下的罚款。</w:t>
            </w:r>
          </w:p>
        </w:tc>
        <w:tc>
          <w:tcPr>
            <w:tcW w:w="1274" w:type="dxa"/>
            <w:vMerge w:val="continue"/>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5" w:type="dxa"/>
            <w:vMerge w:val="restar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346" w:type="dxa"/>
            <w:vMerge w:val="restart"/>
            <w:vAlign w:val="center"/>
          </w:tcPr>
          <w:p>
            <w:pPr>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生产管理情况</w:t>
            </w:r>
          </w:p>
        </w:tc>
        <w:tc>
          <w:tcPr>
            <w:tcW w:w="2551" w:type="dxa"/>
            <w:vAlign w:val="center"/>
          </w:tcPr>
          <w:p>
            <w:pPr>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2.1 不得将企业、生产线或者工（库）房转包、分包，多股东不得各自独立生产</w:t>
            </w:r>
          </w:p>
        </w:tc>
        <w:tc>
          <w:tcPr>
            <w:tcW w:w="4250" w:type="dxa"/>
            <w:vAlign w:val="center"/>
          </w:tcPr>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《烟花爆竹生产企业安全生产许可证实施办法》第四十条  企业取得安全生产许可证后，不得出租、转让安全生产许可证，不得将企业、生产线或者工（库）房转包、分包给不具备安全生产条件或者相应资质的其他任何单位或者个人，不得多股东各自独立进行烟花爆竹生产活动。</w:t>
            </w:r>
          </w:p>
          <w:p>
            <w:pPr>
              <w:adjustRightInd w:val="0"/>
              <w:snapToGrid w:val="0"/>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zCs w:val="21"/>
              </w:rPr>
              <w:t>……</w:t>
            </w:r>
          </w:p>
        </w:tc>
        <w:tc>
          <w:tcPr>
            <w:tcW w:w="3972" w:type="dxa"/>
            <w:vAlign w:val="center"/>
          </w:tcPr>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《烟花爆竹生产企业安全生产许可证实施办法》第四十四条  企业有下列行为之一的，依法暂扣其安全生产许可证：</w:t>
            </w: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（一）多股东各自独立进行烟花爆竹生产活动的；</w:t>
            </w: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企业有前款第一项、第二项、第三项行为之一的，并处</w:t>
            </w:r>
            <w:r>
              <w:rPr>
                <w:rFonts w:asciiTheme="minorEastAsia" w:hAnsiTheme="minorEastAsia" w:eastAsiaTheme="minorEastAsia"/>
                <w:szCs w:val="21"/>
              </w:rPr>
              <w:t>1</w:t>
            </w:r>
            <w:r>
              <w:rPr>
                <w:rFonts w:hint="eastAsia" w:asciiTheme="minorEastAsia" w:hAnsiTheme="minorEastAsia" w:eastAsiaTheme="minorEastAsia"/>
                <w:szCs w:val="21"/>
              </w:rPr>
              <w:t>万元以上</w:t>
            </w:r>
            <w:r>
              <w:rPr>
                <w:rFonts w:asciiTheme="minorEastAsia" w:hAnsiTheme="minorEastAsia" w:eastAsiaTheme="minorEastAsia"/>
                <w:szCs w:val="21"/>
              </w:rPr>
              <w:t>3</w:t>
            </w:r>
            <w:r>
              <w:rPr>
                <w:rFonts w:hint="eastAsia" w:asciiTheme="minorEastAsia" w:hAnsiTheme="minorEastAsia" w:eastAsiaTheme="minorEastAsia"/>
                <w:szCs w:val="21"/>
              </w:rPr>
              <w:t>万元以下的罚款。</w:t>
            </w: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第四十七条  企业取得安全生产许可证后，将企业、生产线或者工（库）房转包、分包给不具备安全生产条件或者相应资质的其他单位或者个人，依照《中华人民共和国安全生产法》的有关规定给予处罚。</w:t>
            </w:r>
          </w:p>
        </w:tc>
        <w:tc>
          <w:tcPr>
            <w:tcW w:w="1274" w:type="dxa"/>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925" w:type="dxa"/>
            <w:vMerge w:val="continue"/>
            <w:vAlign w:val="center"/>
          </w:tcPr>
          <w:p>
            <w:pPr>
              <w:jc w:val="center"/>
              <w:rPr>
                <w:rFonts w:asciiTheme="minorEastAsia" w:hAnsiTheme="minorEastAsia" w:eastAsiaTheme="minorEastAsia"/>
                <w:szCs w:val="21"/>
              </w:rPr>
            </w:pPr>
          </w:p>
        </w:tc>
        <w:tc>
          <w:tcPr>
            <w:tcW w:w="1346" w:type="dxa"/>
            <w:vMerge w:val="continue"/>
            <w:vAlign w:val="center"/>
          </w:tcPr>
          <w:p>
            <w:pPr>
              <w:adjustRightInd w:val="0"/>
              <w:snapToGrid w:val="0"/>
              <w:jc w:val="center"/>
              <w:rPr>
                <w:rFonts w:asciiTheme="minorEastAsia" w:hAnsiTheme="minorEastAsia" w:eastAsiaTheme="minorEastAsia"/>
                <w:szCs w:val="21"/>
              </w:rPr>
            </w:pPr>
          </w:p>
        </w:tc>
        <w:tc>
          <w:tcPr>
            <w:tcW w:w="2551" w:type="dxa"/>
            <w:vAlign w:val="center"/>
          </w:tcPr>
          <w:p>
            <w:pPr>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2.2 按照许可证核定产品种类生产</w:t>
            </w:r>
          </w:p>
        </w:tc>
        <w:tc>
          <w:tcPr>
            <w:tcW w:w="4250" w:type="dxa"/>
            <w:vAlign w:val="center"/>
          </w:tcPr>
          <w:p>
            <w:pPr>
              <w:adjustRightInd w:val="0"/>
              <w:snapToGrid w:val="0"/>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《烟花爆竹安全管理条例》</w:t>
            </w:r>
            <w:r>
              <w:rPr>
                <w:rFonts w:hint="eastAsia" w:asciiTheme="minorEastAsia" w:hAnsiTheme="minorEastAsia" w:eastAsiaTheme="minorEastAsia"/>
                <w:szCs w:val="21"/>
              </w:rPr>
              <w:t>第十一条  生产烟花爆竹的企业，应当按照安全生产许可证核定的产品种类进行生产，生产工序和生产作业应当执行有关国家标准和行业标准。</w:t>
            </w:r>
          </w:p>
        </w:tc>
        <w:tc>
          <w:tcPr>
            <w:tcW w:w="3972" w:type="dxa"/>
            <w:vAlign w:val="center"/>
          </w:tcPr>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napToGrid w:val="0"/>
                <w:kern w:val="0"/>
                <w:szCs w:val="21"/>
              </w:rPr>
              <w:t>《烟花爆竹安全管理条例》</w:t>
            </w:r>
            <w:r>
              <w:rPr>
                <w:rFonts w:hint="eastAsia" w:asciiTheme="minorEastAsia" w:hAnsiTheme="minorEastAsia" w:eastAsiaTheme="minorEastAsia"/>
                <w:szCs w:val="21"/>
              </w:rPr>
              <w:t>第三十七条  生产烟花爆竹的企业有下列行为之一的，由安全生产监督管理部门责令限期改正，处1万元以上5万元以下的罚款；逾期不改正的，责令停产停业整顿，情节严重的，吊销安全生产许可证：</w:t>
            </w: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（一）未按照安全生产许可证核定的产品种类进行生产的；</w:t>
            </w: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p>
        </w:tc>
        <w:tc>
          <w:tcPr>
            <w:tcW w:w="1274" w:type="dxa"/>
            <w:vMerge w:val="restart"/>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925" w:type="dxa"/>
            <w:vMerge w:val="continue"/>
            <w:vAlign w:val="center"/>
          </w:tcPr>
          <w:p>
            <w:pPr>
              <w:jc w:val="center"/>
              <w:rPr>
                <w:rFonts w:asciiTheme="minorEastAsia" w:hAnsiTheme="minorEastAsia" w:eastAsiaTheme="minorEastAsia"/>
                <w:szCs w:val="21"/>
              </w:rPr>
            </w:pPr>
          </w:p>
        </w:tc>
        <w:tc>
          <w:tcPr>
            <w:tcW w:w="1346" w:type="dxa"/>
            <w:vMerge w:val="continue"/>
            <w:vAlign w:val="center"/>
          </w:tcPr>
          <w:p>
            <w:pPr>
              <w:adjustRightInd w:val="0"/>
              <w:snapToGrid w:val="0"/>
              <w:jc w:val="center"/>
              <w:rPr>
                <w:rFonts w:asciiTheme="minorEastAsia" w:hAnsiTheme="minorEastAsia" w:eastAsiaTheme="minorEastAsia"/>
                <w:szCs w:val="21"/>
              </w:rPr>
            </w:pPr>
          </w:p>
        </w:tc>
        <w:tc>
          <w:tcPr>
            <w:tcW w:w="2551" w:type="dxa"/>
            <w:vAlign w:val="center"/>
          </w:tcPr>
          <w:p>
            <w:pPr>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2.3 危险工序的作业人员经设区的市人民政府安全生产监督管理部门考核合格</w:t>
            </w:r>
          </w:p>
        </w:tc>
        <w:tc>
          <w:tcPr>
            <w:tcW w:w="4250" w:type="dxa"/>
            <w:vAlign w:val="center"/>
          </w:tcPr>
          <w:p>
            <w:pPr>
              <w:adjustRightInd w:val="0"/>
              <w:snapToGrid w:val="0"/>
              <w:ind w:firstLine="420" w:firstLineChars="200"/>
              <w:rPr>
                <w:rFonts w:hint="eastAsia" w:asciiTheme="minorEastAsia" w:hAnsiTheme="minorEastAsia" w:eastAsiaTheme="minorEastAsia"/>
                <w:snapToGrid w:val="0"/>
                <w:kern w:val="0"/>
                <w:szCs w:val="21"/>
                <w:lang w:eastAsia="zh-CN"/>
              </w:rPr>
            </w:pPr>
            <w:r>
              <w:rPr>
                <w:rFonts w:hint="eastAsia" w:asciiTheme="minorEastAsia" w:hAnsiTheme="minorEastAsia" w:eastAsiaTheme="minorEastAsia"/>
                <w:snapToGrid w:val="0"/>
                <w:kern w:val="0"/>
                <w:szCs w:val="21"/>
              </w:rPr>
              <w:t>《烟花爆竹安全管理条例》</w:t>
            </w:r>
            <w:r>
              <w:rPr>
                <w:rFonts w:hint="eastAsia" w:asciiTheme="minorEastAsia" w:hAnsiTheme="minorEastAsia" w:eastAsiaTheme="minorEastAsia"/>
                <w:szCs w:val="21"/>
              </w:rPr>
              <w:t>第十二条  生产烟花爆竹的企业，应当对生产作业人员进行安全生产知识教育，对从事药物混合、造粒、筛选、装药、筑药、压药、切引、搬运等危险工序的作业人员进行专业技术培训。从事危险工序的作业人员经设区的市人民政府安全生产监督管理部门考核合格，方可上岗作业</w:t>
            </w:r>
            <w:r>
              <w:rPr>
                <w:rFonts w:hint="eastAsia" w:asciiTheme="minorEastAsia" w:hAnsiTheme="minorEastAsia" w:eastAsiaTheme="minorEastAsia"/>
                <w:szCs w:val="21"/>
                <w:lang w:eastAsia="zh-CN"/>
              </w:rPr>
              <w:t>。</w:t>
            </w:r>
          </w:p>
        </w:tc>
        <w:tc>
          <w:tcPr>
            <w:tcW w:w="3972" w:type="dxa"/>
            <w:vAlign w:val="center"/>
          </w:tcPr>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napToGrid w:val="0"/>
                <w:kern w:val="0"/>
                <w:szCs w:val="21"/>
              </w:rPr>
              <w:t>《烟花爆竹安全管理条例》</w:t>
            </w:r>
            <w:r>
              <w:rPr>
                <w:rFonts w:hint="eastAsia" w:asciiTheme="minorEastAsia" w:hAnsiTheme="minorEastAsia" w:eastAsiaTheme="minorEastAsia"/>
                <w:szCs w:val="21"/>
              </w:rPr>
              <w:t>第三十七条  生产烟花爆竹的企业有下列行为之一的，由安全生产监督管理部门责令限期改正，处1万元以上5万元以下的罚款；逾期不改正的，责令停产停业整顿，情节严重的，吊销安全生产许可证：</w:t>
            </w: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（三）雇佣未经设区的市人民政府安全生产监督管理部门考核合格的人员从事危险工序作业的；</w:t>
            </w:r>
          </w:p>
          <w:p>
            <w:pPr>
              <w:adjustRightInd w:val="0"/>
              <w:snapToGrid w:val="0"/>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zCs w:val="21"/>
              </w:rPr>
              <w:t>……</w:t>
            </w:r>
          </w:p>
        </w:tc>
        <w:tc>
          <w:tcPr>
            <w:tcW w:w="1274" w:type="dxa"/>
            <w:vMerge w:val="continue"/>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925" w:type="dxa"/>
            <w:vMerge w:val="continue"/>
            <w:vAlign w:val="center"/>
          </w:tcPr>
          <w:p>
            <w:pPr>
              <w:jc w:val="center"/>
              <w:rPr>
                <w:rFonts w:asciiTheme="minorEastAsia" w:hAnsiTheme="minorEastAsia" w:eastAsiaTheme="minorEastAsia"/>
                <w:szCs w:val="21"/>
              </w:rPr>
            </w:pPr>
          </w:p>
        </w:tc>
        <w:tc>
          <w:tcPr>
            <w:tcW w:w="1346" w:type="dxa"/>
            <w:vMerge w:val="continue"/>
            <w:vAlign w:val="center"/>
          </w:tcPr>
          <w:p>
            <w:pPr>
              <w:adjustRightInd w:val="0"/>
              <w:snapToGrid w:val="0"/>
              <w:jc w:val="center"/>
              <w:rPr>
                <w:rFonts w:asciiTheme="minorEastAsia" w:hAnsiTheme="minorEastAsia" w:eastAsiaTheme="minorEastAsia"/>
                <w:szCs w:val="21"/>
              </w:rPr>
            </w:pPr>
          </w:p>
        </w:tc>
        <w:tc>
          <w:tcPr>
            <w:tcW w:w="2551" w:type="dxa"/>
            <w:vAlign w:val="center"/>
          </w:tcPr>
          <w:p>
            <w:pPr>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2.4 使用禁止使用或者禁忌配伍的物质生产</w:t>
            </w:r>
          </w:p>
        </w:tc>
        <w:tc>
          <w:tcPr>
            <w:tcW w:w="4250" w:type="dxa"/>
            <w:vAlign w:val="center"/>
          </w:tcPr>
          <w:p>
            <w:pPr>
              <w:adjustRightInd w:val="0"/>
              <w:snapToGrid w:val="0"/>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《烟花爆竹安全管理条例》第十三条   生产烟花爆竹使用的原料，应当符合国家标准的规定。生产烟花爆竹使用的原料，国家标准有用量限制的，不得超过规定的用量。不得使用国家标准规定禁止使用或者禁忌配伍的物质生产烟花爆竹。</w:t>
            </w:r>
          </w:p>
        </w:tc>
        <w:tc>
          <w:tcPr>
            <w:tcW w:w="3972" w:type="dxa"/>
            <w:vAlign w:val="center"/>
          </w:tcPr>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napToGrid w:val="0"/>
                <w:kern w:val="0"/>
                <w:szCs w:val="21"/>
              </w:rPr>
              <w:t>《烟花爆竹安全管理条例》</w:t>
            </w:r>
            <w:r>
              <w:rPr>
                <w:rFonts w:hint="eastAsia" w:asciiTheme="minorEastAsia" w:hAnsiTheme="minorEastAsia" w:eastAsiaTheme="minorEastAsia"/>
                <w:szCs w:val="21"/>
              </w:rPr>
              <w:t>第三十七条  生产烟花爆竹的企业有下列行为之一的，由安全生产监督管理部门责令限期改正，处1万元以上5万元以下的罚款；逾期不改正的，责令停产停业整顿，情节严重的，吊销安全生产许可证：</w:t>
            </w: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（五）使用按照国家标准规定禁止使用或者禁忌配伍的物质生产烟花爆竹的；</w:t>
            </w:r>
          </w:p>
          <w:p>
            <w:pPr>
              <w:adjustRightInd w:val="0"/>
              <w:snapToGrid w:val="0"/>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zCs w:val="21"/>
              </w:rPr>
              <w:t>……</w:t>
            </w:r>
          </w:p>
        </w:tc>
        <w:tc>
          <w:tcPr>
            <w:tcW w:w="1274" w:type="dxa"/>
            <w:vMerge w:val="continue"/>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925" w:type="dxa"/>
            <w:vMerge w:val="continue"/>
            <w:vAlign w:val="center"/>
          </w:tcPr>
          <w:p>
            <w:pPr>
              <w:jc w:val="center"/>
              <w:rPr>
                <w:rFonts w:asciiTheme="minorEastAsia" w:hAnsiTheme="minorEastAsia" w:eastAsiaTheme="minorEastAsia"/>
                <w:szCs w:val="21"/>
              </w:rPr>
            </w:pPr>
          </w:p>
        </w:tc>
        <w:tc>
          <w:tcPr>
            <w:tcW w:w="1346" w:type="dxa"/>
            <w:vMerge w:val="continue"/>
            <w:vAlign w:val="center"/>
          </w:tcPr>
          <w:p>
            <w:pPr>
              <w:adjustRightInd w:val="0"/>
              <w:snapToGrid w:val="0"/>
              <w:jc w:val="center"/>
              <w:rPr>
                <w:rFonts w:asciiTheme="minorEastAsia" w:hAnsiTheme="minorEastAsia" w:eastAsiaTheme="minorEastAsia"/>
                <w:szCs w:val="21"/>
              </w:rPr>
            </w:pPr>
          </w:p>
        </w:tc>
        <w:tc>
          <w:tcPr>
            <w:tcW w:w="2551" w:type="dxa"/>
            <w:vAlign w:val="center"/>
          </w:tcPr>
          <w:p>
            <w:pPr>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2.5 产品标注燃放说明，包装物印制警示标志</w:t>
            </w:r>
          </w:p>
        </w:tc>
        <w:tc>
          <w:tcPr>
            <w:tcW w:w="4250" w:type="dxa"/>
            <w:vAlign w:val="center"/>
          </w:tcPr>
          <w:p>
            <w:pPr>
              <w:adjustRightInd w:val="0"/>
              <w:snapToGrid w:val="0"/>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《烟花爆竹安全管理条例》</w:t>
            </w:r>
            <w:r>
              <w:rPr>
                <w:rFonts w:hint="eastAsia" w:asciiTheme="minorEastAsia" w:hAnsiTheme="minorEastAsia" w:eastAsiaTheme="minorEastAsia"/>
                <w:szCs w:val="21"/>
              </w:rPr>
              <w:t>第十四条  生产烟花爆竹的企业，应当按照国家标准的规定，在烟花爆竹产品上标注燃放说明，并在烟花爆竹包装物上印制易燃易爆危险物品警示标志。</w:t>
            </w:r>
          </w:p>
        </w:tc>
        <w:tc>
          <w:tcPr>
            <w:tcW w:w="3972" w:type="dxa"/>
            <w:vAlign w:val="center"/>
          </w:tcPr>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napToGrid w:val="0"/>
                <w:kern w:val="0"/>
                <w:szCs w:val="21"/>
              </w:rPr>
              <w:t>《烟花爆竹安全管理条例》</w:t>
            </w:r>
            <w:r>
              <w:rPr>
                <w:rFonts w:hint="eastAsia" w:asciiTheme="minorEastAsia" w:hAnsiTheme="minorEastAsia" w:eastAsiaTheme="minorEastAsia"/>
                <w:szCs w:val="21"/>
              </w:rPr>
              <w:t>第三十七条  生产烟花爆竹的企业有下列行为之一的，由安全生产监督管理部门责令限期改正，处1万元以上5万元以下的罚款；逾期不改正的，责令停产停业整顿，情节严重的，吊销安全生产许可证：</w:t>
            </w: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（六）未按照国家标准的规定在烟花爆竹产品上标注燃放说明，或者未在烟花爆竹的包装物上印制易燃易爆危险物品警示标志的；</w:t>
            </w:r>
          </w:p>
          <w:p>
            <w:pPr>
              <w:adjustRightInd w:val="0"/>
              <w:snapToGrid w:val="0"/>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zCs w:val="21"/>
              </w:rPr>
              <w:t>……</w:t>
            </w:r>
          </w:p>
        </w:tc>
        <w:tc>
          <w:tcPr>
            <w:tcW w:w="1274" w:type="dxa"/>
            <w:vMerge w:val="continue"/>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925" w:type="dxa"/>
            <w:vMerge w:val="continue"/>
            <w:vAlign w:val="center"/>
          </w:tcPr>
          <w:p>
            <w:pPr>
              <w:jc w:val="center"/>
              <w:rPr>
                <w:rFonts w:asciiTheme="minorEastAsia" w:hAnsiTheme="minorEastAsia" w:eastAsiaTheme="minorEastAsia"/>
                <w:szCs w:val="21"/>
              </w:rPr>
            </w:pPr>
          </w:p>
        </w:tc>
        <w:tc>
          <w:tcPr>
            <w:tcW w:w="1346" w:type="dxa"/>
            <w:vMerge w:val="continue"/>
            <w:vAlign w:val="center"/>
          </w:tcPr>
          <w:p>
            <w:pPr>
              <w:adjustRightInd w:val="0"/>
              <w:snapToGrid w:val="0"/>
              <w:jc w:val="center"/>
              <w:rPr>
                <w:rFonts w:asciiTheme="minorEastAsia" w:hAnsiTheme="minorEastAsia" w:eastAsiaTheme="minorEastAsia"/>
                <w:szCs w:val="21"/>
              </w:rPr>
            </w:pPr>
          </w:p>
        </w:tc>
        <w:tc>
          <w:tcPr>
            <w:tcW w:w="2551" w:type="dxa"/>
            <w:vAlign w:val="center"/>
          </w:tcPr>
          <w:p>
            <w:pPr>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2.6 半成品购买、销售</w:t>
            </w:r>
          </w:p>
        </w:tc>
        <w:tc>
          <w:tcPr>
            <w:tcW w:w="4250" w:type="dxa"/>
            <w:vAlign w:val="center"/>
          </w:tcPr>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《烟花爆竹生产企业安全生产许可证实施办法》第四十条  ……</w:t>
            </w:r>
          </w:p>
          <w:p>
            <w:pPr>
              <w:adjustRightInd w:val="0"/>
              <w:snapToGrid w:val="0"/>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zCs w:val="21"/>
              </w:rPr>
              <w:t>企业不得从其他企业购买烟花爆竹半成品加工后销售或者购买其他企业烟花爆竹成品加贴本企业标签后销售，不得向其他企业销售烟花爆竹半成品。从事礼花弹生产的企业不得将礼花弹销售给未经公安机关批准的燃放活动。</w:t>
            </w:r>
          </w:p>
        </w:tc>
        <w:tc>
          <w:tcPr>
            <w:tcW w:w="3972" w:type="dxa"/>
            <w:vAlign w:val="center"/>
          </w:tcPr>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《烟花爆竹生产企业安全生产许可证实施办法》第四十三条  企业有下列行为之一的，责令停止违法活动或者限期改正，并处</w:t>
            </w:r>
            <w:r>
              <w:rPr>
                <w:rFonts w:asciiTheme="minorEastAsia" w:hAnsiTheme="minorEastAsia" w:eastAsiaTheme="minorEastAsia"/>
                <w:szCs w:val="21"/>
              </w:rPr>
              <w:t>1</w:t>
            </w:r>
            <w:r>
              <w:rPr>
                <w:rFonts w:hint="eastAsia" w:asciiTheme="minorEastAsia" w:hAnsiTheme="minorEastAsia" w:eastAsiaTheme="minorEastAsia"/>
                <w:szCs w:val="21"/>
              </w:rPr>
              <w:t>万元以上</w:t>
            </w:r>
            <w:r>
              <w:rPr>
                <w:rFonts w:asciiTheme="minorEastAsia" w:hAnsiTheme="minorEastAsia" w:eastAsiaTheme="minorEastAsia"/>
                <w:szCs w:val="21"/>
              </w:rPr>
              <w:t>3</w:t>
            </w:r>
            <w:r>
              <w:rPr>
                <w:rFonts w:hint="eastAsia" w:asciiTheme="minorEastAsia" w:hAnsiTheme="minorEastAsia" w:eastAsiaTheme="minorEastAsia"/>
                <w:szCs w:val="21"/>
              </w:rPr>
              <w:t>万元以下的罚款：</w:t>
            </w: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p>
          <w:p>
            <w:pPr>
              <w:adjustRightInd w:val="0"/>
              <w:snapToGrid w:val="0"/>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zCs w:val="21"/>
              </w:rPr>
              <w:t>（二）从其他企业购买烟花爆竹半成品加工后销售，或者购买其他企业烟花爆竹成品加贴本企业标签后销售，或者向其他企业销售烟花爆竹半成品的。</w:t>
            </w:r>
          </w:p>
        </w:tc>
        <w:tc>
          <w:tcPr>
            <w:tcW w:w="1274" w:type="dxa"/>
            <w:vMerge w:val="continue"/>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925" w:type="dxa"/>
            <w:vMerge w:val="restart"/>
            <w:vAlign w:val="center"/>
          </w:tcPr>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tc>
        <w:tc>
          <w:tcPr>
            <w:tcW w:w="1346" w:type="dxa"/>
            <w:vMerge w:val="restart"/>
            <w:vAlign w:val="center"/>
          </w:tcPr>
          <w:p>
            <w:pPr>
              <w:adjustRightInd w:val="0"/>
              <w:snapToGrid w:val="0"/>
              <w:jc w:val="center"/>
              <w:rPr>
                <w:rFonts w:asciiTheme="minorEastAsia" w:hAnsiTheme="minorEastAsia" w:eastAsiaTheme="minorEastAsia"/>
                <w:szCs w:val="21"/>
              </w:rPr>
            </w:pPr>
          </w:p>
        </w:tc>
        <w:tc>
          <w:tcPr>
            <w:tcW w:w="2551" w:type="dxa"/>
            <w:vAlign w:val="center"/>
          </w:tcPr>
          <w:p>
            <w:pPr>
              <w:adjustRightInd w:val="0"/>
              <w:snapToGrid w:val="0"/>
              <w:jc w:val="left"/>
              <w:rPr>
                <w:rFonts w:asciiTheme="minorEastAsia" w:hAnsiTheme="minorEastAsia" w:eastAsiaTheme="minorEastAsia"/>
                <w:szCs w:val="21"/>
              </w:rPr>
            </w:pPr>
            <w:r>
              <w:rPr>
                <w:rFonts w:hint="eastAsia" w:ascii="宋体" w:hAnsi="宋体"/>
                <w:szCs w:val="21"/>
              </w:rPr>
              <w:t>2.7 生产工艺、生产设备、生产原材料应用使用</w:t>
            </w:r>
          </w:p>
        </w:tc>
        <w:tc>
          <w:tcPr>
            <w:tcW w:w="4250" w:type="dxa"/>
            <w:vAlign w:val="center"/>
          </w:tcPr>
          <w:p>
            <w:pPr>
              <w:adjustRightInd w:val="0"/>
              <w:snapToGrid w:val="0"/>
              <w:ind w:firstLine="420" w:firstLineChars="200"/>
              <w:rPr>
                <w:rFonts w:asciiTheme="minorEastAsia" w:hAnsiTheme="minorEastAsia" w:eastAsiaTheme="minorEastAsia"/>
                <w:szCs w:val="21"/>
              </w:rPr>
            </w:pPr>
            <w:r>
              <w:rPr>
                <w:rFonts w:hint="eastAsia" w:ascii="宋体" w:hAnsi="宋体"/>
                <w:szCs w:val="21"/>
              </w:rPr>
              <w:t>《烟花爆竹生产经营安全规定》第八条生产企业应当积极推进烟花爆竹生产工艺技术进步，采用本质安全、性能可靠、自动化程度高的机械设备和生产工艺，使用安全、环保的生产原材料。禁止使用国家明令禁止或者淘汰的生产工艺、机械设备及原材料。禁止从业人员自行携带工具、设备进入企业从事生产作业。</w:t>
            </w:r>
          </w:p>
        </w:tc>
        <w:tc>
          <w:tcPr>
            <w:tcW w:w="3972" w:type="dxa"/>
            <w:vAlign w:val="center"/>
          </w:tcPr>
          <w:p>
            <w:pPr>
              <w:adjustRightInd w:val="0"/>
              <w:snapToGrid w:val="0"/>
              <w:ind w:firstLine="420" w:firstLineChars="200"/>
            </w:pPr>
            <w:r>
              <w:rPr>
                <w:rFonts w:hint="eastAsia"/>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adjustRightInd w:val="0"/>
              <w:snapToGrid w:val="0"/>
              <w:ind w:firstLine="630" w:firstLineChars="300"/>
            </w:pPr>
            <w:r>
              <w:rPr>
                <w:rFonts w:hint="eastAsia"/>
              </w:rPr>
              <w:t>……</w:t>
            </w:r>
          </w:p>
          <w:p>
            <w:pPr>
              <w:adjustRightInd w:val="0"/>
              <w:snapToGrid w:val="0"/>
              <w:ind w:firstLine="420" w:firstLineChars="200"/>
            </w:pPr>
            <w:r>
              <w:rPr>
                <w:rFonts w:hint="eastAsia"/>
                <w:highlight w:val="none"/>
              </w:rPr>
              <w:t>（六）</w:t>
            </w:r>
            <w:r>
              <w:rPr>
                <w:rFonts w:hint="eastAsia"/>
              </w:rPr>
              <w:t>使用应当淘汰的危及生产安全的工艺、设备的。</w:t>
            </w:r>
          </w:p>
          <w:p>
            <w:pPr>
              <w:adjustRightInd w:val="0"/>
              <w:snapToGrid w:val="0"/>
              <w:ind w:firstLine="420" w:firstLineChars="200"/>
            </w:pPr>
            <w:r>
              <w:t>《烟花爆竹安全管理条例》第三十七条</w:t>
            </w:r>
            <w:r>
              <w:rPr>
                <w:rFonts w:hint="eastAsia"/>
              </w:rPr>
              <w:t xml:space="preserve">  生产烟花爆竹的企业有下列行为之一的，由安全生产监督管理部门责令限期改正，处</w:t>
            </w:r>
            <w:r>
              <w:rPr>
                <w:rFonts w:hint="eastAsia" w:asciiTheme="minorEastAsia" w:hAnsiTheme="minorEastAsia" w:eastAsiaTheme="minorEastAsia"/>
                <w:highlight w:val="none"/>
              </w:rPr>
              <w:t>1万元以上5</w:t>
            </w:r>
            <w:r>
              <w:rPr>
                <w:rFonts w:hint="eastAsia"/>
              </w:rPr>
              <w:t>万元以下的罚款；逾期不改正的，责令停产停业整顿，情节严重的，吊销安全生产许可证：</w:t>
            </w:r>
          </w:p>
          <w:p>
            <w:pPr>
              <w:adjustRightInd w:val="0"/>
              <w:snapToGrid w:val="0"/>
              <w:ind w:firstLine="420" w:firstLineChars="200"/>
            </w:pPr>
            <w:r>
              <w:rPr>
                <w:rFonts w:hint="eastAsia"/>
              </w:rPr>
              <w:t>……</w:t>
            </w:r>
            <w:r>
              <w:rPr>
                <w:rFonts w:hint="eastAsia"/>
              </w:rPr>
              <w:br w:type="textWrapping"/>
            </w:r>
            <w:r>
              <w:rPr>
                <w:rFonts w:hint="eastAsia"/>
              </w:rPr>
              <w:t>　　（四）生产烟花爆竹使用的原料不符合国家标准规定的，或者使用的原料超过国家标准规定的用量限制的；</w:t>
            </w:r>
            <w:r>
              <w:rPr>
                <w:rFonts w:hint="eastAsia"/>
              </w:rPr>
              <w:br w:type="textWrapping"/>
            </w:r>
            <w:r>
              <w:rPr>
                <w:rFonts w:hint="eastAsia"/>
              </w:rPr>
              <w:t>　　（五）使用按照国家标准规定禁止使用或者禁忌配伍的物质生产烟花爆竹的；</w:t>
            </w:r>
          </w:p>
          <w:p>
            <w:pPr>
              <w:adjustRightInd w:val="0"/>
              <w:snapToGrid w:val="0"/>
              <w:ind w:firstLine="420" w:firstLineChars="200"/>
            </w:pPr>
            <w:r>
              <w:rPr>
                <w:rFonts w:hint="eastAsia"/>
                <w:highlight w:val="none"/>
              </w:rPr>
              <w:t>……</w:t>
            </w:r>
          </w:p>
        </w:tc>
        <w:tc>
          <w:tcPr>
            <w:tcW w:w="1274" w:type="dxa"/>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925" w:type="dxa"/>
            <w:vMerge w:val="continue"/>
            <w:vAlign w:val="center"/>
          </w:tcPr>
          <w:p>
            <w:pPr>
              <w:jc w:val="center"/>
              <w:rPr>
                <w:rFonts w:asciiTheme="minorEastAsia" w:hAnsiTheme="minorEastAsia" w:eastAsiaTheme="minorEastAsia"/>
                <w:szCs w:val="21"/>
              </w:rPr>
            </w:pPr>
          </w:p>
        </w:tc>
        <w:tc>
          <w:tcPr>
            <w:tcW w:w="1346" w:type="dxa"/>
            <w:vMerge w:val="continue"/>
            <w:vAlign w:val="center"/>
          </w:tcPr>
          <w:p>
            <w:pPr>
              <w:adjustRightInd w:val="0"/>
              <w:snapToGrid w:val="0"/>
              <w:jc w:val="center"/>
              <w:rPr>
                <w:rFonts w:asciiTheme="minorEastAsia" w:hAnsiTheme="minorEastAsia" w:eastAsiaTheme="minorEastAsia"/>
                <w:szCs w:val="21"/>
              </w:rPr>
            </w:pPr>
          </w:p>
        </w:tc>
        <w:tc>
          <w:tcPr>
            <w:tcW w:w="2551" w:type="dxa"/>
            <w:vAlign w:val="center"/>
          </w:tcPr>
          <w:p>
            <w:pPr>
              <w:adjustRightInd w:val="0"/>
              <w:snapToGrid w:val="0"/>
              <w:jc w:val="left"/>
              <w:rPr>
                <w:rFonts w:asciiTheme="minorEastAsia" w:hAnsiTheme="minorEastAsia" w:eastAsiaTheme="minorEastAsia"/>
                <w:szCs w:val="21"/>
              </w:rPr>
            </w:pPr>
            <w:r>
              <w:rPr>
                <w:rFonts w:hint="eastAsia" w:ascii="宋体" w:hAnsi="宋体"/>
                <w:szCs w:val="21"/>
              </w:rPr>
              <w:t>2.8 新工艺、新设备论证</w:t>
            </w:r>
          </w:p>
        </w:tc>
        <w:tc>
          <w:tcPr>
            <w:tcW w:w="4250" w:type="dxa"/>
            <w:vAlign w:val="center"/>
          </w:tcPr>
          <w:p>
            <w:pPr>
              <w:adjustRightInd w:val="0"/>
              <w:snapToGrid w:val="0"/>
              <w:ind w:firstLine="420" w:firstLineChars="200"/>
              <w:rPr>
                <w:rFonts w:asciiTheme="minorEastAsia" w:hAnsiTheme="minorEastAsia" w:eastAsiaTheme="minorEastAsia"/>
                <w:szCs w:val="21"/>
              </w:rPr>
            </w:pPr>
            <w:r>
              <w:rPr>
                <w:rFonts w:hint="eastAsia" w:ascii="宋体" w:hAnsi="宋体"/>
                <w:szCs w:val="21"/>
              </w:rPr>
              <w:t>《烟花爆竹生产经营安全规定》第九条生产企业的涉药生产环节采用新工艺、使用新设备前，应当组织具有相应能力的机构、专家进行安全性能、安全技术要求论证。</w:t>
            </w:r>
          </w:p>
        </w:tc>
        <w:tc>
          <w:tcPr>
            <w:tcW w:w="3972" w:type="dxa"/>
            <w:vAlign w:val="center"/>
          </w:tcPr>
          <w:p>
            <w:pPr>
              <w:adjustRightInd w:val="0"/>
              <w:snapToGrid w:val="0"/>
              <w:ind w:firstLine="420" w:firstLineChars="200"/>
              <w:rPr>
                <w:rFonts w:ascii="宋体" w:hAnsi="宋体"/>
                <w:szCs w:val="21"/>
              </w:rPr>
            </w:pPr>
            <w:r>
              <w:rPr>
                <w:rFonts w:hint="eastAsia" w:ascii="宋体" w:hAnsi="宋体"/>
                <w:szCs w:val="21"/>
              </w:rPr>
              <w:t>《烟花爆竹生产经营安全规定》第三十四条  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w:t>
            </w:r>
          </w:p>
          <w:p>
            <w:pPr>
              <w:adjustRightInd w:val="0"/>
              <w:snapToGrid w:val="0"/>
              <w:ind w:firstLine="420" w:firstLineChars="200"/>
              <w:rPr>
                <w:rFonts w:ascii="宋体" w:hAnsi="宋体"/>
                <w:szCs w:val="21"/>
              </w:rPr>
            </w:pPr>
            <w:r>
              <w:rPr>
                <w:rFonts w:hint="eastAsia" w:ascii="宋体" w:hAnsi="宋体"/>
                <w:szCs w:val="21"/>
              </w:rPr>
              <w:t>……</w:t>
            </w:r>
          </w:p>
          <w:p>
            <w:pPr>
              <w:adjustRightInd w:val="0"/>
              <w:snapToGrid w:val="0"/>
              <w:ind w:firstLine="420" w:firstLineChars="200"/>
              <w:rPr>
                <w:rFonts w:ascii="宋体" w:hAnsi="宋体"/>
                <w:szCs w:val="21"/>
              </w:rPr>
            </w:pPr>
            <w:r>
              <w:rPr>
                <w:rFonts w:hint="eastAsia" w:ascii="宋体" w:hAnsi="宋体"/>
                <w:szCs w:val="21"/>
              </w:rPr>
              <w:t>（二）使用新安全设备，未进行安全性论证的；</w:t>
            </w:r>
          </w:p>
          <w:p>
            <w:pPr>
              <w:adjustRightInd w:val="0"/>
              <w:snapToGrid w:val="0"/>
              <w:ind w:firstLine="420" w:firstLineChars="200"/>
              <w:rPr>
                <w:rFonts w:asciiTheme="minorEastAsia" w:hAnsiTheme="minorEastAsia" w:eastAsiaTheme="minorEastAsia"/>
                <w:szCs w:val="21"/>
              </w:rPr>
            </w:pPr>
            <w:r>
              <w:rPr>
                <w:rFonts w:hint="eastAsia" w:ascii="宋体" w:hAnsi="宋体"/>
                <w:szCs w:val="21"/>
              </w:rPr>
              <w:t>……</w:t>
            </w:r>
          </w:p>
        </w:tc>
        <w:tc>
          <w:tcPr>
            <w:tcW w:w="1274" w:type="dxa"/>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925" w:type="dxa"/>
            <w:vMerge w:val="continue"/>
            <w:vAlign w:val="center"/>
          </w:tcPr>
          <w:p>
            <w:pPr>
              <w:jc w:val="center"/>
              <w:rPr>
                <w:rFonts w:asciiTheme="minorEastAsia" w:hAnsiTheme="minorEastAsia" w:eastAsiaTheme="minorEastAsia"/>
                <w:szCs w:val="21"/>
              </w:rPr>
            </w:pPr>
          </w:p>
        </w:tc>
        <w:tc>
          <w:tcPr>
            <w:tcW w:w="1346" w:type="dxa"/>
            <w:vMerge w:val="continue"/>
            <w:vAlign w:val="center"/>
          </w:tcPr>
          <w:p>
            <w:pPr>
              <w:adjustRightInd w:val="0"/>
              <w:snapToGrid w:val="0"/>
              <w:jc w:val="center"/>
              <w:rPr>
                <w:rFonts w:asciiTheme="minorEastAsia" w:hAnsiTheme="minorEastAsia" w:eastAsiaTheme="minorEastAsia"/>
                <w:szCs w:val="21"/>
              </w:rPr>
            </w:pPr>
          </w:p>
        </w:tc>
        <w:tc>
          <w:tcPr>
            <w:tcW w:w="2551" w:type="dxa"/>
            <w:vAlign w:val="center"/>
          </w:tcPr>
          <w:p>
            <w:pPr>
              <w:adjustRightInd w:val="0"/>
              <w:snapToGrid w:val="0"/>
              <w:jc w:val="left"/>
              <w:rPr>
                <w:rFonts w:asciiTheme="minorEastAsia" w:hAnsiTheme="minorEastAsia" w:eastAsiaTheme="minorEastAsia"/>
                <w:szCs w:val="21"/>
              </w:rPr>
            </w:pPr>
            <w:r>
              <w:rPr>
                <w:rFonts w:hint="eastAsia" w:ascii="宋体" w:hAnsi="宋体"/>
                <w:szCs w:val="21"/>
              </w:rPr>
              <w:t>2.9 安全生产标志标识</w:t>
            </w:r>
          </w:p>
        </w:tc>
        <w:tc>
          <w:tcPr>
            <w:tcW w:w="4250" w:type="dxa"/>
            <w:vAlign w:val="center"/>
          </w:tcPr>
          <w:p>
            <w:pPr>
              <w:adjustRightInd w:val="0"/>
              <w:snapToGrid w:val="0"/>
              <w:ind w:firstLine="420" w:firstLineChars="200"/>
              <w:rPr>
                <w:rFonts w:ascii="宋体" w:hAnsi="宋体"/>
                <w:szCs w:val="21"/>
              </w:rPr>
            </w:pPr>
            <w:r>
              <w:rPr>
                <w:rFonts w:hint="eastAsia" w:ascii="宋体" w:hAnsi="宋体"/>
                <w:szCs w:val="21"/>
              </w:rPr>
              <w:t>《烟花爆竹生产经营安全规定》第十一条  生产企业、批发企业的生产区、总仓库区、工（库）房及其他有较大危险因素的生产经营场所和有关设施设备上，应当设置明显的安全警示标志；所有工（库）房应当按照国家标准或者行业标准的规定设置准确、清晰、醒目的定员、定量、定级标识。</w:t>
            </w:r>
          </w:p>
          <w:p>
            <w:pPr>
              <w:adjustRightInd w:val="0"/>
              <w:snapToGrid w:val="0"/>
              <w:ind w:firstLine="420" w:firstLineChars="200"/>
              <w:rPr>
                <w:rFonts w:asciiTheme="minorEastAsia" w:hAnsiTheme="minorEastAsia" w:eastAsiaTheme="minorEastAsia"/>
                <w:szCs w:val="21"/>
              </w:rPr>
            </w:pPr>
            <w:r>
              <w:rPr>
                <w:rFonts w:hint="eastAsia" w:ascii="宋体" w:hAnsi="宋体"/>
                <w:szCs w:val="21"/>
              </w:rPr>
              <w:t>零售经营场所应当设置清晰、醒目的易燃易爆以及周边严禁烟火、严禁燃放烟花爆竹的安全标志。</w:t>
            </w:r>
          </w:p>
        </w:tc>
        <w:tc>
          <w:tcPr>
            <w:tcW w:w="3972" w:type="dxa"/>
            <w:vAlign w:val="center"/>
          </w:tcPr>
          <w:p>
            <w:pPr>
              <w:adjustRightInd w:val="0"/>
              <w:snapToGrid w:val="0"/>
              <w:ind w:firstLine="420" w:firstLineChars="200"/>
              <w:rPr>
                <w:rFonts w:ascii="宋体" w:hAnsi="宋体"/>
                <w:szCs w:val="21"/>
              </w:rPr>
            </w:pPr>
            <w:r>
              <w:rPr>
                <w:rFonts w:hint="eastAsia" w:ascii="宋体" w:hAnsi="宋体"/>
                <w:szCs w:val="21"/>
              </w:rPr>
              <w:t>《烟花爆竹生产经营安全规定》第三十三条  生产企业、批发企业有下列行为之一的，责令限期改正；逾期未改正的，处一万元以上三万元以下的罚款：</w:t>
            </w:r>
          </w:p>
          <w:p>
            <w:pPr>
              <w:adjustRightInd w:val="0"/>
              <w:snapToGrid w:val="0"/>
              <w:ind w:firstLine="420" w:firstLineChars="200"/>
              <w:rPr>
                <w:rFonts w:ascii="宋体" w:hAnsi="宋体"/>
                <w:szCs w:val="21"/>
              </w:rPr>
            </w:pPr>
            <w:r>
              <w:rPr>
                <w:rFonts w:hint="eastAsia" w:ascii="宋体" w:hAnsi="宋体"/>
                <w:szCs w:val="21"/>
              </w:rPr>
              <w:t>（一）工（库）房没有设置准确、清晰、醒目的定员、定量、定级标识的；</w:t>
            </w:r>
          </w:p>
          <w:p>
            <w:pPr>
              <w:adjustRightInd w:val="0"/>
              <w:snapToGrid w:val="0"/>
              <w:ind w:firstLine="420" w:firstLineChars="200"/>
              <w:rPr>
                <w:rFonts w:asciiTheme="minorEastAsia" w:hAnsiTheme="minorEastAsia" w:eastAsiaTheme="minorEastAsia"/>
                <w:szCs w:val="21"/>
              </w:rPr>
            </w:pPr>
            <w:r>
              <w:rPr>
                <w:rFonts w:hint="eastAsia" w:ascii="宋体" w:hAnsi="宋体"/>
                <w:szCs w:val="21"/>
              </w:rPr>
              <w:t>……</w:t>
            </w:r>
          </w:p>
        </w:tc>
        <w:tc>
          <w:tcPr>
            <w:tcW w:w="1274" w:type="dxa"/>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925" w:type="dxa"/>
            <w:vMerge w:val="restart"/>
            <w:vAlign w:val="center"/>
          </w:tcPr>
          <w:p>
            <w:pPr>
              <w:jc w:val="center"/>
              <w:rPr>
                <w:rFonts w:asciiTheme="minorEastAsia" w:hAnsiTheme="minorEastAsia" w:eastAsiaTheme="minorEastAsia"/>
                <w:szCs w:val="21"/>
              </w:rPr>
            </w:pPr>
          </w:p>
        </w:tc>
        <w:tc>
          <w:tcPr>
            <w:tcW w:w="1346" w:type="dxa"/>
            <w:vMerge w:val="restart"/>
            <w:vAlign w:val="center"/>
          </w:tcPr>
          <w:p>
            <w:pPr>
              <w:adjustRightInd w:val="0"/>
              <w:snapToGrid w:val="0"/>
              <w:jc w:val="center"/>
              <w:rPr>
                <w:rFonts w:asciiTheme="minorEastAsia" w:hAnsiTheme="minorEastAsia" w:eastAsiaTheme="minorEastAsia"/>
                <w:szCs w:val="21"/>
              </w:rPr>
            </w:pPr>
          </w:p>
        </w:tc>
        <w:tc>
          <w:tcPr>
            <w:tcW w:w="2551" w:type="dxa"/>
            <w:vAlign w:val="center"/>
          </w:tcPr>
          <w:p>
            <w:pPr>
              <w:adjustRightInd w:val="0"/>
              <w:snapToGrid w:val="0"/>
              <w:jc w:val="left"/>
              <w:rPr>
                <w:rFonts w:ascii="宋体" w:hAnsi="宋体"/>
                <w:szCs w:val="21"/>
              </w:rPr>
            </w:pPr>
            <w:r>
              <w:rPr>
                <w:rFonts w:hint="eastAsia" w:ascii="宋体" w:hAnsi="宋体"/>
                <w:szCs w:val="21"/>
              </w:rPr>
              <w:t>2.1</w:t>
            </w:r>
            <w:r>
              <w:rPr>
                <w:rFonts w:hint="eastAsia" w:ascii="宋体" w:hAnsi="宋体"/>
                <w:szCs w:val="21"/>
                <w:lang w:val="en-US" w:eastAsia="zh-CN"/>
              </w:rPr>
              <w:t>0</w:t>
            </w:r>
            <w:r>
              <w:rPr>
                <w:rFonts w:hint="eastAsia" w:ascii="宋体" w:hAnsi="宋体"/>
                <w:szCs w:val="21"/>
              </w:rPr>
              <w:t xml:space="preserve"> 人员、车辆出入厂管理。</w:t>
            </w:r>
          </w:p>
        </w:tc>
        <w:tc>
          <w:tcPr>
            <w:tcW w:w="4250" w:type="dxa"/>
            <w:vAlign w:val="center"/>
          </w:tcPr>
          <w:p>
            <w:pPr>
              <w:widowControl/>
              <w:adjustRightInd w:val="0"/>
              <w:snapToGrid w:val="0"/>
              <w:ind w:firstLine="420" w:firstLineChars="200"/>
              <w:jc w:val="left"/>
              <w:rPr>
                <w:rFonts w:ascii="宋体" w:hAnsi="宋体"/>
                <w:szCs w:val="21"/>
              </w:rPr>
            </w:pPr>
            <w:r>
              <w:rPr>
                <w:rFonts w:hint="eastAsia" w:ascii="宋体" w:hAnsi="宋体"/>
                <w:szCs w:val="21"/>
              </w:rPr>
              <w:t>《烟花爆竹生产经营安全规定》第十六条  生产企业、批发企业必须建立值班制度和现场巡查制度，全面掌握当日各岗位人员数量及药物分布等安全生产情况，确保不超员超量，并及时处置异常情况。生产企业、批发企业的危险品生产区、总仓库区，应当确保二十四小时有人值班，并保持监控设施有效、通信畅通。</w:t>
            </w:r>
          </w:p>
          <w:p>
            <w:pPr>
              <w:adjustRightInd w:val="0"/>
              <w:snapToGrid w:val="0"/>
              <w:ind w:firstLine="420" w:firstLineChars="200"/>
              <w:rPr>
                <w:rFonts w:ascii="宋体" w:hAnsi="宋体"/>
                <w:szCs w:val="21"/>
              </w:rPr>
            </w:pPr>
            <w:r>
              <w:rPr>
                <w:rFonts w:hint="eastAsia" w:ascii="宋体" w:hAnsi="宋体"/>
                <w:szCs w:val="21"/>
              </w:rPr>
              <w:t>第十七条  生产企业、批发企业应当建立从业人员、外来人员、车辆进出厂（库）区登记制度，对进出厂（库）区的从业人员、外来人员、车辆如实登记记录，随时掌握厂（库）区人员和车辆的情况。禁止无关人员和车辆进入厂（库）区。禁止未安装阻火装置等不符合国家标准或者行业标准规定安全条件的机动车辆进入生产区和仓库区。</w:t>
            </w:r>
          </w:p>
        </w:tc>
        <w:tc>
          <w:tcPr>
            <w:tcW w:w="3972" w:type="dxa"/>
            <w:vAlign w:val="center"/>
          </w:tcPr>
          <w:p>
            <w:pPr>
              <w:adjustRightInd w:val="0"/>
              <w:snapToGrid w:val="0"/>
              <w:ind w:firstLine="420" w:firstLineChars="200"/>
              <w:rPr>
                <w:rFonts w:ascii="宋体" w:hAnsi="宋体"/>
                <w:szCs w:val="21"/>
              </w:rPr>
            </w:pPr>
            <w:r>
              <w:rPr>
                <w:rFonts w:hint="eastAsia" w:ascii="宋体" w:hAnsi="宋体"/>
                <w:szCs w:val="21"/>
              </w:rPr>
              <w:t>《烟花爆竹生产经营安全规定》第三十五条  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pPr>
              <w:adjustRightInd w:val="0"/>
              <w:snapToGrid w:val="0"/>
              <w:ind w:firstLine="420" w:firstLineChars="200"/>
              <w:rPr>
                <w:rFonts w:ascii="宋体" w:hAnsi="宋体"/>
                <w:szCs w:val="21"/>
              </w:rPr>
            </w:pPr>
            <w:r>
              <w:rPr>
                <w:rFonts w:hint="eastAsia" w:ascii="宋体" w:hAnsi="宋体"/>
                <w:szCs w:val="21"/>
              </w:rPr>
              <w:t>（一）未建立从业人员、外来人员、车辆出入厂（库）区登记制度的；</w:t>
            </w:r>
          </w:p>
          <w:p>
            <w:pPr>
              <w:adjustRightInd w:val="0"/>
              <w:snapToGrid w:val="0"/>
              <w:ind w:firstLine="420" w:firstLineChars="200"/>
              <w:rPr>
                <w:rFonts w:ascii="宋体" w:hAnsi="宋体"/>
                <w:szCs w:val="21"/>
              </w:rPr>
            </w:pPr>
            <w:r>
              <w:rPr>
                <w:rFonts w:hint="eastAsia" w:ascii="宋体" w:hAnsi="宋体"/>
                <w:szCs w:val="21"/>
              </w:rPr>
              <w:t>……</w:t>
            </w:r>
          </w:p>
          <w:p>
            <w:pPr>
              <w:adjustRightInd w:val="0"/>
              <w:snapToGrid w:val="0"/>
              <w:ind w:firstLine="420" w:firstLineChars="200"/>
              <w:rPr>
                <w:rFonts w:ascii="宋体" w:hAnsi="宋体"/>
                <w:szCs w:val="21"/>
              </w:rPr>
            </w:pPr>
            <w:r>
              <w:rPr>
                <w:rFonts w:hint="eastAsia" w:ascii="宋体" w:hAnsi="宋体"/>
                <w:szCs w:val="21"/>
              </w:rPr>
              <w:t>第三十八条  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pPr>
              <w:adjustRightInd w:val="0"/>
              <w:snapToGrid w:val="0"/>
              <w:ind w:firstLine="420" w:firstLineChars="200"/>
              <w:rPr>
                <w:rFonts w:ascii="宋体" w:hAnsi="宋体"/>
                <w:szCs w:val="21"/>
              </w:rPr>
            </w:pPr>
            <w:r>
              <w:rPr>
                <w:rFonts w:hint="eastAsia" w:ascii="宋体" w:hAnsi="宋体"/>
                <w:szCs w:val="21"/>
              </w:rPr>
              <w:t>……</w:t>
            </w:r>
          </w:p>
          <w:p>
            <w:pPr>
              <w:adjustRightInd w:val="0"/>
              <w:snapToGrid w:val="0"/>
              <w:ind w:firstLine="420" w:firstLineChars="200"/>
              <w:rPr>
                <w:rFonts w:ascii="宋体" w:hAnsi="宋体"/>
                <w:szCs w:val="21"/>
              </w:rPr>
            </w:pPr>
            <w:r>
              <w:rPr>
                <w:rFonts w:hint="eastAsia" w:ascii="宋体" w:hAnsi="宋体"/>
                <w:szCs w:val="21"/>
              </w:rPr>
              <w:t>（七）允许未安装阻火装置等不具备国家标准或者行业标准规定安全条件的机动车辆进入生产区和仓库区的；</w:t>
            </w:r>
          </w:p>
          <w:p>
            <w:pPr>
              <w:adjustRightInd w:val="0"/>
              <w:snapToGrid w:val="0"/>
              <w:ind w:firstLine="420" w:firstLineChars="200"/>
              <w:rPr>
                <w:rFonts w:ascii="宋体" w:hAnsi="宋体"/>
                <w:szCs w:val="21"/>
              </w:rPr>
            </w:pPr>
            <w:r>
              <w:rPr>
                <w:rFonts w:hint="eastAsia" w:ascii="宋体" w:hAnsi="宋体"/>
                <w:szCs w:val="21"/>
              </w:rPr>
              <w:t>……</w:t>
            </w:r>
          </w:p>
        </w:tc>
        <w:tc>
          <w:tcPr>
            <w:tcW w:w="1274" w:type="dxa"/>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925" w:type="dxa"/>
            <w:vMerge w:val="continue"/>
            <w:vAlign w:val="center"/>
          </w:tcPr>
          <w:p>
            <w:pPr>
              <w:jc w:val="center"/>
              <w:rPr>
                <w:rFonts w:asciiTheme="minorEastAsia" w:hAnsiTheme="minorEastAsia" w:eastAsiaTheme="minorEastAsia"/>
                <w:szCs w:val="21"/>
              </w:rPr>
            </w:pPr>
          </w:p>
        </w:tc>
        <w:tc>
          <w:tcPr>
            <w:tcW w:w="1346" w:type="dxa"/>
            <w:vMerge w:val="continue"/>
            <w:vAlign w:val="center"/>
          </w:tcPr>
          <w:p>
            <w:pPr>
              <w:adjustRightInd w:val="0"/>
              <w:snapToGrid w:val="0"/>
              <w:jc w:val="center"/>
              <w:rPr>
                <w:rFonts w:asciiTheme="minorEastAsia" w:hAnsiTheme="minorEastAsia" w:eastAsiaTheme="minorEastAsia"/>
                <w:szCs w:val="21"/>
              </w:rPr>
            </w:pPr>
          </w:p>
        </w:tc>
        <w:tc>
          <w:tcPr>
            <w:tcW w:w="2551" w:type="dxa"/>
            <w:vAlign w:val="center"/>
          </w:tcPr>
          <w:p>
            <w:pPr>
              <w:adjustRightInd w:val="0"/>
              <w:snapToGrid w:val="0"/>
              <w:jc w:val="left"/>
              <w:rPr>
                <w:rFonts w:ascii="宋体" w:hAnsi="宋体"/>
                <w:szCs w:val="21"/>
              </w:rPr>
            </w:pPr>
            <w:r>
              <w:rPr>
                <w:rFonts w:hint="eastAsia" w:ascii="宋体" w:hAnsi="宋体"/>
                <w:szCs w:val="21"/>
              </w:rPr>
              <w:t>2.1</w:t>
            </w:r>
            <w:r>
              <w:rPr>
                <w:rFonts w:hint="eastAsia" w:ascii="宋体" w:hAnsi="宋体"/>
                <w:szCs w:val="21"/>
                <w:lang w:val="en-US" w:eastAsia="zh-CN"/>
              </w:rPr>
              <w:t>1</w:t>
            </w:r>
            <w:r>
              <w:rPr>
                <w:rFonts w:hint="eastAsia" w:ascii="宋体" w:hAnsi="宋体"/>
                <w:szCs w:val="21"/>
              </w:rPr>
              <w:t xml:space="preserve"> 黑火药引火线管理</w:t>
            </w:r>
          </w:p>
        </w:tc>
        <w:tc>
          <w:tcPr>
            <w:tcW w:w="4250" w:type="dxa"/>
            <w:vAlign w:val="center"/>
          </w:tcPr>
          <w:p>
            <w:pPr>
              <w:adjustRightInd w:val="0"/>
              <w:snapToGrid w:val="0"/>
              <w:ind w:firstLine="420" w:firstLineChars="200"/>
              <w:rPr>
                <w:rFonts w:ascii="宋体" w:hAnsi="宋体"/>
                <w:szCs w:val="21"/>
              </w:rPr>
            </w:pPr>
            <w:r>
              <w:rPr>
                <w:rFonts w:hint="eastAsia" w:ascii="宋体" w:hAnsi="宋体"/>
                <w:szCs w:val="21"/>
              </w:rPr>
              <w:t>《烟花爆竹生产经营安全规定》第十八条  生产企业和经营黑火药、引火线的批发企业应当要求供货单位提供并查验购进的黑火药、引火线及化工原材料的质检报告或者产品合格证，确保其安全性能符合国家标准或者行业标准的规定；对总仓库和中转库的黑火药、引火线、烟火药及裸药效果件，应当建立并实施由专人管理、登记、分发的安全管理制度。</w:t>
            </w:r>
          </w:p>
        </w:tc>
        <w:tc>
          <w:tcPr>
            <w:tcW w:w="3972" w:type="dxa"/>
            <w:vAlign w:val="center"/>
          </w:tcPr>
          <w:p>
            <w:pPr>
              <w:adjustRightInd w:val="0"/>
              <w:snapToGrid w:val="0"/>
              <w:ind w:firstLine="420" w:firstLineChars="200"/>
              <w:rPr>
                <w:rFonts w:ascii="宋体" w:hAnsi="宋体"/>
                <w:szCs w:val="21"/>
              </w:rPr>
            </w:pPr>
            <w:r>
              <w:rPr>
                <w:rFonts w:hint="eastAsia" w:ascii="宋体" w:hAnsi="宋体"/>
                <w:szCs w:val="21"/>
              </w:rPr>
              <w:t>《烟花爆竹生产经营安全规定》第三十五条  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pPr>
              <w:adjustRightInd w:val="0"/>
              <w:snapToGrid w:val="0"/>
              <w:ind w:firstLine="420" w:firstLineChars="200"/>
              <w:rPr>
                <w:rFonts w:ascii="宋体" w:hAnsi="宋体"/>
                <w:szCs w:val="21"/>
              </w:rPr>
            </w:pPr>
            <w:r>
              <w:rPr>
                <w:rFonts w:hint="eastAsia" w:ascii="宋体" w:hAnsi="宋体"/>
                <w:szCs w:val="21"/>
              </w:rPr>
              <w:t>……</w:t>
            </w:r>
          </w:p>
          <w:p>
            <w:pPr>
              <w:adjustRightInd w:val="0"/>
              <w:snapToGrid w:val="0"/>
              <w:ind w:firstLine="420" w:firstLineChars="200"/>
              <w:rPr>
                <w:rFonts w:ascii="宋体" w:hAnsi="宋体"/>
                <w:szCs w:val="21"/>
              </w:rPr>
            </w:pPr>
            <w:r>
              <w:rPr>
                <w:rFonts w:hint="eastAsia" w:ascii="宋体" w:hAnsi="宋体"/>
                <w:szCs w:val="21"/>
              </w:rPr>
              <w:t>（二）未制定专人管理、登记、分发黑火药、引火线、烟火药及库存和中转效果件的安全管理制度的；</w:t>
            </w:r>
          </w:p>
          <w:p>
            <w:pPr>
              <w:adjustRightInd w:val="0"/>
              <w:snapToGrid w:val="0"/>
              <w:ind w:firstLine="420" w:firstLineChars="200"/>
              <w:rPr>
                <w:rFonts w:ascii="宋体" w:hAnsi="宋体"/>
                <w:szCs w:val="21"/>
              </w:rPr>
            </w:pPr>
            <w:r>
              <w:rPr>
                <w:rFonts w:hint="eastAsia" w:ascii="宋体" w:hAnsi="宋体"/>
                <w:szCs w:val="21"/>
              </w:rPr>
              <w:t>……</w:t>
            </w:r>
          </w:p>
          <w:p>
            <w:pPr>
              <w:adjustRightInd w:val="0"/>
              <w:snapToGrid w:val="0"/>
              <w:ind w:firstLine="420" w:firstLineChars="200"/>
              <w:rPr>
                <w:rFonts w:ascii="宋体" w:hAnsi="宋体"/>
                <w:szCs w:val="21"/>
              </w:rPr>
            </w:pPr>
            <w:r>
              <w:rPr>
                <w:rFonts w:hint="eastAsia" w:ascii="宋体" w:hAnsi="宋体"/>
                <w:szCs w:val="21"/>
              </w:rPr>
              <w:t>（四）未按规定建立烟花爆竹流向管理制度的。</w:t>
            </w:r>
          </w:p>
        </w:tc>
        <w:tc>
          <w:tcPr>
            <w:tcW w:w="1274" w:type="dxa"/>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925" w:type="dxa"/>
            <w:vMerge w:val="continue"/>
            <w:vAlign w:val="center"/>
          </w:tcPr>
          <w:p>
            <w:pPr>
              <w:jc w:val="center"/>
              <w:rPr>
                <w:rFonts w:asciiTheme="minorEastAsia" w:hAnsiTheme="minorEastAsia" w:eastAsiaTheme="minorEastAsia"/>
                <w:szCs w:val="21"/>
              </w:rPr>
            </w:pPr>
          </w:p>
        </w:tc>
        <w:tc>
          <w:tcPr>
            <w:tcW w:w="1346" w:type="dxa"/>
            <w:vMerge w:val="continue"/>
            <w:vAlign w:val="center"/>
          </w:tcPr>
          <w:p>
            <w:pPr>
              <w:adjustRightInd w:val="0"/>
              <w:snapToGrid w:val="0"/>
              <w:jc w:val="center"/>
              <w:rPr>
                <w:rFonts w:asciiTheme="minorEastAsia" w:hAnsiTheme="minorEastAsia" w:eastAsiaTheme="minorEastAsia"/>
                <w:szCs w:val="21"/>
              </w:rPr>
            </w:pPr>
          </w:p>
        </w:tc>
        <w:tc>
          <w:tcPr>
            <w:tcW w:w="2551" w:type="dxa"/>
            <w:vAlign w:val="center"/>
          </w:tcPr>
          <w:p>
            <w:pPr>
              <w:adjustRightInd w:val="0"/>
              <w:snapToGrid w:val="0"/>
              <w:jc w:val="left"/>
              <w:rPr>
                <w:rFonts w:ascii="宋体" w:hAnsi="宋体"/>
                <w:szCs w:val="21"/>
              </w:rPr>
            </w:pPr>
            <w:r>
              <w:rPr>
                <w:rFonts w:hint="eastAsia" w:ascii="宋体" w:hAnsi="宋体"/>
                <w:szCs w:val="21"/>
              </w:rPr>
              <w:t>2.1</w:t>
            </w:r>
            <w:r>
              <w:rPr>
                <w:rFonts w:hint="eastAsia" w:ascii="宋体" w:hAnsi="宋体"/>
                <w:szCs w:val="21"/>
                <w:lang w:val="en-US" w:eastAsia="zh-CN"/>
              </w:rPr>
              <w:t>2</w:t>
            </w:r>
            <w:r>
              <w:rPr>
                <w:rFonts w:hint="eastAsia" w:ascii="宋体" w:hAnsi="宋体"/>
                <w:szCs w:val="21"/>
              </w:rPr>
              <w:t xml:space="preserve"> 作业安全管理</w:t>
            </w:r>
          </w:p>
        </w:tc>
        <w:tc>
          <w:tcPr>
            <w:tcW w:w="4250" w:type="dxa"/>
            <w:vAlign w:val="center"/>
          </w:tcPr>
          <w:p>
            <w:pPr>
              <w:adjustRightInd w:val="0"/>
              <w:snapToGrid w:val="0"/>
              <w:ind w:firstLine="420" w:firstLineChars="200"/>
              <w:rPr>
                <w:rFonts w:ascii="宋体" w:hAnsi="宋体"/>
                <w:szCs w:val="21"/>
              </w:rPr>
            </w:pPr>
            <w:r>
              <w:rPr>
                <w:rFonts w:hint="eastAsia" w:ascii="宋体" w:hAnsi="宋体"/>
                <w:szCs w:val="21"/>
              </w:rPr>
              <w:t>《烟花爆竹生产经营安全规定》第十九条  生产企业、批发企业应当加强日常安全检查，采取安全监控、巡查检查等措施，及时发现、纠正违反安全操作规程和规章制度的行为。禁止工（库）房超员、超量作业，禁止擅自改变工（库）房设计用途，禁止作业人员随意串岗、换岗、离岗。</w:t>
            </w:r>
          </w:p>
        </w:tc>
        <w:tc>
          <w:tcPr>
            <w:tcW w:w="3972" w:type="dxa"/>
            <w:vAlign w:val="center"/>
          </w:tcPr>
          <w:p>
            <w:pPr>
              <w:adjustRightInd w:val="0"/>
              <w:snapToGrid w:val="0"/>
              <w:ind w:firstLine="420" w:firstLineChars="200"/>
              <w:rPr>
                <w:rFonts w:ascii="宋体" w:hAnsi="宋体"/>
                <w:szCs w:val="21"/>
              </w:rPr>
            </w:pPr>
            <w:r>
              <w:rPr>
                <w:rFonts w:hint="eastAsia" w:ascii="宋体" w:hAnsi="宋体"/>
                <w:szCs w:val="21"/>
              </w:rPr>
              <w:t>《烟花爆竹生产经营安全规定》第三十八条  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pPr>
              <w:adjustRightInd w:val="0"/>
              <w:snapToGrid w:val="0"/>
              <w:ind w:firstLine="420" w:firstLineChars="200"/>
              <w:rPr>
                <w:rFonts w:ascii="宋体" w:hAnsi="宋体"/>
                <w:szCs w:val="21"/>
              </w:rPr>
            </w:pPr>
            <w:r>
              <w:rPr>
                <w:rFonts w:hint="eastAsia" w:ascii="宋体" w:hAnsi="宋体"/>
                <w:szCs w:val="21"/>
              </w:rPr>
              <w:t>（一）工（库）房超过核定人员、药量或者擅自改变设计用途使用工（库）房的；</w:t>
            </w:r>
          </w:p>
          <w:p>
            <w:pPr>
              <w:adjustRightInd w:val="0"/>
              <w:snapToGrid w:val="0"/>
              <w:ind w:firstLine="420" w:firstLineChars="200"/>
              <w:rPr>
                <w:rFonts w:ascii="宋体" w:hAnsi="宋体"/>
                <w:szCs w:val="21"/>
              </w:rPr>
            </w:pPr>
            <w:r>
              <w:rPr>
                <w:rFonts w:hint="eastAsia" w:ascii="宋体" w:hAnsi="宋体"/>
                <w:szCs w:val="21"/>
              </w:rPr>
              <w:t>……</w:t>
            </w:r>
          </w:p>
        </w:tc>
        <w:tc>
          <w:tcPr>
            <w:tcW w:w="1274" w:type="dxa"/>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925" w:type="dxa"/>
            <w:vMerge w:val="continue"/>
            <w:vAlign w:val="center"/>
          </w:tcPr>
          <w:p>
            <w:pPr>
              <w:jc w:val="center"/>
              <w:rPr>
                <w:rFonts w:asciiTheme="minorEastAsia" w:hAnsiTheme="minorEastAsia" w:eastAsiaTheme="minorEastAsia"/>
                <w:szCs w:val="21"/>
              </w:rPr>
            </w:pPr>
          </w:p>
        </w:tc>
        <w:tc>
          <w:tcPr>
            <w:tcW w:w="1346" w:type="dxa"/>
            <w:vMerge w:val="continue"/>
            <w:vAlign w:val="center"/>
          </w:tcPr>
          <w:p>
            <w:pPr>
              <w:adjustRightInd w:val="0"/>
              <w:snapToGrid w:val="0"/>
              <w:jc w:val="center"/>
              <w:rPr>
                <w:rFonts w:asciiTheme="minorEastAsia" w:hAnsiTheme="minorEastAsia" w:eastAsiaTheme="minorEastAsia"/>
                <w:szCs w:val="21"/>
              </w:rPr>
            </w:pPr>
          </w:p>
        </w:tc>
        <w:tc>
          <w:tcPr>
            <w:tcW w:w="2551" w:type="dxa"/>
            <w:vAlign w:val="center"/>
          </w:tcPr>
          <w:p>
            <w:pPr>
              <w:adjustRightInd w:val="0"/>
              <w:snapToGrid w:val="0"/>
              <w:jc w:val="left"/>
              <w:rPr>
                <w:rFonts w:ascii="宋体" w:hAnsi="宋体"/>
                <w:szCs w:val="21"/>
              </w:rPr>
            </w:pPr>
            <w:r>
              <w:rPr>
                <w:rFonts w:hint="eastAsia" w:ascii="宋体" w:hAnsi="宋体"/>
                <w:szCs w:val="21"/>
              </w:rPr>
              <w:t>2.1</w:t>
            </w:r>
            <w:r>
              <w:rPr>
                <w:rFonts w:hint="eastAsia" w:ascii="宋体" w:hAnsi="宋体"/>
                <w:szCs w:val="21"/>
                <w:lang w:val="en-US" w:eastAsia="zh-CN"/>
              </w:rPr>
              <w:t>3</w:t>
            </w:r>
            <w:r>
              <w:rPr>
                <w:rFonts w:hint="eastAsia" w:ascii="宋体" w:hAnsi="宋体"/>
                <w:szCs w:val="21"/>
              </w:rPr>
              <w:t xml:space="preserve"> 烟花爆竹产品存放</w:t>
            </w:r>
          </w:p>
        </w:tc>
        <w:tc>
          <w:tcPr>
            <w:tcW w:w="4250" w:type="dxa"/>
            <w:vAlign w:val="center"/>
          </w:tcPr>
          <w:p>
            <w:pPr>
              <w:adjustRightInd w:val="0"/>
              <w:snapToGrid w:val="0"/>
              <w:ind w:firstLine="420" w:firstLineChars="200"/>
              <w:rPr>
                <w:rFonts w:ascii="宋体" w:hAnsi="宋体"/>
                <w:szCs w:val="21"/>
              </w:rPr>
            </w:pPr>
            <w:r>
              <w:rPr>
                <w:rFonts w:hint="eastAsia" w:ascii="宋体" w:hAnsi="宋体"/>
                <w:szCs w:val="21"/>
              </w:rPr>
              <w:t>《烟花爆竹生产经营安全规定》第二十条  生产企业、批发企业应当按照设计用途、危险等级、核定药量使用药物总库和成品总库，并按规定堆码，分类分级存放，保持仓库内通道畅通，准确记录药物和产品数量。</w:t>
            </w:r>
          </w:p>
          <w:p>
            <w:pPr>
              <w:adjustRightInd w:val="0"/>
              <w:snapToGrid w:val="0"/>
              <w:ind w:firstLine="420" w:firstLineChars="200"/>
              <w:rPr>
                <w:rFonts w:ascii="宋体" w:hAnsi="宋体"/>
                <w:szCs w:val="21"/>
              </w:rPr>
            </w:pPr>
            <w:r>
              <w:rPr>
                <w:rFonts w:hint="eastAsia" w:ascii="宋体" w:hAnsi="宋体"/>
                <w:szCs w:val="21"/>
              </w:rPr>
              <w:t>禁止在仓库内进行拆箱、包装作业。禁止将性质不相容的物质混存。禁止将高危险等级物品储存在危险等级低的仓库。禁止在烟花爆竹仓库储存不属于烟花爆竹的其他危险物品。</w:t>
            </w:r>
          </w:p>
        </w:tc>
        <w:tc>
          <w:tcPr>
            <w:tcW w:w="3972" w:type="dxa"/>
            <w:vAlign w:val="center"/>
          </w:tcPr>
          <w:p>
            <w:pPr>
              <w:adjustRightInd w:val="0"/>
              <w:snapToGrid w:val="0"/>
              <w:ind w:firstLine="420" w:firstLineChars="200"/>
              <w:rPr>
                <w:rFonts w:ascii="宋体" w:hAnsi="宋体"/>
                <w:szCs w:val="21"/>
              </w:rPr>
            </w:pPr>
            <w:r>
              <w:rPr>
                <w:rFonts w:hint="eastAsia" w:ascii="宋体" w:hAnsi="宋体"/>
                <w:szCs w:val="21"/>
              </w:rPr>
              <w:t>《烟花爆竹生产经营安全规定》第三十八条  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pPr>
              <w:widowControl/>
              <w:adjustRightInd w:val="0"/>
              <w:snapToGrid w:val="0"/>
              <w:ind w:firstLine="420" w:firstLineChars="200"/>
              <w:jc w:val="left"/>
              <w:rPr>
                <w:rFonts w:ascii="宋体" w:hAnsi="宋体"/>
                <w:szCs w:val="21"/>
              </w:rPr>
            </w:pPr>
            <w:r>
              <w:rPr>
                <w:rFonts w:hint="eastAsia" w:ascii="宋体" w:hAnsi="宋体"/>
                <w:szCs w:val="21"/>
              </w:rPr>
              <w:t>……</w:t>
            </w:r>
          </w:p>
          <w:p>
            <w:pPr>
              <w:widowControl/>
              <w:adjustRightInd w:val="0"/>
              <w:snapToGrid w:val="0"/>
              <w:ind w:firstLine="420" w:firstLineChars="200"/>
              <w:jc w:val="left"/>
              <w:rPr>
                <w:rFonts w:ascii="宋体" w:hAnsi="宋体"/>
                <w:szCs w:val="21"/>
              </w:rPr>
            </w:pPr>
            <w:r>
              <w:rPr>
                <w:rFonts w:hint="eastAsia" w:ascii="宋体" w:hAnsi="宋体"/>
                <w:szCs w:val="21"/>
              </w:rPr>
              <w:t>（二）仓库内堆码、分类分级储存等违反国家标准或者行业标准规定的；</w:t>
            </w:r>
          </w:p>
          <w:p>
            <w:pPr>
              <w:widowControl/>
              <w:adjustRightInd w:val="0"/>
              <w:snapToGrid w:val="0"/>
              <w:ind w:firstLine="420" w:firstLineChars="200"/>
              <w:jc w:val="left"/>
              <w:rPr>
                <w:rFonts w:ascii="宋体" w:hAnsi="宋体"/>
                <w:szCs w:val="21"/>
              </w:rPr>
            </w:pPr>
            <w:r>
              <w:rPr>
                <w:rFonts w:hint="eastAsia" w:ascii="宋体" w:hAnsi="宋体"/>
                <w:szCs w:val="21"/>
              </w:rPr>
              <w:t>（三）在仓库内进行拆箱、包装作业，将性质不相容的物质混存的；</w:t>
            </w:r>
          </w:p>
          <w:p>
            <w:pPr>
              <w:adjustRightInd w:val="0"/>
              <w:snapToGrid w:val="0"/>
              <w:ind w:firstLine="420" w:firstLineChars="200"/>
              <w:rPr>
                <w:rFonts w:ascii="宋体" w:hAnsi="宋体"/>
                <w:szCs w:val="21"/>
              </w:rPr>
            </w:pPr>
            <w:r>
              <w:rPr>
                <w:rFonts w:hint="eastAsia" w:ascii="宋体" w:hAnsi="宋体"/>
                <w:szCs w:val="21"/>
              </w:rPr>
              <w:t>……</w:t>
            </w:r>
          </w:p>
        </w:tc>
        <w:tc>
          <w:tcPr>
            <w:tcW w:w="1274" w:type="dxa"/>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925" w:type="dxa"/>
            <w:vAlign w:val="center"/>
          </w:tcPr>
          <w:p>
            <w:pPr>
              <w:jc w:val="center"/>
              <w:rPr>
                <w:rFonts w:asciiTheme="minorEastAsia" w:hAnsiTheme="minorEastAsia" w:eastAsiaTheme="minorEastAsia"/>
                <w:szCs w:val="21"/>
              </w:rPr>
            </w:pPr>
          </w:p>
        </w:tc>
        <w:tc>
          <w:tcPr>
            <w:tcW w:w="1346" w:type="dxa"/>
            <w:vAlign w:val="center"/>
          </w:tcPr>
          <w:p>
            <w:pPr>
              <w:adjustRightInd w:val="0"/>
              <w:snapToGrid w:val="0"/>
              <w:jc w:val="center"/>
              <w:rPr>
                <w:rFonts w:asciiTheme="minorEastAsia" w:hAnsiTheme="minorEastAsia" w:eastAsiaTheme="minorEastAsia"/>
                <w:szCs w:val="21"/>
              </w:rPr>
            </w:pPr>
          </w:p>
        </w:tc>
        <w:tc>
          <w:tcPr>
            <w:tcW w:w="2551" w:type="dxa"/>
            <w:vAlign w:val="center"/>
          </w:tcPr>
          <w:p>
            <w:pPr>
              <w:adjustRightInd w:val="0"/>
              <w:snapToGrid w:val="0"/>
              <w:jc w:val="left"/>
              <w:rPr>
                <w:rFonts w:ascii="宋体" w:hAnsi="宋体"/>
                <w:szCs w:val="21"/>
              </w:rPr>
            </w:pPr>
            <w:r>
              <w:rPr>
                <w:rFonts w:hint="eastAsia" w:ascii="宋体" w:hAnsi="宋体"/>
                <w:szCs w:val="21"/>
              </w:rPr>
              <w:t>2.1</w:t>
            </w:r>
            <w:r>
              <w:rPr>
                <w:rFonts w:hint="eastAsia" w:ascii="宋体" w:hAnsi="宋体"/>
                <w:szCs w:val="21"/>
                <w:lang w:val="en-US" w:eastAsia="zh-CN"/>
              </w:rPr>
              <w:t>4</w:t>
            </w:r>
            <w:r>
              <w:rPr>
                <w:rFonts w:hint="eastAsia" w:ascii="宋体" w:hAnsi="宋体"/>
                <w:szCs w:val="21"/>
              </w:rPr>
              <w:t xml:space="preserve"> 药物、半成品中转管理</w:t>
            </w:r>
          </w:p>
        </w:tc>
        <w:tc>
          <w:tcPr>
            <w:tcW w:w="4250" w:type="dxa"/>
            <w:vAlign w:val="center"/>
          </w:tcPr>
          <w:p>
            <w:pPr>
              <w:adjustRightInd w:val="0"/>
              <w:snapToGrid w:val="0"/>
              <w:ind w:firstLine="420" w:firstLineChars="200"/>
              <w:rPr>
                <w:rFonts w:ascii="宋体" w:hAnsi="宋体"/>
                <w:szCs w:val="21"/>
              </w:rPr>
            </w:pPr>
            <w:r>
              <w:rPr>
                <w:rFonts w:hint="eastAsia" w:ascii="宋体" w:hAnsi="宋体"/>
                <w:szCs w:val="21"/>
              </w:rPr>
              <w:t>《烟花爆竹生产经营安全规定》第二十一条  生产企业的中转库数量、核定存药量、药物储存时间，应当符合国家标准或者行业标准规定，确保药物、半成品、成品合理中转，保障生产流程顺畅。禁止在中转库内超量或者超时储存药物、半成品、成品。</w:t>
            </w:r>
          </w:p>
        </w:tc>
        <w:tc>
          <w:tcPr>
            <w:tcW w:w="3972" w:type="dxa"/>
            <w:vAlign w:val="center"/>
          </w:tcPr>
          <w:p>
            <w:pPr>
              <w:adjustRightInd w:val="0"/>
              <w:snapToGrid w:val="0"/>
              <w:ind w:firstLine="420" w:firstLineChars="200"/>
              <w:rPr>
                <w:rFonts w:ascii="宋体" w:hAnsi="宋体"/>
                <w:szCs w:val="21"/>
              </w:rPr>
            </w:pPr>
            <w:r>
              <w:rPr>
                <w:rFonts w:hint="eastAsia" w:ascii="宋体" w:hAnsi="宋体"/>
                <w:szCs w:val="21"/>
              </w:rPr>
              <w:t>《烟花爆竹生产经营安全规定》第三十八条  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pPr>
              <w:adjustRightInd w:val="0"/>
              <w:snapToGrid w:val="0"/>
              <w:ind w:firstLine="420" w:firstLineChars="200"/>
              <w:rPr>
                <w:rFonts w:ascii="宋体" w:hAnsi="宋体"/>
                <w:szCs w:val="21"/>
              </w:rPr>
            </w:pPr>
            <w:r>
              <w:rPr>
                <w:rFonts w:hint="eastAsia" w:ascii="宋体" w:hAnsi="宋体"/>
                <w:szCs w:val="21"/>
              </w:rPr>
              <w:t>……</w:t>
            </w:r>
          </w:p>
          <w:p>
            <w:pPr>
              <w:adjustRightInd w:val="0"/>
              <w:snapToGrid w:val="0"/>
              <w:ind w:firstLine="420" w:firstLineChars="200"/>
              <w:rPr>
                <w:rFonts w:ascii="宋体" w:hAnsi="宋体"/>
                <w:szCs w:val="21"/>
              </w:rPr>
            </w:pPr>
            <w:r>
              <w:rPr>
                <w:rFonts w:hint="eastAsia" w:ascii="宋体" w:hAnsi="宋体"/>
                <w:szCs w:val="21"/>
              </w:rPr>
              <w:t>（四）在中转库、中转间内，超量、超时储存药物、半成品、成品的；</w:t>
            </w:r>
          </w:p>
          <w:p>
            <w:pPr>
              <w:adjustRightInd w:val="0"/>
              <w:snapToGrid w:val="0"/>
              <w:ind w:firstLine="420" w:firstLineChars="200"/>
              <w:rPr>
                <w:rFonts w:ascii="宋体" w:hAnsi="宋体"/>
                <w:szCs w:val="21"/>
              </w:rPr>
            </w:pPr>
            <w:r>
              <w:rPr>
                <w:rFonts w:hint="eastAsia" w:ascii="宋体" w:hAnsi="宋体"/>
                <w:szCs w:val="21"/>
              </w:rPr>
              <w:t>……</w:t>
            </w:r>
          </w:p>
        </w:tc>
        <w:tc>
          <w:tcPr>
            <w:tcW w:w="1274" w:type="dxa"/>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925" w:type="dxa"/>
            <w:vMerge w:val="restart"/>
            <w:vAlign w:val="center"/>
          </w:tcPr>
          <w:p>
            <w:pPr>
              <w:jc w:val="center"/>
              <w:rPr>
                <w:rFonts w:asciiTheme="minorEastAsia" w:hAnsiTheme="minorEastAsia" w:eastAsiaTheme="minorEastAsia"/>
                <w:szCs w:val="21"/>
              </w:rPr>
            </w:pPr>
          </w:p>
        </w:tc>
        <w:tc>
          <w:tcPr>
            <w:tcW w:w="1346" w:type="dxa"/>
            <w:vMerge w:val="restart"/>
            <w:vAlign w:val="center"/>
          </w:tcPr>
          <w:p>
            <w:pPr>
              <w:adjustRightInd w:val="0"/>
              <w:snapToGrid w:val="0"/>
              <w:jc w:val="center"/>
              <w:rPr>
                <w:rFonts w:asciiTheme="minorEastAsia" w:hAnsiTheme="minorEastAsia" w:eastAsiaTheme="minorEastAsia"/>
                <w:szCs w:val="21"/>
              </w:rPr>
            </w:pPr>
          </w:p>
        </w:tc>
        <w:tc>
          <w:tcPr>
            <w:tcW w:w="2551" w:type="dxa"/>
            <w:vAlign w:val="center"/>
          </w:tcPr>
          <w:p>
            <w:pPr>
              <w:adjustRightInd w:val="0"/>
              <w:snapToGrid w:val="0"/>
              <w:jc w:val="left"/>
              <w:rPr>
                <w:rFonts w:ascii="宋体" w:hAnsi="宋体"/>
                <w:szCs w:val="21"/>
              </w:rPr>
            </w:pPr>
            <w:r>
              <w:rPr>
                <w:rFonts w:hint="eastAsia" w:ascii="宋体" w:hAnsi="宋体"/>
                <w:szCs w:val="21"/>
              </w:rPr>
              <w:t>2.1</w:t>
            </w:r>
            <w:r>
              <w:rPr>
                <w:rFonts w:hint="eastAsia" w:ascii="宋体" w:hAnsi="宋体"/>
                <w:szCs w:val="21"/>
                <w:lang w:val="en-US" w:eastAsia="zh-CN"/>
              </w:rPr>
              <w:t>5</w:t>
            </w:r>
            <w:r>
              <w:rPr>
                <w:rFonts w:hint="eastAsia" w:ascii="宋体" w:hAnsi="宋体"/>
                <w:szCs w:val="21"/>
              </w:rPr>
              <w:t xml:space="preserve"> 设备设施检维修管理</w:t>
            </w:r>
          </w:p>
        </w:tc>
        <w:tc>
          <w:tcPr>
            <w:tcW w:w="4250" w:type="dxa"/>
            <w:vAlign w:val="center"/>
          </w:tcPr>
          <w:p>
            <w:pPr>
              <w:adjustRightInd w:val="0"/>
              <w:snapToGrid w:val="0"/>
              <w:ind w:firstLine="420" w:firstLineChars="200"/>
              <w:rPr>
                <w:rFonts w:ascii="宋体" w:hAnsi="宋体"/>
                <w:szCs w:val="21"/>
              </w:rPr>
            </w:pPr>
            <w:r>
              <w:rPr>
                <w:rFonts w:hint="eastAsia" w:ascii="宋体" w:hAnsi="宋体"/>
                <w:szCs w:val="21"/>
              </w:rPr>
              <w:t>《烟花爆竹生产经营安全规定》第二十二条  生产企业、批发企业应当定期检查工（库）房、安全设施、电气线路、机械设备等的运行状况和作业环境，及时维护保养；对有药物粉尘的工房，应当按照操作规程及时清理冲洗。</w:t>
            </w:r>
          </w:p>
          <w:p>
            <w:pPr>
              <w:adjustRightInd w:val="0"/>
              <w:snapToGrid w:val="0"/>
              <w:ind w:firstLine="420" w:firstLineChars="200"/>
              <w:rPr>
                <w:rFonts w:ascii="宋体" w:hAnsi="宋体"/>
                <w:szCs w:val="21"/>
              </w:rPr>
            </w:pPr>
            <w:r>
              <w:rPr>
                <w:rFonts w:hint="eastAsia" w:ascii="宋体" w:hAnsi="宋体"/>
                <w:szCs w:val="21"/>
              </w:rPr>
              <w:t>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w:t>
            </w:r>
          </w:p>
        </w:tc>
        <w:tc>
          <w:tcPr>
            <w:tcW w:w="3972" w:type="dxa"/>
            <w:vAlign w:val="center"/>
          </w:tcPr>
          <w:p>
            <w:pPr>
              <w:adjustRightInd w:val="0"/>
              <w:snapToGrid w:val="0"/>
              <w:ind w:firstLine="420" w:firstLineChars="200"/>
              <w:rPr>
                <w:rFonts w:ascii="宋体" w:hAnsi="宋体"/>
                <w:szCs w:val="21"/>
              </w:rPr>
            </w:pPr>
            <w:r>
              <w:rPr>
                <w:rFonts w:hint="eastAsia" w:ascii="宋体" w:hAnsi="宋体"/>
                <w:szCs w:val="21"/>
              </w:rPr>
              <w:t>《烟花爆竹生产经营安全规定》第三十四条  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w:t>
            </w:r>
          </w:p>
          <w:p>
            <w:pPr>
              <w:widowControl/>
              <w:adjustRightInd w:val="0"/>
              <w:snapToGrid w:val="0"/>
              <w:ind w:firstLine="420" w:firstLineChars="200"/>
              <w:jc w:val="left"/>
              <w:rPr>
                <w:rFonts w:ascii="宋体" w:hAnsi="宋体"/>
                <w:szCs w:val="21"/>
              </w:rPr>
            </w:pPr>
            <w:r>
              <w:rPr>
                <w:rFonts w:hint="eastAsia" w:ascii="宋体" w:hAnsi="宋体"/>
                <w:szCs w:val="21"/>
              </w:rPr>
              <w:t>……</w:t>
            </w:r>
          </w:p>
          <w:p>
            <w:pPr>
              <w:widowControl/>
              <w:adjustRightInd w:val="0"/>
              <w:snapToGrid w:val="0"/>
              <w:ind w:firstLine="420" w:firstLineChars="200"/>
              <w:jc w:val="left"/>
              <w:rPr>
                <w:rFonts w:ascii="宋体" w:hAnsi="宋体"/>
                <w:szCs w:val="21"/>
              </w:rPr>
            </w:pPr>
            <w:r>
              <w:rPr>
                <w:rFonts w:hint="eastAsia" w:ascii="宋体" w:hAnsi="宋体"/>
                <w:szCs w:val="21"/>
              </w:rPr>
              <w:t>（三）在生产区、工（库）房等有药区域对安全设备进行检测、改造作业时，未将工（库）房内的药物、有药半成品、成品搬走并清理作业现场的。</w:t>
            </w:r>
          </w:p>
          <w:p>
            <w:pPr>
              <w:widowControl/>
              <w:adjustRightInd w:val="0"/>
              <w:snapToGrid w:val="0"/>
              <w:ind w:firstLine="420" w:firstLineChars="200"/>
              <w:jc w:val="left"/>
              <w:rPr>
                <w:rFonts w:ascii="宋体" w:hAnsi="宋体"/>
                <w:szCs w:val="21"/>
              </w:rPr>
            </w:pPr>
            <w:r>
              <w:rPr>
                <w:rFonts w:hint="eastAsia" w:ascii="宋体" w:hAnsi="宋体"/>
                <w:szCs w:val="21"/>
              </w:rPr>
              <w:t>第三十七条  生产经营单位有下列行为之一的，责令改正；拒不改正的，处一万元以上三万元以下的罚款，对其直接负责的主管人员和其他直接责任人员处五千元以上一万元以下的罚款：</w:t>
            </w:r>
          </w:p>
          <w:p>
            <w:pPr>
              <w:widowControl/>
              <w:adjustRightInd w:val="0"/>
              <w:snapToGrid w:val="0"/>
              <w:ind w:firstLine="420" w:firstLineChars="200"/>
              <w:jc w:val="left"/>
              <w:rPr>
                <w:rFonts w:ascii="宋体" w:hAnsi="宋体"/>
                <w:szCs w:val="21"/>
              </w:rPr>
            </w:pPr>
            <w:r>
              <w:rPr>
                <w:rFonts w:hint="eastAsia" w:ascii="宋体" w:hAnsi="宋体"/>
                <w:szCs w:val="21"/>
              </w:rPr>
              <w:t>（一）对工（库）房、安全设施、电气线路、机械设备等进行检测、检修、维修、改造作业前，未制定安全作业方案，或者未切断被检修、维修的电气线路和机械设备电源的；</w:t>
            </w:r>
          </w:p>
          <w:p>
            <w:pPr>
              <w:adjustRightInd w:val="0"/>
              <w:snapToGrid w:val="0"/>
              <w:ind w:firstLine="420" w:firstLineChars="200"/>
              <w:rPr>
                <w:rFonts w:ascii="宋体" w:hAnsi="宋体"/>
                <w:szCs w:val="21"/>
              </w:rPr>
            </w:pPr>
            <w:r>
              <w:rPr>
                <w:rFonts w:hint="eastAsia" w:ascii="宋体" w:hAnsi="宋体"/>
                <w:szCs w:val="21"/>
              </w:rPr>
              <w:t>……</w:t>
            </w:r>
          </w:p>
        </w:tc>
        <w:tc>
          <w:tcPr>
            <w:tcW w:w="1274" w:type="dxa"/>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925" w:type="dxa"/>
            <w:vMerge w:val="continue"/>
            <w:vAlign w:val="center"/>
          </w:tcPr>
          <w:p>
            <w:pPr>
              <w:jc w:val="center"/>
              <w:rPr>
                <w:rFonts w:asciiTheme="minorEastAsia" w:hAnsiTheme="minorEastAsia" w:eastAsiaTheme="minorEastAsia"/>
                <w:szCs w:val="21"/>
              </w:rPr>
            </w:pPr>
          </w:p>
        </w:tc>
        <w:tc>
          <w:tcPr>
            <w:tcW w:w="1346" w:type="dxa"/>
            <w:vMerge w:val="continue"/>
            <w:vAlign w:val="center"/>
          </w:tcPr>
          <w:p>
            <w:pPr>
              <w:adjustRightInd w:val="0"/>
              <w:snapToGrid w:val="0"/>
              <w:jc w:val="center"/>
              <w:rPr>
                <w:rFonts w:asciiTheme="minorEastAsia" w:hAnsiTheme="minorEastAsia" w:eastAsiaTheme="minorEastAsia"/>
                <w:szCs w:val="21"/>
              </w:rPr>
            </w:pPr>
          </w:p>
        </w:tc>
        <w:tc>
          <w:tcPr>
            <w:tcW w:w="2551" w:type="dxa"/>
            <w:vAlign w:val="center"/>
          </w:tcPr>
          <w:p>
            <w:pPr>
              <w:adjustRightInd w:val="0"/>
              <w:snapToGrid w:val="0"/>
              <w:jc w:val="left"/>
              <w:rPr>
                <w:rFonts w:ascii="宋体" w:hAnsi="宋体"/>
                <w:szCs w:val="21"/>
              </w:rPr>
            </w:pPr>
            <w:r>
              <w:rPr>
                <w:rFonts w:hint="eastAsia" w:ascii="宋体" w:hAnsi="宋体"/>
                <w:szCs w:val="21"/>
              </w:rPr>
              <w:t>2.1</w:t>
            </w:r>
            <w:r>
              <w:rPr>
                <w:rFonts w:hint="eastAsia" w:ascii="宋体" w:hAnsi="宋体"/>
                <w:szCs w:val="21"/>
                <w:lang w:val="en-US" w:eastAsia="zh-CN"/>
              </w:rPr>
              <w:t>6</w:t>
            </w:r>
            <w:r>
              <w:rPr>
                <w:rFonts w:hint="eastAsia" w:ascii="宋体" w:hAnsi="宋体"/>
                <w:szCs w:val="21"/>
              </w:rPr>
              <w:t xml:space="preserve"> </w:t>
            </w:r>
            <w:r>
              <w:rPr>
                <w:rFonts w:hint="eastAsia" w:ascii="宋体" w:hAnsi="宋体"/>
                <w:szCs w:val="21"/>
                <w:lang w:eastAsia="zh-CN"/>
              </w:rPr>
              <w:t>合同管理、</w:t>
            </w:r>
            <w:r>
              <w:rPr>
                <w:rFonts w:hint="eastAsia" w:ascii="宋体" w:hAnsi="宋体"/>
                <w:szCs w:val="21"/>
              </w:rPr>
              <w:t>产品流向管理</w:t>
            </w:r>
          </w:p>
        </w:tc>
        <w:tc>
          <w:tcPr>
            <w:tcW w:w="4250" w:type="dxa"/>
            <w:vAlign w:val="center"/>
          </w:tcPr>
          <w:p>
            <w:pPr>
              <w:adjustRightInd w:val="0"/>
              <w:snapToGrid w:val="0"/>
              <w:ind w:firstLine="420" w:firstLineChars="200"/>
              <w:rPr>
                <w:rFonts w:ascii="宋体" w:hAnsi="宋体"/>
                <w:szCs w:val="21"/>
              </w:rPr>
            </w:pPr>
            <w:r>
              <w:rPr>
                <w:rFonts w:hint="eastAsia" w:ascii="宋体" w:hAnsi="宋体"/>
                <w:szCs w:val="21"/>
              </w:rPr>
              <w:t>《烟花爆竹生产经营安全规定》第二十三条  生产企业、批发企业在烟花爆竹购销活动中，应当依法签订规范的烟花爆竹买卖合同，建立烟花爆竹买卖合同和流向管理制度，使用全国统一的烟花爆竹流向管理信息系统，如实登记烟花爆竹流向。</w:t>
            </w:r>
          </w:p>
          <w:p>
            <w:pPr>
              <w:adjustRightInd w:val="0"/>
              <w:snapToGrid w:val="0"/>
              <w:ind w:firstLine="420" w:firstLineChars="200"/>
              <w:rPr>
                <w:rFonts w:ascii="宋体" w:hAnsi="宋体"/>
                <w:szCs w:val="21"/>
              </w:rPr>
            </w:pPr>
            <w:r>
              <w:rPr>
                <w:rFonts w:hint="eastAsia" w:ascii="宋体" w:hAnsi="宋体"/>
                <w:szCs w:val="21"/>
              </w:rPr>
              <w:t>生产企业应当在专业燃放类产品包装（包括运输包装和销售包装）及个人燃放类产品运输包装上张贴流向登记标签，并在产品入库和销售出库时登记录入。</w:t>
            </w:r>
          </w:p>
          <w:p>
            <w:pPr>
              <w:adjustRightInd w:val="0"/>
              <w:snapToGrid w:val="0"/>
              <w:ind w:firstLine="420" w:firstLineChars="200"/>
              <w:rPr>
                <w:rFonts w:ascii="宋体" w:hAnsi="宋体"/>
                <w:szCs w:val="21"/>
              </w:rPr>
            </w:pPr>
            <w:r>
              <w:rPr>
                <w:rFonts w:hint="eastAsia" w:ascii="宋体" w:hAnsi="宋体"/>
                <w:szCs w:val="21"/>
              </w:rPr>
              <w:t>批发企业购进烟花爆竹时，应当查验流向登记标签，并在产品入库和销售出库时登记录入。</w:t>
            </w:r>
          </w:p>
        </w:tc>
        <w:tc>
          <w:tcPr>
            <w:tcW w:w="3972" w:type="dxa"/>
            <w:vAlign w:val="center"/>
          </w:tcPr>
          <w:p>
            <w:pPr>
              <w:adjustRightInd w:val="0"/>
              <w:snapToGrid w:val="0"/>
              <w:ind w:firstLine="420" w:firstLineChars="200"/>
              <w:rPr>
                <w:rFonts w:ascii="宋体" w:hAnsi="宋体"/>
                <w:szCs w:val="21"/>
              </w:rPr>
            </w:pPr>
            <w:r>
              <w:rPr>
                <w:rFonts w:hint="eastAsia" w:ascii="宋体" w:hAnsi="宋体"/>
                <w:szCs w:val="21"/>
              </w:rPr>
              <w:t>《烟花爆竹生产经营安全规定》第三十五条  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pPr>
              <w:adjustRightInd w:val="0"/>
              <w:snapToGrid w:val="0"/>
              <w:ind w:firstLine="420" w:firstLineChars="200"/>
              <w:rPr>
                <w:rFonts w:ascii="宋体" w:hAnsi="宋体"/>
                <w:szCs w:val="21"/>
              </w:rPr>
            </w:pPr>
            <w:r>
              <w:rPr>
                <w:rFonts w:hint="eastAsia" w:ascii="宋体" w:hAnsi="宋体"/>
                <w:szCs w:val="21"/>
              </w:rPr>
              <w:t>……</w:t>
            </w:r>
          </w:p>
          <w:p>
            <w:pPr>
              <w:adjustRightInd w:val="0"/>
              <w:snapToGrid w:val="0"/>
              <w:ind w:firstLine="420" w:firstLineChars="200"/>
              <w:rPr>
                <w:rFonts w:ascii="宋体" w:hAnsi="宋体"/>
                <w:szCs w:val="21"/>
              </w:rPr>
            </w:pPr>
            <w:r>
              <w:rPr>
                <w:rFonts w:hint="eastAsia" w:ascii="宋体" w:hAnsi="宋体"/>
                <w:szCs w:val="21"/>
              </w:rPr>
              <w:t>（三）未建立烟花爆竹买卖合同管理制度的；</w:t>
            </w:r>
          </w:p>
          <w:p>
            <w:pPr>
              <w:adjustRightInd w:val="0"/>
              <w:snapToGrid w:val="0"/>
              <w:ind w:firstLine="420" w:firstLineChars="200"/>
              <w:rPr>
                <w:rFonts w:ascii="宋体" w:hAnsi="宋体"/>
                <w:szCs w:val="21"/>
              </w:rPr>
            </w:pPr>
            <w:r>
              <w:rPr>
                <w:rFonts w:hint="eastAsia" w:ascii="宋体" w:hAnsi="宋体"/>
                <w:szCs w:val="21"/>
              </w:rPr>
              <w:t>（四）未按规定建立烟花爆竹流向管理制度的。</w:t>
            </w:r>
          </w:p>
        </w:tc>
        <w:tc>
          <w:tcPr>
            <w:tcW w:w="1274" w:type="dxa"/>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925" w:type="dxa"/>
            <w:vMerge w:val="continue"/>
            <w:vAlign w:val="center"/>
          </w:tcPr>
          <w:p>
            <w:pPr>
              <w:jc w:val="center"/>
              <w:rPr>
                <w:rFonts w:asciiTheme="minorEastAsia" w:hAnsiTheme="minorEastAsia" w:eastAsiaTheme="minorEastAsia"/>
                <w:szCs w:val="21"/>
              </w:rPr>
            </w:pPr>
          </w:p>
        </w:tc>
        <w:tc>
          <w:tcPr>
            <w:tcW w:w="1346" w:type="dxa"/>
            <w:vMerge w:val="continue"/>
            <w:vAlign w:val="center"/>
          </w:tcPr>
          <w:p>
            <w:pPr>
              <w:adjustRightInd w:val="0"/>
              <w:snapToGrid w:val="0"/>
              <w:jc w:val="center"/>
              <w:rPr>
                <w:rFonts w:asciiTheme="minorEastAsia" w:hAnsiTheme="minorEastAsia" w:eastAsiaTheme="minorEastAsia"/>
                <w:szCs w:val="21"/>
              </w:rPr>
            </w:pPr>
          </w:p>
        </w:tc>
        <w:tc>
          <w:tcPr>
            <w:tcW w:w="2551" w:type="dxa"/>
            <w:vAlign w:val="center"/>
          </w:tcPr>
          <w:p>
            <w:pPr>
              <w:adjustRightInd w:val="0"/>
              <w:snapToGrid w:val="0"/>
              <w:jc w:val="left"/>
              <w:rPr>
                <w:rFonts w:ascii="宋体" w:hAnsi="宋体"/>
                <w:szCs w:val="21"/>
              </w:rPr>
            </w:pPr>
            <w:r>
              <w:rPr>
                <w:rFonts w:hint="eastAsia" w:ascii="宋体" w:hAnsi="宋体"/>
                <w:szCs w:val="21"/>
              </w:rPr>
              <w:t>2.1</w:t>
            </w:r>
            <w:r>
              <w:rPr>
                <w:rFonts w:hint="eastAsia" w:ascii="宋体" w:hAnsi="宋体"/>
                <w:szCs w:val="21"/>
                <w:lang w:val="en-US" w:eastAsia="zh-CN"/>
              </w:rPr>
              <w:t>7</w:t>
            </w:r>
            <w:r>
              <w:rPr>
                <w:rFonts w:hint="eastAsia" w:ascii="宋体" w:hAnsi="宋体"/>
                <w:szCs w:val="21"/>
              </w:rPr>
              <w:t xml:space="preserve"> 运输车辆、工具管理。</w:t>
            </w:r>
          </w:p>
        </w:tc>
        <w:tc>
          <w:tcPr>
            <w:tcW w:w="4250" w:type="dxa"/>
            <w:vAlign w:val="center"/>
          </w:tcPr>
          <w:p>
            <w:pPr>
              <w:adjustRightInd w:val="0"/>
              <w:snapToGrid w:val="0"/>
              <w:ind w:firstLine="420" w:firstLineChars="200"/>
              <w:rPr>
                <w:rFonts w:ascii="宋体" w:hAnsi="宋体"/>
                <w:szCs w:val="21"/>
              </w:rPr>
            </w:pPr>
            <w:r>
              <w:rPr>
                <w:rFonts w:hint="eastAsia" w:ascii="宋体" w:hAnsi="宋体"/>
                <w:szCs w:val="21"/>
              </w:rPr>
              <w:t>《烟花爆竹生产经营安全规定》第二十五条  ……</w:t>
            </w:r>
          </w:p>
          <w:p>
            <w:pPr>
              <w:adjustRightInd w:val="0"/>
              <w:snapToGrid w:val="0"/>
              <w:ind w:firstLine="420" w:firstLineChars="200"/>
              <w:rPr>
                <w:rFonts w:ascii="宋体" w:hAnsi="宋体"/>
                <w:szCs w:val="21"/>
              </w:rPr>
            </w:pPr>
            <w:r>
              <w:rPr>
                <w:rFonts w:hint="eastAsia" w:ascii="宋体" w:hAnsi="宋体"/>
                <w:szCs w:val="21"/>
              </w:rPr>
              <w:t>在生产企业、批发企业内部及生产区、库区之间运输烟花爆竹成品、半成品及原材料时，应当使用符合国家标准或者行业标准规定安全条件的车辆、工具。企业内部运输应当严格按照规定路线、速度行驶。</w:t>
            </w:r>
          </w:p>
        </w:tc>
        <w:tc>
          <w:tcPr>
            <w:tcW w:w="3972" w:type="dxa"/>
            <w:vAlign w:val="center"/>
          </w:tcPr>
          <w:p>
            <w:pPr>
              <w:adjustRightInd w:val="0"/>
              <w:snapToGrid w:val="0"/>
              <w:ind w:firstLine="420" w:firstLineChars="200"/>
              <w:rPr>
                <w:rFonts w:ascii="宋体" w:hAnsi="宋体"/>
                <w:szCs w:val="21"/>
              </w:rPr>
            </w:pPr>
            <w:r>
              <w:rPr>
                <w:rFonts w:hint="eastAsia" w:ascii="宋体" w:hAnsi="宋体"/>
                <w:szCs w:val="21"/>
              </w:rPr>
              <w:t>《烟花爆竹生产经营安全规定》第三十八条  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pPr>
              <w:adjustRightInd w:val="0"/>
              <w:snapToGrid w:val="0"/>
              <w:ind w:firstLine="420" w:firstLineChars="200"/>
              <w:rPr>
                <w:rFonts w:ascii="宋体" w:hAnsi="宋体"/>
                <w:szCs w:val="21"/>
              </w:rPr>
            </w:pPr>
            <w:r>
              <w:rPr>
                <w:rFonts w:hint="eastAsia" w:ascii="宋体" w:hAnsi="宋体"/>
                <w:szCs w:val="21"/>
              </w:rPr>
              <w:t>……</w:t>
            </w:r>
          </w:p>
          <w:p>
            <w:pPr>
              <w:adjustRightInd w:val="0"/>
              <w:snapToGrid w:val="0"/>
              <w:ind w:firstLine="420" w:firstLineChars="200"/>
              <w:rPr>
                <w:rFonts w:ascii="宋体" w:hAnsi="宋体"/>
                <w:szCs w:val="21"/>
              </w:rPr>
            </w:pPr>
            <w:r>
              <w:rPr>
                <w:rFonts w:hint="eastAsia" w:ascii="宋体" w:hAnsi="宋体"/>
                <w:szCs w:val="21"/>
              </w:rPr>
              <w:t>（六）企业内部及生产区、库区之间运输烟花爆竹成品、半成品及原材料的车辆、工具不符合国家标准或者行业标准规定安全条件的；</w:t>
            </w:r>
          </w:p>
          <w:p>
            <w:pPr>
              <w:adjustRightInd w:val="0"/>
              <w:snapToGrid w:val="0"/>
              <w:ind w:firstLine="420" w:firstLineChars="200"/>
              <w:rPr>
                <w:rFonts w:ascii="宋体" w:hAnsi="宋体"/>
                <w:szCs w:val="21"/>
              </w:rPr>
            </w:pPr>
            <w:r>
              <w:rPr>
                <w:rFonts w:hint="eastAsia" w:ascii="宋体" w:hAnsi="宋体"/>
                <w:szCs w:val="21"/>
              </w:rPr>
              <w:t>……</w:t>
            </w:r>
          </w:p>
        </w:tc>
        <w:tc>
          <w:tcPr>
            <w:tcW w:w="1274" w:type="dxa"/>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925" w:type="dxa"/>
            <w:vMerge w:val="continue"/>
            <w:vAlign w:val="center"/>
          </w:tcPr>
          <w:p>
            <w:pPr>
              <w:jc w:val="center"/>
              <w:rPr>
                <w:rFonts w:asciiTheme="minorEastAsia" w:hAnsiTheme="minorEastAsia" w:eastAsiaTheme="minorEastAsia"/>
                <w:szCs w:val="21"/>
              </w:rPr>
            </w:pPr>
          </w:p>
        </w:tc>
        <w:tc>
          <w:tcPr>
            <w:tcW w:w="1346" w:type="dxa"/>
            <w:vMerge w:val="continue"/>
            <w:vAlign w:val="center"/>
          </w:tcPr>
          <w:p>
            <w:pPr>
              <w:adjustRightInd w:val="0"/>
              <w:snapToGrid w:val="0"/>
              <w:jc w:val="center"/>
              <w:rPr>
                <w:rFonts w:asciiTheme="minorEastAsia" w:hAnsiTheme="minorEastAsia" w:eastAsiaTheme="minorEastAsia"/>
                <w:szCs w:val="21"/>
              </w:rPr>
            </w:pPr>
          </w:p>
        </w:tc>
        <w:tc>
          <w:tcPr>
            <w:tcW w:w="2551" w:type="dxa"/>
            <w:vAlign w:val="center"/>
          </w:tcPr>
          <w:p>
            <w:pPr>
              <w:adjustRightInd w:val="0"/>
              <w:snapToGrid w:val="0"/>
              <w:jc w:val="left"/>
              <w:rPr>
                <w:rFonts w:ascii="宋体" w:hAnsi="宋体"/>
                <w:szCs w:val="21"/>
              </w:rPr>
            </w:pPr>
            <w:r>
              <w:rPr>
                <w:rFonts w:hint="eastAsia" w:ascii="宋体" w:hAnsi="宋体"/>
                <w:szCs w:val="21"/>
              </w:rPr>
              <w:t>2.1</w:t>
            </w:r>
            <w:r>
              <w:rPr>
                <w:rFonts w:hint="eastAsia" w:ascii="宋体" w:hAnsi="宋体"/>
                <w:szCs w:val="21"/>
                <w:lang w:val="en-US" w:eastAsia="zh-CN"/>
              </w:rPr>
              <w:t>8</w:t>
            </w:r>
            <w:r>
              <w:rPr>
                <w:rFonts w:hint="eastAsia" w:ascii="宋体" w:hAnsi="宋体"/>
                <w:szCs w:val="21"/>
              </w:rPr>
              <w:t xml:space="preserve"> 危险废弃物处置。</w:t>
            </w:r>
          </w:p>
        </w:tc>
        <w:tc>
          <w:tcPr>
            <w:tcW w:w="4250" w:type="dxa"/>
            <w:vAlign w:val="center"/>
          </w:tcPr>
          <w:p>
            <w:pPr>
              <w:adjustRightInd w:val="0"/>
              <w:snapToGrid w:val="0"/>
              <w:ind w:firstLine="420" w:firstLineChars="200"/>
              <w:rPr>
                <w:rFonts w:ascii="宋体" w:hAnsi="宋体"/>
                <w:szCs w:val="21"/>
              </w:rPr>
            </w:pPr>
            <w:r>
              <w:rPr>
                <w:rFonts w:hint="eastAsia" w:ascii="宋体" w:hAnsi="宋体"/>
                <w:szCs w:val="21"/>
              </w:rPr>
              <w:t>《烟花爆竹生产经营安全规定》第二十六条  生产企业、批发企业应当及时妥善处置生产经营过程中产生的各类危险性废弃物。不得留存过期的烟花爆竹成品、半成品、原材料及各类危险性废弃物</w:t>
            </w:r>
          </w:p>
        </w:tc>
        <w:tc>
          <w:tcPr>
            <w:tcW w:w="3972" w:type="dxa"/>
            <w:vAlign w:val="center"/>
          </w:tcPr>
          <w:p>
            <w:pPr>
              <w:adjustRightInd w:val="0"/>
              <w:snapToGrid w:val="0"/>
              <w:spacing w:line="240" w:lineRule="exact"/>
              <w:ind w:firstLine="420" w:firstLineChars="200"/>
              <w:rPr>
                <w:rFonts w:ascii="宋体" w:hAnsi="宋体"/>
                <w:szCs w:val="21"/>
              </w:rPr>
            </w:pPr>
            <w:r>
              <w:rPr>
                <w:rFonts w:hint="eastAsia" w:ascii="宋体" w:hAnsi="宋体"/>
                <w:szCs w:val="21"/>
              </w:rPr>
              <w:t>《烟花爆竹生产经营安全规定》第三十八条  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pPr>
              <w:adjustRightInd w:val="0"/>
              <w:snapToGrid w:val="0"/>
              <w:spacing w:line="240" w:lineRule="exact"/>
              <w:ind w:firstLine="420" w:firstLineChars="200"/>
              <w:rPr>
                <w:rFonts w:ascii="宋体" w:hAnsi="宋体"/>
                <w:szCs w:val="21"/>
              </w:rPr>
            </w:pPr>
            <w:r>
              <w:rPr>
                <w:rFonts w:hint="eastAsia" w:ascii="宋体" w:hAnsi="宋体"/>
                <w:szCs w:val="21"/>
              </w:rPr>
              <w:t>……</w:t>
            </w:r>
          </w:p>
          <w:p>
            <w:pPr>
              <w:adjustRightInd w:val="0"/>
              <w:snapToGrid w:val="0"/>
              <w:spacing w:line="240" w:lineRule="exact"/>
              <w:ind w:firstLine="420" w:firstLineChars="200"/>
              <w:rPr>
                <w:rFonts w:ascii="宋体" w:hAnsi="宋体"/>
                <w:szCs w:val="21"/>
              </w:rPr>
            </w:pPr>
            <w:r>
              <w:rPr>
                <w:rFonts w:hint="eastAsia" w:ascii="宋体" w:hAnsi="宋体"/>
                <w:szCs w:val="21"/>
              </w:rPr>
              <w:t>（五）留存过期及废弃的烟花爆竹成品、半成品、原材料等危险废弃物的；</w:t>
            </w:r>
          </w:p>
        </w:tc>
        <w:tc>
          <w:tcPr>
            <w:tcW w:w="1274" w:type="dxa"/>
            <w:vAlign w:val="center"/>
          </w:tcPr>
          <w:p>
            <w:pPr>
              <w:jc w:val="center"/>
              <w:rPr>
                <w:rFonts w:asciiTheme="minorEastAsia" w:hAnsiTheme="minorEastAsia" w:eastAsiaTheme="minorEastAsia"/>
              </w:rPr>
            </w:pPr>
          </w:p>
        </w:tc>
      </w:tr>
    </w:tbl>
    <w:p>
      <w:pPr>
        <w:pStyle w:val="4"/>
        <w:keepNext w:val="0"/>
        <w:keepLines w:val="0"/>
        <w:pageBreakBefore/>
        <w:spacing w:line="240" w:lineRule="auto"/>
        <w:rPr>
          <w:rFonts w:ascii="黑体" w:hAnsi="黑体" w:eastAsia="黑体"/>
        </w:rPr>
      </w:pPr>
      <w:bookmarkStart w:id="24" w:name="_Toc499799330"/>
      <w:r>
        <w:rPr>
          <w:rFonts w:hint="eastAsia" w:ascii="黑体" w:hAnsi="黑体" w:eastAsia="黑体"/>
          <w:b w:val="0"/>
        </w:rPr>
        <w:t>表4-2  烟花爆竹经营企业</w:t>
      </w:r>
      <w:bookmarkEnd w:id="24"/>
    </w:p>
    <w:tbl>
      <w:tblPr>
        <w:tblStyle w:val="19"/>
        <w:tblW w:w="143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7"/>
        <w:gridCol w:w="2692"/>
        <w:gridCol w:w="4238"/>
        <w:gridCol w:w="398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blHeader/>
        </w:trPr>
        <w:tc>
          <w:tcPr>
            <w:tcW w:w="851" w:type="dxa"/>
            <w:vAlign w:val="center"/>
          </w:tcPr>
          <w:p>
            <w:pPr>
              <w:jc w:val="center"/>
              <w:rPr>
                <w:rFonts w:ascii="宋体" w:hAnsi="宋体"/>
                <w:szCs w:val="21"/>
              </w:rPr>
            </w:pPr>
            <w:r>
              <w:rPr>
                <w:rFonts w:hint="eastAsia" w:ascii="宋体" w:hAnsi="宋体" w:cs="宋体"/>
                <w:b/>
                <w:kern w:val="0"/>
                <w:szCs w:val="21"/>
              </w:rPr>
              <w:t>序号</w:t>
            </w:r>
          </w:p>
        </w:tc>
        <w:tc>
          <w:tcPr>
            <w:tcW w:w="1277" w:type="dxa"/>
            <w:vAlign w:val="center"/>
          </w:tcPr>
          <w:p>
            <w:pPr>
              <w:jc w:val="center"/>
            </w:pPr>
            <w:r>
              <w:rPr>
                <w:rFonts w:hint="eastAsia" w:ascii="宋体" w:hAnsi="宋体" w:cs="宋体"/>
                <w:b/>
                <w:kern w:val="0"/>
                <w:szCs w:val="21"/>
              </w:rPr>
              <w:t>检查事项</w:t>
            </w:r>
          </w:p>
        </w:tc>
        <w:tc>
          <w:tcPr>
            <w:tcW w:w="2692" w:type="dxa"/>
            <w:vAlign w:val="center"/>
          </w:tcPr>
          <w:p>
            <w:pPr>
              <w:adjustRightInd w:val="0"/>
              <w:snapToGrid w:val="0"/>
              <w:jc w:val="center"/>
              <w:rPr>
                <w:rFonts w:ascii="宋体" w:hAnsi="宋体"/>
                <w:szCs w:val="21"/>
              </w:rPr>
            </w:pPr>
            <w:r>
              <w:rPr>
                <w:rFonts w:hint="eastAsia" w:ascii="宋体" w:hAnsi="宋体" w:cs="宋体"/>
                <w:b/>
                <w:kern w:val="0"/>
                <w:szCs w:val="21"/>
              </w:rPr>
              <w:t>检查内容</w:t>
            </w:r>
          </w:p>
        </w:tc>
        <w:tc>
          <w:tcPr>
            <w:tcW w:w="4238" w:type="dxa"/>
            <w:vAlign w:val="center"/>
          </w:tcPr>
          <w:p>
            <w:pPr>
              <w:adjustRightInd w:val="0"/>
              <w:snapToGrid w:val="0"/>
              <w:ind w:firstLine="422" w:firstLineChars="200"/>
              <w:jc w:val="center"/>
              <w:rPr>
                <w:rFonts w:ascii="宋体" w:hAnsi="宋体"/>
                <w:snapToGrid w:val="0"/>
                <w:kern w:val="0"/>
                <w:szCs w:val="21"/>
              </w:rPr>
            </w:pPr>
            <w:r>
              <w:rPr>
                <w:rFonts w:hint="eastAsia" w:ascii="宋体" w:hAnsi="宋体" w:cs="宋体"/>
                <w:b/>
                <w:kern w:val="0"/>
                <w:szCs w:val="21"/>
              </w:rPr>
              <w:t>检查依据指引</w:t>
            </w:r>
          </w:p>
        </w:tc>
        <w:tc>
          <w:tcPr>
            <w:tcW w:w="3983" w:type="dxa"/>
            <w:vAlign w:val="center"/>
          </w:tcPr>
          <w:p>
            <w:pPr>
              <w:adjustRightInd w:val="0"/>
              <w:snapToGrid w:val="0"/>
              <w:ind w:firstLine="422" w:firstLineChars="200"/>
              <w:jc w:val="center"/>
              <w:rPr>
                <w:rFonts w:ascii="宋体" w:hAnsi="宋体"/>
                <w:szCs w:val="21"/>
              </w:rPr>
            </w:pPr>
            <w:r>
              <w:rPr>
                <w:rFonts w:hint="eastAsia" w:ascii="宋体" w:hAnsi="宋体" w:cs="宋体"/>
                <w:b/>
                <w:kern w:val="0"/>
                <w:szCs w:val="21"/>
              </w:rPr>
              <w:t>法律责任指引</w:t>
            </w:r>
          </w:p>
        </w:tc>
        <w:tc>
          <w:tcPr>
            <w:tcW w:w="1277" w:type="dxa"/>
            <w:vAlign w:val="center"/>
          </w:tcPr>
          <w:p>
            <w:pPr>
              <w:jc w:val="cente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Merge w:val="restart"/>
            <w:vAlign w:val="center"/>
          </w:tcPr>
          <w:p>
            <w:pPr>
              <w:jc w:val="center"/>
              <w:rPr>
                <w:rFonts w:ascii="宋体" w:hAnsi="宋体"/>
                <w:szCs w:val="21"/>
              </w:rPr>
            </w:pPr>
            <w:r>
              <w:rPr>
                <w:rFonts w:hint="eastAsia" w:ascii="宋体" w:hAnsi="宋体"/>
                <w:szCs w:val="21"/>
              </w:rPr>
              <w:t>1</w:t>
            </w:r>
          </w:p>
        </w:tc>
        <w:tc>
          <w:tcPr>
            <w:tcW w:w="1277" w:type="dxa"/>
            <w:vMerge w:val="restart"/>
            <w:vAlign w:val="center"/>
          </w:tcPr>
          <w:p>
            <w:pPr>
              <w:adjustRightInd w:val="0"/>
              <w:snapToGrid w:val="0"/>
              <w:jc w:val="left"/>
              <w:rPr>
                <w:rFonts w:ascii="宋体" w:hAnsi="宋体"/>
                <w:szCs w:val="21"/>
              </w:rPr>
            </w:pPr>
            <w:r>
              <w:rPr>
                <w:rFonts w:hint="eastAsia" w:ascii="宋体" w:hAnsi="宋体"/>
                <w:szCs w:val="21"/>
              </w:rPr>
              <w:t>烟花爆竹经营许可情况</w:t>
            </w:r>
          </w:p>
        </w:tc>
        <w:tc>
          <w:tcPr>
            <w:tcW w:w="2692" w:type="dxa"/>
            <w:vAlign w:val="center"/>
          </w:tcPr>
          <w:p>
            <w:pPr>
              <w:adjustRightInd w:val="0"/>
              <w:snapToGrid w:val="0"/>
              <w:jc w:val="left"/>
              <w:rPr>
                <w:rFonts w:ascii="宋体" w:hAnsi="宋体"/>
                <w:szCs w:val="21"/>
              </w:rPr>
            </w:pPr>
            <w:r>
              <w:rPr>
                <w:rFonts w:hint="eastAsia" w:ascii="宋体" w:hAnsi="宋体"/>
                <w:szCs w:val="21"/>
              </w:rPr>
              <w:t>1.1 取得许可证经营</w:t>
            </w:r>
          </w:p>
        </w:tc>
        <w:tc>
          <w:tcPr>
            <w:tcW w:w="4238" w:type="dxa"/>
            <w:vAlign w:val="center"/>
          </w:tcPr>
          <w:p>
            <w:pPr>
              <w:adjustRightInd w:val="0"/>
              <w:snapToGrid w:val="0"/>
              <w:ind w:firstLine="420" w:firstLineChars="200"/>
              <w:rPr>
                <w:rFonts w:hint="eastAsia"/>
              </w:rPr>
            </w:pPr>
            <w:r>
              <w:rPr>
                <w:rFonts w:hint="eastAsia"/>
              </w:rPr>
              <w:t>《烟花爆竹安全管理条例》第三条  国家对烟花爆竹的生产、经营、运输和举办焰火晚会以及其他大型焰火燃放活动，实行许可证制度。</w:t>
            </w:r>
          </w:p>
          <w:p>
            <w:pPr>
              <w:pStyle w:val="2"/>
              <w:rPr>
                <w:rFonts w:hint="eastAsia" w:eastAsia="仿宋_GB2312"/>
                <w:lang w:eastAsia="zh-CN"/>
              </w:rPr>
            </w:pPr>
            <w:r>
              <w:rPr>
                <w:rFonts w:hint="eastAsia" w:ascii="Calibri" w:hAnsi="Calibri" w:eastAsia="宋体" w:cs="Times New Roman"/>
                <w:kern w:val="2"/>
                <w:sz w:val="21"/>
                <w:szCs w:val="22"/>
                <w:lang w:val="en-US" w:eastAsia="zh-CN" w:bidi="ar-SA"/>
              </w:rPr>
              <w:t>未经许可，任何单位或者个人不得生产、经营、运输烟花爆竹，不得举办焰火晚会以及其他大型焰火燃放活动。</w:t>
            </w:r>
          </w:p>
        </w:tc>
        <w:tc>
          <w:tcPr>
            <w:tcW w:w="3983" w:type="dxa"/>
            <w:vAlign w:val="center"/>
          </w:tcPr>
          <w:p>
            <w:pPr>
              <w:adjustRightInd w:val="0"/>
              <w:snapToGrid w:val="0"/>
              <w:ind w:firstLine="420" w:firstLineChars="200"/>
              <w:rPr>
                <w:rFonts w:ascii="宋体" w:hAnsi="宋体"/>
                <w:snapToGrid w:val="0"/>
                <w:kern w:val="0"/>
                <w:szCs w:val="21"/>
              </w:rPr>
            </w:pPr>
            <w:r>
              <w:rPr>
                <w:rFonts w:hint="eastAsia" w:ascii="宋体" w:hAnsi="宋体"/>
                <w:snapToGrid w:val="0"/>
                <w:kern w:val="0"/>
                <w:szCs w:val="21"/>
              </w:rPr>
              <w:t>《烟花爆竹安全管理条例》</w:t>
            </w:r>
            <w:r>
              <w:rPr>
                <w:rFonts w:hint="eastAsia" w:ascii="宋体" w:hAnsi="宋体"/>
                <w:szCs w:val="21"/>
              </w:rPr>
              <w:t>第三十六条</w:t>
            </w:r>
            <w:r>
              <w:rPr>
                <w:rFonts w:hint="eastAsia" w:ascii="宋体" w:hAnsi="宋体"/>
                <w:snapToGrid w:val="0"/>
                <w:kern w:val="0"/>
                <w:szCs w:val="21"/>
              </w:rPr>
              <w:t xml:space="preserve">  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tc>
        <w:tc>
          <w:tcPr>
            <w:tcW w:w="12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Merge w:val="continue"/>
            <w:vAlign w:val="center"/>
          </w:tcPr>
          <w:p>
            <w:pPr>
              <w:jc w:val="center"/>
              <w:rPr>
                <w:rFonts w:ascii="宋体" w:hAnsi="宋体"/>
                <w:szCs w:val="21"/>
              </w:rPr>
            </w:pPr>
          </w:p>
        </w:tc>
        <w:tc>
          <w:tcPr>
            <w:tcW w:w="1277" w:type="dxa"/>
            <w:vMerge w:val="continue"/>
            <w:vAlign w:val="center"/>
          </w:tcPr>
          <w:p>
            <w:pPr>
              <w:jc w:val="center"/>
              <w:rPr>
                <w:rFonts w:ascii="宋体" w:hAnsi="宋体"/>
                <w:szCs w:val="21"/>
              </w:rPr>
            </w:pPr>
          </w:p>
        </w:tc>
        <w:tc>
          <w:tcPr>
            <w:tcW w:w="2692" w:type="dxa"/>
            <w:vAlign w:val="center"/>
          </w:tcPr>
          <w:p>
            <w:pPr>
              <w:adjustRightInd w:val="0"/>
              <w:snapToGrid w:val="0"/>
              <w:jc w:val="left"/>
              <w:rPr>
                <w:rFonts w:ascii="宋体" w:hAnsi="宋体"/>
                <w:szCs w:val="21"/>
              </w:rPr>
            </w:pPr>
            <w:r>
              <w:rPr>
                <w:rFonts w:ascii="宋体" w:hAnsi="宋体"/>
                <w:szCs w:val="21"/>
              </w:rPr>
              <w:t>1.2</w:t>
            </w:r>
            <w:r>
              <w:rPr>
                <w:rFonts w:hint="eastAsia" w:ascii="宋体" w:hAnsi="宋体"/>
                <w:szCs w:val="21"/>
              </w:rPr>
              <w:t xml:space="preserve"> </w:t>
            </w:r>
            <w:r>
              <w:rPr>
                <w:rFonts w:hint="eastAsia" w:ascii="宋体" w:hAnsi="宋体"/>
                <w:snapToGrid w:val="0"/>
                <w:kern w:val="0"/>
                <w:szCs w:val="21"/>
              </w:rPr>
              <w:t>批发</w:t>
            </w:r>
            <w:r>
              <w:rPr>
                <w:rFonts w:ascii="宋体" w:hAnsi="宋体"/>
                <w:szCs w:val="21"/>
              </w:rPr>
              <w:t>许可证延期</w:t>
            </w:r>
          </w:p>
        </w:tc>
        <w:tc>
          <w:tcPr>
            <w:tcW w:w="4238" w:type="dxa"/>
            <w:vAlign w:val="center"/>
          </w:tcPr>
          <w:p>
            <w:pPr>
              <w:adjustRightInd w:val="0"/>
              <w:snapToGrid w:val="0"/>
              <w:ind w:firstLine="420" w:firstLineChars="200"/>
              <w:rPr>
                <w:rFonts w:ascii="宋体" w:hAnsi="宋体"/>
                <w:snapToGrid w:val="0"/>
                <w:kern w:val="0"/>
                <w:szCs w:val="21"/>
              </w:rPr>
            </w:pPr>
            <w:r>
              <w:rPr>
                <w:rFonts w:hint="eastAsia" w:ascii="宋体" w:hAnsi="宋体"/>
                <w:snapToGrid w:val="0"/>
                <w:kern w:val="0"/>
                <w:szCs w:val="21"/>
              </w:rPr>
              <w:t>《烟花爆竹经营许可实施办法》</w:t>
            </w:r>
            <w:r>
              <w:rPr>
                <w:rFonts w:hint="eastAsia" w:ascii="宋体" w:hAnsi="宋体"/>
                <w:szCs w:val="21"/>
              </w:rPr>
              <w:t xml:space="preserve">第十二条  </w:t>
            </w:r>
            <w:r>
              <w:rPr>
                <w:rFonts w:hint="eastAsia" w:ascii="宋体" w:hAnsi="宋体"/>
                <w:snapToGrid w:val="0"/>
                <w:kern w:val="0"/>
                <w:szCs w:val="21"/>
              </w:rPr>
              <w:t>批发许可证的有效期限为</w:t>
            </w:r>
            <w:r>
              <w:rPr>
                <w:rFonts w:ascii="宋体" w:hAnsi="宋体"/>
                <w:snapToGrid w:val="0"/>
                <w:kern w:val="0"/>
                <w:szCs w:val="21"/>
              </w:rPr>
              <w:t>3</w:t>
            </w:r>
            <w:r>
              <w:rPr>
                <w:rFonts w:hint="eastAsia" w:ascii="宋体" w:hAnsi="宋体"/>
                <w:snapToGrid w:val="0"/>
                <w:kern w:val="0"/>
                <w:szCs w:val="21"/>
              </w:rPr>
              <w:t>年。</w:t>
            </w:r>
          </w:p>
          <w:p>
            <w:pPr>
              <w:adjustRightInd w:val="0"/>
              <w:snapToGrid w:val="0"/>
              <w:ind w:firstLine="420" w:firstLineChars="200"/>
              <w:rPr>
                <w:rFonts w:ascii="宋体" w:hAnsi="宋体"/>
                <w:snapToGrid w:val="0"/>
                <w:kern w:val="0"/>
                <w:szCs w:val="21"/>
              </w:rPr>
            </w:pPr>
            <w:r>
              <w:rPr>
                <w:rFonts w:hint="eastAsia" w:ascii="宋体" w:hAnsi="宋体"/>
                <w:snapToGrid w:val="0"/>
                <w:kern w:val="0"/>
                <w:szCs w:val="21"/>
              </w:rPr>
              <w:t>批发许可证有效期满后，批发企业拟继续从事烟花爆竹批发经营活动的，应当在有效期届满前</w:t>
            </w:r>
            <w:r>
              <w:rPr>
                <w:rFonts w:ascii="宋体" w:hAnsi="宋体"/>
                <w:snapToGrid w:val="0"/>
                <w:kern w:val="0"/>
                <w:szCs w:val="21"/>
              </w:rPr>
              <w:t>3</w:t>
            </w:r>
            <w:r>
              <w:rPr>
                <w:rFonts w:hint="eastAsia" w:ascii="宋体" w:hAnsi="宋体"/>
                <w:snapToGrid w:val="0"/>
                <w:kern w:val="0"/>
                <w:szCs w:val="21"/>
              </w:rPr>
              <w:t>个月向原发证机关提出延期申请，并提交下列文件、资料：</w:t>
            </w:r>
          </w:p>
          <w:p>
            <w:pPr>
              <w:adjustRightInd w:val="0"/>
              <w:snapToGrid w:val="0"/>
              <w:ind w:firstLine="420" w:firstLineChars="200"/>
              <w:rPr>
                <w:rFonts w:ascii="宋体" w:hAnsi="宋体"/>
                <w:snapToGrid w:val="0"/>
                <w:kern w:val="0"/>
                <w:szCs w:val="21"/>
              </w:rPr>
            </w:pPr>
            <w:r>
              <w:rPr>
                <w:rFonts w:hint="eastAsia" w:ascii="宋体" w:hAnsi="宋体"/>
                <w:snapToGrid w:val="0"/>
                <w:kern w:val="0"/>
                <w:szCs w:val="21"/>
              </w:rPr>
              <w:t>……</w:t>
            </w:r>
          </w:p>
        </w:tc>
        <w:tc>
          <w:tcPr>
            <w:tcW w:w="3983" w:type="dxa"/>
            <w:vAlign w:val="center"/>
          </w:tcPr>
          <w:p>
            <w:pPr>
              <w:adjustRightInd w:val="0"/>
              <w:snapToGrid w:val="0"/>
              <w:ind w:firstLine="420" w:firstLineChars="200"/>
              <w:rPr>
                <w:rFonts w:ascii="宋体" w:hAnsi="宋体"/>
                <w:szCs w:val="21"/>
              </w:rPr>
            </w:pPr>
            <w:r>
              <w:rPr>
                <w:rFonts w:hint="eastAsia" w:ascii="宋体" w:hAnsi="宋体"/>
                <w:snapToGrid w:val="0"/>
                <w:kern w:val="0"/>
                <w:szCs w:val="21"/>
              </w:rPr>
              <w:t>《烟花爆竹经营许可实施办法》</w:t>
            </w:r>
            <w:r>
              <w:rPr>
                <w:rFonts w:hint="eastAsia" w:ascii="宋体" w:hAnsi="宋体"/>
                <w:szCs w:val="21"/>
              </w:rPr>
              <w:t xml:space="preserve">第三十一条  </w:t>
            </w:r>
            <w:r>
              <w:rPr>
                <w:rFonts w:ascii="宋体" w:hAnsi="宋体"/>
                <w:snapToGrid w:val="0"/>
                <w:kern w:val="0"/>
                <w:szCs w:val="21"/>
              </w:rPr>
              <w:t>对未经许可经营、超许可范围经营、许可证过期继续经营烟花爆竹的，责令其停止非法经营活动，处2</w:t>
            </w:r>
            <w:r>
              <w:rPr>
                <w:rFonts w:hint="eastAsia" w:ascii="宋体" w:hAnsi="宋体"/>
                <w:snapToGrid w:val="0"/>
                <w:kern w:val="0"/>
                <w:szCs w:val="21"/>
              </w:rPr>
              <w:t>万元以上</w:t>
            </w:r>
            <w:r>
              <w:rPr>
                <w:rFonts w:ascii="宋体" w:hAnsi="宋体"/>
                <w:snapToGrid w:val="0"/>
                <w:kern w:val="0"/>
                <w:szCs w:val="21"/>
              </w:rPr>
              <w:t>10</w:t>
            </w:r>
            <w:r>
              <w:rPr>
                <w:rFonts w:hint="eastAsia" w:ascii="宋体" w:hAnsi="宋体"/>
                <w:snapToGrid w:val="0"/>
                <w:kern w:val="0"/>
                <w:szCs w:val="21"/>
              </w:rPr>
              <w:t>万元以下的罚款，并没收非法经营的物品及违法所得。</w:t>
            </w:r>
          </w:p>
        </w:tc>
        <w:tc>
          <w:tcPr>
            <w:tcW w:w="12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trPr>
        <w:tc>
          <w:tcPr>
            <w:tcW w:w="851" w:type="dxa"/>
            <w:vMerge w:val="continue"/>
            <w:vAlign w:val="center"/>
          </w:tcPr>
          <w:p>
            <w:pPr>
              <w:jc w:val="center"/>
              <w:rPr>
                <w:rFonts w:ascii="宋体" w:hAnsi="宋体"/>
                <w:szCs w:val="21"/>
              </w:rPr>
            </w:pPr>
          </w:p>
        </w:tc>
        <w:tc>
          <w:tcPr>
            <w:tcW w:w="1277" w:type="dxa"/>
            <w:vMerge w:val="continue"/>
            <w:vAlign w:val="center"/>
          </w:tcPr>
          <w:p>
            <w:pPr>
              <w:jc w:val="center"/>
              <w:rPr>
                <w:rFonts w:ascii="宋体" w:hAnsi="宋体"/>
                <w:szCs w:val="21"/>
              </w:rPr>
            </w:pPr>
          </w:p>
        </w:tc>
        <w:tc>
          <w:tcPr>
            <w:tcW w:w="2692" w:type="dxa"/>
            <w:vAlign w:val="center"/>
          </w:tcPr>
          <w:p>
            <w:pPr>
              <w:adjustRightInd w:val="0"/>
              <w:snapToGrid w:val="0"/>
              <w:jc w:val="left"/>
              <w:rPr>
                <w:rFonts w:ascii="宋体" w:hAnsi="宋体"/>
                <w:szCs w:val="21"/>
              </w:rPr>
            </w:pPr>
            <w:r>
              <w:rPr>
                <w:rFonts w:ascii="宋体" w:hAnsi="宋体"/>
                <w:szCs w:val="21"/>
              </w:rPr>
              <w:t>1.3</w:t>
            </w:r>
            <w:r>
              <w:rPr>
                <w:rFonts w:hint="eastAsia" w:ascii="宋体" w:hAnsi="宋体"/>
                <w:szCs w:val="21"/>
              </w:rPr>
              <w:t xml:space="preserve"> </w:t>
            </w:r>
            <w:r>
              <w:rPr>
                <w:rFonts w:hint="eastAsia" w:ascii="宋体" w:hAnsi="宋体"/>
                <w:snapToGrid w:val="0"/>
                <w:kern w:val="0"/>
                <w:szCs w:val="21"/>
              </w:rPr>
              <w:t>批发</w:t>
            </w:r>
            <w:r>
              <w:rPr>
                <w:rFonts w:ascii="宋体" w:hAnsi="宋体"/>
                <w:szCs w:val="21"/>
              </w:rPr>
              <w:t>许可证变更</w:t>
            </w:r>
          </w:p>
        </w:tc>
        <w:tc>
          <w:tcPr>
            <w:tcW w:w="4238" w:type="dxa"/>
            <w:vAlign w:val="center"/>
          </w:tcPr>
          <w:p>
            <w:pPr>
              <w:adjustRightInd w:val="0"/>
              <w:snapToGrid w:val="0"/>
              <w:ind w:firstLine="420" w:firstLineChars="200"/>
              <w:rPr>
                <w:rFonts w:ascii="宋体" w:hAnsi="宋体"/>
                <w:snapToGrid w:val="0"/>
                <w:kern w:val="0"/>
                <w:szCs w:val="21"/>
              </w:rPr>
            </w:pPr>
            <w:r>
              <w:rPr>
                <w:rFonts w:hint="eastAsia" w:ascii="宋体" w:hAnsi="宋体"/>
                <w:snapToGrid w:val="0"/>
                <w:kern w:val="0"/>
                <w:szCs w:val="21"/>
              </w:rPr>
              <w:t>《烟花爆竹经营许可实施办法》第十五条  批发企业在批发许可证有效期内变更企业名称、主要负责人和注册地址的，应当自变更之日起</w:t>
            </w:r>
            <w:r>
              <w:rPr>
                <w:rFonts w:ascii="宋体" w:hAnsi="宋体"/>
                <w:snapToGrid w:val="0"/>
                <w:kern w:val="0"/>
                <w:szCs w:val="21"/>
              </w:rPr>
              <w:t>10</w:t>
            </w:r>
            <w:r>
              <w:rPr>
                <w:rFonts w:hint="eastAsia" w:ascii="宋体" w:hAnsi="宋体"/>
                <w:snapToGrid w:val="0"/>
                <w:kern w:val="0"/>
                <w:szCs w:val="21"/>
              </w:rPr>
              <w:t>个工作日内向原发证机关提出变更，并提交下列文件、资料：</w:t>
            </w:r>
          </w:p>
          <w:p>
            <w:pPr>
              <w:adjustRightInd w:val="0"/>
              <w:snapToGrid w:val="0"/>
              <w:ind w:firstLine="420" w:firstLineChars="200"/>
              <w:rPr>
                <w:rFonts w:ascii="宋体" w:hAnsi="宋体"/>
                <w:snapToGrid w:val="0"/>
                <w:kern w:val="0"/>
                <w:szCs w:val="21"/>
              </w:rPr>
            </w:pPr>
            <w:r>
              <w:rPr>
                <w:rFonts w:hint="eastAsia" w:ascii="宋体" w:hAnsi="宋体"/>
                <w:snapToGrid w:val="0"/>
                <w:kern w:val="0"/>
                <w:szCs w:val="21"/>
              </w:rPr>
              <w:t>……</w:t>
            </w:r>
          </w:p>
        </w:tc>
        <w:tc>
          <w:tcPr>
            <w:tcW w:w="3983" w:type="dxa"/>
            <w:vAlign w:val="center"/>
          </w:tcPr>
          <w:p>
            <w:pPr>
              <w:adjustRightInd w:val="0"/>
              <w:snapToGrid w:val="0"/>
              <w:ind w:firstLine="420" w:firstLineChars="200"/>
              <w:rPr>
                <w:rFonts w:ascii="宋体" w:hAnsi="宋体"/>
                <w:szCs w:val="21"/>
              </w:rPr>
            </w:pPr>
            <w:r>
              <w:rPr>
                <w:rFonts w:hint="eastAsia" w:ascii="宋体" w:hAnsi="宋体"/>
                <w:snapToGrid w:val="0"/>
                <w:kern w:val="0"/>
                <w:szCs w:val="21"/>
              </w:rPr>
              <w:t>《烟花爆竹经营许可实施办法》</w:t>
            </w:r>
            <w:r>
              <w:rPr>
                <w:rFonts w:hint="eastAsia" w:ascii="宋体" w:hAnsi="宋体"/>
                <w:szCs w:val="21"/>
              </w:rPr>
              <w:t>第三十二条  批发企业有下列行为之一的，责令其限期改正，处</w:t>
            </w:r>
            <w:r>
              <w:rPr>
                <w:rFonts w:ascii="宋体" w:hAnsi="宋体"/>
                <w:szCs w:val="21"/>
              </w:rPr>
              <w:t>5000</w:t>
            </w:r>
            <w:r>
              <w:rPr>
                <w:rFonts w:hint="eastAsia" w:ascii="宋体" w:hAnsi="宋体"/>
                <w:szCs w:val="21"/>
              </w:rPr>
              <w:t>元以上</w:t>
            </w:r>
            <w:r>
              <w:rPr>
                <w:rFonts w:ascii="宋体" w:hAnsi="宋体"/>
                <w:szCs w:val="21"/>
              </w:rPr>
              <w:t>3</w:t>
            </w:r>
            <w:r>
              <w:rPr>
                <w:rFonts w:hint="eastAsia" w:ascii="宋体" w:hAnsi="宋体"/>
                <w:szCs w:val="21"/>
              </w:rPr>
              <w:t>万元以下的罚款：</w:t>
            </w:r>
          </w:p>
          <w:p>
            <w:pPr>
              <w:adjustRightInd w:val="0"/>
              <w:snapToGrid w:val="0"/>
              <w:ind w:firstLine="420" w:firstLineChars="200"/>
              <w:rPr>
                <w:rFonts w:ascii="宋体" w:hAnsi="宋体"/>
                <w:szCs w:val="21"/>
              </w:rPr>
            </w:pPr>
            <w:r>
              <w:rPr>
                <w:rFonts w:hint="eastAsia" w:ascii="宋体" w:hAnsi="宋体"/>
                <w:szCs w:val="21"/>
              </w:rPr>
              <w:t>……</w:t>
            </w:r>
          </w:p>
          <w:p>
            <w:pPr>
              <w:adjustRightInd w:val="0"/>
              <w:snapToGrid w:val="0"/>
              <w:ind w:firstLine="420" w:firstLineChars="200"/>
              <w:rPr>
                <w:rFonts w:ascii="宋体" w:hAnsi="宋体"/>
                <w:szCs w:val="21"/>
              </w:rPr>
            </w:pPr>
            <w:r>
              <w:rPr>
                <w:rFonts w:hint="eastAsia" w:ascii="宋体" w:hAnsi="宋体"/>
                <w:szCs w:val="21"/>
              </w:rPr>
              <w:t>（九）变更企业名称、主要负责人、注册地址，未申请办理许可证变更手续的；</w:t>
            </w:r>
          </w:p>
          <w:p>
            <w:pPr>
              <w:adjustRightInd w:val="0"/>
              <w:snapToGrid w:val="0"/>
              <w:ind w:firstLine="420" w:firstLineChars="200"/>
              <w:rPr>
                <w:rFonts w:ascii="宋体" w:hAnsi="宋体"/>
                <w:szCs w:val="21"/>
              </w:rPr>
            </w:pPr>
            <w:r>
              <w:rPr>
                <w:rFonts w:hint="eastAsia" w:ascii="宋体" w:hAnsi="宋体"/>
                <w:szCs w:val="21"/>
              </w:rPr>
              <w:t>……</w:t>
            </w:r>
          </w:p>
        </w:tc>
        <w:tc>
          <w:tcPr>
            <w:tcW w:w="1277" w:type="dxa"/>
            <w:vMerge w:val="restar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trPr>
        <w:tc>
          <w:tcPr>
            <w:tcW w:w="851" w:type="dxa"/>
            <w:vMerge w:val="continue"/>
            <w:vAlign w:val="center"/>
          </w:tcPr>
          <w:p>
            <w:pPr>
              <w:jc w:val="center"/>
              <w:rPr>
                <w:rFonts w:ascii="宋体" w:hAnsi="宋体"/>
                <w:szCs w:val="21"/>
              </w:rPr>
            </w:pPr>
          </w:p>
        </w:tc>
        <w:tc>
          <w:tcPr>
            <w:tcW w:w="1277" w:type="dxa"/>
            <w:vMerge w:val="continue"/>
            <w:vAlign w:val="center"/>
          </w:tcPr>
          <w:p>
            <w:pPr>
              <w:jc w:val="center"/>
              <w:rPr>
                <w:rFonts w:ascii="宋体" w:hAnsi="宋体"/>
                <w:szCs w:val="21"/>
              </w:rPr>
            </w:pPr>
          </w:p>
        </w:tc>
        <w:tc>
          <w:tcPr>
            <w:tcW w:w="2692" w:type="dxa"/>
            <w:vAlign w:val="center"/>
          </w:tcPr>
          <w:p>
            <w:pPr>
              <w:adjustRightInd w:val="0"/>
              <w:snapToGrid w:val="0"/>
              <w:jc w:val="left"/>
              <w:rPr>
                <w:rFonts w:ascii="宋体" w:hAnsi="宋体"/>
                <w:szCs w:val="21"/>
              </w:rPr>
            </w:pPr>
            <w:r>
              <w:rPr>
                <w:rFonts w:hint="eastAsia" w:ascii="宋体" w:hAnsi="宋体"/>
                <w:szCs w:val="21"/>
              </w:rPr>
              <w:t>1.4 零售许可证重新申领</w:t>
            </w:r>
          </w:p>
        </w:tc>
        <w:tc>
          <w:tcPr>
            <w:tcW w:w="4238" w:type="dxa"/>
            <w:vAlign w:val="center"/>
          </w:tcPr>
          <w:p>
            <w:pPr>
              <w:adjustRightInd w:val="0"/>
              <w:snapToGrid w:val="0"/>
              <w:ind w:firstLine="420" w:firstLineChars="200"/>
              <w:rPr>
                <w:rFonts w:ascii="宋体" w:hAnsi="宋体"/>
                <w:snapToGrid w:val="0"/>
                <w:kern w:val="0"/>
                <w:szCs w:val="21"/>
              </w:rPr>
            </w:pPr>
            <w:r>
              <w:rPr>
                <w:rFonts w:hint="eastAsia" w:ascii="宋体" w:hAnsi="宋体"/>
                <w:snapToGrid w:val="0"/>
                <w:kern w:val="0"/>
                <w:szCs w:val="21"/>
              </w:rPr>
              <w:t>《烟花爆竹经营许可实施办法》</w:t>
            </w:r>
            <w:r>
              <w:rPr>
                <w:rFonts w:hint="eastAsia" w:ascii="宋体" w:hAnsi="宋体"/>
                <w:szCs w:val="21"/>
              </w:rPr>
              <w:t>第二十一条  零售许可证的有效期限由发证机关确定，最长不超过</w:t>
            </w:r>
            <w:r>
              <w:rPr>
                <w:rFonts w:ascii="宋体" w:hAnsi="宋体"/>
                <w:szCs w:val="21"/>
              </w:rPr>
              <w:t>2</w:t>
            </w:r>
            <w:r>
              <w:rPr>
                <w:rFonts w:hint="eastAsia" w:ascii="宋体" w:hAnsi="宋体"/>
                <w:szCs w:val="21"/>
              </w:rPr>
              <w:t>年。零售许可证有效期满后拟继续从事烟花爆竹零售经营活动，或者在有效期内变更零售点名称、主要负责人、零售场所和许可范围的，应当重新申请取得零售许可证。</w:t>
            </w:r>
          </w:p>
        </w:tc>
        <w:tc>
          <w:tcPr>
            <w:tcW w:w="3983" w:type="dxa"/>
            <w:vAlign w:val="center"/>
          </w:tcPr>
          <w:p>
            <w:pPr>
              <w:adjustRightInd w:val="0"/>
              <w:snapToGrid w:val="0"/>
              <w:ind w:firstLine="420" w:firstLineChars="200"/>
            </w:pPr>
            <w:r>
              <w:rPr>
                <w:rFonts w:hint="eastAsia"/>
              </w:rPr>
              <w:t>《烟花爆竹经营许可实施办法》第三十五条  零售经营者有下列行为之一的，责令其限期改正，处</w:t>
            </w:r>
            <w:r>
              <w:t>1000</w:t>
            </w:r>
            <w:r>
              <w:rPr>
                <w:rFonts w:hint="eastAsia"/>
              </w:rPr>
              <w:t>元以上</w:t>
            </w:r>
            <w:r>
              <w:t>5000</w:t>
            </w:r>
            <w:r>
              <w:rPr>
                <w:rFonts w:hint="eastAsia"/>
              </w:rPr>
              <w:t>元以下的罚款；情节严重的，处</w:t>
            </w:r>
            <w:r>
              <w:t>5000</w:t>
            </w:r>
            <w:r>
              <w:rPr>
                <w:rFonts w:hint="eastAsia"/>
              </w:rPr>
              <w:t>元以上</w:t>
            </w:r>
            <w:r>
              <w:t>30000</w:t>
            </w:r>
            <w:r>
              <w:rPr>
                <w:rFonts w:hint="eastAsia"/>
              </w:rPr>
              <w:t>元以下的罚款：</w:t>
            </w:r>
          </w:p>
          <w:p>
            <w:pPr>
              <w:adjustRightInd w:val="0"/>
              <w:snapToGrid w:val="0"/>
              <w:ind w:firstLine="420" w:firstLineChars="200"/>
            </w:pPr>
            <w:r>
              <w:rPr>
                <w:rFonts w:hint="eastAsia"/>
              </w:rPr>
              <w:t>（一）变更零售点名称、主要负责人或者经营场所，未重新办理零售许可证的；</w:t>
            </w:r>
          </w:p>
          <w:p>
            <w:pPr>
              <w:adjustRightInd w:val="0"/>
              <w:snapToGrid w:val="0"/>
              <w:ind w:firstLine="420" w:firstLineChars="200"/>
              <w:rPr>
                <w:rFonts w:hint="eastAsia"/>
              </w:rPr>
            </w:pPr>
            <w:r>
              <w:rPr>
                <w:rFonts w:hint="eastAsia"/>
              </w:rPr>
              <w:t>……</w:t>
            </w:r>
          </w:p>
          <w:p>
            <w:pPr>
              <w:pStyle w:val="2"/>
            </w:pPr>
            <w:r>
              <w:rPr>
                <w:rFonts w:hint="eastAsia" w:ascii="Calibri" w:hAnsi="Calibri" w:eastAsia="宋体" w:cs="Times New Roman"/>
                <w:kern w:val="2"/>
                <w:sz w:val="21"/>
                <w:szCs w:val="22"/>
                <w:lang w:val="en-US" w:eastAsia="zh-CN" w:bidi="ar-SA"/>
              </w:rPr>
              <w:t xml:space="preserve">第三十一条 </w:t>
            </w:r>
            <w:r>
              <w:rPr>
                <w:rFonts w:hint="eastAsia" w:eastAsia="宋体" w:cs="Times New Roman"/>
                <w:kern w:val="2"/>
                <w:sz w:val="21"/>
                <w:szCs w:val="22"/>
                <w:lang w:val="en-US" w:eastAsia="zh-CN" w:bidi="ar-SA"/>
              </w:rPr>
              <w:t xml:space="preserve"> </w:t>
            </w:r>
            <w:r>
              <w:rPr>
                <w:rFonts w:hint="eastAsia" w:ascii="Calibri" w:hAnsi="Calibri" w:eastAsia="宋体" w:cs="Times New Roman"/>
                <w:kern w:val="2"/>
                <w:sz w:val="21"/>
                <w:szCs w:val="22"/>
                <w:lang w:val="en-US" w:eastAsia="zh-CN" w:bidi="ar-SA"/>
              </w:rPr>
              <w:t>对未经许可经营、超许可范围经营、许可证过期继续经营烟花爆竹的，责令其停止非法经营活动，处2万元以上10万元以下的罚款，并没收非法经营的物品及违法所得。</w:t>
            </w:r>
          </w:p>
        </w:tc>
        <w:tc>
          <w:tcPr>
            <w:tcW w:w="127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trPr>
        <w:tc>
          <w:tcPr>
            <w:tcW w:w="851" w:type="dxa"/>
            <w:vMerge w:val="continue"/>
            <w:vAlign w:val="center"/>
          </w:tcPr>
          <w:p>
            <w:pPr>
              <w:jc w:val="center"/>
              <w:rPr>
                <w:rFonts w:ascii="宋体" w:hAnsi="宋体"/>
                <w:szCs w:val="21"/>
              </w:rPr>
            </w:pPr>
          </w:p>
        </w:tc>
        <w:tc>
          <w:tcPr>
            <w:tcW w:w="1277" w:type="dxa"/>
            <w:vMerge w:val="continue"/>
            <w:vAlign w:val="center"/>
          </w:tcPr>
          <w:p>
            <w:pPr>
              <w:jc w:val="center"/>
              <w:rPr>
                <w:rFonts w:ascii="宋体" w:hAnsi="宋体"/>
                <w:szCs w:val="21"/>
              </w:rPr>
            </w:pPr>
          </w:p>
        </w:tc>
        <w:tc>
          <w:tcPr>
            <w:tcW w:w="2692" w:type="dxa"/>
            <w:vAlign w:val="center"/>
          </w:tcPr>
          <w:p>
            <w:pPr>
              <w:adjustRightInd w:val="0"/>
              <w:snapToGrid w:val="0"/>
              <w:jc w:val="left"/>
              <w:rPr>
                <w:rFonts w:ascii="宋体" w:hAnsi="宋体"/>
                <w:szCs w:val="21"/>
              </w:rPr>
            </w:pPr>
            <w:r>
              <w:rPr>
                <w:rFonts w:hint="eastAsia" w:ascii="宋体" w:hAnsi="宋体"/>
                <w:szCs w:val="21"/>
              </w:rPr>
              <w:t>1.5 出租、出借、转让、买卖、冒用许可证或者使用伪造的许可证</w:t>
            </w:r>
          </w:p>
        </w:tc>
        <w:tc>
          <w:tcPr>
            <w:tcW w:w="4238" w:type="dxa"/>
            <w:vAlign w:val="center"/>
          </w:tcPr>
          <w:p>
            <w:pPr>
              <w:adjustRightInd w:val="0"/>
              <w:snapToGrid w:val="0"/>
              <w:ind w:firstLine="420" w:firstLineChars="200"/>
              <w:rPr>
                <w:rFonts w:ascii="宋体" w:hAnsi="宋体"/>
                <w:snapToGrid w:val="0"/>
                <w:kern w:val="0"/>
                <w:szCs w:val="21"/>
              </w:rPr>
            </w:pPr>
            <w:r>
              <w:rPr>
                <w:rFonts w:hint="eastAsia" w:ascii="宋体" w:hAnsi="宋体"/>
                <w:szCs w:val="21"/>
              </w:rPr>
              <w:t>《烟花爆竹经营许可实施办法》第二十六条  烟花爆竹经营单位不得出租、出借、转让、买卖、冒用或者使用伪造的烟花爆竹经营许可证。</w:t>
            </w:r>
          </w:p>
        </w:tc>
        <w:tc>
          <w:tcPr>
            <w:tcW w:w="3983" w:type="dxa"/>
            <w:vAlign w:val="center"/>
          </w:tcPr>
          <w:p>
            <w:pPr>
              <w:adjustRightInd w:val="0"/>
              <w:snapToGrid w:val="0"/>
              <w:ind w:firstLine="420" w:firstLineChars="200"/>
            </w:pPr>
            <w:r>
              <w:rPr>
                <w:rFonts w:hint="eastAsia"/>
              </w:rPr>
              <w:t>《烟花爆竹经营许可实施办法》第三十六条  烟花爆竹经营单位出租、出借、转让、买卖烟花爆竹经营许可证的，责令其停止违法行为，处</w:t>
            </w:r>
            <w:r>
              <w:t>1</w:t>
            </w:r>
            <w:r>
              <w:rPr>
                <w:rFonts w:hint="eastAsia"/>
              </w:rPr>
              <w:t>万元以上</w:t>
            </w:r>
            <w:r>
              <w:t>3</w:t>
            </w:r>
            <w:r>
              <w:rPr>
                <w:rFonts w:hint="eastAsia"/>
              </w:rPr>
              <w:t>万元以下的罚款，并依法撤销烟花爆竹经营许可证。</w:t>
            </w:r>
          </w:p>
          <w:p>
            <w:pPr>
              <w:adjustRightInd w:val="0"/>
              <w:snapToGrid w:val="0"/>
              <w:ind w:firstLine="420" w:firstLineChars="200"/>
            </w:pPr>
            <w:r>
              <w:rPr>
                <w:rFonts w:hint="eastAsia"/>
              </w:rPr>
              <w:t>冒用或者使用伪造的烟花爆竹经营许可证的，依照本办法第三十一条的规定处罚。</w:t>
            </w:r>
          </w:p>
          <w:p>
            <w:pPr>
              <w:adjustRightInd w:val="0"/>
              <w:snapToGrid w:val="0"/>
              <w:ind w:firstLine="420" w:firstLineChars="200"/>
              <w:rPr>
                <w:rFonts w:hint="eastAsia"/>
              </w:rPr>
            </w:pPr>
            <w:r>
              <w:rPr>
                <w:rFonts w:hint="eastAsia"/>
              </w:rPr>
              <w:t>第三十一条  对未经许可经营、超许可范围经营、许可证过期继续经营烟花爆竹的，责令其停止非法经营活动，处2万元以上10万元以下的罚款，并没收非法经营的物品及违法所得。</w:t>
            </w:r>
          </w:p>
          <w:p>
            <w:pPr>
              <w:pStyle w:val="2"/>
            </w:pPr>
          </w:p>
        </w:tc>
        <w:tc>
          <w:tcPr>
            <w:tcW w:w="127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Merge w:val="restart"/>
            <w:vAlign w:val="center"/>
          </w:tcPr>
          <w:p>
            <w:pPr>
              <w:jc w:val="center"/>
              <w:rPr>
                <w:rFonts w:ascii="宋体" w:hAnsi="宋体"/>
                <w:szCs w:val="21"/>
              </w:rPr>
            </w:pPr>
            <w:r>
              <w:rPr>
                <w:rFonts w:ascii="宋体" w:hAnsi="宋体"/>
                <w:szCs w:val="21"/>
              </w:rPr>
              <w:t>2</w:t>
            </w:r>
          </w:p>
        </w:tc>
        <w:tc>
          <w:tcPr>
            <w:tcW w:w="1277" w:type="dxa"/>
            <w:vMerge w:val="restart"/>
            <w:vAlign w:val="center"/>
          </w:tcPr>
          <w:p>
            <w:pPr>
              <w:jc w:val="left"/>
              <w:rPr>
                <w:rFonts w:ascii="宋体" w:hAnsi="宋体"/>
                <w:szCs w:val="21"/>
              </w:rPr>
            </w:pPr>
            <w:r>
              <w:rPr>
                <w:rFonts w:hint="eastAsia" w:ascii="宋体" w:hAnsi="宋体"/>
                <w:szCs w:val="21"/>
              </w:rPr>
              <w:t>经营管理情况</w:t>
            </w:r>
          </w:p>
        </w:tc>
        <w:tc>
          <w:tcPr>
            <w:tcW w:w="2692" w:type="dxa"/>
            <w:vAlign w:val="center"/>
          </w:tcPr>
          <w:p>
            <w:pPr>
              <w:adjustRightInd w:val="0"/>
              <w:snapToGrid w:val="0"/>
              <w:jc w:val="left"/>
              <w:rPr>
                <w:rFonts w:ascii="宋体" w:hAnsi="宋体"/>
                <w:szCs w:val="21"/>
              </w:rPr>
            </w:pPr>
            <w:r>
              <w:rPr>
                <w:rFonts w:ascii="宋体" w:hAnsi="宋体"/>
                <w:szCs w:val="21"/>
              </w:rPr>
              <w:t>2.1</w:t>
            </w:r>
            <w:r>
              <w:rPr>
                <w:rFonts w:hint="eastAsia" w:ascii="宋体" w:hAnsi="宋体"/>
                <w:szCs w:val="21"/>
              </w:rPr>
              <w:t xml:space="preserve"> 采购和销售非法生产、经营的烟花爆竹，采购和销售产品质量不符合标准规定的烟花爆竹，销售应当由专业燃放人员燃放的烟花爆竹</w:t>
            </w:r>
          </w:p>
        </w:tc>
        <w:tc>
          <w:tcPr>
            <w:tcW w:w="4238" w:type="dxa"/>
            <w:vAlign w:val="center"/>
          </w:tcPr>
          <w:p>
            <w:pPr>
              <w:adjustRightInd w:val="0"/>
              <w:snapToGrid w:val="0"/>
              <w:ind w:firstLine="420" w:firstLineChars="200"/>
              <w:rPr>
                <w:rFonts w:ascii="宋体" w:hAnsi="宋体"/>
                <w:szCs w:val="21"/>
              </w:rPr>
            </w:pPr>
            <w:r>
              <w:rPr>
                <w:rFonts w:hint="eastAsia" w:ascii="宋体" w:hAnsi="宋体"/>
                <w:szCs w:val="21"/>
              </w:rPr>
              <w:t>《烟花爆竹经营许可实施办法》第二十二条  批发企业、零售经营者不得采购和销售非法生产、经营的烟花爆竹和产品质量不符合国家标准或者行业标准规定的烟花爆竹。</w:t>
            </w:r>
          </w:p>
          <w:p>
            <w:pPr>
              <w:adjustRightInd w:val="0"/>
              <w:snapToGrid w:val="0"/>
              <w:ind w:firstLine="420" w:firstLineChars="200"/>
              <w:rPr>
                <w:rFonts w:ascii="宋体" w:hAnsi="宋体"/>
                <w:szCs w:val="21"/>
              </w:rPr>
            </w:pPr>
            <w:r>
              <w:rPr>
                <w:rFonts w:hint="eastAsia" w:ascii="宋体" w:hAnsi="宋体"/>
                <w:szCs w:val="21"/>
              </w:rPr>
              <w:t>批发企业不得向未取得零售许可证的单位或者个人销售烟花爆竹，不得向零售经营者销售礼花弹等应当由专业燃放人员燃放的烟花爆竹；从事黑火药、引火线批发的企业不得向无《烟花爆竹安全生产许可证》的单位或者个人销售烟火药、黑火药、引火线。</w:t>
            </w:r>
          </w:p>
          <w:p>
            <w:pPr>
              <w:adjustRightInd w:val="0"/>
              <w:snapToGrid w:val="0"/>
              <w:ind w:firstLine="420" w:firstLineChars="200"/>
              <w:rPr>
                <w:rFonts w:ascii="宋体" w:hAnsi="宋体"/>
                <w:szCs w:val="21"/>
              </w:rPr>
            </w:pPr>
            <w:r>
              <w:rPr>
                <w:rFonts w:hint="eastAsia" w:ascii="宋体" w:hAnsi="宋体"/>
                <w:szCs w:val="21"/>
              </w:rPr>
              <w:t>零售经营者应当向批发企业采购烟花爆竹，不得采购、储存和销售礼花弹等应当由专业燃放人员燃放的烟花爆竹，不得采购、储存和销售烟火药、黑火药、引火线。</w:t>
            </w:r>
          </w:p>
          <w:p>
            <w:pPr>
              <w:adjustRightInd w:val="0"/>
              <w:snapToGrid w:val="0"/>
              <w:ind w:firstLine="420" w:firstLineChars="200"/>
              <w:rPr>
                <w:rFonts w:ascii="宋体" w:hAnsi="宋体"/>
                <w:snapToGrid w:val="0"/>
                <w:kern w:val="0"/>
                <w:szCs w:val="21"/>
              </w:rPr>
            </w:pPr>
            <w:r>
              <w:rPr>
                <w:rFonts w:hint="eastAsia" w:ascii="宋体" w:hAnsi="宋体"/>
                <w:snapToGrid w:val="0"/>
                <w:kern w:val="0"/>
                <w:szCs w:val="21"/>
              </w:rPr>
              <w:t>《烟花爆竹生产经营安全规定》第二十四条  生产企业、批发企业所生产、销售烟花爆竹的质量、包装、标志应当符合国家标准或者行业标准的规定。</w:t>
            </w:r>
          </w:p>
        </w:tc>
        <w:tc>
          <w:tcPr>
            <w:tcW w:w="3983" w:type="dxa"/>
            <w:vAlign w:val="center"/>
          </w:tcPr>
          <w:p>
            <w:pPr>
              <w:adjustRightInd w:val="0"/>
              <w:snapToGrid w:val="0"/>
              <w:spacing w:line="2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《烟花爆竹安全管理条例》第三十八条  从事烟花爆竹批发的企业向从事烟花爆竹零售的经营者供应非法生产、经营的烟花爆竹，或者供应按照国家标准规定应由专业燃放人员燃放的烟花爆竹的，由安全生产监督管理部门责令停止违法行为，处</w:t>
            </w:r>
            <w:r>
              <w:rPr>
                <w:rFonts w:asciiTheme="minorEastAsia" w:hAnsiTheme="minorEastAsia" w:eastAsiaTheme="minorEastAsia"/>
                <w:szCs w:val="21"/>
              </w:rPr>
              <w:t>2</w:t>
            </w:r>
            <w:r>
              <w:rPr>
                <w:rFonts w:hint="eastAsia" w:asciiTheme="minorEastAsia" w:hAnsiTheme="minorEastAsia" w:eastAsiaTheme="minorEastAsia"/>
                <w:szCs w:val="21"/>
              </w:rPr>
              <w:t>万元以上</w:t>
            </w:r>
            <w:r>
              <w:rPr>
                <w:rFonts w:asciiTheme="minorEastAsia" w:hAnsiTheme="minorEastAsia" w:eastAsiaTheme="minorEastAsia"/>
                <w:szCs w:val="21"/>
              </w:rPr>
              <w:t>10</w:t>
            </w:r>
            <w:r>
              <w:rPr>
                <w:rFonts w:hint="eastAsia" w:asciiTheme="minorEastAsia" w:hAnsiTheme="minorEastAsia" w:eastAsiaTheme="minorEastAsia"/>
                <w:szCs w:val="21"/>
              </w:rPr>
              <w:t>万元以下的罚款，并没收非法经营的物品及违法所得；情节严重的，吊销烟花爆竹经营许可证。</w:t>
            </w:r>
          </w:p>
          <w:p>
            <w:pPr>
              <w:adjustRightInd w:val="0"/>
              <w:snapToGrid w:val="0"/>
              <w:spacing w:line="2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从事烟花爆竹零售的经营者销售非法生产、经营的烟花爆竹，或者销售按照国家标准规定应由专业燃放人员燃放的烟花爆竹的，由安全生产监督管理部门责令停止违法行为，处</w:t>
            </w:r>
            <w:r>
              <w:rPr>
                <w:rFonts w:asciiTheme="minorEastAsia" w:hAnsiTheme="minorEastAsia" w:eastAsiaTheme="minorEastAsia"/>
                <w:szCs w:val="21"/>
              </w:rPr>
              <w:t>1000</w:t>
            </w:r>
            <w:r>
              <w:rPr>
                <w:rFonts w:hint="eastAsia" w:asciiTheme="minorEastAsia" w:hAnsiTheme="minorEastAsia" w:eastAsiaTheme="minorEastAsia"/>
                <w:szCs w:val="21"/>
              </w:rPr>
              <w:t>元以上</w:t>
            </w:r>
            <w:r>
              <w:rPr>
                <w:rFonts w:asciiTheme="minorEastAsia" w:hAnsiTheme="minorEastAsia" w:eastAsiaTheme="minorEastAsia"/>
                <w:szCs w:val="21"/>
              </w:rPr>
              <w:t>5000</w:t>
            </w:r>
            <w:r>
              <w:rPr>
                <w:rFonts w:hint="eastAsia" w:asciiTheme="minorEastAsia" w:hAnsiTheme="minorEastAsia" w:eastAsiaTheme="minorEastAsia"/>
                <w:szCs w:val="21"/>
              </w:rPr>
              <w:t>元以下的罚款，并没收非法经营的物品及违法所得；情节严重的，吊销烟花爆竹经营许可证。</w:t>
            </w:r>
          </w:p>
          <w:p>
            <w:pPr>
              <w:adjustRightInd w:val="0"/>
              <w:snapToGrid w:val="0"/>
              <w:spacing w:line="240" w:lineRule="exact"/>
              <w:ind w:firstLine="420" w:firstLineChars="200"/>
              <w:rPr>
                <w:rFonts w:ascii="宋体" w:hAnsi="宋体"/>
                <w:szCs w:val="21"/>
              </w:rPr>
            </w:pPr>
            <w:r>
              <w:rPr>
                <w:rFonts w:hint="eastAsia" w:ascii="宋体" w:hAnsi="宋体"/>
                <w:szCs w:val="21"/>
              </w:rPr>
              <w:t>《烟花爆竹经营许可实施办法》第三十二条  批发企业有下列行为之一的，责令其限期改正，处5000元以上3万元以下的罚款：</w:t>
            </w:r>
          </w:p>
          <w:p>
            <w:pPr>
              <w:adjustRightInd w:val="0"/>
              <w:snapToGrid w:val="0"/>
              <w:spacing w:line="240" w:lineRule="exact"/>
              <w:ind w:firstLine="420" w:firstLineChars="200"/>
              <w:rPr>
                <w:rFonts w:ascii="宋体" w:hAnsi="宋体"/>
                <w:szCs w:val="21"/>
              </w:rPr>
            </w:pPr>
            <w:r>
              <w:rPr>
                <w:rFonts w:hint="eastAsia" w:ascii="宋体" w:hAnsi="宋体"/>
                <w:szCs w:val="21"/>
              </w:rPr>
              <w:t>……</w:t>
            </w:r>
          </w:p>
          <w:p>
            <w:pPr>
              <w:adjustRightInd w:val="0"/>
              <w:snapToGrid w:val="0"/>
              <w:spacing w:line="240" w:lineRule="exact"/>
              <w:ind w:firstLine="420" w:firstLineChars="200"/>
              <w:rPr>
                <w:rFonts w:ascii="宋体" w:hAnsi="宋体"/>
                <w:szCs w:val="21"/>
              </w:rPr>
            </w:pPr>
            <w:r>
              <w:rPr>
                <w:rFonts w:hint="eastAsia" w:ascii="宋体" w:hAnsi="宋体"/>
                <w:szCs w:val="21"/>
              </w:rPr>
              <w:t>（二）采购和销售质量不符合国家标准或者行业标准规定的烟花爆竹的；</w:t>
            </w:r>
          </w:p>
          <w:p>
            <w:pPr>
              <w:adjustRightInd w:val="0"/>
              <w:snapToGrid w:val="0"/>
              <w:spacing w:line="240" w:lineRule="exact"/>
              <w:ind w:firstLine="420" w:firstLineChars="200"/>
              <w:rPr>
                <w:rFonts w:ascii="宋体" w:hAnsi="宋体"/>
                <w:szCs w:val="21"/>
              </w:rPr>
            </w:pPr>
            <w:r>
              <w:rPr>
                <w:rFonts w:hint="eastAsia" w:ascii="宋体" w:hAnsi="宋体"/>
                <w:szCs w:val="21"/>
              </w:rPr>
              <w:t>……</w:t>
            </w:r>
          </w:p>
          <w:p>
            <w:pPr>
              <w:adjustRightInd w:val="0"/>
              <w:snapToGrid w:val="0"/>
              <w:spacing w:line="240" w:lineRule="exact"/>
              <w:ind w:firstLine="420" w:firstLineChars="200"/>
              <w:rPr>
                <w:rFonts w:ascii="宋体" w:hAnsi="宋体"/>
                <w:szCs w:val="21"/>
              </w:rPr>
            </w:pPr>
            <w:r>
              <w:rPr>
                <w:rFonts w:hint="eastAsia" w:ascii="宋体" w:hAnsi="宋体"/>
                <w:szCs w:val="21"/>
              </w:rPr>
              <w:t>（十）向未取得零售许可证的单位或者个人销售烟花爆竹的。</w:t>
            </w:r>
          </w:p>
          <w:p>
            <w:pPr>
              <w:adjustRightInd w:val="0"/>
              <w:snapToGrid w:val="0"/>
              <w:spacing w:line="240" w:lineRule="exact"/>
              <w:ind w:firstLine="420" w:firstLineChars="200"/>
              <w:rPr>
                <w:rFonts w:ascii="宋体" w:hAnsi="宋体"/>
                <w:szCs w:val="21"/>
              </w:rPr>
            </w:pPr>
            <w:r>
              <w:rPr>
                <w:rFonts w:hint="eastAsia" w:ascii="宋体" w:hAnsi="宋体"/>
                <w:szCs w:val="21"/>
              </w:rPr>
              <w:t>《烟花爆竹经营许可实施办法》第三十四条  零售经营者有下列行为之一的，责令其停止违法行为，处1000元以上5000元以下的罚款，并没收非法经营的物品及违法所得；情节严重的，依法吊销零售许可证：</w:t>
            </w:r>
          </w:p>
          <w:p>
            <w:pPr>
              <w:adjustRightInd w:val="0"/>
              <w:snapToGrid w:val="0"/>
              <w:spacing w:line="240" w:lineRule="exact"/>
              <w:ind w:firstLine="420" w:firstLineChars="200"/>
              <w:rPr>
                <w:rFonts w:ascii="宋体" w:hAnsi="宋体"/>
                <w:szCs w:val="21"/>
              </w:rPr>
            </w:pPr>
            <w:r>
              <w:rPr>
                <w:rFonts w:hint="eastAsia" w:ascii="宋体" w:hAnsi="宋体"/>
                <w:szCs w:val="21"/>
              </w:rPr>
              <w:t>（一）销售非法生产、经营的烟花爆竹的；</w:t>
            </w:r>
          </w:p>
          <w:p>
            <w:pPr>
              <w:adjustRightInd w:val="0"/>
              <w:snapToGrid w:val="0"/>
              <w:spacing w:line="240" w:lineRule="exact"/>
              <w:ind w:firstLine="420" w:firstLineChars="200"/>
              <w:rPr>
                <w:rFonts w:ascii="宋体" w:hAnsi="宋体"/>
                <w:szCs w:val="21"/>
              </w:rPr>
            </w:pPr>
            <w:r>
              <w:rPr>
                <w:rFonts w:hint="eastAsia" w:ascii="宋体" w:hAnsi="宋体"/>
                <w:szCs w:val="21"/>
              </w:rPr>
              <w:t>（二）销售礼花弹等按照国家标准规定应当由专业人员燃放的烟花爆竹的。</w:t>
            </w:r>
          </w:p>
        </w:tc>
        <w:tc>
          <w:tcPr>
            <w:tcW w:w="12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Merge w:val="continue"/>
            <w:vAlign w:val="center"/>
          </w:tcPr>
          <w:p>
            <w:pPr>
              <w:jc w:val="center"/>
              <w:rPr>
                <w:rFonts w:ascii="宋体" w:hAnsi="宋体"/>
                <w:szCs w:val="21"/>
              </w:rPr>
            </w:pPr>
          </w:p>
        </w:tc>
        <w:tc>
          <w:tcPr>
            <w:tcW w:w="1277" w:type="dxa"/>
            <w:vMerge w:val="continue"/>
            <w:vAlign w:val="center"/>
          </w:tcPr>
          <w:p>
            <w:pPr>
              <w:jc w:val="center"/>
              <w:rPr>
                <w:rFonts w:ascii="宋体" w:hAnsi="宋体"/>
                <w:szCs w:val="21"/>
              </w:rPr>
            </w:pPr>
          </w:p>
        </w:tc>
        <w:tc>
          <w:tcPr>
            <w:tcW w:w="2692" w:type="dxa"/>
            <w:vAlign w:val="center"/>
          </w:tcPr>
          <w:p>
            <w:pPr>
              <w:adjustRightInd w:val="0"/>
              <w:snapToGrid w:val="0"/>
              <w:jc w:val="left"/>
              <w:rPr>
                <w:rFonts w:ascii="宋体" w:hAnsi="宋体"/>
                <w:szCs w:val="21"/>
              </w:rPr>
            </w:pPr>
            <w:r>
              <w:rPr>
                <w:rFonts w:ascii="宋体" w:hAnsi="宋体"/>
                <w:szCs w:val="21"/>
              </w:rPr>
              <w:t>2.2</w:t>
            </w:r>
            <w:r>
              <w:rPr>
                <w:rFonts w:hint="eastAsia" w:ascii="宋体" w:hAnsi="宋体"/>
                <w:szCs w:val="21"/>
              </w:rPr>
              <w:t xml:space="preserve"> 合同管理、</w:t>
            </w:r>
            <w:r>
              <w:rPr>
                <w:rFonts w:hint="eastAsia" w:ascii="宋体" w:hAnsi="宋体"/>
                <w:szCs w:val="21"/>
                <w:lang w:eastAsia="zh-CN"/>
              </w:rPr>
              <w:t>产品</w:t>
            </w:r>
            <w:r>
              <w:rPr>
                <w:rFonts w:hint="eastAsia" w:ascii="宋体" w:hAnsi="宋体"/>
                <w:szCs w:val="21"/>
              </w:rPr>
              <w:t>流向管理</w:t>
            </w:r>
          </w:p>
        </w:tc>
        <w:tc>
          <w:tcPr>
            <w:tcW w:w="4238" w:type="dxa"/>
            <w:vAlign w:val="center"/>
          </w:tcPr>
          <w:p>
            <w:pPr>
              <w:adjustRightInd w:val="0"/>
              <w:snapToGrid w:val="0"/>
              <w:ind w:firstLine="420" w:firstLineChars="200"/>
              <w:rPr>
                <w:rFonts w:ascii="宋体" w:hAnsi="宋体"/>
                <w:szCs w:val="21"/>
              </w:rPr>
            </w:pPr>
            <w:r>
              <w:rPr>
                <w:rFonts w:hint="eastAsia" w:ascii="宋体" w:hAnsi="宋体"/>
                <w:szCs w:val="21"/>
              </w:rPr>
              <w:t>《烟花爆竹生产经营安全规定》第二十三条  生产企业、批发企业在烟花爆竹购销活动中，应当依法签订规范的烟花爆竹买卖合同，建立烟花爆竹买卖合同和流向管理制度，使用全国统一的烟花爆竹流向管理信息系统，如实登记烟花爆竹流向。</w:t>
            </w:r>
          </w:p>
          <w:p>
            <w:pPr>
              <w:adjustRightInd w:val="0"/>
              <w:snapToGrid w:val="0"/>
              <w:ind w:firstLine="420" w:firstLineChars="200"/>
              <w:rPr>
                <w:rFonts w:ascii="宋体" w:hAnsi="宋体"/>
                <w:szCs w:val="21"/>
              </w:rPr>
            </w:pPr>
            <w:r>
              <w:rPr>
                <w:rFonts w:hint="eastAsia" w:ascii="宋体" w:hAnsi="宋体"/>
                <w:szCs w:val="21"/>
              </w:rPr>
              <w:t>生产企业应当在专业燃放类产品包装（包括运输包装和销售包装）及个人燃放类产品运输包装上张贴流向登记标签，并在产品入库和销售出库时登记录入。</w:t>
            </w:r>
          </w:p>
          <w:p>
            <w:pPr>
              <w:adjustRightInd w:val="0"/>
              <w:snapToGrid w:val="0"/>
              <w:ind w:firstLine="420" w:firstLineChars="200"/>
              <w:rPr>
                <w:rFonts w:ascii="宋体" w:hAnsi="宋体"/>
                <w:szCs w:val="21"/>
              </w:rPr>
            </w:pPr>
            <w:r>
              <w:rPr>
                <w:rFonts w:hint="eastAsia" w:ascii="宋体" w:hAnsi="宋体"/>
                <w:szCs w:val="21"/>
              </w:rPr>
              <w:t>批发企业购进烟花爆竹时，应当查验流向登记标签，并在产品入库和销售出库时登记录入。</w:t>
            </w:r>
          </w:p>
        </w:tc>
        <w:tc>
          <w:tcPr>
            <w:tcW w:w="3983" w:type="dxa"/>
            <w:vAlign w:val="center"/>
          </w:tcPr>
          <w:p>
            <w:pPr>
              <w:adjustRightInd w:val="0"/>
              <w:snapToGrid w:val="0"/>
              <w:ind w:firstLine="420" w:firstLineChars="200"/>
              <w:rPr>
                <w:rFonts w:ascii="宋体" w:hAnsi="宋体"/>
                <w:szCs w:val="21"/>
              </w:rPr>
            </w:pPr>
            <w:r>
              <w:rPr>
                <w:rFonts w:hint="eastAsia" w:ascii="宋体" w:hAnsi="宋体"/>
                <w:szCs w:val="21"/>
              </w:rPr>
              <w:t>《烟花爆竹生产经营安全规定》第三十五条  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pPr>
              <w:adjustRightInd w:val="0"/>
              <w:snapToGrid w:val="0"/>
              <w:ind w:firstLine="420" w:firstLineChars="200"/>
              <w:rPr>
                <w:rFonts w:hint="eastAsia" w:ascii="宋体" w:hAnsi="宋体"/>
                <w:szCs w:val="21"/>
              </w:rPr>
            </w:pPr>
            <w:r>
              <w:rPr>
                <w:rFonts w:hint="eastAsia" w:ascii="宋体" w:hAnsi="宋体"/>
                <w:szCs w:val="21"/>
              </w:rPr>
              <w:t>……</w:t>
            </w:r>
          </w:p>
          <w:p>
            <w:pPr>
              <w:adjustRightInd w:val="0"/>
              <w:snapToGrid w:val="0"/>
              <w:ind w:firstLine="420" w:firstLineChars="200"/>
              <w:rPr>
                <w:rFonts w:hint="eastAsia" w:ascii="宋体" w:hAnsi="宋体"/>
                <w:szCs w:val="21"/>
              </w:rPr>
            </w:pPr>
            <w:r>
              <w:rPr>
                <w:rFonts w:hint="eastAsia" w:ascii="宋体" w:hAnsi="宋体"/>
                <w:szCs w:val="21"/>
              </w:rPr>
              <w:t>（三）未建立烟花爆竹买卖合同管理制度的；</w:t>
            </w:r>
          </w:p>
          <w:p>
            <w:pPr>
              <w:adjustRightInd w:val="0"/>
              <w:snapToGrid w:val="0"/>
              <w:ind w:firstLine="420" w:firstLineChars="200"/>
            </w:pPr>
            <w:r>
              <w:rPr>
                <w:rFonts w:hint="eastAsia" w:ascii="宋体" w:hAnsi="宋体"/>
                <w:szCs w:val="21"/>
              </w:rPr>
              <w:t>（四）未按规定建立烟花爆竹流向管理制度的。</w:t>
            </w:r>
          </w:p>
        </w:tc>
        <w:tc>
          <w:tcPr>
            <w:tcW w:w="12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9" w:hRule="atLeast"/>
        </w:trPr>
        <w:tc>
          <w:tcPr>
            <w:tcW w:w="851" w:type="dxa"/>
            <w:vMerge w:val="continue"/>
            <w:vAlign w:val="center"/>
          </w:tcPr>
          <w:p>
            <w:pPr>
              <w:jc w:val="center"/>
              <w:rPr>
                <w:rFonts w:ascii="宋体" w:hAnsi="宋体"/>
                <w:szCs w:val="21"/>
              </w:rPr>
            </w:pPr>
          </w:p>
        </w:tc>
        <w:tc>
          <w:tcPr>
            <w:tcW w:w="1277" w:type="dxa"/>
            <w:vMerge w:val="continue"/>
            <w:vAlign w:val="center"/>
          </w:tcPr>
          <w:p>
            <w:pPr>
              <w:jc w:val="center"/>
              <w:rPr>
                <w:rFonts w:ascii="宋体" w:hAnsi="宋体"/>
                <w:szCs w:val="21"/>
              </w:rPr>
            </w:pPr>
          </w:p>
        </w:tc>
        <w:tc>
          <w:tcPr>
            <w:tcW w:w="2692" w:type="dxa"/>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 xml:space="preserve">2.3 </w:t>
            </w:r>
            <w:r>
              <w:rPr>
                <w:rFonts w:hint="eastAsia" w:ascii="宋体" w:hAnsi="宋体"/>
                <w:szCs w:val="21"/>
              </w:rPr>
              <w:t>黑火药、引火线购销记录备案</w:t>
            </w:r>
          </w:p>
        </w:tc>
        <w:tc>
          <w:tcPr>
            <w:tcW w:w="4238" w:type="dxa"/>
            <w:vAlign w:val="center"/>
          </w:tcPr>
          <w:p>
            <w:pPr>
              <w:adjustRightInd w:val="0"/>
              <w:snapToGrid w:val="0"/>
              <w:ind w:firstLine="420" w:firstLineChars="200"/>
              <w:rPr>
                <w:rFonts w:ascii="宋体" w:hAnsi="宋体"/>
                <w:szCs w:val="21"/>
              </w:rPr>
            </w:pPr>
            <w:r>
              <w:rPr>
                <w:rFonts w:hint="eastAsia" w:asciiTheme="minorEastAsia" w:hAnsiTheme="minorEastAsia" w:eastAsiaTheme="minorEastAsia"/>
                <w:szCs w:val="21"/>
              </w:rPr>
              <w:t>《烟花爆竹经营许可实施办法》</w:t>
            </w:r>
            <w:r>
              <w:rPr>
                <w:rFonts w:hint="eastAsia" w:ascii="宋体" w:hAnsi="宋体"/>
                <w:szCs w:val="21"/>
              </w:rPr>
              <w:t>第二十五条  批发企业应当建立并严格执行合同管理、流向登记制度，健全合同管理和流向登记档案，并留存</w:t>
            </w:r>
            <w:r>
              <w:rPr>
                <w:rFonts w:ascii="宋体" w:hAnsi="宋体"/>
                <w:szCs w:val="21"/>
              </w:rPr>
              <w:t>3</w:t>
            </w:r>
            <w:r>
              <w:rPr>
                <w:rFonts w:hint="eastAsia" w:ascii="宋体" w:hAnsi="宋体"/>
                <w:szCs w:val="21"/>
              </w:rPr>
              <w:t>年备查。</w:t>
            </w:r>
          </w:p>
          <w:p>
            <w:pPr>
              <w:adjustRightInd w:val="0"/>
              <w:snapToGrid w:val="0"/>
              <w:ind w:firstLine="420" w:firstLineChars="200"/>
              <w:rPr>
                <w:rFonts w:hint="eastAsia" w:ascii="宋体" w:hAnsi="宋体"/>
                <w:szCs w:val="21"/>
              </w:rPr>
            </w:pPr>
            <w:r>
              <w:rPr>
                <w:rFonts w:hint="eastAsia" w:ascii="宋体" w:hAnsi="宋体"/>
                <w:szCs w:val="21"/>
              </w:rPr>
              <w:t>黑火药、引火线批发企业的采购、销售记录，应当自购买或者销售之日起</w:t>
            </w:r>
            <w:r>
              <w:rPr>
                <w:rFonts w:ascii="宋体" w:hAnsi="宋体"/>
                <w:szCs w:val="21"/>
              </w:rPr>
              <w:t>3</w:t>
            </w:r>
            <w:r>
              <w:rPr>
                <w:rFonts w:hint="eastAsia" w:ascii="宋体" w:hAnsi="宋体"/>
                <w:szCs w:val="21"/>
              </w:rPr>
              <w:t>日内报所在地县级安全监管局备案。</w:t>
            </w:r>
          </w:p>
        </w:tc>
        <w:tc>
          <w:tcPr>
            <w:tcW w:w="3983" w:type="dxa"/>
            <w:vAlign w:val="center"/>
          </w:tcPr>
          <w:p>
            <w:pPr>
              <w:adjustRightInd w:val="0"/>
              <w:snapToGrid w:val="0"/>
              <w:ind w:firstLine="420" w:firstLineChars="200"/>
            </w:pPr>
            <w:r>
              <w:rPr>
                <w:rFonts w:hint="eastAsia"/>
              </w:rPr>
              <w:t>《烟花爆竹经营许可实施办法》第三十二条  批发企业有下列行为之一的，责令其限期改正，处</w:t>
            </w:r>
            <w:r>
              <w:t>5000</w:t>
            </w:r>
            <w:r>
              <w:rPr>
                <w:rFonts w:hint="eastAsia"/>
              </w:rPr>
              <w:t>元以上</w:t>
            </w:r>
            <w:r>
              <w:t>3</w:t>
            </w:r>
            <w:r>
              <w:rPr>
                <w:rFonts w:hint="eastAsia"/>
              </w:rPr>
              <w:t>万元以下的罚款：</w:t>
            </w:r>
          </w:p>
          <w:p>
            <w:pPr>
              <w:widowControl/>
              <w:adjustRightInd w:val="0"/>
              <w:snapToGrid w:val="0"/>
              <w:ind w:firstLine="420" w:firstLineChars="200"/>
            </w:pPr>
            <w:r>
              <w:rPr>
                <w:rFonts w:hint="eastAsia"/>
              </w:rPr>
              <w:t>……</w:t>
            </w:r>
          </w:p>
          <w:p>
            <w:pPr>
              <w:widowControl/>
              <w:adjustRightInd w:val="0"/>
              <w:snapToGrid w:val="0"/>
              <w:ind w:firstLine="420" w:firstLineChars="200"/>
            </w:pPr>
            <w:r>
              <w:rPr>
                <w:rFonts w:hint="eastAsia"/>
              </w:rPr>
              <w:t>（七）未将黑火药、引火线的采购、销售记录报所在地县级安全监管局备案的；</w:t>
            </w:r>
          </w:p>
          <w:p>
            <w:pPr>
              <w:widowControl/>
              <w:adjustRightInd w:val="0"/>
              <w:snapToGrid w:val="0"/>
              <w:ind w:firstLine="420" w:firstLineChars="200"/>
              <w:rPr>
                <w:rFonts w:hint="eastAsia" w:ascii="宋体" w:hAnsi="宋体"/>
                <w:szCs w:val="21"/>
              </w:rPr>
            </w:pPr>
            <w:r>
              <w:rPr>
                <w:rFonts w:hint="eastAsia"/>
              </w:rPr>
              <w:t>……</w:t>
            </w:r>
          </w:p>
        </w:tc>
        <w:tc>
          <w:tcPr>
            <w:tcW w:w="12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9" w:hRule="atLeast"/>
        </w:trPr>
        <w:tc>
          <w:tcPr>
            <w:tcW w:w="851" w:type="dxa"/>
            <w:vMerge w:val="continue"/>
            <w:vAlign w:val="center"/>
          </w:tcPr>
          <w:p>
            <w:pPr>
              <w:jc w:val="center"/>
              <w:rPr>
                <w:rFonts w:ascii="宋体" w:hAnsi="宋体"/>
                <w:szCs w:val="21"/>
              </w:rPr>
            </w:pPr>
          </w:p>
        </w:tc>
        <w:tc>
          <w:tcPr>
            <w:tcW w:w="1277" w:type="dxa"/>
            <w:vMerge w:val="continue"/>
            <w:vAlign w:val="center"/>
          </w:tcPr>
          <w:p>
            <w:pPr>
              <w:jc w:val="center"/>
              <w:rPr>
                <w:rFonts w:ascii="宋体" w:hAnsi="宋体"/>
                <w:szCs w:val="21"/>
              </w:rPr>
            </w:pPr>
          </w:p>
        </w:tc>
        <w:tc>
          <w:tcPr>
            <w:tcW w:w="2692" w:type="dxa"/>
            <w:vAlign w:val="center"/>
          </w:tcPr>
          <w:p>
            <w:pPr>
              <w:adjustRightInd w:val="0"/>
              <w:snapToGrid w:val="0"/>
              <w:jc w:val="left"/>
              <w:rPr>
                <w:rFonts w:ascii="宋体" w:hAnsi="宋体"/>
                <w:szCs w:val="21"/>
              </w:rPr>
            </w:pPr>
            <w:r>
              <w:rPr>
                <w:rFonts w:ascii="宋体" w:hAnsi="宋体"/>
                <w:szCs w:val="21"/>
              </w:rPr>
              <w:t>2.</w:t>
            </w:r>
            <w:r>
              <w:rPr>
                <w:rFonts w:hint="eastAsia" w:ascii="宋体" w:hAnsi="宋体"/>
                <w:szCs w:val="21"/>
                <w:lang w:val="en-US" w:eastAsia="zh-CN"/>
              </w:rPr>
              <w:t>4</w:t>
            </w:r>
            <w:r>
              <w:rPr>
                <w:rFonts w:hint="eastAsia" w:ascii="宋体" w:hAnsi="宋体"/>
                <w:szCs w:val="21"/>
              </w:rPr>
              <w:t xml:space="preserve"> 批发企业储存及零售点存放管理</w:t>
            </w:r>
          </w:p>
        </w:tc>
        <w:tc>
          <w:tcPr>
            <w:tcW w:w="4238" w:type="dxa"/>
            <w:vAlign w:val="center"/>
          </w:tcPr>
          <w:p>
            <w:pPr>
              <w:adjustRightInd w:val="0"/>
              <w:snapToGrid w:val="0"/>
              <w:ind w:firstLine="420" w:firstLineChars="200"/>
              <w:rPr>
                <w:rFonts w:ascii="宋体" w:hAnsi="宋体"/>
                <w:szCs w:val="21"/>
              </w:rPr>
            </w:pPr>
            <w:r>
              <w:rPr>
                <w:rFonts w:hint="eastAsia" w:ascii="宋体" w:hAnsi="宋体"/>
                <w:szCs w:val="21"/>
              </w:rPr>
              <w:t>《烟花爆竹经营许可实施办法》第二十三条  禁止在烟花爆竹经营许可证载明的储存（零售）场所以外储存烟花爆竹。</w:t>
            </w:r>
          </w:p>
          <w:p>
            <w:pPr>
              <w:adjustRightInd w:val="0"/>
              <w:snapToGrid w:val="0"/>
              <w:ind w:firstLine="420" w:firstLineChars="200"/>
              <w:rPr>
                <w:rFonts w:ascii="宋体" w:hAnsi="宋体"/>
                <w:szCs w:val="21"/>
              </w:rPr>
            </w:pPr>
            <w:r>
              <w:rPr>
                <w:rFonts w:hint="eastAsia" w:ascii="宋体" w:hAnsi="宋体"/>
                <w:szCs w:val="21"/>
              </w:rPr>
              <w:t>烟花爆竹仓库储存的烟花爆竹品种、规格和数量，不得超过国家标准或者行业标准规定的危险等级和核定限量。</w:t>
            </w:r>
          </w:p>
          <w:p>
            <w:pPr>
              <w:adjustRightInd w:val="0"/>
              <w:snapToGrid w:val="0"/>
              <w:ind w:firstLine="420" w:firstLineChars="200"/>
              <w:rPr>
                <w:rFonts w:ascii="宋体" w:hAnsi="宋体"/>
                <w:snapToGrid w:val="0"/>
                <w:kern w:val="0"/>
                <w:szCs w:val="21"/>
              </w:rPr>
            </w:pPr>
            <w:r>
              <w:rPr>
                <w:rFonts w:hint="eastAsia" w:ascii="宋体" w:hAnsi="宋体"/>
                <w:szCs w:val="21"/>
              </w:rPr>
              <w:t>零售点存放的烟花爆竹品种和数量，不得超过烟花爆竹经营许可证载明的范围和限量。</w:t>
            </w:r>
          </w:p>
        </w:tc>
        <w:tc>
          <w:tcPr>
            <w:tcW w:w="3983" w:type="dxa"/>
            <w:vAlign w:val="center"/>
          </w:tcPr>
          <w:p>
            <w:pPr>
              <w:adjustRightInd w:val="0"/>
              <w:snapToGrid w:val="0"/>
              <w:ind w:firstLine="420" w:firstLineChars="200"/>
              <w:rPr>
                <w:rFonts w:ascii="宋体" w:hAnsi="宋体"/>
                <w:szCs w:val="21"/>
              </w:rPr>
            </w:pPr>
            <w:r>
              <w:rPr>
                <w:rFonts w:hint="eastAsia" w:ascii="宋体" w:hAnsi="宋体"/>
                <w:szCs w:val="21"/>
              </w:rPr>
              <w:t>《烟花爆竹经营许可实施办法》第三十二条  批发企业有下列行为之一的，责令其限期改正，处</w:t>
            </w:r>
            <w:r>
              <w:rPr>
                <w:rFonts w:ascii="宋体" w:hAnsi="宋体"/>
                <w:szCs w:val="21"/>
              </w:rPr>
              <w:t>5000</w:t>
            </w:r>
            <w:r>
              <w:rPr>
                <w:rFonts w:hint="eastAsia" w:ascii="宋体" w:hAnsi="宋体"/>
                <w:szCs w:val="21"/>
              </w:rPr>
              <w:t>元以上</w:t>
            </w:r>
            <w:r>
              <w:rPr>
                <w:rFonts w:ascii="宋体" w:hAnsi="宋体"/>
                <w:szCs w:val="21"/>
              </w:rPr>
              <w:t>3</w:t>
            </w:r>
            <w:r>
              <w:rPr>
                <w:rFonts w:hint="eastAsia" w:ascii="宋体" w:hAnsi="宋体"/>
                <w:szCs w:val="21"/>
              </w:rPr>
              <w:t>万元以下的罚款：</w:t>
            </w:r>
          </w:p>
          <w:p>
            <w:pPr>
              <w:adjustRightInd w:val="0"/>
              <w:snapToGrid w:val="0"/>
              <w:ind w:firstLine="420" w:firstLineChars="200"/>
              <w:rPr>
                <w:rFonts w:ascii="宋体" w:hAnsi="宋体"/>
                <w:szCs w:val="21"/>
              </w:rPr>
            </w:pPr>
            <w:r>
              <w:rPr>
                <w:rFonts w:hint="eastAsia" w:ascii="宋体" w:hAnsi="宋体"/>
                <w:szCs w:val="21"/>
              </w:rPr>
              <w:t>……</w:t>
            </w:r>
          </w:p>
          <w:p>
            <w:pPr>
              <w:widowControl/>
              <w:adjustRightInd w:val="0"/>
              <w:snapToGrid w:val="0"/>
              <w:ind w:firstLine="420" w:firstLineChars="200"/>
              <w:rPr>
                <w:rFonts w:ascii="宋体" w:hAnsi="宋体"/>
                <w:szCs w:val="21"/>
              </w:rPr>
            </w:pPr>
            <w:r>
              <w:rPr>
                <w:rFonts w:hint="eastAsia" w:ascii="宋体" w:hAnsi="宋体"/>
                <w:szCs w:val="21"/>
              </w:rPr>
              <w:t>（三）在仓库内违反国家标准或者行业标准规定储存烟花爆竹的；</w:t>
            </w:r>
          </w:p>
          <w:p>
            <w:pPr>
              <w:widowControl/>
              <w:adjustRightInd w:val="0"/>
              <w:snapToGrid w:val="0"/>
              <w:ind w:firstLine="420" w:firstLineChars="200"/>
              <w:rPr>
                <w:rFonts w:ascii="宋体" w:hAnsi="宋体"/>
                <w:szCs w:val="21"/>
              </w:rPr>
            </w:pPr>
            <w:r>
              <w:rPr>
                <w:rFonts w:hint="eastAsia" w:ascii="宋体" w:hAnsi="宋体"/>
                <w:szCs w:val="21"/>
              </w:rPr>
              <w:t>（四）在烟花爆竹经营许可证载明的仓库以外储存烟花爆竹的；</w:t>
            </w:r>
          </w:p>
          <w:p>
            <w:pPr>
              <w:widowControl/>
              <w:adjustRightInd w:val="0"/>
              <w:snapToGrid w:val="0"/>
              <w:ind w:firstLine="420" w:firstLineChars="200"/>
              <w:rPr>
                <w:rFonts w:ascii="宋体" w:hAnsi="宋体"/>
                <w:szCs w:val="21"/>
              </w:rPr>
            </w:pPr>
            <w:r>
              <w:rPr>
                <w:rFonts w:hint="eastAsia" w:ascii="宋体" w:hAnsi="宋体"/>
                <w:szCs w:val="21"/>
              </w:rPr>
              <w:t>……</w:t>
            </w:r>
          </w:p>
          <w:p>
            <w:pPr>
              <w:widowControl/>
              <w:adjustRightInd w:val="0"/>
              <w:snapToGrid w:val="0"/>
              <w:ind w:firstLine="420" w:firstLineChars="200"/>
              <w:rPr>
                <w:rFonts w:ascii="宋体" w:hAnsi="宋体"/>
                <w:szCs w:val="21"/>
              </w:rPr>
            </w:pPr>
            <w:r>
              <w:rPr>
                <w:rFonts w:hint="eastAsia" w:ascii="宋体" w:hAnsi="宋体"/>
                <w:szCs w:val="21"/>
              </w:rPr>
              <w:t>第三十五条</w:t>
            </w:r>
            <w:r>
              <w:rPr>
                <w:rFonts w:hint="eastAsia" w:ascii="宋体" w:hAnsi="宋体"/>
                <w:szCs w:val="21"/>
                <w:lang w:val="en-US" w:eastAsia="zh-CN"/>
              </w:rPr>
              <w:t xml:space="preserve">  </w:t>
            </w:r>
            <w:r>
              <w:rPr>
                <w:rFonts w:hint="eastAsia" w:ascii="宋体" w:hAnsi="宋体"/>
                <w:szCs w:val="21"/>
              </w:rPr>
              <w:t>零售经营者有下列行为之一的，责令其限期改正，处</w:t>
            </w:r>
            <w:r>
              <w:rPr>
                <w:rFonts w:ascii="宋体" w:hAnsi="宋体"/>
                <w:szCs w:val="21"/>
              </w:rPr>
              <w:t>1000</w:t>
            </w:r>
            <w:r>
              <w:rPr>
                <w:rFonts w:hint="eastAsia" w:ascii="宋体" w:hAnsi="宋体"/>
                <w:szCs w:val="21"/>
              </w:rPr>
              <w:t>元以上</w:t>
            </w:r>
            <w:r>
              <w:rPr>
                <w:rFonts w:ascii="宋体" w:hAnsi="宋体"/>
                <w:szCs w:val="21"/>
              </w:rPr>
              <w:t>5000</w:t>
            </w:r>
            <w:r>
              <w:rPr>
                <w:rFonts w:hint="eastAsia" w:ascii="宋体" w:hAnsi="宋体"/>
                <w:szCs w:val="21"/>
              </w:rPr>
              <w:t>元以下的罚款；情节严重的，处</w:t>
            </w:r>
            <w:r>
              <w:rPr>
                <w:rFonts w:ascii="宋体" w:hAnsi="宋体"/>
                <w:szCs w:val="21"/>
              </w:rPr>
              <w:t>5000</w:t>
            </w:r>
            <w:r>
              <w:rPr>
                <w:rFonts w:hint="eastAsia" w:ascii="宋体" w:hAnsi="宋体"/>
                <w:szCs w:val="21"/>
              </w:rPr>
              <w:t>元以上</w:t>
            </w:r>
            <w:r>
              <w:rPr>
                <w:rFonts w:ascii="宋体" w:hAnsi="宋体"/>
                <w:szCs w:val="21"/>
              </w:rPr>
              <w:t>30000</w:t>
            </w:r>
            <w:r>
              <w:rPr>
                <w:rFonts w:hint="eastAsia" w:ascii="宋体" w:hAnsi="宋体"/>
                <w:szCs w:val="21"/>
              </w:rPr>
              <w:t>元以下的罚款：</w:t>
            </w:r>
          </w:p>
          <w:p>
            <w:pPr>
              <w:widowControl/>
              <w:adjustRightInd w:val="0"/>
              <w:snapToGrid w:val="0"/>
              <w:ind w:firstLine="420" w:firstLineChars="200"/>
              <w:rPr>
                <w:rFonts w:ascii="宋体" w:hAnsi="宋体"/>
                <w:szCs w:val="21"/>
              </w:rPr>
            </w:pPr>
            <w:r>
              <w:rPr>
                <w:rFonts w:hint="eastAsia" w:ascii="宋体" w:hAnsi="宋体"/>
                <w:szCs w:val="21"/>
              </w:rPr>
              <w:t>……</w:t>
            </w:r>
          </w:p>
          <w:p>
            <w:pPr>
              <w:widowControl/>
              <w:adjustRightInd w:val="0"/>
              <w:snapToGrid w:val="0"/>
              <w:ind w:firstLine="420" w:firstLineChars="200"/>
              <w:rPr>
                <w:rFonts w:ascii="宋体" w:hAnsi="宋体"/>
                <w:szCs w:val="21"/>
              </w:rPr>
            </w:pPr>
            <w:r>
              <w:rPr>
                <w:rFonts w:hint="eastAsia" w:ascii="宋体" w:hAnsi="宋体"/>
                <w:szCs w:val="21"/>
              </w:rPr>
              <w:t>（二）存放的烟花爆竹数量超过零售许可证载明范围的。</w:t>
            </w:r>
          </w:p>
        </w:tc>
        <w:tc>
          <w:tcPr>
            <w:tcW w:w="1277" w:type="dxa"/>
            <w:vMerge w:val="restar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851" w:type="dxa"/>
            <w:vMerge w:val="continue"/>
            <w:vAlign w:val="center"/>
          </w:tcPr>
          <w:p>
            <w:pPr>
              <w:jc w:val="center"/>
              <w:rPr>
                <w:rFonts w:ascii="宋体" w:hAnsi="宋体"/>
                <w:szCs w:val="21"/>
              </w:rPr>
            </w:pPr>
          </w:p>
        </w:tc>
        <w:tc>
          <w:tcPr>
            <w:tcW w:w="1277" w:type="dxa"/>
            <w:vMerge w:val="continue"/>
            <w:vAlign w:val="center"/>
          </w:tcPr>
          <w:p>
            <w:pPr>
              <w:jc w:val="center"/>
              <w:rPr>
                <w:rFonts w:ascii="宋体" w:hAnsi="宋体"/>
                <w:szCs w:val="21"/>
              </w:rPr>
            </w:pPr>
          </w:p>
        </w:tc>
        <w:tc>
          <w:tcPr>
            <w:tcW w:w="2692" w:type="dxa"/>
            <w:vAlign w:val="center"/>
          </w:tcPr>
          <w:p>
            <w:pPr>
              <w:adjustRightInd w:val="0"/>
              <w:snapToGrid w:val="0"/>
              <w:jc w:val="left"/>
              <w:rPr>
                <w:rFonts w:ascii="宋体" w:hAnsi="宋体"/>
                <w:szCs w:val="21"/>
              </w:rPr>
            </w:pPr>
            <w:r>
              <w:rPr>
                <w:rFonts w:hint="eastAsia" w:ascii="宋体" w:hAnsi="宋体"/>
                <w:szCs w:val="21"/>
              </w:rPr>
              <w:t>2.</w:t>
            </w:r>
            <w:r>
              <w:rPr>
                <w:rFonts w:hint="eastAsia" w:ascii="宋体" w:hAnsi="宋体"/>
                <w:szCs w:val="21"/>
                <w:lang w:val="en-US" w:eastAsia="zh-CN"/>
              </w:rPr>
              <w:t>5</w:t>
            </w:r>
            <w:r>
              <w:rPr>
                <w:rFonts w:hint="eastAsia" w:ascii="宋体" w:hAnsi="宋体"/>
                <w:szCs w:val="21"/>
              </w:rPr>
              <w:t xml:space="preserve"> 批发企业废弃产品销毁管理</w:t>
            </w:r>
          </w:p>
        </w:tc>
        <w:tc>
          <w:tcPr>
            <w:tcW w:w="4238" w:type="dxa"/>
            <w:vAlign w:val="center"/>
          </w:tcPr>
          <w:p>
            <w:pPr>
              <w:adjustRightInd w:val="0"/>
              <w:snapToGrid w:val="0"/>
              <w:ind w:firstLine="420" w:firstLineChars="200"/>
              <w:rPr>
                <w:rFonts w:ascii="宋体" w:hAnsi="宋体"/>
                <w:szCs w:val="21"/>
              </w:rPr>
            </w:pPr>
            <w:r>
              <w:rPr>
                <w:rFonts w:hint="eastAsia" w:asciiTheme="minorEastAsia" w:hAnsiTheme="minorEastAsia" w:eastAsiaTheme="minorEastAsia"/>
                <w:szCs w:val="21"/>
              </w:rPr>
              <w:t>《烟花爆竹经营许可实施办法》</w:t>
            </w:r>
            <w:r>
              <w:rPr>
                <w:rFonts w:hint="eastAsia" w:ascii="宋体" w:hAnsi="宋体"/>
                <w:szCs w:val="21"/>
              </w:rPr>
              <w:t>第二十四条  批发企业对非法生产、假冒伪劣、过期、含有违禁药物以及其他存在严重质量问题的烟花爆竹，应当及时、妥善销毁。</w:t>
            </w:r>
          </w:p>
          <w:p>
            <w:pPr>
              <w:adjustRightInd w:val="0"/>
              <w:snapToGrid w:val="0"/>
              <w:ind w:firstLine="420" w:firstLineChars="200"/>
              <w:rPr>
                <w:rFonts w:ascii="宋体" w:hAnsi="宋体"/>
                <w:szCs w:val="21"/>
              </w:rPr>
            </w:pPr>
            <w:r>
              <w:rPr>
                <w:rFonts w:hint="eastAsia" w:ascii="宋体" w:hAnsi="宋体"/>
                <w:szCs w:val="21"/>
              </w:rPr>
              <w:t>……</w:t>
            </w:r>
          </w:p>
          <w:p>
            <w:pPr>
              <w:adjustRightInd w:val="0"/>
              <w:snapToGrid w:val="0"/>
              <w:ind w:firstLine="420" w:firstLineChars="200"/>
              <w:rPr>
                <w:rFonts w:ascii="宋体" w:hAnsi="宋体"/>
                <w:szCs w:val="21"/>
              </w:rPr>
            </w:pPr>
            <w:r>
              <w:rPr>
                <w:rFonts w:hint="eastAsia" w:ascii="宋体" w:hAnsi="宋体"/>
                <w:szCs w:val="21"/>
              </w:rPr>
              <w:t>《烟花爆竹生产经营安全规定》第二十六条  生产企业、批发企业应当及时妥善处置生产经营过程中产生的各类危险性废弃物。不得留存过期的烟花爆竹成品、半成品、原材料及各类危险性废弃物。</w:t>
            </w:r>
          </w:p>
        </w:tc>
        <w:tc>
          <w:tcPr>
            <w:tcW w:w="3983" w:type="dxa"/>
            <w:vAlign w:val="center"/>
          </w:tcPr>
          <w:p>
            <w:pPr>
              <w:adjustRightInd w:val="0"/>
              <w:snapToGrid w:val="0"/>
              <w:ind w:firstLine="420" w:firstLineChars="200"/>
              <w:rPr>
                <w:rFonts w:ascii="宋体" w:hAnsi="宋体"/>
                <w:szCs w:val="21"/>
              </w:rPr>
            </w:pPr>
            <w:r>
              <w:rPr>
                <w:rFonts w:hint="eastAsia" w:ascii="宋体" w:hAnsi="宋体"/>
                <w:szCs w:val="21"/>
              </w:rPr>
              <w:t>《烟花爆竹经营许可实施办法》第三十二条  批发企业有下列行为之一的，责令其限期改正，处5000元以上3万元以下的罚款：</w:t>
            </w:r>
          </w:p>
          <w:p>
            <w:pPr>
              <w:adjustRightInd w:val="0"/>
              <w:snapToGrid w:val="0"/>
              <w:ind w:firstLine="420" w:firstLineChars="200"/>
              <w:rPr>
                <w:rFonts w:ascii="宋体" w:hAnsi="宋体"/>
                <w:szCs w:val="21"/>
              </w:rPr>
            </w:pPr>
            <w:r>
              <w:rPr>
                <w:rFonts w:hint="eastAsia" w:ascii="宋体" w:hAnsi="宋体"/>
                <w:szCs w:val="21"/>
              </w:rPr>
              <w:t>……</w:t>
            </w:r>
          </w:p>
          <w:p>
            <w:pPr>
              <w:adjustRightInd w:val="0"/>
              <w:snapToGrid w:val="0"/>
              <w:ind w:firstLine="420" w:firstLineChars="200"/>
              <w:rPr>
                <w:rFonts w:ascii="宋体" w:hAnsi="宋体"/>
                <w:szCs w:val="21"/>
              </w:rPr>
            </w:pPr>
            <w:r>
              <w:rPr>
                <w:rFonts w:hint="eastAsia" w:ascii="宋体" w:hAnsi="宋体"/>
                <w:szCs w:val="21"/>
              </w:rPr>
              <w:t>（五）对假冒伪劣、过期、含有超量、违禁药物以及其他存在严重质量问题的烟花爆竹未及时销毁的；</w:t>
            </w:r>
          </w:p>
          <w:p>
            <w:pPr>
              <w:adjustRightInd w:val="0"/>
              <w:snapToGrid w:val="0"/>
              <w:ind w:firstLine="420" w:firstLineChars="200"/>
              <w:rPr>
                <w:rFonts w:ascii="宋体" w:hAnsi="宋体"/>
                <w:szCs w:val="21"/>
              </w:rPr>
            </w:pPr>
            <w:r>
              <w:rPr>
                <w:rFonts w:hint="eastAsia" w:ascii="宋体" w:hAnsi="宋体"/>
                <w:szCs w:val="21"/>
              </w:rPr>
              <w:t>……</w:t>
            </w:r>
          </w:p>
          <w:p>
            <w:pPr>
              <w:adjustRightInd w:val="0"/>
              <w:snapToGrid w:val="0"/>
              <w:ind w:firstLine="420" w:firstLineChars="200"/>
              <w:rPr>
                <w:rFonts w:ascii="宋体" w:hAnsi="宋体"/>
                <w:szCs w:val="21"/>
              </w:rPr>
            </w:pPr>
            <w:r>
              <w:rPr>
                <w:rFonts w:hint="eastAsia" w:ascii="宋体" w:hAnsi="宋体"/>
                <w:szCs w:val="21"/>
              </w:rPr>
              <w:t>《烟花爆竹生产经营安全规定》第三十八条  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pPr>
              <w:adjustRightInd w:val="0"/>
              <w:snapToGrid w:val="0"/>
              <w:ind w:firstLine="420" w:firstLineChars="200"/>
              <w:rPr>
                <w:rFonts w:ascii="宋体" w:hAnsi="宋体"/>
                <w:szCs w:val="21"/>
              </w:rPr>
            </w:pPr>
            <w:r>
              <w:rPr>
                <w:rFonts w:hint="eastAsia" w:ascii="宋体" w:hAnsi="宋体"/>
                <w:szCs w:val="21"/>
              </w:rPr>
              <w:t>……</w:t>
            </w:r>
          </w:p>
          <w:p>
            <w:pPr>
              <w:adjustRightInd w:val="0"/>
              <w:snapToGrid w:val="0"/>
              <w:ind w:firstLine="420" w:firstLineChars="200"/>
              <w:rPr>
                <w:rFonts w:ascii="宋体" w:hAnsi="宋体"/>
                <w:szCs w:val="21"/>
              </w:rPr>
            </w:pPr>
            <w:r>
              <w:rPr>
                <w:rFonts w:hint="eastAsia" w:ascii="宋体" w:hAnsi="宋体"/>
                <w:szCs w:val="21"/>
              </w:rPr>
              <w:t>（五）留存过期及废弃的烟花爆竹成品、半成品、原材料等危险废弃物的；</w:t>
            </w:r>
          </w:p>
          <w:p>
            <w:pPr>
              <w:adjustRightInd w:val="0"/>
              <w:snapToGrid w:val="0"/>
              <w:ind w:firstLine="420" w:firstLineChars="200"/>
              <w:rPr>
                <w:rFonts w:ascii="宋体" w:hAnsi="宋体"/>
                <w:szCs w:val="21"/>
              </w:rPr>
            </w:pPr>
            <w:r>
              <w:rPr>
                <w:rFonts w:hint="eastAsia" w:ascii="宋体" w:hAnsi="宋体"/>
                <w:szCs w:val="21"/>
              </w:rPr>
              <w:t>……</w:t>
            </w:r>
          </w:p>
        </w:tc>
        <w:tc>
          <w:tcPr>
            <w:tcW w:w="127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8" w:hRule="atLeast"/>
        </w:trPr>
        <w:tc>
          <w:tcPr>
            <w:tcW w:w="851" w:type="dxa"/>
            <w:vMerge w:val="restart"/>
            <w:vAlign w:val="center"/>
          </w:tcPr>
          <w:p>
            <w:pPr>
              <w:jc w:val="center"/>
              <w:rPr>
                <w:rFonts w:ascii="宋体" w:hAnsi="宋体"/>
                <w:szCs w:val="21"/>
              </w:rPr>
            </w:pPr>
          </w:p>
        </w:tc>
        <w:tc>
          <w:tcPr>
            <w:tcW w:w="1277" w:type="dxa"/>
            <w:vMerge w:val="restart"/>
            <w:vAlign w:val="center"/>
          </w:tcPr>
          <w:p>
            <w:pPr>
              <w:jc w:val="center"/>
              <w:rPr>
                <w:rFonts w:ascii="宋体" w:hAnsi="宋体"/>
                <w:szCs w:val="21"/>
              </w:rPr>
            </w:pPr>
          </w:p>
        </w:tc>
        <w:tc>
          <w:tcPr>
            <w:tcW w:w="2692" w:type="dxa"/>
            <w:vAlign w:val="center"/>
          </w:tcPr>
          <w:p>
            <w:pPr>
              <w:adjustRightInd w:val="0"/>
              <w:snapToGrid w:val="0"/>
              <w:jc w:val="left"/>
              <w:rPr>
                <w:rFonts w:ascii="宋体" w:hAnsi="宋体"/>
                <w:szCs w:val="21"/>
              </w:rPr>
            </w:pPr>
            <w:r>
              <w:rPr>
                <w:rFonts w:hint="eastAsia" w:ascii="宋体" w:hAnsi="宋体"/>
                <w:szCs w:val="21"/>
              </w:rPr>
              <w:t>2.</w:t>
            </w:r>
            <w:r>
              <w:rPr>
                <w:rFonts w:hint="eastAsia" w:ascii="宋体" w:hAnsi="宋体"/>
                <w:szCs w:val="21"/>
                <w:lang w:val="en-US" w:eastAsia="zh-CN"/>
              </w:rPr>
              <w:t>6</w:t>
            </w:r>
            <w:r>
              <w:rPr>
                <w:rFonts w:hint="eastAsia" w:ascii="宋体" w:hAnsi="宋体"/>
                <w:szCs w:val="21"/>
              </w:rPr>
              <w:t xml:space="preserve"> 批发企业安全生产标志标识</w:t>
            </w:r>
          </w:p>
        </w:tc>
        <w:tc>
          <w:tcPr>
            <w:tcW w:w="4238" w:type="dxa"/>
            <w:vAlign w:val="center"/>
          </w:tcPr>
          <w:p>
            <w:pPr>
              <w:shd w:val="clear" w:color="auto" w:fill="FFFFFF"/>
              <w:ind w:firstLine="420" w:firstLineChars="200"/>
              <w:rPr>
                <w:rFonts w:asciiTheme="minorEastAsia" w:hAnsiTheme="minorEastAsia" w:eastAsiaTheme="minorEastAsia"/>
                <w:szCs w:val="21"/>
              </w:rPr>
            </w:pPr>
            <w:r>
              <w:rPr>
                <w:rFonts w:hint="eastAsia" w:ascii="宋体" w:hAnsi="宋体" w:cs="微软雅黑"/>
                <w:szCs w:val="21"/>
              </w:rPr>
              <w:t>《</w:t>
            </w:r>
            <w:r>
              <w:rPr>
                <w:rFonts w:hint="eastAsia" w:ascii="宋体" w:hAnsi="宋体" w:cs="微软雅黑"/>
                <w:szCs w:val="21"/>
                <w:shd w:val="clear" w:color="auto" w:fill="FFFFFF"/>
              </w:rPr>
              <w:t>烟花爆竹生产经营安全规定</w:t>
            </w:r>
            <w:r>
              <w:rPr>
                <w:rFonts w:hint="eastAsia" w:ascii="宋体" w:hAnsi="宋体" w:cs="微软雅黑"/>
                <w:szCs w:val="21"/>
              </w:rPr>
              <w:t xml:space="preserve">》第十一条  </w:t>
            </w:r>
            <w:r>
              <w:rPr>
                <w:rFonts w:hint="eastAsia" w:ascii="宋体" w:hAnsi="宋体" w:cs="微软雅黑"/>
                <w:kern w:val="0"/>
                <w:szCs w:val="21"/>
              </w:rPr>
              <w:t>生产企业、批发企业的生产区、总仓库区、工（库）房及其他有较大危险因素的生产经营场所和有关设施设备上，应当设置明显的安全警示标志；所有工（库）房应当按照国家标准或者行业标准的规定设置准确、清晰、醒目的定员、定量、定级标识。</w:t>
            </w:r>
          </w:p>
        </w:tc>
        <w:tc>
          <w:tcPr>
            <w:tcW w:w="3983" w:type="dxa"/>
            <w:vAlign w:val="center"/>
          </w:tcPr>
          <w:p>
            <w:pPr>
              <w:shd w:val="clear" w:color="auto" w:fill="FFFFFF"/>
              <w:ind w:firstLine="420" w:firstLineChars="200"/>
              <w:rPr>
                <w:rFonts w:ascii="宋体" w:hAnsi="宋体" w:cs="宋体"/>
                <w:kern w:val="0"/>
                <w:szCs w:val="21"/>
              </w:rPr>
            </w:pPr>
            <w:r>
              <w:rPr>
                <w:rFonts w:hint="eastAsia" w:ascii="宋体" w:hAnsi="宋体" w:cs="微软雅黑"/>
                <w:szCs w:val="21"/>
              </w:rPr>
              <w:t>《</w:t>
            </w:r>
            <w:r>
              <w:rPr>
                <w:rFonts w:hint="eastAsia" w:ascii="宋体" w:hAnsi="宋体" w:cs="微软雅黑"/>
                <w:szCs w:val="21"/>
                <w:shd w:val="clear" w:color="auto" w:fill="FFFFFF"/>
              </w:rPr>
              <w:t>烟花爆竹生产经营安全规定</w:t>
            </w:r>
            <w:r>
              <w:rPr>
                <w:rFonts w:hint="eastAsia" w:ascii="宋体" w:hAnsi="宋体" w:cs="微软雅黑"/>
                <w:szCs w:val="21"/>
              </w:rPr>
              <w:t xml:space="preserve">》第三十三条  </w:t>
            </w:r>
            <w:r>
              <w:rPr>
                <w:rFonts w:hint="eastAsia" w:ascii="宋体" w:hAnsi="宋体" w:cs="微软雅黑"/>
                <w:kern w:val="0"/>
                <w:szCs w:val="21"/>
              </w:rPr>
              <w:t>生产企业、批发企业有下列行为之一的，责令限期改正；逾期未改正的，处一万元以上三万元以下的罚款：</w:t>
            </w:r>
          </w:p>
          <w:p>
            <w:pPr>
              <w:widowControl/>
              <w:shd w:val="clear" w:color="auto" w:fill="FFFFFF"/>
              <w:ind w:firstLine="420" w:firstLineChars="200"/>
              <w:jc w:val="left"/>
              <w:rPr>
                <w:rFonts w:ascii="宋体" w:hAnsi="宋体" w:cs="宋体"/>
                <w:kern w:val="0"/>
                <w:szCs w:val="21"/>
              </w:rPr>
            </w:pPr>
            <w:r>
              <w:rPr>
                <w:rFonts w:hint="eastAsia" w:ascii="宋体" w:hAnsi="宋体" w:cs="微软雅黑"/>
                <w:kern w:val="0"/>
                <w:szCs w:val="21"/>
              </w:rPr>
              <w:t>（一）工（库）房没有设置准确、清晰、醒目的定员、定量、定级标识的；</w:t>
            </w:r>
          </w:p>
          <w:p>
            <w:pPr>
              <w:adjustRightInd w:val="0"/>
              <w:snapToGrid w:val="0"/>
              <w:ind w:firstLine="420" w:firstLineChars="200"/>
              <w:rPr>
                <w:rFonts w:ascii="宋体" w:hAnsi="宋体"/>
                <w:szCs w:val="21"/>
              </w:rPr>
            </w:pPr>
            <w:r>
              <w:rPr>
                <w:rFonts w:hint="eastAsia" w:ascii="宋体" w:hAnsi="宋体"/>
                <w:szCs w:val="21"/>
              </w:rPr>
              <w:t>……</w:t>
            </w:r>
          </w:p>
        </w:tc>
        <w:tc>
          <w:tcPr>
            <w:tcW w:w="12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8" w:hRule="atLeast"/>
        </w:trPr>
        <w:tc>
          <w:tcPr>
            <w:tcW w:w="851" w:type="dxa"/>
            <w:vMerge w:val="continue"/>
            <w:vAlign w:val="center"/>
          </w:tcPr>
          <w:p>
            <w:pPr>
              <w:jc w:val="center"/>
              <w:rPr>
                <w:rFonts w:ascii="宋体" w:hAnsi="宋体"/>
                <w:szCs w:val="21"/>
              </w:rPr>
            </w:pPr>
          </w:p>
        </w:tc>
        <w:tc>
          <w:tcPr>
            <w:tcW w:w="1277" w:type="dxa"/>
            <w:vMerge w:val="continue"/>
            <w:vAlign w:val="center"/>
          </w:tcPr>
          <w:p>
            <w:pPr>
              <w:jc w:val="center"/>
              <w:rPr>
                <w:rFonts w:ascii="宋体" w:hAnsi="宋体"/>
                <w:szCs w:val="21"/>
              </w:rPr>
            </w:pPr>
          </w:p>
        </w:tc>
        <w:tc>
          <w:tcPr>
            <w:tcW w:w="2692" w:type="dxa"/>
            <w:vAlign w:val="center"/>
          </w:tcPr>
          <w:p>
            <w:pPr>
              <w:adjustRightInd w:val="0"/>
              <w:snapToGrid w:val="0"/>
              <w:jc w:val="left"/>
              <w:rPr>
                <w:rFonts w:ascii="宋体" w:hAnsi="宋体"/>
                <w:szCs w:val="21"/>
              </w:rPr>
            </w:pPr>
            <w:r>
              <w:rPr>
                <w:rFonts w:hint="eastAsia" w:ascii="宋体" w:hAnsi="宋体"/>
                <w:szCs w:val="21"/>
              </w:rPr>
              <w:t>2.7 批发企业人员、车辆出入库管理</w:t>
            </w:r>
          </w:p>
        </w:tc>
        <w:tc>
          <w:tcPr>
            <w:tcW w:w="4238" w:type="dxa"/>
            <w:vAlign w:val="center"/>
          </w:tcPr>
          <w:p>
            <w:pPr>
              <w:shd w:val="clear" w:color="auto" w:fill="FFFFFF"/>
              <w:ind w:firstLine="420" w:firstLineChars="200"/>
              <w:rPr>
                <w:rFonts w:ascii="宋体" w:hAnsi="宋体" w:cs="微软雅黑"/>
                <w:kern w:val="0"/>
                <w:szCs w:val="21"/>
              </w:rPr>
            </w:pPr>
            <w:r>
              <w:rPr>
                <w:rFonts w:hint="eastAsia" w:ascii="宋体" w:hAnsi="宋体" w:cs="微软雅黑"/>
                <w:szCs w:val="21"/>
              </w:rPr>
              <w:t>《</w:t>
            </w:r>
            <w:r>
              <w:rPr>
                <w:rFonts w:hint="eastAsia" w:ascii="宋体" w:hAnsi="宋体" w:cs="微软雅黑"/>
                <w:szCs w:val="21"/>
                <w:shd w:val="clear" w:color="auto" w:fill="FFFFFF"/>
              </w:rPr>
              <w:t>烟花爆竹生产经营安全规定</w:t>
            </w:r>
            <w:r>
              <w:rPr>
                <w:rFonts w:hint="eastAsia" w:ascii="宋体" w:hAnsi="宋体" w:cs="微软雅黑"/>
                <w:szCs w:val="21"/>
              </w:rPr>
              <w:t>》</w:t>
            </w:r>
            <w:r>
              <w:rPr>
                <w:rFonts w:hint="eastAsia" w:ascii="宋体" w:hAnsi="宋体" w:cs="微软雅黑"/>
                <w:szCs w:val="21"/>
                <w:shd w:val="clear" w:color="auto" w:fill="FFFFFF"/>
              </w:rPr>
              <w:t xml:space="preserve">第十六条  </w:t>
            </w:r>
            <w:r>
              <w:rPr>
                <w:rFonts w:hint="eastAsia" w:ascii="宋体" w:hAnsi="宋体" w:cs="微软雅黑"/>
                <w:kern w:val="0"/>
                <w:szCs w:val="21"/>
              </w:rPr>
              <w:t>生产企业、批发企业必须建立值班制度和现场巡查制度，全面掌握当日各岗位人员数量及药物分布等安全生产情况，确保不超员超量，并及时处置异常情况。</w:t>
            </w:r>
          </w:p>
          <w:p>
            <w:pPr>
              <w:widowControl/>
              <w:shd w:val="clear" w:color="auto" w:fill="FFFFFF"/>
              <w:ind w:firstLine="420" w:firstLineChars="200"/>
              <w:jc w:val="left"/>
              <w:rPr>
                <w:rFonts w:ascii="宋体" w:hAnsi="宋体" w:cs="宋体"/>
                <w:kern w:val="0"/>
                <w:szCs w:val="21"/>
              </w:rPr>
            </w:pPr>
            <w:r>
              <w:rPr>
                <w:rFonts w:hint="eastAsia" w:ascii="宋体" w:hAnsi="宋体" w:cs="微软雅黑"/>
                <w:kern w:val="0"/>
                <w:szCs w:val="21"/>
              </w:rPr>
              <w:t>生产企业、批发企业的危险品生产区、总仓库区，应当确保二十四小时有人值班，并保持监控设施有效、通信畅通。</w:t>
            </w:r>
          </w:p>
          <w:p>
            <w:pPr>
              <w:adjustRightInd w:val="0"/>
              <w:snapToGrid w:val="0"/>
              <w:ind w:firstLine="420" w:firstLineChars="200"/>
              <w:rPr>
                <w:rFonts w:asciiTheme="minorEastAsia" w:hAnsiTheme="minorEastAsia" w:eastAsiaTheme="minorEastAsia"/>
                <w:szCs w:val="21"/>
              </w:rPr>
            </w:pPr>
            <w:r>
              <w:rPr>
                <w:rFonts w:hint="eastAsia" w:ascii="宋体" w:hAnsi="宋体" w:cs="微软雅黑"/>
                <w:szCs w:val="21"/>
                <w:shd w:val="clear" w:color="auto" w:fill="FFFFFF"/>
              </w:rPr>
              <w:t>第十七条  生产企业、批发企业应当建立从业人员、外来人员、车辆进出厂（库）区登记制度，对进出厂（库）区的从业人员、外来人员、车辆如实登记记录，随时掌握厂（库）区人员和车辆的情况。禁止无关人员和车辆进入厂（库）区。禁止未安装阻火装置等不符合国家标准或者行业标准规定安全条件的机动车辆进入生产区和仓库区。</w:t>
            </w:r>
          </w:p>
        </w:tc>
        <w:tc>
          <w:tcPr>
            <w:tcW w:w="3983" w:type="dxa"/>
            <w:vAlign w:val="center"/>
          </w:tcPr>
          <w:p>
            <w:pPr>
              <w:shd w:val="clear" w:color="auto" w:fill="FFFFFF"/>
              <w:spacing w:line="360" w:lineRule="exact"/>
              <w:ind w:firstLine="420" w:firstLineChars="200"/>
              <w:rPr>
                <w:rFonts w:ascii="宋体" w:hAnsi="宋体" w:cs="微软雅黑"/>
                <w:szCs w:val="21"/>
                <w:shd w:val="clear" w:color="auto" w:fill="FFFFFF"/>
              </w:rPr>
            </w:pPr>
            <w:r>
              <w:rPr>
                <w:rFonts w:hint="eastAsia" w:ascii="宋体" w:hAnsi="宋体" w:cs="微软雅黑"/>
                <w:szCs w:val="21"/>
                <w:shd w:val="clear" w:color="auto" w:fill="FFFFFF"/>
              </w:rPr>
              <w:t>《烟花爆竹生产经营安全规定》第三十五条  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pPr>
              <w:widowControl/>
              <w:shd w:val="clear" w:color="auto" w:fill="FFFFFF"/>
              <w:spacing w:line="360" w:lineRule="exact"/>
              <w:ind w:firstLine="420" w:firstLineChars="200"/>
              <w:jc w:val="left"/>
              <w:rPr>
                <w:rFonts w:ascii="宋体" w:hAnsi="宋体" w:cs="微软雅黑"/>
                <w:szCs w:val="21"/>
                <w:shd w:val="clear" w:color="auto" w:fill="FFFFFF"/>
              </w:rPr>
            </w:pPr>
            <w:r>
              <w:rPr>
                <w:rFonts w:hint="eastAsia" w:ascii="宋体" w:hAnsi="宋体" w:cs="微软雅黑"/>
                <w:szCs w:val="21"/>
                <w:shd w:val="clear" w:color="auto" w:fill="FFFFFF"/>
              </w:rPr>
              <w:t>（一）未建立从业人员、外来人员、车辆出入厂（库）区登记制度的；</w:t>
            </w:r>
          </w:p>
          <w:p>
            <w:pPr>
              <w:adjustRightInd w:val="0"/>
              <w:snapToGrid w:val="0"/>
              <w:spacing w:line="360" w:lineRule="exact"/>
              <w:ind w:firstLine="420" w:firstLineChars="200"/>
              <w:rPr>
                <w:rFonts w:ascii="宋体" w:hAnsi="宋体" w:cs="微软雅黑"/>
                <w:szCs w:val="21"/>
                <w:shd w:val="clear" w:color="auto" w:fill="FFFFFF"/>
              </w:rPr>
            </w:pPr>
            <w:r>
              <w:rPr>
                <w:rFonts w:hint="eastAsia" w:ascii="宋体" w:hAnsi="宋体" w:cs="微软雅黑"/>
                <w:szCs w:val="21"/>
                <w:shd w:val="clear" w:color="auto" w:fill="FFFFFF"/>
              </w:rPr>
              <w:t>……</w:t>
            </w:r>
          </w:p>
          <w:p>
            <w:pPr>
              <w:shd w:val="clear" w:color="auto" w:fill="FFFFFF"/>
              <w:spacing w:line="360" w:lineRule="exact"/>
              <w:ind w:firstLine="420" w:firstLineChars="200"/>
              <w:rPr>
                <w:rFonts w:ascii="宋体" w:hAnsi="宋体" w:cs="微软雅黑"/>
                <w:szCs w:val="21"/>
                <w:shd w:val="clear" w:color="auto" w:fill="FFFFFF"/>
              </w:rPr>
            </w:pPr>
            <w:r>
              <w:rPr>
                <w:rFonts w:hint="eastAsia" w:ascii="宋体" w:hAnsi="宋体" w:cs="微软雅黑"/>
                <w:szCs w:val="21"/>
                <w:shd w:val="clear" w:color="auto" w:fill="FFFFFF"/>
              </w:rPr>
              <w:t>第三十八条  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pPr>
              <w:adjustRightInd w:val="0"/>
              <w:snapToGrid w:val="0"/>
              <w:spacing w:line="360" w:lineRule="exact"/>
              <w:ind w:firstLine="420" w:firstLineChars="200"/>
              <w:rPr>
                <w:rFonts w:ascii="宋体" w:hAnsi="宋体" w:cs="微软雅黑"/>
                <w:szCs w:val="21"/>
                <w:shd w:val="clear" w:color="auto" w:fill="FFFFFF"/>
              </w:rPr>
            </w:pPr>
            <w:r>
              <w:rPr>
                <w:rFonts w:hint="eastAsia" w:ascii="宋体" w:hAnsi="宋体" w:cs="微软雅黑"/>
                <w:szCs w:val="21"/>
                <w:shd w:val="clear" w:color="auto" w:fill="FFFFFF"/>
              </w:rPr>
              <w:t>……</w:t>
            </w:r>
          </w:p>
          <w:p>
            <w:pPr>
              <w:widowControl/>
              <w:shd w:val="clear" w:color="auto" w:fill="FFFFFF"/>
              <w:spacing w:line="360" w:lineRule="exact"/>
              <w:ind w:firstLine="420" w:firstLineChars="200"/>
              <w:jc w:val="left"/>
              <w:rPr>
                <w:rFonts w:ascii="宋体" w:hAnsi="宋体" w:cs="微软雅黑"/>
                <w:szCs w:val="21"/>
                <w:shd w:val="clear" w:color="auto" w:fill="FFFFFF"/>
              </w:rPr>
            </w:pPr>
            <w:r>
              <w:rPr>
                <w:rFonts w:hint="eastAsia" w:ascii="宋体" w:hAnsi="宋体" w:cs="微软雅黑"/>
                <w:szCs w:val="21"/>
                <w:shd w:val="clear" w:color="auto" w:fill="FFFFFF"/>
              </w:rPr>
              <w:t>（七）允许未安装阻火装置等不具备国家标准或者行业标准规定安全条件的机动车辆进入生产区和仓库区的；</w:t>
            </w:r>
          </w:p>
          <w:p>
            <w:pPr>
              <w:adjustRightInd w:val="0"/>
              <w:snapToGrid w:val="0"/>
              <w:spacing w:line="360" w:lineRule="exact"/>
              <w:ind w:firstLine="420" w:firstLineChars="200"/>
              <w:rPr>
                <w:rFonts w:ascii="宋体" w:hAnsi="宋体"/>
                <w:szCs w:val="21"/>
              </w:rPr>
            </w:pPr>
            <w:r>
              <w:rPr>
                <w:rFonts w:hint="eastAsia" w:ascii="宋体" w:hAnsi="宋体" w:cs="微软雅黑"/>
                <w:szCs w:val="21"/>
                <w:shd w:val="clear" w:color="auto" w:fill="FFFFFF"/>
              </w:rPr>
              <w:t>……</w:t>
            </w:r>
          </w:p>
        </w:tc>
        <w:tc>
          <w:tcPr>
            <w:tcW w:w="12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851" w:type="dxa"/>
            <w:vMerge w:val="continue"/>
            <w:vAlign w:val="center"/>
          </w:tcPr>
          <w:p>
            <w:pPr>
              <w:jc w:val="center"/>
              <w:rPr>
                <w:rFonts w:ascii="宋体" w:hAnsi="宋体"/>
                <w:szCs w:val="21"/>
              </w:rPr>
            </w:pPr>
          </w:p>
        </w:tc>
        <w:tc>
          <w:tcPr>
            <w:tcW w:w="1277" w:type="dxa"/>
            <w:vMerge w:val="continue"/>
            <w:vAlign w:val="center"/>
          </w:tcPr>
          <w:p>
            <w:pPr>
              <w:jc w:val="center"/>
              <w:rPr>
                <w:rFonts w:ascii="宋体" w:hAnsi="宋体"/>
                <w:szCs w:val="21"/>
              </w:rPr>
            </w:pPr>
          </w:p>
        </w:tc>
        <w:tc>
          <w:tcPr>
            <w:tcW w:w="2692" w:type="dxa"/>
            <w:vAlign w:val="center"/>
          </w:tcPr>
          <w:p>
            <w:pPr>
              <w:adjustRightInd w:val="0"/>
              <w:snapToGrid w:val="0"/>
              <w:jc w:val="left"/>
              <w:rPr>
                <w:rFonts w:ascii="宋体" w:hAnsi="宋体"/>
                <w:szCs w:val="21"/>
              </w:rPr>
            </w:pPr>
            <w:r>
              <w:rPr>
                <w:rFonts w:hint="eastAsia" w:ascii="宋体" w:hAnsi="宋体"/>
                <w:szCs w:val="21"/>
              </w:rPr>
              <w:t>2.8 批发企业作业安全管理</w:t>
            </w:r>
          </w:p>
        </w:tc>
        <w:tc>
          <w:tcPr>
            <w:tcW w:w="4238" w:type="dxa"/>
            <w:vAlign w:val="center"/>
          </w:tcPr>
          <w:p>
            <w:pPr>
              <w:widowControl/>
              <w:shd w:val="clear" w:color="auto" w:fill="FFFFFF"/>
              <w:ind w:firstLine="420" w:firstLineChars="200"/>
              <w:jc w:val="left"/>
              <w:rPr>
                <w:rFonts w:asciiTheme="minorEastAsia" w:hAnsiTheme="minorEastAsia" w:eastAsiaTheme="minorEastAsia"/>
                <w:szCs w:val="21"/>
              </w:rPr>
            </w:pPr>
            <w:r>
              <w:rPr>
                <w:rFonts w:hint="eastAsia" w:ascii="宋体" w:hAnsi="宋体" w:cs="微软雅黑"/>
                <w:szCs w:val="21"/>
                <w:shd w:val="clear" w:color="auto" w:fill="FFFFFF"/>
              </w:rPr>
              <w:t>《烟花爆竹生产经营安全规定》第十九条  生产企业、批发企业应当加强日常安全检查，采取安全监控、巡查检查等措施，及时发现、纠正违反安全操作规程和规章制度的行为。禁止工（库）房超员、超量作业，禁止擅自改变工（库）房设计用途，禁止作业人员随意串岗、换岗、离岗。</w:t>
            </w:r>
          </w:p>
        </w:tc>
        <w:tc>
          <w:tcPr>
            <w:tcW w:w="3983" w:type="dxa"/>
            <w:vAlign w:val="center"/>
          </w:tcPr>
          <w:p>
            <w:pPr>
              <w:widowControl/>
              <w:shd w:val="clear" w:color="auto" w:fill="FFFFFF"/>
              <w:ind w:firstLine="396" w:firstLineChars="200"/>
              <w:jc w:val="left"/>
              <w:rPr>
                <w:rFonts w:ascii="宋体" w:hAnsi="宋体" w:cs="微软雅黑"/>
                <w:spacing w:val="-6"/>
                <w:szCs w:val="21"/>
                <w:shd w:val="clear" w:color="auto" w:fill="FFFFFF"/>
              </w:rPr>
            </w:pPr>
            <w:r>
              <w:rPr>
                <w:rFonts w:hint="eastAsia" w:ascii="宋体" w:hAnsi="宋体" w:cs="微软雅黑"/>
                <w:spacing w:val="-6"/>
                <w:szCs w:val="21"/>
                <w:shd w:val="clear" w:color="auto" w:fill="FFFFFF"/>
              </w:rPr>
              <w:t>《烟花爆竹生产经营安全规定》第三十八条  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pPr>
              <w:widowControl/>
              <w:shd w:val="clear" w:color="auto" w:fill="FFFFFF"/>
              <w:ind w:firstLine="396" w:firstLineChars="200"/>
              <w:jc w:val="left"/>
              <w:rPr>
                <w:rFonts w:ascii="宋体" w:hAnsi="宋体" w:cs="微软雅黑"/>
                <w:spacing w:val="-6"/>
                <w:szCs w:val="21"/>
                <w:shd w:val="clear" w:color="auto" w:fill="FFFFFF"/>
              </w:rPr>
            </w:pPr>
            <w:r>
              <w:rPr>
                <w:rFonts w:hint="eastAsia" w:ascii="宋体" w:hAnsi="宋体" w:cs="微软雅黑"/>
                <w:spacing w:val="-6"/>
                <w:szCs w:val="21"/>
                <w:shd w:val="clear" w:color="auto" w:fill="FFFFFF"/>
              </w:rPr>
              <w:t>（一）工（库）房超过核定人员、药量或者擅自改变设计用途使用工（库）房的；</w:t>
            </w:r>
          </w:p>
          <w:p>
            <w:pPr>
              <w:adjustRightInd w:val="0"/>
              <w:snapToGrid w:val="0"/>
              <w:ind w:firstLine="396" w:firstLineChars="200"/>
              <w:rPr>
                <w:rFonts w:ascii="宋体" w:hAnsi="宋体"/>
                <w:spacing w:val="-6"/>
                <w:szCs w:val="21"/>
              </w:rPr>
            </w:pPr>
            <w:r>
              <w:rPr>
                <w:rFonts w:hint="eastAsia" w:ascii="宋体" w:hAnsi="宋体" w:cs="微软雅黑"/>
                <w:spacing w:val="-6"/>
                <w:szCs w:val="21"/>
                <w:shd w:val="clear" w:color="auto" w:fill="FFFFFF"/>
              </w:rPr>
              <w:t>……</w:t>
            </w:r>
          </w:p>
        </w:tc>
        <w:tc>
          <w:tcPr>
            <w:tcW w:w="12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8" w:hRule="atLeast"/>
        </w:trPr>
        <w:tc>
          <w:tcPr>
            <w:tcW w:w="851" w:type="dxa"/>
            <w:vMerge w:val="restart"/>
            <w:vAlign w:val="center"/>
          </w:tcPr>
          <w:p>
            <w:pPr>
              <w:jc w:val="center"/>
              <w:rPr>
                <w:rFonts w:ascii="宋体" w:hAnsi="宋体"/>
                <w:szCs w:val="21"/>
              </w:rPr>
            </w:pPr>
          </w:p>
        </w:tc>
        <w:tc>
          <w:tcPr>
            <w:tcW w:w="1277" w:type="dxa"/>
            <w:vMerge w:val="restart"/>
            <w:vAlign w:val="center"/>
          </w:tcPr>
          <w:p>
            <w:pPr>
              <w:jc w:val="center"/>
              <w:rPr>
                <w:rFonts w:ascii="宋体" w:hAnsi="宋体"/>
                <w:szCs w:val="21"/>
              </w:rPr>
            </w:pPr>
          </w:p>
        </w:tc>
        <w:tc>
          <w:tcPr>
            <w:tcW w:w="2692" w:type="dxa"/>
            <w:vAlign w:val="center"/>
          </w:tcPr>
          <w:p>
            <w:pPr>
              <w:adjustRightInd w:val="0"/>
              <w:snapToGrid w:val="0"/>
              <w:jc w:val="left"/>
              <w:rPr>
                <w:rFonts w:ascii="宋体" w:hAnsi="宋体"/>
                <w:szCs w:val="21"/>
              </w:rPr>
            </w:pPr>
            <w:r>
              <w:rPr>
                <w:rFonts w:hint="eastAsia" w:ascii="宋体" w:hAnsi="宋体"/>
                <w:szCs w:val="21"/>
              </w:rPr>
              <w:t>2.9 批发企业产品存放</w:t>
            </w:r>
          </w:p>
        </w:tc>
        <w:tc>
          <w:tcPr>
            <w:tcW w:w="4238" w:type="dxa"/>
            <w:vAlign w:val="center"/>
          </w:tcPr>
          <w:p>
            <w:pPr>
              <w:widowControl/>
              <w:shd w:val="clear" w:color="auto" w:fill="FFFFFF"/>
              <w:ind w:firstLine="420" w:firstLineChars="200"/>
              <w:jc w:val="left"/>
              <w:rPr>
                <w:rFonts w:ascii="宋体" w:hAnsi="宋体" w:cs="微软雅黑"/>
                <w:szCs w:val="21"/>
                <w:shd w:val="clear" w:color="auto" w:fill="FFFFFF"/>
              </w:rPr>
            </w:pPr>
            <w:r>
              <w:rPr>
                <w:rFonts w:hint="eastAsia" w:ascii="宋体" w:hAnsi="宋体" w:cs="微软雅黑"/>
                <w:szCs w:val="21"/>
                <w:shd w:val="clear" w:color="auto" w:fill="FFFFFF"/>
              </w:rPr>
              <w:t>《烟花爆竹生产经营安全规定》第二十条  生产企业、批发企业应当按照设计用途、危险等级、核定药量使用药物总库和成品总库，并按规定堆码，分类分级存放，保持仓库内通道畅通，准确记录药物和产品数量。</w:t>
            </w:r>
          </w:p>
          <w:p>
            <w:pPr>
              <w:widowControl/>
              <w:shd w:val="clear" w:color="auto" w:fill="FFFFFF"/>
              <w:ind w:firstLine="420" w:firstLineChars="200"/>
              <w:jc w:val="left"/>
              <w:rPr>
                <w:rFonts w:ascii="宋体" w:hAnsi="宋体" w:cs="微软雅黑"/>
                <w:szCs w:val="21"/>
                <w:shd w:val="clear" w:color="auto" w:fill="FFFFFF"/>
              </w:rPr>
            </w:pPr>
            <w:r>
              <w:rPr>
                <w:rFonts w:hint="eastAsia" w:ascii="宋体" w:hAnsi="宋体" w:cs="微软雅黑"/>
                <w:szCs w:val="21"/>
                <w:shd w:val="clear" w:color="auto" w:fill="FFFFFF"/>
              </w:rPr>
              <w:t>禁止在仓库内进行拆箱、包装作业。禁止将性质不相容的物质混存。禁止将高危险等级物品储存在危险等级低的仓库。禁止在烟花爆竹仓库储存不属于烟花爆竹的其他危险物品。</w:t>
            </w:r>
          </w:p>
        </w:tc>
        <w:tc>
          <w:tcPr>
            <w:tcW w:w="3983" w:type="dxa"/>
            <w:vAlign w:val="center"/>
          </w:tcPr>
          <w:p>
            <w:pPr>
              <w:shd w:val="clear" w:color="auto" w:fill="FFFFFF"/>
              <w:ind w:firstLine="420" w:firstLineChars="200"/>
              <w:rPr>
                <w:rFonts w:ascii="宋体" w:hAnsi="宋体" w:cs="宋体"/>
                <w:kern w:val="0"/>
                <w:szCs w:val="21"/>
              </w:rPr>
            </w:pPr>
            <w:r>
              <w:rPr>
                <w:rFonts w:hint="eastAsia" w:ascii="宋体" w:hAnsi="宋体" w:cs="微软雅黑"/>
                <w:szCs w:val="21"/>
              </w:rPr>
              <w:t>《</w:t>
            </w:r>
            <w:r>
              <w:rPr>
                <w:rFonts w:hint="eastAsia" w:ascii="宋体" w:hAnsi="宋体" w:cs="微软雅黑"/>
                <w:szCs w:val="21"/>
                <w:shd w:val="clear" w:color="auto" w:fill="FFFFFF"/>
              </w:rPr>
              <w:t>烟花爆竹生产经营安全规定</w:t>
            </w:r>
            <w:r>
              <w:rPr>
                <w:rFonts w:hint="eastAsia" w:ascii="宋体" w:hAnsi="宋体" w:cs="微软雅黑"/>
                <w:szCs w:val="21"/>
              </w:rPr>
              <w:t>》</w:t>
            </w:r>
            <w:r>
              <w:rPr>
                <w:rFonts w:hint="eastAsia" w:ascii="宋体" w:hAnsi="宋体" w:cs="微软雅黑"/>
                <w:kern w:val="0"/>
                <w:szCs w:val="21"/>
              </w:rPr>
              <w:t>第三十八条  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pPr>
              <w:widowControl/>
              <w:shd w:val="clear" w:color="auto" w:fill="FFFFFF"/>
              <w:ind w:firstLine="420" w:firstLineChars="200"/>
              <w:jc w:val="left"/>
              <w:rPr>
                <w:rFonts w:ascii="宋体" w:hAnsi="宋体" w:cs="宋体"/>
                <w:kern w:val="0"/>
                <w:szCs w:val="21"/>
              </w:rPr>
            </w:pPr>
            <w:r>
              <w:rPr>
                <w:rFonts w:hint="eastAsia" w:ascii="宋体" w:hAnsi="宋体"/>
                <w:szCs w:val="21"/>
              </w:rPr>
              <w:t>……</w:t>
            </w:r>
          </w:p>
          <w:p>
            <w:pPr>
              <w:widowControl/>
              <w:shd w:val="clear" w:color="auto" w:fill="FFFFFF"/>
              <w:ind w:firstLine="420" w:firstLineChars="200"/>
              <w:jc w:val="left"/>
              <w:rPr>
                <w:rFonts w:ascii="宋体" w:hAnsi="宋体" w:cs="宋体"/>
                <w:kern w:val="0"/>
                <w:szCs w:val="21"/>
              </w:rPr>
            </w:pPr>
            <w:r>
              <w:rPr>
                <w:rFonts w:hint="eastAsia" w:ascii="宋体" w:hAnsi="宋体" w:cs="微软雅黑"/>
                <w:kern w:val="0"/>
                <w:szCs w:val="21"/>
              </w:rPr>
              <w:t>（二）仓库内堆码、分类分级储存等违反国家标准或者行业标准规定的；</w:t>
            </w:r>
          </w:p>
          <w:p>
            <w:pPr>
              <w:widowControl/>
              <w:shd w:val="clear" w:color="auto" w:fill="FFFFFF"/>
              <w:ind w:firstLine="420" w:firstLineChars="200"/>
              <w:jc w:val="left"/>
              <w:rPr>
                <w:rFonts w:ascii="宋体" w:hAnsi="宋体" w:cs="宋体"/>
                <w:kern w:val="0"/>
                <w:szCs w:val="21"/>
              </w:rPr>
            </w:pPr>
            <w:r>
              <w:rPr>
                <w:rFonts w:hint="eastAsia" w:ascii="宋体" w:hAnsi="宋体" w:cs="微软雅黑"/>
                <w:kern w:val="0"/>
                <w:szCs w:val="21"/>
              </w:rPr>
              <w:t>（三）在仓库内进行拆箱、包装作业，将性质不相容的物质混存的；</w:t>
            </w:r>
          </w:p>
          <w:p>
            <w:pPr>
              <w:adjustRightInd w:val="0"/>
              <w:snapToGrid w:val="0"/>
              <w:ind w:firstLine="420" w:firstLineChars="200"/>
              <w:rPr>
                <w:rFonts w:ascii="宋体" w:hAnsi="宋体"/>
                <w:szCs w:val="21"/>
              </w:rPr>
            </w:pPr>
            <w:r>
              <w:rPr>
                <w:rFonts w:hint="eastAsia" w:ascii="宋体" w:hAnsi="宋体"/>
                <w:szCs w:val="21"/>
              </w:rPr>
              <w:t>……</w:t>
            </w:r>
          </w:p>
        </w:tc>
        <w:tc>
          <w:tcPr>
            <w:tcW w:w="12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1" w:hRule="atLeast"/>
        </w:trPr>
        <w:tc>
          <w:tcPr>
            <w:tcW w:w="851" w:type="dxa"/>
            <w:vMerge w:val="continue"/>
            <w:vAlign w:val="center"/>
          </w:tcPr>
          <w:p>
            <w:pPr>
              <w:jc w:val="center"/>
              <w:rPr>
                <w:rFonts w:ascii="宋体" w:hAnsi="宋体"/>
                <w:szCs w:val="21"/>
              </w:rPr>
            </w:pPr>
          </w:p>
        </w:tc>
        <w:tc>
          <w:tcPr>
            <w:tcW w:w="1277" w:type="dxa"/>
            <w:vMerge w:val="continue"/>
            <w:vAlign w:val="center"/>
          </w:tcPr>
          <w:p>
            <w:pPr>
              <w:jc w:val="center"/>
              <w:rPr>
                <w:rFonts w:ascii="宋体" w:hAnsi="宋体"/>
                <w:szCs w:val="21"/>
              </w:rPr>
            </w:pPr>
          </w:p>
        </w:tc>
        <w:tc>
          <w:tcPr>
            <w:tcW w:w="2692" w:type="dxa"/>
            <w:vAlign w:val="center"/>
          </w:tcPr>
          <w:p>
            <w:pPr>
              <w:adjustRightInd w:val="0"/>
              <w:snapToGrid w:val="0"/>
              <w:jc w:val="left"/>
              <w:rPr>
                <w:rFonts w:ascii="宋体" w:hAnsi="宋体"/>
                <w:szCs w:val="21"/>
              </w:rPr>
            </w:pPr>
            <w:r>
              <w:rPr>
                <w:rFonts w:hint="eastAsia" w:ascii="宋体" w:hAnsi="宋体"/>
                <w:szCs w:val="21"/>
              </w:rPr>
              <w:t>2.10 批发企业设备设施检维修管理</w:t>
            </w:r>
          </w:p>
        </w:tc>
        <w:tc>
          <w:tcPr>
            <w:tcW w:w="4238" w:type="dxa"/>
            <w:vAlign w:val="center"/>
          </w:tcPr>
          <w:p>
            <w:pPr>
              <w:shd w:val="clear" w:color="auto" w:fill="FFFFFF"/>
              <w:ind w:firstLine="640"/>
              <w:rPr>
                <w:rFonts w:ascii="宋体" w:hAnsi="宋体" w:cs="宋体"/>
                <w:kern w:val="0"/>
                <w:szCs w:val="21"/>
              </w:rPr>
            </w:pPr>
            <w:r>
              <w:rPr>
                <w:rFonts w:hint="eastAsia" w:ascii="宋体" w:hAnsi="宋体" w:cs="微软雅黑"/>
                <w:szCs w:val="21"/>
              </w:rPr>
              <w:t>《</w:t>
            </w:r>
            <w:r>
              <w:rPr>
                <w:rFonts w:hint="eastAsia" w:ascii="宋体" w:hAnsi="宋体" w:cs="微软雅黑"/>
                <w:szCs w:val="21"/>
                <w:shd w:val="clear" w:color="auto" w:fill="FFFFFF"/>
              </w:rPr>
              <w:t>烟花爆竹生产经营安全规定</w:t>
            </w:r>
            <w:r>
              <w:rPr>
                <w:rFonts w:hint="eastAsia" w:ascii="宋体" w:hAnsi="宋体" w:cs="微软雅黑"/>
                <w:szCs w:val="21"/>
              </w:rPr>
              <w:t>》</w:t>
            </w:r>
            <w:r>
              <w:rPr>
                <w:rFonts w:hint="eastAsia" w:ascii="宋体" w:hAnsi="宋体" w:cs="微软雅黑"/>
                <w:kern w:val="0"/>
                <w:szCs w:val="21"/>
              </w:rPr>
              <w:t>第二十二条  生产企业、批发企业应当定期检查工（库）房、安全设施、电气线路、机械设备等的运行状况和作业环境，及时维护保养；对有药物粉尘的工房，应当按照操作规程及时清理冲洗。</w:t>
            </w:r>
          </w:p>
          <w:p>
            <w:pPr>
              <w:adjustRightInd w:val="0"/>
              <w:snapToGrid w:val="0"/>
              <w:ind w:firstLine="420" w:firstLineChars="200"/>
              <w:rPr>
                <w:rFonts w:asciiTheme="minorEastAsia" w:hAnsiTheme="minorEastAsia" w:eastAsiaTheme="minorEastAsia"/>
                <w:szCs w:val="21"/>
              </w:rPr>
            </w:pPr>
            <w:r>
              <w:rPr>
                <w:rFonts w:hint="eastAsia" w:ascii="宋体" w:hAnsi="宋体" w:cs="微软雅黑"/>
                <w:kern w:val="0"/>
                <w:szCs w:val="21"/>
              </w:rPr>
              <w:t>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w:t>
            </w:r>
          </w:p>
        </w:tc>
        <w:tc>
          <w:tcPr>
            <w:tcW w:w="3983" w:type="dxa"/>
            <w:vAlign w:val="center"/>
          </w:tcPr>
          <w:p>
            <w:pPr>
              <w:shd w:val="clear" w:color="auto" w:fill="FFFFFF"/>
              <w:ind w:firstLine="420" w:firstLineChars="200"/>
              <w:rPr>
                <w:rFonts w:ascii="宋体" w:hAnsi="宋体" w:cs="宋体"/>
                <w:kern w:val="0"/>
                <w:szCs w:val="21"/>
              </w:rPr>
            </w:pPr>
            <w:r>
              <w:rPr>
                <w:rFonts w:hint="eastAsia" w:ascii="宋体" w:hAnsi="宋体" w:cs="微软雅黑"/>
                <w:szCs w:val="21"/>
              </w:rPr>
              <w:t>《</w:t>
            </w:r>
            <w:r>
              <w:rPr>
                <w:rFonts w:hint="eastAsia" w:ascii="宋体" w:hAnsi="宋体" w:cs="微软雅黑"/>
                <w:szCs w:val="21"/>
                <w:shd w:val="clear" w:color="auto" w:fill="FFFFFF"/>
              </w:rPr>
              <w:t>烟花爆竹生产经营安全规定</w:t>
            </w:r>
            <w:r>
              <w:rPr>
                <w:rFonts w:hint="eastAsia" w:ascii="宋体" w:hAnsi="宋体" w:cs="微软雅黑"/>
                <w:szCs w:val="21"/>
              </w:rPr>
              <w:t>》</w:t>
            </w:r>
            <w:r>
              <w:rPr>
                <w:rFonts w:hint="eastAsia" w:ascii="宋体" w:hAnsi="宋体" w:cs="微软雅黑"/>
                <w:kern w:val="0"/>
                <w:szCs w:val="21"/>
              </w:rPr>
              <w:t>第三十四条  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w:t>
            </w:r>
          </w:p>
          <w:p>
            <w:pPr>
              <w:widowControl/>
              <w:shd w:val="clear" w:color="auto" w:fill="FFFFFF"/>
              <w:ind w:firstLine="420" w:firstLineChars="200"/>
              <w:jc w:val="left"/>
              <w:rPr>
                <w:rFonts w:ascii="宋体" w:hAnsi="宋体"/>
                <w:szCs w:val="21"/>
              </w:rPr>
            </w:pPr>
            <w:r>
              <w:rPr>
                <w:rFonts w:hint="eastAsia" w:ascii="宋体" w:hAnsi="宋体"/>
                <w:szCs w:val="21"/>
              </w:rPr>
              <w:t>……</w:t>
            </w:r>
          </w:p>
          <w:p>
            <w:pPr>
              <w:widowControl/>
              <w:shd w:val="clear" w:color="auto" w:fill="FFFFFF"/>
              <w:ind w:firstLine="420" w:firstLineChars="200"/>
              <w:jc w:val="left"/>
              <w:rPr>
                <w:rFonts w:ascii="宋体" w:hAnsi="宋体" w:cs="宋体"/>
                <w:kern w:val="0"/>
                <w:szCs w:val="21"/>
              </w:rPr>
            </w:pPr>
            <w:r>
              <w:rPr>
                <w:rFonts w:hint="eastAsia" w:ascii="宋体" w:hAnsi="宋体" w:cs="微软雅黑"/>
                <w:kern w:val="0"/>
                <w:szCs w:val="21"/>
              </w:rPr>
              <w:t>（三）在生产区、工（库）房等有药区域对安全设备进行检测、改造作业时，未将工（库）房内的药物、有药半成品、成品搬走并清理作业现场的。</w:t>
            </w:r>
          </w:p>
          <w:p>
            <w:pPr>
              <w:widowControl/>
              <w:shd w:val="clear" w:color="auto" w:fill="FFFFFF"/>
              <w:ind w:firstLine="420" w:firstLineChars="200"/>
              <w:jc w:val="left"/>
              <w:rPr>
                <w:rFonts w:ascii="宋体" w:hAnsi="宋体" w:cs="宋体"/>
                <w:kern w:val="0"/>
                <w:szCs w:val="21"/>
              </w:rPr>
            </w:pPr>
            <w:r>
              <w:rPr>
                <w:rFonts w:hint="eastAsia" w:ascii="宋体" w:hAnsi="宋体" w:cs="微软雅黑"/>
                <w:kern w:val="0"/>
                <w:szCs w:val="21"/>
              </w:rPr>
              <w:t>第三十七条  生产经营单位有下列行为之一的，责令改正；拒不改正的，处一万元以上三万元以下的罚款，对其直接负责的主管人员和其他直接责任人员处五千元以上一万元以下的罚款：</w:t>
            </w:r>
          </w:p>
          <w:p>
            <w:pPr>
              <w:widowControl/>
              <w:shd w:val="clear" w:color="auto" w:fill="FFFFFF"/>
              <w:ind w:firstLine="420" w:firstLineChars="200"/>
              <w:jc w:val="left"/>
              <w:rPr>
                <w:rFonts w:ascii="宋体" w:hAnsi="宋体" w:cs="宋体"/>
                <w:kern w:val="0"/>
                <w:szCs w:val="21"/>
              </w:rPr>
            </w:pPr>
            <w:r>
              <w:rPr>
                <w:rFonts w:hint="eastAsia" w:ascii="宋体" w:hAnsi="宋体" w:cs="微软雅黑"/>
                <w:kern w:val="0"/>
                <w:szCs w:val="21"/>
              </w:rPr>
              <w:t>（一）对工（库）房、安全设施、电气线路、机械设备等进行检测、检修、维修、改造作业前，未制定安全作业方案，或者未切断被检修、维修的电气线路和机械设备电源的；</w:t>
            </w:r>
          </w:p>
          <w:p>
            <w:pPr>
              <w:adjustRightInd w:val="0"/>
              <w:snapToGrid w:val="0"/>
              <w:ind w:firstLine="420" w:firstLineChars="200"/>
              <w:rPr>
                <w:rFonts w:ascii="宋体" w:hAnsi="宋体"/>
                <w:szCs w:val="21"/>
              </w:rPr>
            </w:pPr>
            <w:r>
              <w:rPr>
                <w:rFonts w:hint="eastAsia" w:ascii="宋体" w:hAnsi="宋体"/>
                <w:szCs w:val="21"/>
              </w:rPr>
              <w:t>……</w:t>
            </w:r>
          </w:p>
        </w:tc>
        <w:tc>
          <w:tcPr>
            <w:tcW w:w="12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851" w:type="dxa"/>
            <w:vAlign w:val="center"/>
          </w:tcPr>
          <w:p>
            <w:pPr>
              <w:jc w:val="center"/>
              <w:rPr>
                <w:rFonts w:ascii="宋体" w:hAnsi="宋体"/>
                <w:szCs w:val="21"/>
              </w:rPr>
            </w:pPr>
          </w:p>
        </w:tc>
        <w:tc>
          <w:tcPr>
            <w:tcW w:w="1277" w:type="dxa"/>
            <w:vAlign w:val="center"/>
          </w:tcPr>
          <w:p>
            <w:pPr>
              <w:jc w:val="center"/>
              <w:rPr>
                <w:rFonts w:ascii="宋体" w:hAnsi="宋体"/>
                <w:szCs w:val="21"/>
              </w:rPr>
            </w:pPr>
          </w:p>
        </w:tc>
        <w:tc>
          <w:tcPr>
            <w:tcW w:w="2692" w:type="dxa"/>
            <w:vAlign w:val="center"/>
          </w:tcPr>
          <w:p>
            <w:pPr>
              <w:adjustRightInd w:val="0"/>
              <w:snapToGrid w:val="0"/>
              <w:jc w:val="left"/>
              <w:rPr>
                <w:rFonts w:ascii="宋体" w:hAnsi="宋体"/>
                <w:szCs w:val="21"/>
              </w:rPr>
            </w:pPr>
            <w:r>
              <w:rPr>
                <w:rFonts w:hint="eastAsia" w:ascii="宋体" w:hAnsi="宋体"/>
                <w:szCs w:val="21"/>
              </w:rPr>
              <w:t>2.11 批发企业运输车辆、工具管理</w:t>
            </w:r>
          </w:p>
        </w:tc>
        <w:tc>
          <w:tcPr>
            <w:tcW w:w="4238" w:type="dxa"/>
            <w:vAlign w:val="center"/>
          </w:tcPr>
          <w:p>
            <w:pPr>
              <w:widowControl/>
              <w:shd w:val="clear" w:color="auto" w:fill="FFFFFF"/>
              <w:ind w:firstLine="420" w:firstLineChars="200"/>
              <w:jc w:val="left"/>
              <w:rPr>
                <w:rFonts w:hint="eastAsia"/>
              </w:rPr>
            </w:pPr>
            <w:r>
              <w:rPr>
                <w:rFonts w:hint="eastAsia"/>
              </w:rPr>
              <w:t>《烟花爆竹生产经营安全规定》第二十五条  在生产企业、批发企业内部及生产区、库区之间运输烟花爆竹成品、半成品及原材料时，应当使用符合国家标准或者行业标准规定安全条件的车辆、工具。企业内部运输应当严格按照规定路线、速度行驶。</w:t>
            </w:r>
          </w:p>
          <w:p>
            <w:pPr>
              <w:pStyle w:val="2"/>
              <w:rPr>
                <w:rFonts w:hint="eastAsia" w:eastAsia="仿宋_GB2312"/>
                <w:lang w:eastAsia="zh-CN"/>
              </w:rPr>
            </w:pPr>
            <w:r>
              <w:rPr>
                <w:rFonts w:hint="eastAsia" w:ascii="宋体" w:hAnsi="宋体" w:cs="微软雅黑"/>
                <w:kern w:val="0"/>
                <w:szCs w:val="21"/>
                <w:lang w:eastAsia="zh-CN"/>
              </w:rPr>
              <w:t>……</w:t>
            </w:r>
          </w:p>
        </w:tc>
        <w:tc>
          <w:tcPr>
            <w:tcW w:w="3983" w:type="dxa"/>
            <w:vAlign w:val="center"/>
          </w:tcPr>
          <w:p>
            <w:pPr>
              <w:widowControl/>
              <w:shd w:val="clear" w:color="auto" w:fill="FFFFFF"/>
              <w:ind w:firstLine="420" w:firstLineChars="200"/>
              <w:jc w:val="left"/>
              <w:rPr>
                <w:rFonts w:ascii="宋体" w:hAnsi="宋体" w:cs="微软雅黑"/>
                <w:kern w:val="0"/>
                <w:szCs w:val="21"/>
              </w:rPr>
            </w:pPr>
            <w:r>
              <w:rPr>
                <w:rFonts w:hint="eastAsia" w:ascii="宋体" w:hAnsi="宋体" w:cs="微软雅黑"/>
                <w:kern w:val="0"/>
                <w:szCs w:val="21"/>
              </w:rPr>
              <w:t>《烟花爆竹生产经营安全规定》第三十八条  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pPr>
              <w:widowControl/>
              <w:shd w:val="clear" w:color="auto" w:fill="FFFFFF"/>
              <w:ind w:firstLine="420" w:firstLineChars="200"/>
              <w:jc w:val="left"/>
              <w:rPr>
                <w:rFonts w:ascii="宋体" w:hAnsi="宋体" w:cs="微软雅黑"/>
                <w:kern w:val="0"/>
                <w:szCs w:val="21"/>
              </w:rPr>
            </w:pPr>
            <w:r>
              <w:rPr>
                <w:rFonts w:hint="eastAsia" w:ascii="宋体" w:hAnsi="宋体" w:cs="微软雅黑"/>
                <w:kern w:val="0"/>
                <w:szCs w:val="21"/>
              </w:rPr>
              <w:t>……</w:t>
            </w:r>
          </w:p>
          <w:p>
            <w:pPr>
              <w:widowControl/>
              <w:shd w:val="clear" w:color="auto" w:fill="FFFFFF"/>
              <w:ind w:firstLine="420" w:firstLineChars="200"/>
              <w:jc w:val="left"/>
              <w:rPr>
                <w:rFonts w:ascii="宋体" w:hAnsi="宋体" w:cs="微软雅黑"/>
                <w:kern w:val="0"/>
                <w:szCs w:val="21"/>
              </w:rPr>
            </w:pPr>
            <w:r>
              <w:rPr>
                <w:rFonts w:hint="eastAsia" w:ascii="宋体" w:hAnsi="宋体" w:cs="微软雅黑"/>
                <w:kern w:val="0"/>
                <w:szCs w:val="21"/>
              </w:rPr>
              <w:t>（六）企业内部及生产区、库区之间运输烟花爆竹成品、半成品及原材料的车辆、工具不符合国家标准或者行业标准规定安全条件的；</w:t>
            </w:r>
          </w:p>
          <w:p>
            <w:pPr>
              <w:widowControl/>
              <w:shd w:val="clear" w:color="auto" w:fill="FFFFFF"/>
              <w:ind w:firstLine="420" w:firstLineChars="200"/>
              <w:jc w:val="left"/>
              <w:rPr>
                <w:rFonts w:ascii="宋体" w:hAnsi="宋体"/>
                <w:szCs w:val="21"/>
              </w:rPr>
            </w:pPr>
            <w:r>
              <w:rPr>
                <w:rFonts w:hint="eastAsia" w:ascii="宋体" w:hAnsi="宋体" w:cs="微软雅黑"/>
                <w:kern w:val="0"/>
                <w:szCs w:val="21"/>
              </w:rPr>
              <w:t>……</w:t>
            </w:r>
          </w:p>
        </w:tc>
        <w:tc>
          <w:tcPr>
            <w:tcW w:w="12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851" w:type="dxa"/>
            <w:vAlign w:val="center"/>
          </w:tcPr>
          <w:p>
            <w:pPr>
              <w:jc w:val="center"/>
              <w:rPr>
                <w:rFonts w:ascii="宋体" w:hAnsi="宋体"/>
                <w:szCs w:val="21"/>
              </w:rPr>
            </w:pPr>
          </w:p>
        </w:tc>
        <w:tc>
          <w:tcPr>
            <w:tcW w:w="1277" w:type="dxa"/>
            <w:vAlign w:val="center"/>
          </w:tcPr>
          <w:p>
            <w:pPr>
              <w:jc w:val="center"/>
              <w:rPr>
                <w:rFonts w:ascii="宋体" w:hAnsi="宋体"/>
                <w:szCs w:val="21"/>
              </w:rPr>
            </w:pPr>
          </w:p>
        </w:tc>
        <w:tc>
          <w:tcPr>
            <w:tcW w:w="2692" w:type="dxa"/>
            <w:vAlign w:val="center"/>
          </w:tcPr>
          <w:p>
            <w:pPr>
              <w:adjustRightInd w:val="0"/>
              <w:snapToGrid w:val="0"/>
              <w:jc w:val="left"/>
              <w:rPr>
                <w:rFonts w:ascii="宋体" w:hAnsi="宋体"/>
                <w:szCs w:val="21"/>
              </w:rPr>
            </w:pPr>
            <w:r>
              <w:rPr>
                <w:rFonts w:hint="eastAsia" w:ascii="宋体" w:hAnsi="宋体"/>
                <w:szCs w:val="21"/>
              </w:rPr>
              <w:t>2.12 配送管理</w:t>
            </w:r>
          </w:p>
        </w:tc>
        <w:tc>
          <w:tcPr>
            <w:tcW w:w="4238" w:type="dxa"/>
            <w:vAlign w:val="center"/>
          </w:tcPr>
          <w:p>
            <w:pPr>
              <w:widowControl/>
              <w:shd w:val="clear" w:color="auto" w:fill="FFFFFF"/>
              <w:ind w:firstLine="420" w:firstLineChars="200"/>
              <w:rPr>
                <w:rFonts w:ascii="宋体" w:hAnsi="宋体" w:cs="微软雅黑"/>
                <w:szCs w:val="21"/>
                <w:shd w:val="clear" w:color="auto" w:fill="FFFFFF"/>
              </w:rPr>
            </w:pPr>
            <w:r>
              <w:rPr>
                <w:rFonts w:hint="eastAsia" w:ascii="宋体" w:hAnsi="宋体" w:cs="微软雅黑"/>
                <w:szCs w:val="21"/>
              </w:rPr>
              <w:t>《</w:t>
            </w:r>
            <w:r>
              <w:rPr>
                <w:rFonts w:hint="eastAsia" w:ascii="宋体" w:hAnsi="宋体" w:cs="微软雅黑"/>
                <w:szCs w:val="21"/>
                <w:shd w:val="clear" w:color="auto" w:fill="FFFFFF"/>
              </w:rPr>
              <w:t>烟花爆竹生产经营安全规定</w:t>
            </w:r>
            <w:r>
              <w:rPr>
                <w:rFonts w:hint="eastAsia" w:ascii="宋体" w:hAnsi="宋体" w:cs="微软雅黑"/>
                <w:szCs w:val="21"/>
              </w:rPr>
              <w:t>》</w:t>
            </w:r>
            <w:r>
              <w:rPr>
                <w:rFonts w:hint="eastAsia" w:ascii="宋体" w:hAnsi="宋体" w:cs="微软雅黑"/>
                <w:szCs w:val="21"/>
                <w:shd w:val="clear" w:color="auto" w:fill="FFFFFF"/>
              </w:rPr>
              <w:t>第二十七条  批发企业应当向零售经营者及零售经营场所提供烟花爆竹配送服务。配送烟花爆竹抵达零售经营场所装卸作业时，应当轻拿轻放、妥善码放，禁止碰撞、拖拉、抛摔、翻滚、摩擦、挤压等不安全行为。</w:t>
            </w:r>
          </w:p>
          <w:p>
            <w:pPr>
              <w:adjustRightInd w:val="0"/>
              <w:snapToGrid w:val="0"/>
              <w:ind w:firstLine="420" w:firstLineChars="200"/>
              <w:rPr>
                <w:rFonts w:asciiTheme="minorEastAsia" w:hAnsiTheme="minorEastAsia" w:eastAsiaTheme="minorEastAsia"/>
                <w:szCs w:val="21"/>
              </w:rPr>
            </w:pPr>
            <w:r>
              <w:rPr>
                <w:rFonts w:hint="eastAsia" w:ascii="宋体" w:hAnsi="宋体" w:cs="微软雅黑"/>
                <w:szCs w:val="21"/>
                <w:shd w:val="clear" w:color="auto" w:fill="FFFFFF"/>
              </w:rPr>
              <w:t>第二十八条  零售经营者应当向批发企业采购烟花爆竹并接受批发企业配送服务，不得到企业仓库自行提取烟花爆竹。</w:t>
            </w:r>
          </w:p>
        </w:tc>
        <w:tc>
          <w:tcPr>
            <w:tcW w:w="3983" w:type="dxa"/>
            <w:vAlign w:val="center"/>
          </w:tcPr>
          <w:p>
            <w:pPr>
              <w:shd w:val="clear" w:color="auto" w:fill="FFFFFF"/>
              <w:ind w:firstLine="420" w:firstLineChars="200"/>
              <w:rPr>
                <w:rFonts w:ascii="宋体" w:hAnsi="宋体" w:cs="宋体"/>
                <w:kern w:val="0"/>
                <w:szCs w:val="21"/>
              </w:rPr>
            </w:pPr>
            <w:r>
              <w:rPr>
                <w:rFonts w:hint="eastAsia" w:ascii="宋体" w:hAnsi="宋体" w:cs="微软雅黑"/>
                <w:szCs w:val="21"/>
              </w:rPr>
              <w:t>《</w:t>
            </w:r>
            <w:r>
              <w:rPr>
                <w:rFonts w:hint="eastAsia" w:ascii="宋体" w:hAnsi="宋体" w:cs="微软雅黑"/>
                <w:szCs w:val="21"/>
                <w:shd w:val="clear" w:color="auto" w:fill="FFFFFF"/>
              </w:rPr>
              <w:t>烟花爆竹生产经营安全规定</w:t>
            </w:r>
            <w:r>
              <w:rPr>
                <w:rFonts w:hint="eastAsia" w:ascii="宋体" w:hAnsi="宋体" w:cs="微软雅黑"/>
                <w:szCs w:val="21"/>
              </w:rPr>
              <w:t>》</w:t>
            </w:r>
            <w:r>
              <w:rPr>
                <w:rFonts w:hint="eastAsia" w:ascii="宋体" w:hAnsi="宋体" w:cs="微软雅黑"/>
                <w:kern w:val="0"/>
                <w:szCs w:val="21"/>
              </w:rPr>
              <w:t>第三十三条  生产企业、批发企业有下列行为之一的，责令限期改正；逾期未改正的，处一万元以上三万元以下的罚款：</w:t>
            </w:r>
          </w:p>
          <w:p>
            <w:pPr>
              <w:widowControl/>
              <w:shd w:val="clear" w:color="auto" w:fill="FFFFFF"/>
              <w:ind w:firstLine="420" w:firstLineChars="200"/>
              <w:rPr>
                <w:rFonts w:ascii="宋体" w:hAnsi="宋体"/>
                <w:szCs w:val="21"/>
              </w:rPr>
            </w:pPr>
            <w:r>
              <w:rPr>
                <w:rFonts w:hint="eastAsia" w:ascii="宋体" w:hAnsi="宋体"/>
                <w:szCs w:val="21"/>
              </w:rPr>
              <w:t>……</w:t>
            </w:r>
          </w:p>
          <w:p>
            <w:pPr>
              <w:widowControl/>
              <w:shd w:val="clear" w:color="auto" w:fill="FFFFFF"/>
              <w:ind w:firstLine="420" w:firstLineChars="200"/>
              <w:jc w:val="left"/>
              <w:rPr>
                <w:rFonts w:ascii="宋体" w:hAnsi="宋体" w:cs="宋体"/>
                <w:kern w:val="0"/>
                <w:szCs w:val="21"/>
              </w:rPr>
            </w:pPr>
            <w:r>
              <w:rPr>
                <w:rFonts w:hint="eastAsia" w:ascii="宋体" w:hAnsi="宋体" w:cs="微软雅黑"/>
                <w:kern w:val="0"/>
                <w:szCs w:val="21"/>
              </w:rPr>
              <w:t>（二）未向零售经营者或者零售经营场所提供烟花爆竹配送服务的。</w:t>
            </w:r>
          </w:p>
          <w:p>
            <w:pPr>
              <w:widowControl/>
              <w:shd w:val="clear" w:color="auto" w:fill="FFFFFF"/>
              <w:ind w:firstLine="420" w:firstLineChars="200"/>
              <w:jc w:val="left"/>
              <w:rPr>
                <w:rFonts w:ascii="宋体" w:hAnsi="宋体" w:cs="宋体"/>
                <w:kern w:val="0"/>
                <w:szCs w:val="21"/>
              </w:rPr>
            </w:pPr>
            <w:r>
              <w:rPr>
                <w:rFonts w:hint="eastAsia" w:ascii="宋体" w:hAnsi="宋体" w:cs="微软雅黑"/>
                <w:kern w:val="0"/>
                <w:szCs w:val="21"/>
              </w:rPr>
              <w:t>第三十六条  零售经营者有下列行为之一的，责令其限期改正，可以处一千元以上五千元以下的罚款；逾期未改正的，处五千元以上一万元以下的罚款：</w:t>
            </w:r>
          </w:p>
          <w:p>
            <w:pPr>
              <w:widowControl/>
              <w:shd w:val="clear" w:color="auto" w:fill="FFFFFF"/>
              <w:ind w:firstLine="420" w:firstLineChars="200"/>
              <w:rPr>
                <w:rFonts w:ascii="宋体" w:hAnsi="宋体"/>
                <w:szCs w:val="21"/>
              </w:rPr>
            </w:pPr>
            <w:r>
              <w:rPr>
                <w:rFonts w:hint="eastAsia" w:ascii="宋体" w:hAnsi="宋体"/>
                <w:szCs w:val="21"/>
              </w:rPr>
              <w:t>……</w:t>
            </w:r>
          </w:p>
          <w:p>
            <w:pPr>
              <w:widowControl/>
              <w:shd w:val="clear" w:color="auto" w:fill="FFFFFF"/>
              <w:ind w:firstLine="420" w:firstLineChars="200"/>
              <w:jc w:val="left"/>
              <w:rPr>
                <w:rFonts w:ascii="宋体" w:hAnsi="宋体"/>
                <w:szCs w:val="21"/>
              </w:rPr>
            </w:pPr>
            <w:r>
              <w:rPr>
                <w:rFonts w:hint="eastAsia" w:ascii="宋体" w:hAnsi="宋体" w:cs="微软雅黑"/>
                <w:kern w:val="0"/>
                <w:szCs w:val="21"/>
              </w:rPr>
              <w:t>（二）到批发企业仓库自行提取烟花爆竹的。</w:t>
            </w:r>
          </w:p>
        </w:tc>
        <w:tc>
          <w:tcPr>
            <w:tcW w:w="1277" w:type="dxa"/>
            <w:vAlign w:val="center"/>
          </w:tcPr>
          <w:p>
            <w:pPr>
              <w:jc w:val="center"/>
            </w:pPr>
          </w:p>
        </w:tc>
      </w:tr>
    </w:tbl>
    <w:p/>
    <w:p>
      <w:pPr>
        <w:pStyle w:val="12"/>
        <w:tabs>
          <w:tab w:val="right" w:leader="dot" w:pos="13653"/>
        </w:tabs>
        <w:spacing w:line="360" w:lineRule="auto"/>
        <w:ind w:left="0" w:leftChars="0"/>
      </w:pPr>
      <w:bookmarkStart w:id="25" w:name="_Toc494120449"/>
      <w:bookmarkStart w:id="26" w:name="_Toc499799331"/>
      <w:bookmarkStart w:id="27" w:name="_Toc480902794"/>
    </w:p>
    <w:p/>
    <w:p>
      <w:pPr>
        <w:pStyle w:val="4"/>
        <w:keepNext w:val="0"/>
        <w:keepLines w:val="0"/>
        <w:pageBreakBefore/>
        <w:spacing w:line="240" w:lineRule="auto"/>
        <w:rPr>
          <w:rFonts w:ascii="黑体" w:hAnsi="黑体" w:eastAsia="黑体"/>
          <w:b w:val="0"/>
          <w:bCs w:val="0"/>
        </w:rPr>
      </w:pPr>
      <w:r>
        <w:rPr>
          <w:rFonts w:hint="eastAsia" w:ascii="黑体" w:hAnsi="黑体" w:eastAsia="黑体"/>
          <w:b w:val="0"/>
          <w:bCs w:val="0"/>
        </w:rPr>
        <w:t>表</w:t>
      </w:r>
      <w:r>
        <w:rPr>
          <w:rFonts w:ascii="黑体" w:hAnsi="黑体" w:eastAsia="黑体"/>
          <w:b w:val="0"/>
          <w:bCs w:val="0"/>
        </w:rPr>
        <w:t xml:space="preserve">5  </w:t>
      </w:r>
      <w:r>
        <w:rPr>
          <w:rFonts w:hint="eastAsia" w:ascii="黑体" w:hAnsi="黑体" w:eastAsia="黑体"/>
          <w:b w:val="0"/>
          <w:bCs w:val="0"/>
        </w:rPr>
        <w:t>冶金等工贸企业监督检查重点事项</w:t>
      </w:r>
    </w:p>
    <w:p>
      <w:pPr>
        <w:pStyle w:val="4"/>
        <w:spacing w:line="240" w:lineRule="auto"/>
        <w:rPr>
          <w:rFonts w:ascii="黑体" w:hAnsi="黑体" w:eastAsia="黑体"/>
          <w:b w:val="0"/>
          <w:bCs w:val="0"/>
        </w:rPr>
      </w:pPr>
      <w:r>
        <w:rPr>
          <w:rFonts w:hint="eastAsia" w:ascii="黑体" w:hAnsi="黑体" w:eastAsia="黑体"/>
          <w:b w:val="0"/>
          <w:bCs w:val="0"/>
        </w:rPr>
        <w:t>表5-1  冶金企业</w:t>
      </w:r>
    </w:p>
    <w:tbl>
      <w:tblPr>
        <w:tblStyle w:val="19"/>
        <w:tblW w:w="13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816"/>
        <w:gridCol w:w="1704"/>
        <w:gridCol w:w="2551"/>
        <w:gridCol w:w="4250"/>
        <w:gridCol w:w="354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50" w:hRule="atLeast"/>
          <w:tblHeader/>
          <w:jc w:val="center"/>
        </w:trPr>
        <w:tc>
          <w:tcPr>
            <w:tcW w:w="816"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序号</w:t>
            </w:r>
          </w:p>
        </w:tc>
        <w:tc>
          <w:tcPr>
            <w:tcW w:w="1704"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检查事项</w:t>
            </w:r>
          </w:p>
        </w:tc>
        <w:tc>
          <w:tcPr>
            <w:tcW w:w="2551"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检查内容</w:t>
            </w:r>
          </w:p>
        </w:tc>
        <w:tc>
          <w:tcPr>
            <w:tcW w:w="4250"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检查依据指引</w:t>
            </w:r>
          </w:p>
        </w:tc>
        <w:tc>
          <w:tcPr>
            <w:tcW w:w="3545"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法律责任指引</w:t>
            </w:r>
          </w:p>
        </w:tc>
        <w:tc>
          <w:tcPr>
            <w:tcW w:w="1013"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jc w:val="center"/>
              <w:rPr>
                <w:rFonts w:ascii="宋体" w:hAnsi="宋体"/>
                <w:szCs w:val="21"/>
              </w:rPr>
            </w:pPr>
            <w:r>
              <w:rPr>
                <w:rFonts w:hint="eastAsia" w:ascii="宋体" w:hAnsi="宋体"/>
                <w:szCs w:val="21"/>
              </w:rPr>
              <w:t>1</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人员管理情况</w:t>
            </w:r>
          </w:p>
        </w:tc>
        <w:tc>
          <w:tcPr>
            <w:tcW w:w="11359" w:type="dxa"/>
            <w:gridSpan w:val="4"/>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对冶金企业内的金属冶炼企业，按照《安全生产监督检查综合事项》第3项、第4项、第5项执行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jc w:val="center"/>
              <w:rPr>
                <w:rFonts w:ascii="宋体" w:hAnsi="宋体"/>
                <w:szCs w:val="21"/>
              </w:rPr>
            </w:pPr>
            <w:r>
              <w:rPr>
                <w:rFonts w:hint="eastAsia" w:ascii="宋体" w:hAnsi="宋体"/>
                <w:szCs w:val="21"/>
              </w:rPr>
              <w:t>2</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建设项目安全评价及建设项目安全设施“三同时”情况</w:t>
            </w:r>
          </w:p>
        </w:tc>
        <w:tc>
          <w:tcPr>
            <w:tcW w:w="11359" w:type="dxa"/>
            <w:gridSpan w:val="4"/>
            <w:vAlign w:val="center"/>
          </w:tcPr>
          <w:p>
            <w:pPr>
              <w:widowControl/>
              <w:adjustRightInd w:val="0"/>
              <w:snapToGrid w:val="0"/>
              <w:rPr>
                <w:rFonts w:ascii="宋体" w:hAnsi="宋体" w:cs="宋体"/>
                <w:kern w:val="0"/>
                <w:szCs w:val="21"/>
              </w:rPr>
            </w:pPr>
            <w:r>
              <w:rPr>
                <w:rFonts w:hint="eastAsia" w:ascii="宋体" w:hAnsi="宋体" w:cs="宋体"/>
                <w:kern w:val="0"/>
                <w:szCs w:val="21"/>
              </w:rPr>
              <w:t>对冶金企业内的金属冶炼企业，按照《安全生产监督检查综合事项》第6项执行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jc w:val="center"/>
              <w:rPr>
                <w:rFonts w:ascii="宋体" w:hAnsi="宋体"/>
                <w:szCs w:val="21"/>
              </w:rPr>
            </w:pPr>
            <w:r>
              <w:rPr>
                <w:rFonts w:hint="eastAsia" w:ascii="宋体" w:hAnsi="宋体"/>
                <w:szCs w:val="21"/>
              </w:rPr>
              <w:t>3</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人员密集场所设置情况</w:t>
            </w:r>
          </w:p>
        </w:tc>
        <w:tc>
          <w:tcPr>
            <w:tcW w:w="2551" w:type="dxa"/>
            <w:vAlign w:val="center"/>
          </w:tcPr>
          <w:p>
            <w:pPr>
              <w:widowControl/>
              <w:adjustRightInd w:val="0"/>
              <w:snapToGrid w:val="0"/>
              <w:rPr>
                <w:rFonts w:ascii="思源黑体 CN" w:hAnsi="思源黑体 CN" w:eastAsia="思源黑体 CN" w:cs="思源黑体 CN"/>
                <w:szCs w:val="21"/>
              </w:rPr>
            </w:pPr>
            <w:r>
              <w:rPr>
                <w:rFonts w:hint="eastAsia" w:ascii="思源黑体 CN" w:hAnsi="思源黑体 CN" w:eastAsia="思源黑体 CN" w:cs="思源黑体 CN"/>
                <w:szCs w:val="21"/>
              </w:rPr>
              <w:t>★</w:t>
            </w:r>
            <w:r>
              <w:rPr>
                <w:rFonts w:ascii="宋体" w:hAnsi="宋体" w:cs="宋体"/>
                <w:kern w:val="0"/>
                <w:szCs w:val="21"/>
              </w:rPr>
              <w:t>操作室、会议室、交接班室、活动室、休息室、更衣室等场所</w:t>
            </w:r>
            <w:r>
              <w:rPr>
                <w:rFonts w:hint="eastAsia" w:ascii="宋体" w:hAnsi="宋体" w:cs="宋体"/>
                <w:kern w:val="0"/>
                <w:szCs w:val="21"/>
                <w:lang w:eastAsia="zh-CN"/>
              </w:rPr>
              <w:t>应避免</w:t>
            </w:r>
            <w:r>
              <w:rPr>
                <w:rFonts w:ascii="宋体" w:hAnsi="宋体" w:cs="宋体"/>
                <w:kern w:val="0"/>
                <w:szCs w:val="21"/>
              </w:rPr>
              <w:t>设置在铁水、钢水与液渣吊运影响的范围内</w:t>
            </w:r>
          </w:p>
        </w:tc>
        <w:tc>
          <w:tcPr>
            <w:tcW w:w="4250" w:type="dxa"/>
            <w:vAlign w:val="center"/>
          </w:tcPr>
          <w:p>
            <w:pPr>
              <w:widowControl/>
              <w:adjustRightInd w:val="0"/>
              <w:snapToGrid w:val="0"/>
              <w:ind w:firstLine="420" w:firstLineChars="200"/>
              <w:rPr>
                <w:rFonts w:ascii="宋体" w:hAnsi="宋体" w:cs="宋体"/>
                <w:kern w:val="0"/>
                <w:szCs w:val="21"/>
              </w:rPr>
            </w:pPr>
            <w:r>
              <w:rPr>
                <w:rFonts w:ascii="宋体" w:hAnsi="宋体" w:cs="宋体"/>
                <w:kern w:val="0"/>
                <w:szCs w:val="21"/>
              </w:rPr>
              <w:t>《安全生产法》第三十八条</w:t>
            </w:r>
            <w:r>
              <w:rPr>
                <w:rFonts w:hint="eastAsia" w:ascii="宋体" w:hAnsi="宋体" w:cs="宋体"/>
                <w:kern w:val="0"/>
                <w:szCs w:val="21"/>
              </w:rPr>
              <w:t xml:space="preserve">  </w:t>
            </w:r>
            <w:r>
              <w:rPr>
                <w:rFonts w:ascii="宋体" w:hAnsi="宋体" w:cs="宋体"/>
                <w:kern w:val="0"/>
                <w:szCs w:val="21"/>
              </w:rPr>
              <w:t>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ascii="宋体" w:hAnsi="宋体" w:cs="宋体"/>
                <w:kern w:val="0"/>
                <w:szCs w:val="21"/>
              </w:rPr>
              <w:t>《高温熔融金属吊运安全规程》（AQ7011-2018）</w:t>
            </w:r>
          </w:p>
          <w:p>
            <w:pPr>
              <w:widowControl/>
              <w:adjustRightInd w:val="0"/>
              <w:snapToGrid w:val="0"/>
              <w:ind w:firstLine="420" w:firstLineChars="200"/>
              <w:rPr>
                <w:rFonts w:ascii="宋体" w:hAnsi="宋体" w:cs="宋体"/>
                <w:kern w:val="0"/>
                <w:szCs w:val="21"/>
              </w:rPr>
            </w:pPr>
            <w:r>
              <w:rPr>
                <w:rFonts w:ascii="宋体" w:hAnsi="宋体" w:cs="宋体"/>
                <w:kern w:val="0"/>
                <w:szCs w:val="21"/>
              </w:rPr>
              <w:t>5.7</w:t>
            </w:r>
            <w:r>
              <w:rPr>
                <w:rFonts w:hint="eastAsia" w:ascii="宋体" w:hAnsi="宋体" w:cs="宋体"/>
                <w:kern w:val="0"/>
                <w:szCs w:val="21"/>
              </w:rPr>
              <w:t xml:space="preserve">  </w:t>
            </w:r>
            <w:r>
              <w:rPr>
                <w:rFonts w:ascii="宋体" w:hAnsi="宋体" w:cs="宋体"/>
                <w:kern w:val="0"/>
                <w:szCs w:val="21"/>
              </w:rPr>
              <w:t>高温熔融金属和熔渣吊运行走区域禁止设置操作室、会议室、交接班室、活动室、休息室、更衣室、澡堂等人员集聚场所；危险区域附近的上述建筑物的门、窗应背对吊运区域。</w:t>
            </w:r>
          </w:p>
          <w:p>
            <w:pPr>
              <w:widowControl/>
              <w:adjustRightInd w:val="0"/>
              <w:snapToGrid w:val="0"/>
              <w:ind w:firstLine="420" w:firstLineChars="200"/>
              <w:rPr>
                <w:rFonts w:ascii="宋体" w:hAnsi="宋体" w:cs="宋体"/>
                <w:kern w:val="0"/>
                <w:szCs w:val="21"/>
              </w:rPr>
            </w:pPr>
            <w:r>
              <w:rPr>
                <w:rFonts w:ascii="宋体" w:hAnsi="宋体" w:cs="宋体"/>
                <w:kern w:val="0"/>
                <w:szCs w:val="21"/>
              </w:rPr>
              <w:t>5.17</w:t>
            </w:r>
            <w:r>
              <w:rPr>
                <w:rFonts w:hint="eastAsia" w:ascii="宋体" w:hAnsi="宋体" w:cs="宋体"/>
                <w:kern w:val="0"/>
                <w:szCs w:val="21"/>
              </w:rPr>
              <w:t xml:space="preserve">  </w:t>
            </w:r>
            <w:r>
              <w:rPr>
                <w:rFonts w:ascii="宋体" w:hAnsi="宋体" w:cs="宋体"/>
                <w:kern w:val="0"/>
                <w:szCs w:val="21"/>
              </w:rPr>
              <w:t>熔融金属罐冷热修区不应设在吊运路线上，应设置通风降温设施，地面应有安全通道。</w:t>
            </w:r>
          </w:p>
          <w:p>
            <w:pPr>
              <w:widowControl/>
              <w:adjustRightInd w:val="0"/>
              <w:snapToGrid w:val="0"/>
              <w:ind w:firstLine="420" w:firstLineChars="200"/>
              <w:rPr>
                <w:rFonts w:ascii="宋体" w:hAnsi="宋体" w:cs="宋体"/>
                <w:kern w:val="0"/>
                <w:szCs w:val="21"/>
              </w:rPr>
            </w:pPr>
            <w:r>
              <w:rPr>
                <w:rFonts w:ascii="宋体" w:hAnsi="宋体" w:cs="宋体"/>
                <w:kern w:val="0"/>
                <w:szCs w:val="21"/>
              </w:rPr>
              <w:t>《工贸行业重大生产安全事故隐患判定标准（2017版）》（安监总管四〔2017〕129号）</w:t>
            </w:r>
          </w:p>
          <w:p>
            <w:pPr>
              <w:widowControl/>
              <w:adjustRightInd w:val="0"/>
              <w:snapToGrid w:val="0"/>
              <w:ind w:firstLine="420" w:firstLineChars="200"/>
              <w:rPr>
                <w:rFonts w:ascii="宋体" w:hAnsi="宋体" w:cs="宋体"/>
                <w:kern w:val="0"/>
                <w:szCs w:val="21"/>
              </w:rPr>
            </w:pPr>
            <w:r>
              <w:rPr>
                <w:rFonts w:ascii="宋体" w:hAnsi="宋体" w:cs="宋体"/>
                <w:kern w:val="0"/>
                <w:szCs w:val="21"/>
              </w:rPr>
              <w:t>二、行业类重大事故隐患</w:t>
            </w:r>
          </w:p>
          <w:p>
            <w:pPr>
              <w:widowControl/>
              <w:adjustRightInd w:val="0"/>
              <w:snapToGrid w:val="0"/>
              <w:ind w:firstLine="420" w:firstLineChars="200"/>
              <w:rPr>
                <w:rFonts w:ascii="宋体" w:hAnsi="宋体" w:cs="宋体"/>
                <w:kern w:val="0"/>
                <w:szCs w:val="21"/>
              </w:rPr>
            </w:pPr>
            <w:r>
              <w:rPr>
                <w:rFonts w:ascii="宋体" w:hAnsi="宋体" w:cs="宋体"/>
                <w:kern w:val="0"/>
                <w:szCs w:val="21"/>
              </w:rPr>
              <w:t>（一）冶金行业。</w:t>
            </w:r>
          </w:p>
          <w:p>
            <w:pPr>
              <w:widowControl/>
              <w:adjustRightInd w:val="0"/>
              <w:snapToGrid w:val="0"/>
              <w:ind w:firstLine="420" w:firstLineChars="200"/>
              <w:rPr>
                <w:rFonts w:ascii="宋体" w:hAnsi="宋体" w:cs="宋体"/>
                <w:kern w:val="0"/>
                <w:szCs w:val="21"/>
              </w:rPr>
            </w:pPr>
            <w:r>
              <w:rPr>
                <w:rFonts w:ascii="宋体" w:hAnsi="宋体" w:cs="宋体"/>
                <w:kern w:val="0"/>
                <w:szCs w:val="21"/>
              </w:rPr>
              <w:t>1.会议室、活动室、休息室、更衣室等场所设置在铁水、钢水与液渣吊运影响的范围内。</w:t>
            </w:r>
          </w:p>
          <w:p>
            <w:pPr>
              <w:widowControl/>
              <w:adjustRightInd w:val="0"/>
              <w:snapToGrid w:val="0"/>
              <w:ind w:firstLine="420" w:firstLineChars="200"/>
            </w:pPr>
            <w:r>
              <w:rPr>
                <w:rFonts w:ascii="宋体" w:hAnsi="宋体" w:cs="宋体"/>
                <w:kern w:val="0"/>
                <w:szCs w:val="21"/>
              </w:rPr>
              <w:t>《冶金企业和有色金属企业安全生产规定》第二十七条</w:t>
            </w:r>
            <w:r>
              <w:rPr>
                <w:rFonts w:hint="eastAsia" w:ascii="宋体" w:hAnsi="宋体" w:cs="宋体"/>
                <w:kern w:val="0"/>
                <w:szCs w:val="21"/>
              </w:rPr>
              <w:t xml:space="preserve">  </w:t>
            </w:r>
            <w:r>
              <w:rPr>
                <w:rFonts w:ascii="宋体" w:hAnsi="宋体" w:cs="宋体"/>
                <w:kern w:val="0"/>
                <w:szCs w:val="21"/>
              </w:rPr>
              <w:t>企业的操作室、会议室、活动室、休息室、更衣室等场所不得设置在高温熔融金属吊运的影响范围内。</w:t>
            </w:r>
          </w:p>
        </w:tc>
        <w:tc>
          <w:tcPr>
            <w:tcW w:w="3545" w:type="dxa"/>
            <w:vAlign w:val="center"/>
          </w:tcPr>
          <w:p>
            <w:pPr>
              <w:widowControl/>
              <w:adjustRightInd w:val="0"/>
              <w:snapToGrid w:val="0"/>
              <w:ind w:firstLine="420" w:firstLineChars="200"/>
              <w:rPr>
                <w:rFonts w:hint="eastAsia"/>
              </w:rPr>
            </w:pPr>
            <w:r>
              <w:rPr>
                <w:rFonts w:hint="eastAsia"/>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pStyle w:val="2"/>
            </w:pPr>
            <w:r>
              <w:rPr>
                <w:rFonts w:hint="eastAsia" w:ascii="Calibri" w:hAnsi="Calibri" w:eastAsia="宋体" w:cs="Times New Roman"/>
                <w:color w:val="auto"/>
                <w:kern w:val="2"/>
                <w:sz w:val="21"/>
                <w:szCs w:val="22"/>
                <w:highlight w:val="none"/>
                <w:lang w:val="en-US" w:eastAsia="zh-CN" w:bidi="ar-SA"/>
              </w:rPr>
              <w:t>《冶金企业和有色金属企业安全生产规定》</w:t>
            </w:r>
            <w:r>
              <w:rPr>
                <w:rFonts w:hint="default" w:ascii="Calibri" w:hAnsi="Calibri" w:eastAsia="宋体" w:cs="Times New Roman"/>
                <w:color w:val="auto"/>
                <w:kern w:val="2"/>
                <w:sz w:val="21"/>
                <w:szCs w:val="22"/>
                <w:highlight w:val="none"/>
                <w:lang w:val="en-US" w:eastAsia="zh-CN" w:bidi="ar-SA"/>
              </w:rPr>
              <w:t>第四十六条</w:t>
            </w:r>
            <w:r>
              <w:rPr>
                <w:rFonts w:hint="eastAsia" w:eastAsia="宋体" w:cs="Times New Roman"/>
                <w:color w:val="auto"/>
                <w:kern w:val="2"/>
                <w:sz w:val="21"/>
                <w:szCs w:val="22"/>
                <w:highlight w:val="none"/>
                <w:lang w:val="en-US" w:eastAsia="zh-CN" w:bidi="ar-SA"/>
              </w:rPr>
              <w:t xml:space="preserve">  </w:t>
            </w:r>
            <w:r>
              <w:rPr>
                <w:rFonts w:hint="default" w:ascii="Calibri" w:hAnsi="Calibri" w:eastAsia="宋体" w:cs="Times New Roman"/>
                <w:color w:val="auto"/>
                <w:kern w:val="2"/>
                <w:sz w:val="21"/>
                <w:szCs w:val="22"/>
                <w:highlight w:val="none"/>
                <w:lang w:val="en-US" w:eastAsia="zh-CN" w:bidi="ar-SA"/>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jc w:val="center"/>
              <w:rPr>
                <w:rFonts w:ascii="宋体" w:hAnsi="宋体"/>
                <w:szCs w:val="21"/>
              </w:rPr>
            </w:pPr>
            <w:r>
              <w:rPr>
                <w:rFonts w:hint="eastAsia" w:ascii="宋体" w:hAnsi="宋体"/>
                <w:szCs w:val="21"/>
              </w:rPr>
              <w:t>4</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起重机情况</w:t>
            </w: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ascii="宋体" w:hAnsi="宋体"/>
                <w:kern w:val="0"/>
                <w:szCs w:val="21"/>
              </w:rPr>
              <w:t>炼钢厂在吊运铁水、钢水或液渣时，使用固定式龙门钩的铸造起重机；炼铁厂铸铁车间吊运铁水、液渣起重机符合冶金起重机的相关要求</w:t>
            </w:r>
          </w:p>
        </w:tc>
        <w:tc>
          <w:tcPr>
            <w:tcW w:w="425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《炼钢安全规程》（AQ2001-</w:t>
            </w:r>
            <w:r>
              <w:rPr>
                <w:rFonts w:ascii="宋体" w:hAnsi="宋体" w:cs="宋体"/>
                <w:kern w:val="0"/>
                <w:szCs w:val="21"/>
              </w:rPr>
              <w:t>2018</w:t>
            </w: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8.4.4炼钢车间铁水、钢水或液渣，应使用铸造起重机，铸造起重机额定能力应符合G</w:t>
            </w:r>
            <w:r>
              <w:rPr>
                <w:rFonts w:ascii="宋体" w:hAnsi="宋体" w:cs="宋体"/>
                <w:kern w:val="0"/>
                <w:szCs w:val="21"/>
              </w:rPr>
              <w:t>B50439</w:t>
            </w:r>
            <w:r>
              <w:rPr>
                <w:rFonts w:hint="eastAsia" w:ascii="宋体" w:hAnsi="宋体" w:cs="宋体"/>
                <w:kern w:val="0"/>
                <w:szCs w:val="21"/>
              </w:rPr>
              <w:t>的规定。</w:t>
            </w:r>
          </w:p>
          <w:p>
            <w:pPr>
              <w:widowControl/>
              <w:adjustRightInd w:val="0"/>
              <w:snapToGrid w:val="0"/>
              <w:ind w:firstLine="420"/>
              <w:rPr>
                <w:rFonts w:ascii="宋体" w:hAnsi="宋体"/>
                <w:kern w:val="0"/>
                <w:szCs w:val="21"/>
                <w:highlight w:val="none"/>
              </w:rPr>
            </w:pPr>
            <w:r>
              <w:rPr>
                <w:rFonts w:ascii="宋体" w:hAnsi="宋体"/>
                <w:kern w:val="0"/>
                <w:szCs w:val="21"/>
                <w:highlight w:val="none"/>
              </w:rPr>
              <w:t>《高温熔融金属吊运安全规程》（AQ7011-2018）</w:t>
            </w:r>
          </w:p>
          <w:p>
            <w:pPr>
              <w:pStyle w:val="2"/>
              <w:widowControl/>
              <w:adjustRightInd w:val="0"/>
              <w:snapToGrid w:val="0"/>
              <w:ind w:firstLine="420"/>
              <w:rPr>
                <w:rFonts w:ascii="宋体" w:hAnsi="宋体" w:eastAsia="宋体" w:cs="宋体"/>
                <w:kern w:val="0"/>
                <w:szCs w:val="21"/>
              </w:rPr>
            </w:pPr>
            <w:r>
              <w:rPr>
                <w:rFonts w:hint="eastAsia" w:ascii="宋体" w:hAnsi="宋体" w:eastAsia="宋体" w:cs="宋体"/>
                <w:kern w:val="0"/>
                <w:szCs w:val="21"/>
              </w:rPr>
              <w:t>6.1.2 炼钢企业吊运铁水、钢水或液渣，应使用带有固定龙门钩的铸造起重机，铸造起重机额定能力应符合GB50439的规定。</w:t>
            </w:r>
          </w:p>
          <w:p>
            <w:pPr>
              <w:widowControl/>
              <w:adjustRightInd w:val="0"/>
              <w:snapToGrid w:val="0"/>
              <w:ind w:firstLine="420" w:firstLineChars="200"/>
              <w:rPr>
                <w:rFonts w:ascii="宋体" w:hAnsi="宋体" w:cs="宋体"/>
                <w:kern w:val="0"/>
                <w:szCs w:val="21"/>
              </w:rPr>
            </w:pPr>
            <w:r>
              <w:rPr>
                <w:rFonts w:ascii="宋体" w:hAnsi="宋体" w:cs="宋体"/>
                <w:kern w:val="0"/>
                <w:szCs w:val="21"/>
              </w:rPr>
              <w:t>《工贸行业重大生产安全事故隐患判定标准（2017版）》（安监总管四〔2017〕129号）</w:t>
            </w:r>
          </w:p>
          <w:p>
            <w:pPr>
              <w:widowControl/>
              <w:adjustRightInd w:val="0"/>
              <w:snapToGrid w:val="0"/>
              <w:ind w:firstLine="420" w:firstLineChars="200"/>
              <w:rPr>
                <w:rFonts w:ascii="宋体" w:hAnsi="宋体" w:cs="宋体"/>
                <w:kern w:val="0"/>
                <w:szCs w:val="21"/>
              </w:rPr>
            </w:pPr>
            <w:r>
              <w:rPr>
                <w:rFonts w:ascii="宋体" w:hAnsi="宋体" w:cs="宋体"/>
                <w:kern w:val="0"/>
                <w:szCs w:val="21"/>
              </w:rPr>
              <w:t>二、行业类重大事故隐患</w:t>
            </w:r>
          </w:p>
          <w:p>
            <w:pPr>
              <w:widowControl/>
              <w:adjustRightInd w:val="0"/>
              <w:snapToGrid w:val="0"/>
              <w:ind w:firstLine="420" w:firstLineChars="200"/>
              <w:rPr>
                <w:rFonts w:ascii="宋体" w:hAnsi="宋体" w:cs="宋体"/>
                <w:kern w:val="0"/>
                <w:szCs w:val="21"/>
              </w:rPr>
            </w:pPr>
            <w:r>
              <w:rPr>
                <w:rFonts w:ascii="宋体" w:hAnsi="宋体" w:cs="宋体"/>
                <w:kern w:val="0"/>
                <w:szCs w:val="21"/>
              </w:rPr>
              <w:t>（一）冶金行业。</w:t>
            </w:r>
          </w:p>
          <w:p>
            <w:pPr>
              <w:widowControl/>
              <w:adjustRightInd w:val="0"/>
              <w:snapToGrid w:val="0"/>
              <w:ind w:firstLine="420" w:firstLineChars="200"/>
              <w:rPr>
                <w:rFonts w:ascii="宋体" w:hAnsi="宋体" w:cs="宋体"/>
                <w:kern w:val="0"/>
                <w:sz w:val="20"/>
              </w:rPr>
            </w:pPr>
            <w:r>
              <w:rPr>
                <w:rFonts w:hint="eastAsia" w:ascii="宋体" w:hAnsi="宋体" w:cs="宋体"/>
                <w:kern w:val="0"/>
                <w:szCs w:val="21"/>
              </w:rPr>
              <w:t>吊运铁水、钢水与液渣起重机不符合冶金起重机的相关要求；炼钢厂在吊运重罐铁水、钢水或液渣时，未使用固定式龙门钩的铸造起重机。</w:t>
            </w:r>
          </w:p>
        </w:tc>
        <w:tc>
          <w:tcPr>
            <w:tcW w:w="3545"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w:t>
            </w:r>
            <w:r>
              <w:rPr>
                <w:rFonts w:hint="eastAsia"/>
              </w:rPr>
              <w:t>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jc w:val="center"/>
              <w:rPr>
                <w:rFonts w:ascii="宋体" w:hAnsi="宋体"/>
                <w:szCs w:val="21"/>
              </w:rPr>
            </w:pPr>
            <w:r>
              <w:rPr>
                <w:rFonts w:hint="eastAsia" w:ascii="宋体" w:hAnsi="宋体"/>
                <w:szCs w:val="21"/>
              </w:rPr>
              <w:t>5</w:t>
            </w:r>
          </w:p>
        </w:tc>
        <w:tc>
          <w:tcPr>
            <w:tcW w:w="1704" w:type="dxa"/>
            <w:vAlign w:val="center"/>
          </w:tcPr>
          <w:p>
            <w:pPr>
              <w:widowControl/>
              <w:adjustRightInd w:val="0"/>
              <w:snapToGrid w:val="0"/>
              <w:rPr>
                <w:rFonts w:ascii="宋体" w:hAnsi="宋体" w:cs="宋体"/>
                <w:kern w:val="0"/>
                <w:szCs w:val="21"/>
              </w:rPr>
            </w:pPr>
            <w:r>
              <w:rPr>
                <w:rFonts w:ascii="宋体" w:hAnsi="宋体"/>
                <w:kern w:val="0"/>
                <w:szCs w:val="21"/>
              </w:rPr>
              <w:t>吊运铁水、钢水与液渣起重机</w:t>
            </w:r>
            <w:r>
              <w:rPr>
                <w:rFonts w:hint="eastAsia" w:ascii="宋体" w:hAnsi="宋体"/>
                <w:kern w:val="0"/>
                <w:szCs w:val="21"/>
              </w:rPr>
              <w:t>的重要部件情况</w:t>
            </w:r>
          </w:p>
        </w:tc>
        <w:tc>
          <w:tcPr>
            <w:tcW w:w="2551" w:type="dxa"/>
            <w:vAlign w:val="center"/>
          </w:tcPr>
          <w:p>
            <w:pPr>
              <w:widowControl/>
              <w:adjustRightInd w:val="0"/>
              <w:snapToGrid w:val="0"/>
              <w:rPr>
                <w:rFonts w:ascii="宋体" w:hAnsi="宋体"/>
                <w:kern w:val="0"/>
                <w:szCs w:val="21"/>
              </w:rPr>
            </w:pPr>
            <w:r>
              <w:rPr>
                <w:rFonts w:hint="eastAsia" w:ascii="思源黑体 CN" w:hAnsi="思源黑体 CN" w:eastAsia="思源黑体 CN" w:cs="思源黑体 CN"/>
                <w:szCs w:val="21"/>
              </w:rPr>
              <w:t>★</w:t>
            </w:r>
            <w:r>
              <w:rPr>
                <w:rFonts w:ascii="宋体" w:hAnsi="宋体"/>
                <w:kern w:val="0"/>
                <w:szCs w:val="21"/>
              </w:rPr>
              <w:t>吊运铁水、钢水与液渣起重机龙门钩横梁</w:t>
            </w:r>
            <w:r>
              <w:rPr>
                <w:rFonts w:hint="eastAsia" w:ascii="宋体" w:hAnsi="宋体"/>
                <w:kern w:val="0"/>
                <w:szCs w:val="21"/>
              </w:rPr>
              <w:t>焊缝</w:t>
            </w:r>
            <w:r>
              <w:rPr>
                <w:rFonts w:ascii="宋体" w:hAnsi="宋体"/>
                <w:kern w:val="0"/>
                <w:szCs w:val="21"/>
              </w:rPr>
              <w:t>、耳轴销和吊钩、钢丝绳及其端头固定零件，定期</w:t>
            </w:r>
            <w:r>
              <w:rPr>
                <w:rFonts w:hint="eastAsia" w:ascii="宋体" w:hAnsi="宋体"/>
                <w:kern w:val="0"/>
                <w:szCs w:val="21"/>
              </w:rPr>
              <w:t>进行</w:t>
            </w:r>
            <w:r>
              <w:rPr>
                <w:rFonts w:ascii="宋体" w:hAnsi="宋体"/>
                <w:kern w:val="0"/>
                <w:szCs w:val="21"/>
              </w:rPr>
              <w:t>检查，发现问题</w:t>
            </w:r>
            <w:r>
              <w:rPr>
                <w:rFonts w:hint="eastAsia" w:ascii="宋体" w:hAnsi="宋体"/>
                <w:kern w:val="0"/>
                <w:szCs w:val="21"/>
              </w:rPr>
              <w:t>应</w:t>
            </w:r>
            <w:r>
              <w:rPr>
                <w:rFonts w:ascii="宋体" w:hAnsi="宋体"/>
                <w:kern w:val="0"/>
                <w:szCs w:val="21"/>
              </w:rPr>
              <w:t>及时整改</w:t>
            </w:r>
          </w:p>
        </w:tc>
        <w:tc>
          <w:tcPr>
            <w:tcW w:w="4250" w:type="dxa"/>
            <w:vAlign w:val="center"/>
          </w:tcPr>
          <w:p>
            <w:pPr>
              <w:widowControl/>
              <w:adjustRightInd w:val="0"/>
              <w:snapToGrid w:val="0"/>
              <w:ind w:firstLine="420" w:firstLineChars="200"/>
              <w:rPr>
                <w:rFonts w:ascii="宋体" w:hAnsi="宋体"/>
                <w:kern w:val="0"/>
                <w:szCs w:val="21"/>
              </w:rPr>
            </w:pPr>
            <w:r>
              <w:rPr>
                <w:rFonts w:ascii="宋体" w:hAnsi="宋体"/>
                <w:kern w:val="0"/>
                <w:szCs w:val="21"/>
              </w:rPr>
              <w:t>《安全生产法》第三十八条</w:t>
            </w:r>
            <w:r>
              <w:rPr>
                <w:rFonts w:hint="eastAsia" w:ascii="宋体" w:hAnsi="宋体"/>
                <w:kern w:val="0"/>
                <w:szCs w:val="21"/>
              </w:rPr>
              <w:t xml:space="preserve"> </w:t>
            </w:r>
            <w:r>
              <w:rPr>
                <w:rFonts w:ascii="宋体" w:hAnsi="宋体"/>
                <w:kern w:val="0"/>
                <w:szCs w:val="21"/>
              </w:rPr>
              <w:t>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kern w:val="0"/>
                <w:szCs w:val="21"/>
              </w:rPr>
            </w:pPr>
            <w:r>
              <w:rPr>
                <w:rFonts w:hint="eastAsia" w:ascii="宋体" w:hAnsi="宋体"/>
                <w:kern w:val="0"/>
                <w:szCs w:val="21"/>
              </w:rPr>
              <w:t>……</w:t>
            </w:r>
          </w:p>
          <w:p>
            <w:pPr>
              <w:widowControl/>
              <w:adjustRightInd w:val="0"/>
              <w:snapToGrid w:val="0"/>
              <w:ind w:firstLine="420" w:firstLineChars="200"/>
              <w:rPr>
                <w:rFonts w:ascii="宋体" w:hAnsi="宋体"/>
                <w:kern w:val="0"/>
                <w:szCs w:val="21"/>
              </w:rPr>
            </w:pPr>
            <w:r>
              <w:rPr>
                <w:rFonts w:ascii="宋体" w:hAnsi="宋体"/>
                <w:kern w:val="0"/>
                <w:szCs w:val="21"/>
              </w:rPr>
              <w:t>《炼钢安全规程》（AQ2001-2018）</w:t>
            </w:r>
          </w:p>
          <w:p>
            <w:pPr>
              <w:widowControl/>
              <w:adjustRightInd w:val="0"/>
              <w:snapToGrid w:val="0"/>
              <w:ind w:firstLine="420" w:firstLineChars="200"/>
              <w:rPr>
                <w:rFonts w:ascii="宋体" w:hAnsi="宋体"/>
                <w:kern w:val="0"/>
                <w:szCs w:val="21"/>
              </w:rPr>
            </w:pPr>
            <w:r>
              <w:rPr>
                <w:rFonts w:ascii="宋体" w:hAnsi="宋体"/>
                <w:kern w:val="0"/>
                <w:szCs w:val="21"/>
              </w:rPr>
              <w:t>8.4.3铁水罐、钢水罐龙门钩的横梁、耳轴销和吊钩、钢丝绳及其端头固定零件，应定期进行检查，发现问题及时处理，应定期对吊钩本体作超声波探伤检查。</w:t>
            </w:r>
          </w:p>
          <w:p>
            <w:pPr>
              <w:widowControl/>
              <w:adjustRightInd w:val="0"/>
              <w:snapToGrid w:val="0"/>
              <w:ind w:firstLine="420"/>
              <w:rPr>
                <w:rFonts w:ascii="宋体" w:hAnsi="宋体"/>
                <w:kern w:val="0"/>
                <w:szCs w:val="21"/>
              </w:rPr>
            </w:pPr>
            <w:r>
              <w:rPr>
                <w:rFonts w:ascii="宋体" w:hAnsi="宋体"/>
                <w:kern w:val="0"/>
                <w:szCs w:val="21"/>
              </w:rPr>
              <w:t>《高温熔融金属吊运安全规程》（AQ7011-2018）</w:t>
            </w:r>
          </w:p>
          <w:p>
            <w:pPr>
              <w:widowControl/>
              <w:adjustRightInd w:val="0"/>
              <w:snapToGrid w:val="0"/>
              <w:ind w:firstLine="420"/>
            </w:pPr>
            <w:r>
              <w:rPr>
                <w:rFonts w:ascii="宋体" w:hAnsi="宋体"/>
                <w:kern w:val="0"/>
                <w:szCs w:val="21"/>
              </w:rPr>
              <w:t>4.6</w:t>
            </w:r>
            <w:r>
              <w:rPr>
                <w:rFonts w:hint="eastAsia" w:ascii="宋体" w:hAnsi="宋体"/>
                <w:kern w:val="0"/>
                <w:szCs w:val="21"/>
              </w:rPr>
              <w:t xml:space="preserve">  </w:t>
            </w:r>
            <w:r>
              <w:rPr>
                <w:rFonts w:ascii="宋体" w:hAnsi="宋体"/>
                <w:kern w:val="0"/>
                <w:szCs w:val="21"/>
              </w:rPr>
              <w:t>起重机械应按照GB/T6067.1和特种设备安全监督管理的有关规定定期进行检测检验。吊钩、板钩、横梁等吊具部件应每年至少进行一次离线探伤检查；吊钩、板钩等出现严重磨损、钩片开片等情况应进行更换，并对板钩、横梁的轴进行探伤检查；必要时进行金相检查，防止发生蠕变现象。</w:t>
            </w:r>
          </w:p>
          <w:p>
            <w:pPr>
              <w:widowControl/>
              <w:adjustRightInd w:val="0"/>
              <w:snapToGrid w:val="0"/>
              <w:ind w:firstLine="420" w:firstLineChars="200"/>
              <w:rPr>
                <w:rFonts w:ascii="宋体" w:hAnsi="宋体" w:cs="宋体"/>
                <w:kern w:val="0"/>
                <w:szCs w:val="21"/>
              </w:rPr>
            </w:pPr>
            <w:r>
              <w:rPr>
                <w:rFonts w:ascii="宋体" w:hAnsi="宋体" w:cs="宋体"/>
                <w:kern w:val="0"/>
                <w:szCs w:val="21"/>
              </w:rPr>
              <w:t>《工贸行业重大生产安全事故隐患判定标准（2017版）》（安监总管四〔2017〕129号）</w:t>
            </w:r>
          </w:p>
          <w:p>
            <w:pPr>
              <w:widowControl/>
              <w:adjustRightInd w:val="0"/>
              <w:snapToGrid w:val="0"/>
              <w:ind w:firstLine="420" w:firstLineChars="200"/>
              <w:rPr>
                <w:rFonts w:ascii="宋体" w:hAnsi="宋体" w:cs="宋体"/>
                <w:kern w:val="0"/>
                <w:szCs w:val="21"/>
              </w:rPr>
            </w:pPr>
            <w:r>
              <w:rPr>
                <w:rFonts w:ascii="宋体" w:hAnsi="宋体" w:cs="宋体"/>
                <w:kern w:val="0"/>
                <w:szCs w:val="21"/>
              </w:rPr>
              <w:t>二、行业类重大事故隐患</w:t>
            </w:r>
          </w:p>
          <w:p>
            <w:pPr>
              <w:widowControl/>
              <w:adjustRightInd w:val="0"/>
              <w:snapToGrid w:val="0"/>
              <w:ind w:firstLine="420" w:firstLineChars="200"/>
              <w:rPr>
                <w:rFonts w:ascii="宋体" w:hAnsi="宋体" w:cs="宋体"/>
                <w:kern w:val="0"/>
                <w:szCs w:val="21"/>
              </w:rPr>
            </w:pPr>
            <w:r>
              <w:rPr>
                <w:rFonts w:ascii="宋体" w:hAnsi="宋体" w:cs="宋体"/>
                <w:kern w:val="0"/>
                <w:szCs w:val="21"/>
              </w:rPr>
              <w:t>（一）冶金行业。</w:t>
            </w:r>
          </w:p>
          <w:p>
            <w:pPr>
              <w:widowControl/>
              <w:adjustRightInd w:val="0"/>
              <w:snapToGrid w:val="0"/>
              <w:ind w:firstLine="420" w:firstLineChars="200"/>
              <w:rPr>
                <w:rFonts w:ascii="宋体" w:hAnsi="宋体"/>
                <w:kern w:val="0"/>
                <w:szCs w:val="21"/>
              </w:rPr>
            </w:pPr>
            <w:r>
              <w:rPr>
                <w:rFonts w:ascii="宋体" w:hAnsi="宋体"/>
                <w:kern w:val="0"/>
                <w:szCs w:val="21"/>
              </w:rPr>
              <w:t>2.吊运铁水、钢水与液渣起重机的龙门钩横梁、耳轴销和吊钩、钢丝绳及其端头固定零件，未进行定期检查，发现问题未及时整改。</w:t>
            </w:r>
          </w:p>
        </w:tc>
        <w:tc>
          <w:tcPr>
            <w:tcW w:w="3545"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w:t>
            </w:r>
            <w:r>
              <w:rPr>
                <w:rFonts w:hint="eastAsia"/>
              </w:rPr>
              <w:t>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jc w:val="center"/>
              <w:rPr>
                <w:rFonts w:ascii="宋体" w:hAnsi="宋体"/>
                <w:szCs w:val="21"/>
              </w:rPr>
            </w:pPr>
            <w:r>
              <w:rPr>
                <w:rFonts w:hint="eastAsia" w:ascii="宋体" w:hAnsi="宋体"/>
                <w:szCs w:val="21"/>
              </w:rPr>
              <w:t>6</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容器耳轴检测情况</w:t>
            </w: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盛装铁水、钢水与液渣的罐（包、盆）等容器耳轴应按国家标准规定要求定期进行探伤检测</w:t>
            </w:r>
          </w:p>
        </w:tc>
        <w:tc>
          <w:tcPr>
            <w:tcW w:w="4250" w:type="dxa"/>
            <w:vAlign w:val="center"/>
          </w:tcPr>
          <w:p>
            <w:pPr>
              <w:widowControl/>
              <w:adjustRightInd w:val="0"/>
              <w:snapToGrid w:val="0"/>
              <w:ind w:firstLine="420" w:firstLineChars="200"/>
              <w:rPr>
                <w:rFonts w:ascii="宋体" w:hAnsi="宋体" w:cs="宋体"/>
                <w:kern w:val="0"/>
                <w:szCs w:val="21"/>
              </w:rPr>
            </w:pPr>
            <w:r>
              <w:rPr>
                <w:rFonts w:ascii="宋体" w:hAnsi="宋体"/>
                <w:kern w:val="0"/>
                <w:szCs w:val="21"/>
              </w:rPr>
              <w:t>《安全生产法》第三十八条</w:t>
            </w:r>
            <w:r>
              <w:rPr>
                <w:rFonts w:hint="eastAsia" w:ascii="宋体" w:hAnsi="宋体"/>
                <w:kern w:val="0"/>
                <w:szCs w:val="21"/>
              </w:rPr>
              <w:t xml:space="preserve">  </w:t>
            </w:r>
            <w:r>
              <w:rPr>
                <w:rFonts w:ascii="宋体" w:hAnsi="宋体"/>
                <w:kern w:val="0"/>
                <w:szCs w:val="21"/>
              </w:rPr>
              <w:t>生产经营单位应当建立健全生产安全事故隐患排查治理制度，采取技术、管理措施，及时发现并消除事故隐患。事故隐患排查治理情况应当如实记</w:t>
            </w:r>
            <w:r>
              <w:rPr>
                <w:rFonts w:ascii="宋体" w:hAnsi="宋体" w:cs="宋体"/>
                <w:kern w:val="0"/>
                <w:szCs w:val="21"/>
              </w:rPr>
              <w:t>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《高温熔融金属吊运安全规程》（AQ7011-2018）</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6.2.6  罐体和浇包耳轴加工后应进行探伤检查，探伤的要求应遵守JB/T 5000的规定。使用中的熔融金属罐体和包体每年应至少对耳轴作一次无损探伤检查，做好记录，并存档。凡耳轴出现内裂纹、壳体焊缝开裂、明显变形、耳轴磨损超过原轴直径的10%、机械失灵、内衬损坏超过规定，均应报修或报废。</w:t>
            </w:r>
          </w:p>
          <w:p>
            <w:pPr>
              <w:widowControl/>
              <w:adjustRightInd w:val="0"/>
              <w:snapToGrid w:val="0"/>
              <w:ind w:firstLine="420" w:firstLineChars="200"/>
              <w:rPr>
                <w:rFonts w:ascii="宋体" w:hAnsi="宋体" w:cs="宋体"/>
                <w:kern w:val="0"/>
                <w:szCs w:val="21"/>
              </w:rPr>
            </w:pPr>
            <w:r>
              <w:rPr>
                <w:rFonts w:ascii="宋体" w:hAnsi="宋体" w:cs="宋体"/>
                <w:kern w:val="0"/>
                <w:szCs w:val="21"/>
              </w:rPr>
              <w:t>《工贸行业重大生产安全事故隐患判定标准（2017版）》（安监总管四〔2017〕129号）</w:t>
            </w:r>
          </w:p>
          <w:p>
            <w:pPr>
              <w:widowControl/>
              <w:adjustRightInd w:val="0"/>
              <w:snapToGrid w:val="0"/>
              <w:ind w:firstLine="420" w:firstLineChars="200"/>
              <w:rPr>
                <w:rFonts w:ascii="宋体" w:hAnsi="宋体" w:cs="宋体"/>
                <w:kern w:val="0"/>
                <w:szCs w:val="21"/>
              </w:rPr>
            </w:pPr>
            <w:r>
              <w:rPr>
                <w:rFonts w:ascii="宋体" w:hAnsi="宋体" w:cs="宋体"/>
                <w:kern w:val="0"/>
                <w:szCs w:val="21"/>
              </w:rPr>
              <w:t>二、行业类重大事故隐患</w:t>
            </w:r>
          </w:p>
          <w:p>
            <w:pPr>
              <w:widowControl/>
              <w:adjustRightInd w:val="0"/>
              <w:snapToGrid w:val="0"/>
              <w:ind w:firstLine="420" w:firstLineChars="200"/>
              <w:rPr>
                <w:rFonts w:ascii="宋体" w:hAnsi="宋体" w:cs="宋体"/>
                <w:kern w:val="0"/>
                <w:szCs w:val="21"/>
              </w:rPr>
            </w:pPr>
            <w:r>
              <w:rPr>
                <w:rFonts w:ascii="宋体" w:hAnsi="宋体" w:cs="宋体"/>
                <w:kern w:val="0"/>
                <w:szCs w:val="21"/>
              </w:rPr>
              <w:t>（一）冶金行业。</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3.盛装铁水、钢水与液渣的罐（包、盆）等容器耳轴未按国家标准规定要求定期进行探伤检测。</w:t>
            </w:r>
          </w:p>
          <w:p>
            <w:pPr>
              <w:widowControl/>
              <w:adjustRightInd w:val="0"/>
              <w:snapToGrid w:val="0"/>
              <w:ind w:firstLine="420" w:firstLineChars="200"/>
              <w:rPr>
                <w:rFonts w:ascii="宋体" w:hAnsi="宋体" w:cs="宋体"/>
                <w:kern w:val="0"/>
                <w:sz w:val="20"/>
              </w:rPr>
            </w:pPr>
            <w:r>
              <w:rPr>
                <w:rFonts w:hint="eastAsia" w:ascii="宋体" w:hAnsi="宋体" w:cs="宋体"/>
                <w:kern w:val="0"/>
                <w:szCs w:val="21"/>
              </w:rPr>
              <w:t>《冶金企业和有色金属企业安全生产规定》第三十条  企业应当定期对吊运、盛装 熔融金属的吊具、罐体（本体、耳轴）进行安全检查和探伤检测。</w:t>
            </w:r>
          </w:p>
        </w:tc>
        <w:tc>
          <w:tcPr>
            <w:tcW w:w="3545" w:type="dxa"/>
            <w:vAlign w:val="center"/>
          </w:tcPr>
          <w:p>
            <w:pPr>
              <w:widowControl/>
              <w:adjustRightInd w:val="0"/>
              <w:snapToGrid w:val="0"/>
              <w:ind w:firstLine="420" w:firstLineChars="200"/>
              <w:rPr>
                <w:rFonts w:hint="eastAsia"/>
              </w:rPr>
            </w:pPr>
            <w:r>
              <w:rPr>
                <w:rFonts w:hint="eastAsia" w:ascii="宋体" w:hAnsi="宋体" w:cs="宋体"/>
                <w:kern w:val="0"/>
                <w:szCs w:val="21"/>
              </w:rPr>
              <w:t>《安全生产法》</w:t>
            </w:r>
            <w:r>
              <w:rPr>
                <w:rFonts w:hint="eastAsia"/>
              </w:rPr>
              <w:t>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widowControl/>
              <w:adjustRightInd w:val="0"/>
              <w:snapToGrid w:val="0"/>
              <w:ind w:firstLine="420" w:firstLineChars="200"/>
              <w:rPr>
                <w:rFonts w:ascii="宋体" w:hAnsi="宋体" w:cs="宋体"/>
                <w:kern w:val="0"/>
                <w:szCs w:val="21"/>
              </w:rPr>
            </w:pPr>
            <w:r>
              <w:rPr>
                <w:rFonts w:hint="eastAsia" w:ascii="Calibri" w:hAnsi="Calibri" w:eastAsia="宋体" w:cs="Times New Roman"/>
                <w:color w:val="auto"/>
                <w:kern w:val="2"/>
                <w:sz w:val="21"/>
                <w:szCs w:val="22"/>
                <w:highlight w:val="none"/>
                <w:lang w:val="en-US" w:eastAsia="zh-CN" w:bidi="ar-SA"/>
              </w:rPr>
              <w:t>《冶金企业和有色金属企业安全生产规定》</w:t>
            </w:r>
            <w:r>
              <w:rPr>
                <w:rFonts w:hint="default" w:ascii="Calibri" w:hAnsi="Calibri" w:eastAsia="宋体" w:cs="Times New Roman"/>
                <w:color w:val="auto"/>
                <w:kern w:val="2"/>
                <w:sz w:val="21"/>
                <w:szCs w:val="22"/>
                <w:highlight w:val="none"/>
                <w:lang w:val="en-US" w:eastAsia="zh-CN" w:bidi="ar-SA"/>
              </w:rPr>
              <w:t>第四十六条</w:t>
            </w:r>
            <w:r>
              <w:rPr>
                <w:rFonts w:hint="eastAsia" w:eastAsia="宋体" w:cs="Times New Roman"/>
                <w:color w:val="auto"/>
                <w:kern w:val="2"/>
                <w:sz w:val="21"/>
                <w:szCs w:val="22"/>
                <w:highlight w:val="none"/>
                <w:lang w:val="en-US" w:eastAsia="zh-CN" w:bidi="ar-SA"/>
              </w:rPr>
              <w:t xml:space="preserve">  </w:t>
            </w:r>
            <w:r>
              <w:rPr>
                <w:rFonts w:hint="default" w:ascii="Calibri" w:hAnsi="Calibri" w:eastAsia="宋体" w:cs="Times New Roman"/>
                <w:color w:val="auto"/>
                <w:kern w:val="2"/>
                <w:sz w:val="21"/>
                <w:szCs w:val="22"/>
                <w:highlight w:val="none"/>
                <w:lang w:val="en-US" w:eastAsia="zh-CN" w:bidi="ar-SA"/>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jc w:val="center"/>
              <w:rPr>
                <w:rFonts w:ascii="宋体" w:hAnsi="宋体"/>
                <w:szCs w:val="21"/>
              </w:rPr>
            </w:pPr>
            <w:r>
              <w:rPr>
                <w:rFonts w:hint="eastAsia" w:ascii="宋体" w:hAnsi="宋体"/>
                <w:szCs w:val="21"/>
              </w:rPr>
              <w:t>7</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防积水情况</w:t>
            </w:r>
          </w:p>
        </w:tc>
        <w:tc>
          <w:tcPr>
            <w:tcW w:w="2551" w:type="dxa"/>
            <w:vAlign w:val="center"/>
          </w:tcPr>
          <w:p>
            <w:pPr>
              <w:widowControl/>
              <w:adjustRightInd w:val="0"/>
              <w:snapToGrid w:val="0"/>
              <w:rPr>
                <w:rFonts w:ascii="思源黑体 CN" w:hAnsi="思源黑体 CN" w:eastAsia="思源黑体 CN" w:cs="思源黑体 CN"/>
                <w:szCs w:val="21"/>
              </w:rPr>
            </w:pPr>
            <w:r>
              <w:rPr>
                <w:rFonts w:hint="eastAsia" w:ascii="思源黑体 CN" w:hAnsi="思源黑体 CN" w:eastAsia="思源黑体 CN" w:cs="思源黑体 CN"/>
                <w:szCs w:val="21"/>
              </w:rPr>
              <w:t>★</w:t>
            </w:r>
            <w:r>
              <w:rPr>
                <w:rFonts w:hint="eastAsia" w:ascii="宋体" w:hAnsi="宋体" w:cs="宋体"/>
                <w:kern w:val="0"/>
                <w:szCs w:val="21"/>
              </w:rPr>
              <w:t>冶炼、熔炼、精炼生产区域的安全坑内及熔体泄漏、喷溅影响范围内存在积水，放置有易燃易爆物品。</w:t>
            </w:r>
          </w:p>
        </w:tc>
        <w:tc>
          <w:tcPr>
            <w:tcW w:w="4250" w:type="dxa"/>
            <w:vAlign w:val="center"/>
          </w:tcPr>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《炼钢安全规程》（AQ2001-</w:t>
            </w:r>
            <w:r>
              <w:rPr>
                <w:rFonts w:ascii="宋体" w:hAnsi="宋体" w:cs="宋体"/>
                <w:kern w:val="0"/>
                <w:szCs w:val="21"/>
              </w:rPr>
              <w:t>2018</w:t>
            </w:r>
            <w:r>
              <w:rPr>
                <w:rFonts w:hint="eastAsia" w:ascii="宋体" w:hAnsi="宋体" w:cs="宋体"/>
                <w:kern w:val="0"/>
                <w:szCs w:val="21"/>
              </w:rPr>
              <w:t>）</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6.2.</w:t>
            </w:r>
            <w:r>
              <w:rPr>
                <w:rFonts w:ascii="宋体" w:hAnsi="宋体" w:cs="宋体"/>
                <w:kern w:val="0"/>
                <w:szCs w:val="21"/>
              </w:rPr>
              <w:t>7</w:t>
            </w:r>
            <w:r>
              <w:rPr>
                <w:rFonts w:hint="eastAsia" w:ascii="宋体" w:hAnsi="宋体" w:cs="宋体"/>
                <w:kern w:val="0"/>
                <w:szCs w:val="21"/>
              </w:rPr>
              <w:t>铁水预处理、转炉、A</w:t>
            </w:r>
            <w:r>
              <w:rPr>
                <w:rFonts w:ascii="宋体" w:hAnsi="宋体" w:cs="宋体"/>
                <w:kern w:val="0"/>
                <w:szCs w:val="21"/>
              </w:rPr>
              <w:t>OD</w:t>
            </w:r>
            <w:r>
              <w:rPr>
                <w:rFonts w:hint="eastAsia" w:ascii="宋体" w:hAnsi="宋体" w:cs="宋体"/>
                <w:kern w:val="0"/>
                <w:szCs w:val="21"/>
              </w:rPr>
              <w:t>炉、电炉、精炼炉的炉下区域，应采取防止积水的措施；炉下漏钢坑应按防水要求设计施工，其内表应砌相应防护材料保护，且干燥后方可使用；炉下钢水罐车、渣罐车运行区域，地面应保持干燥；炉下热泼渣区，周围应设隔热防护结构，其他坪应防止积水；炉渣冲击与挖掘机铲渣地点，应在耐热混凝土基础上铺砌厚铸铁板或采取其他措施保护。</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6.2.</w:t>
            </w:r>
            <w:r>
              <w:rPr>
                <w:rFonts w:ascii="宋体" w:hAnsi="宋体" w:cs="宋体"/>
                <w:kern w:val="0"/>
                <w:szCs w:val="21"/>
              </w:rPr>
              <w:t>8</w:t>
            </w:r>
            <w:r>
              <w:rPr>
                <w:rFonts w:hint="eastAsia" w:ascii="宋体" w:hAnsi="宋体" w:cs="宋体"/>
                <w:kern w:val="0"/>
                <w:szCs w:val="21"/>
              </w:rPr>
              <w:t>不允许渗水的坑、槽、沟，应按防水要求设计施工。</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7.3.4混铁炉与倒罐站作业区地坪及受铁坑内，不应有水。凡受铁水辐射热及喷溅影响的建、构筑物，均应采取防护措施。</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9.1.3炉基周围应保持清洁干燥，不应积水和堆积废料。炉基水槽应保持畅通。</w:t>
            </w:r>
          </w:p>
          <w:p>
            <w:pPr>
              <w:widowControl/>
              <w:adjustRightInd w:val="0"/>
              <w:snapToGrid w:val="0"/>
              <w:spacing w:line="240" w:lineRule="exact"/>
              <w:ind w:firstLine="420" w:firstLineChars="200"/>
              <w:rPr>
                <w:rFonts w:ascii="宋体" w:hAnsi="宋体" w:cs="宋体"/>
                <w:kern w:val="0"/>
                <w:szCs w:val="21"/>
              </w:rPr>
            </w:pPr>
            <w:r>
              <w:rPr>
                <w:rFonts w:ascii="宋体" w:hAnsi="宋体" w:cs="宋体"/>
                <w:kern w:val="0"/>
                <w:szCs w:val="21"/>
              </w:rPr>
              <w:t>《工贸行业重大生产安全事故隐患判定标准（2017版）》（安监总管四〔2017〕129号）</w:t>
            </w:r>
          </w:p>
          <w:p>
            <w:pPr>
              <w:widowControl/>
              <w:adjustRightInd w:val="0"/>
              <w:snapToGrid w:val="0"/>
              <w:spacing w:line="240" w:lineRule="exact"/>
              <w:ind w:firstLine="420" w:firstLineChars="200"/>
              <w:rPr>
                <w:rFonts w:ascii="宋体" w:hAnsi="宋体" w:cs="宋体"/>
                <w:kern w:val="0"/>
                <w:szCs w:val="21"/>
              </w:rPr>
            </w:pPr>
            <w:r>
              <w:rPr>
                <w:rFonts w:ascii="宋体" w:hAnsi="宋体" w:cs="宋体"/>
                <w:kern w:val="0"/>
                <w:szCs w:val="21"/>
              </w:rPr>
              <w:t>二、行业类重大事故隐患</w:t>
            </w:r>
          </w:p>
          <w:p>
            <w:pPr>
              <w:widowControl/>
              <w:adjustRightInd w:val="0"/>
              <w:snapToGrid w:val="0"/>
              <w:spacing w:line="240" w:lineRule="exact"/>
              <w:ind w:firstLine="420" w:firstLineChars="200"/>
              <w:rPr>
                <w:rFonts w:ascii="宋体" w:hAnsi="宋体" w:cs="宋体"/>
                <w:kern w:val="0"/>
                <w:szCs w:val="21"/>
              </w:rPr>
            </w:pPr>
            <w:r>
              <w:rPr>
                <w:rFonts w:ascii="宋体" w:hAnsi="宋体" w:cs="宋体"/>
                <w:kern w:val="0"/>
                <w:szCs w:val="21"/>
              </w:rPr>
              <w:t>（一）冶金行业。</w:t>
            </w:r>
          </w:p>
          <w:p>
            <w:pPr>
              <w:widowControl/>
              <w:adjustRightInd w:val="0"/>
              <w:snapToGrid w:val="0"/>
              <w:spacing w:line="240" w:lineRule="exact"/>
              <w:ind w:firstLine="420" w:firstLineChars="200"/>
              <w:rPr>
                <w:rFonts w:hint="eastAsia" w:ascii="宋体" w:hAnsi="宋体" w:cs="宋体"/>
                <w:kern w:val="0"/>
                <w:szCs w:val="21"/>
              </w:rPr>
            </w:pPr>
            <w:r>
              <w:rPr>
                <w:rFonts w:hint="eastAsia" w:ascii="宋体" w:hAnsi="宋体" w:cs="宋体"/>
                <w:kern w:val="0"/>
                <w:szCs w:val="21"/>
              </w:rPr>
              <w:t>4.冶炼、熔炼、精炼生产区域的安全坑内及熔体泄漏、喷溅影响范围内存在积水，放置有易燃易爆物品。</w:t>
            </w:r>
          </w:p>
          <w:p>
            <w:pPr>
              <w:widowControl/>
              <w:adjustRightInd w:val="0"/>
              <w:snapToGrid w:val="0"/>
              <w:spacing w:line="240" w:lineRule="exact"/>
              <w:ind w:firstLine="420" w:firstLineChars="200"/>
              <w:rPr>
                <w:rFonts w:ascii="宋体" w:hAnsi="宋体"/>
                <w:kern w:val="0"/>
                <w:szCs w:val="21"/>
              </w:rPr>
            </w:pPr>
            <w:r>
              <w:rPr>
                <w:rFonts w:hint="eastAsia" w:ascii="宋体" w:hAnsi="宋体" w:cs="宋体"/>
                <w:kern w:val="0"/>
                <w:szCs w:val="21"/>
              </w:rPr>
              <w:t>《冶金企业和有色金属企业安全生产规定》</w:t>
            </w:r>
            <w:r>
              <w:rPr>
                <w:rFonts w:ascii="宋体" w:hAnsi="宋体" w:cs="宋体"/>
                <w:kern w:val="0"/>
                <w:szCs w:val="21"/>
              </w:rPr>
              <w:t>第二十九条</w:t>
            </w:r>
            <w:r>
              <w:rPr>
                <w:rFonts w:hint="eastAsia" w:ascii="宋体" w:hAnsi="宋体" w:cs="宋体"/>
                <w:kern w:val="0"/>
                <w:szCs w:val="21"/>
              </w:rPr>
              <w:t xml:space="preserve">  </w:t>
            </w:r>
            <w:r>
              <w:rPr>
                <w:rFonts w:ascii="宋体" w:hAnsi="宋体" w:cs="宋体"/>
                <w:kern w:val="0"/>
                <w:szCs w:val="21"/>
              </w:rPr>
              <w:t>企业对电炉、电解车间应当采取防雨措施和有效的排水设施，防止雨水进入槽下地坪，确保电炉、电解槽下没有积水。</w:t>
            </w:r>
          </w:p>
        </w:tc>
        <w:tc>
          <w:tcPr>
            <w:tcW w:w="3545"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widowControl/>
              <w:adjustRightInd w:val="0"/>
              <w:snapToGrid w:val="0"/>
              <w:ind w:firstLine="420" w:firstLineChars="200"/>
              <w:rPr>
                <w:rFonts w:ascii="宋体" w:hAnsi="宋体" w:cs="宋体"/>
                <w:kern w:val="0"/>
                <w:szCs w:val="21"/>
              </w:rPr>
            </w:pPr>
            <w:r>
              <w:rPr>
                <w:rFonts w:hint="eastAsia" w:ascii="Calibri" w:hAnsi="Calibri" w:eastAsia="宋体" w:cs="Times New Roman"/>
                <w:color w:val="auto"/>
                <w:kern w:val="2"/>
                <w:sz w:val="21"/>
                <w:szCs w:val="22"/>
                <w:highlight w:val="none"/>
                <w:lang w:val="en-US" w:eastAsia="zh-CN" w:bidi="ar-SA"/>
              </w:rPr>
              <w:t>《冶金企业和有色金属企业安全生产规定》</w:t>
            </w:r>
            <w:r>
              <w:rPr>
                <w:rFonts w:hint="default" w:ascii="Calibri" w:hAnsi="Calibri" w:eastAsia="宋体" w:cs="Times New Roman"/>
                <w:color w:val="auto"/>
                <w:kern w:val="2"/>
                <w:sz w:val="21"/>
                <w:szCs w:val="22"/>
                <w:highlight w:val="none"/>
                <w:lang w:val="en-US" w:eastAsia="zh-CN" w:bidi="ar-SA"/>
              </w:rPr>
              <w:t>第四十六条</w:t>
            </w:r>
            <w:r>
              <w:rPr>
                <w:rFonts w:hint="eastAsia" w:eastAsia="宋体" w:cs="Times New Roman"/>
                <w:color w:val="auto"/>
                <w:kern w:val="2"/>
                <w:sz w:val="21"/>
                <w:szCs w:val="22"/>
                <w:highlight w:val="none"/>
                <w:lang w:val="en-US" w:eastAsia="zh-CN" w:bidi="ar-SA"/>
              </w:rPr>
              <w:t xml:space="preserve">  </w:t>
            </w:r>
            <w:r>
              <w:rPr>
                <w:rFonts w:hint="default" w:ascii="Calibri" w:hAnsi="Calibri" w:eastAsia="宋体" w:cs="Times New Roman"/>
                <w:color w:val="auto"/>
                <w:kern w:val="2"/>
                <w:sz w:val="21"/>
                <w:szCs w:val="22"/>
                <w:highlight w:val="none"/>
                <w:lang w:val="en-US" w:eastAsia="zh-CN" w:bidi="ar-SA"/>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jc w:val="center"/>
              <w:rPr>
                <w:rFonts w:ascii="宋体" w:hAnsi="宋体"/>
                <w:szCs w:val="21"/>
              </w:rPr>
            </w:pPr>
            <w:r>
              <w:rPr>
                <w:rFonts w:hint="eastAsia" w:ascii="宋体" w:hAnsi="宋体"/>
                <w:szCs w:val="21"/>
              </w:rPr>
              <w:t>8</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应急排放和储存情况</w:t>
            </w: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ascii="宋体" w:hAnsi="宋体" w:cs="宋体"/>
                <w:kern w:val="0"/>
                <w:szCs w:val="21"/>
              </w:rPr>
              <w:t>钢铁铸造（连铸、模铸）流程</w:t>
            </w:r>
            <w:r>
              <w:rPr>
                <w:rFonts w:hint="eastAsia" w:ascii="宋体" w:hAnsi="宋体" w:cs="宋体"/>
                <w:kern w:val="0"/>
                <w:szCs w:val="21"/>
              </w:rPr>
              <w:t>应</w:t>
            </w:r>
            <w:r>
              <w:rPr>
                <w:rFonts w:ascii="宋体" w:hAnsi="宋体" w:cs="宋体"/>
                <w:kern w:val="0"/>
                <w:szCs w:val="21"/>
              </w:rPr>
              <w:t>规范设置钢水罐、溢流槽等高温熔融金属紧急排放和应急储存设施</w:t>
            </w:r>
          </w:p>
        </w:tc>
        <w:tc>
          <w:tcPr>
            <w:tcW w:w="4250" w:type="dxa"/>
            <w:vAlign w:val="center"/>
          </w:tcPr>
          <w:p>
            <w:pPr>
              <w:spacing w:line="320" w:lineRule="exact"/>
              <w:ind w:firstLine="420" w:firstLineChars="200"/>
              <w:rPr>
                <w:rFonts w:ascii="宋体" w:hAnsi="宋体" w:cs="宋体"/>
                <w:kern w:val="0"/>
                <w:szCs w:val="21"/>
              </w:rPr>
            </w:pPr>
            <w:r>
              <w:rPr>
                <w:rFonts w:ascii="宋体" w:hAnsi="宋体" w:cs="宋体"/>
                <w:kern w:val="0"/>
                <w:szCs w:val="21"/>
              </w:rPr>
              <w:t>《安全生产法》第三十八条</w:t>
            </w:r>
            <w:r>
              <w:rPr>
                <w:rFonts w:hint="eastAsia" w:ascii="宋体" w:hAnsi="宋体" w:cs="宋体"/>
                <w:kern w:val="0"/>
                <w:szCs w:val="21"/>
              </w:rPr>
              <w:t xml:space="preserve">  </w:t>
            </w:r>
            <w:r>
              <w:rPr>
                <w:rFonts w:ascii="宋体" w:hAnsi="宋体" w:cs="宋体"/>
                <w:kern w:val="0"/>
                <w:szCs w:val="21"/>
              </w:rPr>
              <w:t>生产经营单位应当建立健全生产安全事故隐患排查治理制度，采取技术、管理措施，及时发现并消除事故隐患。事故隐患排查治理情况应当如实记录，并向从业人员通报。</w:t>
            </w:r>
          </w:p>
          <w:p>
            <w:pPr>
              <w:spacing w:line="320" w:lineRule="exact"/>
              <w:ind w:firstLine="420" w:firstLineChars="200"/>
              <w:rPr>
                <w:rFonts w:ascii="宋体" w:hAnsi="宋体" w:cs="宋体"/>
                <w:kern w:val="0"/>
                <w:szCs w:val="21"/>
              </w:rPr>
            </w:pPr>
            <w:r>
              <w:rPr>
                <w:rFonts w:hint="eastAsia" w:ascii="宋体" w:hAnsi="宋体" w:cs="宋体"/>
                <w:kern w:val="0"/>
                <w:szCs w:val="21"/>
              </w:rPr>
              <w:t>……</w:t>
            </w:r>
          </w:p>
          <w:p>
            <w:pPr>
              <w:spacing w:line="320" w:lineRule="exact"/>
              <w:ind w:firstLine="420" w:firstLineChars="200"/>
              <w:rPr>
                <w:rFonts w:ascii="宋体" w:hAnsi="宋体" w:cs="宋体"/>
                <w:kern w:val="0"/>
                <w:szCs w:val="21"/>
              </w:rPr>
            </w:pPr>
            <w:r>
              <w:rPr>
                <w:rFonts w:ascii="宋体" w:hAnsi="宋体" w:cs="宋体"/>
                <w:kern w:val="0"/>
                <w:szCs w:val="21"/>
              </w:rPr>
              <w:t>《炼钢安全规程》（AQ2001-2018）</w:t>
            </w:r>
          </w:p>
          <w:p>
            <w:pPr>
              <w:spacing w:line="320" w:lineRule="exact"/>
              <w:ind w:firstLine="420" w:firstLineChars="200"/>
              <w:rPr>
                <w:rFonts w:ascii="宋体" w:hAnsi="宋体" w:cs="宋体"/>
                <w:kern w:val="0"/>
                <w:szCs w:val="21"/>
              </w:rPr>
            </w:pPr>
            <w:r>
              <w:rPr>
                <w:rFonts w:ascii="宋体" w:hAnsi="宋体" w:cs="宋体"/>
                <w:kern w:val="0"/>
                <w:szCs w:val="21"/>
              </w:rPr>
              <w:t>12.3.3</w:t>
            </w:r>
            <w:r>
              <w:rPr>
                <w:rFonts w:hint="eastAsia" w:ascii="宋体" w:hAnsi="宋体" w:cs="宋体"/>
                <w:kern w:val="0"/>
                <w:szCs w:val="21"/>
              </w:rPr>
              <w:t xml:space="preserve">  </w:t>
            </w:r>
            <w:r>
              <w:rPr>
                <w:rFonts w:ascii="宋体" w:hAnsi="宋体" w:cs="宋体"/>
                <w:kern w:val="0"/>
                <w:szCs w:val="21"/>
              </w:rPr>
              <w:t>连铸浇注区，应设事故钢水罐、溢流槽、中间溢流罐、钢水罐漏钢回转溜槽、中间罐漏钢坑及钢水罐滑板事故关闭系统。应保持以上应急设施干燥，不得存放其它物品，以保证流通或容量。</w:t>
            </w:r>
          </w:p>
          <w:p>
            <w:pPr>
              <w:spacing w:line="320" w:lineRule="exact"/>
              <w:ind w:firstLine="420" w:firstLineChars="200"/>
              <w:rPr>
                <w:rFonts w:ascii="宋体" w:hAnsi="宋体" w:cs="宋体"/>
                <w:kern w:val="0"/>
                <w:szCs w:val="21"/>
              </w:rPr>
            </w:pPr>
            <w:r>
              <w:rPr>
                <w:rFonts w:ascii="宋体" w:hAnsi="宋体" w:cs="宋体"/>
                <w:kern w:val="0"/>
                <w:szCs w:val="21"/>
              </w:rPr>
              <w:t>《高温熔融金属吊运安全规程》（AQ7011-2018）</w:t>
            </w:r>
          </w:p>
          <w:p>
            <w:pPr>
              <w:spacing w:line="320" w:lineRule="exact"/>
              <w:ind w:firstLine="420" w:firstLineChars="200"/>
              <w:rPr>
                <w:rFonts w:ascii="宋体" w:hAnsi="宋体" w:cs="宋体"/>
                <w:kern w:val="0"/>
                <w:szCs w:val="21"/>
              </w:rPr>
            </w:pPr>
            <w:r>
              <w:rPr>
                <w:rFonts w:ascii="宋体" w:hAnsi="宋体" w:cs="宋体"/>
                <w:kern w:val="0"/>
                <w:szCs w:val="21"/>
              </w:rPr>
              <w:t>5.9</w:t>
            </w:r>
            <w:r>
              <w:rPr>
                <w:rFonts w:hint="eastAsia" w:ascii="宋体" w:hAnsi="宋体" w:cs="宋体"/>
                <w:kern w:val="0"/>
                <w:szCs w:val="21"/>
              </w:rPr>
              <w:t xml:space="preserve">  </w:t>
            </w:r>
            <w:r>
              <w:rPr>
                <w:rFonts w:ascii="宋体" w:hAnsi="宋体" w:cs="宋体"/>
                <w:kern w:val="0"/>
                <w:szCs w:val="21"/>
              </w:rPr>
              <w:t>吊运高温熔融金属和熔渣的区域应设置事故罐，事故罐放置应在专用位置或专用支架上，并设置明显安全警示标识。</w:t>
            </w:r>
          </w:p>
          <w:p>
            <w:pPr>
              <w:adjustRightInd w:val="0"/>
              <w:spacing w:line="320" w:lineRule="exact"/>
              <w:ind w:firstLine="420" w:firstLineChars="200"/>
              <w:rPr>
                <w:rFonts w:ascii="宋体" w:hAnsi="宋体" w:cs="宋体"/>
                <w:kern w:val="0"/>
                <w:szCs w:val="21"/>
              </w:rPr>
            </w:pPr>
            <w:r>
              <w:rPr>
                <w:rFonts w:ascii="宋体" w:hAnsi="宋体" w:cs="宋体"/>
                <w:kern w:val="0"/>
                <w:szCs w:val="21"/>
              </w:rPr>
              <w:t>《工贸行业重大生产安全事故隐患判定标准（2017版）》（安监总管四〔2017〕129号）</w:t>
            </w:r>
          </w:p>
          <w:p>
            <w:pPr>
              <w:adjustRightInd w:val="0"/>
              <w:spacing w:line="320" w:lineRule="exact"/>
              <w:ind w:firstLine="420" w:firstLineChars="200"/>
              <w:rPr>
                <w:rFonts w:ascii="宋体" w:hAnsi="宋体" w:cs="宋体"/>
                <w:kern w:val="0"/>
                <w:szCs w:val="21"/>
              </w:rPr>
            </w:pPr>
            <w:r>
              <w:rPr>
                <w:rFonts w:ascii="宋体" w:hAnsi="宋体" w:cs="宋体"/>
                <w:kern w:val="0"/>
                <w:szCs w:val="21"/>
              </w:rPr>
              <w:t>二、行业类重大事故隐患</w:t>
            </w:r>
          </w:p>
          <w:p>
            <w:pPr>
              <w:adjustRightInd w:val="0"/>
              <w:spacing w:line="320" w:lineRule="exact"/>
              <w:ind w:firstLine="420" w:firstLineChars="200"/>
              <w:rPr>
                <w:rFonts w:ascii="宋体" w:hAnsi="宋体" w:cs="宋体"/>
                <w:kern w:val="0"/>
                <w:szCs w:val="21"/>
              </w:rPr>
            </w:pPr>
            <w:r>
              <w:rPr>
                <w:rFonts w:ascii="宋体" w:hAnsi="宋体" w:cs="宋体"/>
                <w:kern w:val="0"/>
                <w:szCs w:val="21"/>
              </w:rPr>
              <w:t>（一）冶金行业。</w:t>
            </w:r>
          </w:p>
          <w:p>
            <w:pPr>
              <w:adjustRightInd w:val="0"/>
              <w:spacing w:line="320" w:lineRule="exact"/>
              <w:ind w:firstLine="420" w:firstLineChars="200"/>
            </w:pPr>
            <w:r>
              <w:rPr>
                <w:rFonts w:ascii="宋体" w:hAnsi="宋体" w:cs="宋体"/>
                <w:kern w:val="0"/>
                <w:szCs w:val="21"/>
              </w:rPr>
              <w:t>4.金属铸造、连铸、浇铸流程未设置铁水罐、钢水罐、溢流槽、中间溢流罐等高温熔融金属紧急排放和应急储存设施。</w:t>
            </w:r>
          </w:p>
        </w:tc>
        <w:tc>
          <w:tcPr>
            <w:tcW w:w="3545" w:type="dxa"/>
            <w:vAlign w:val="center"/>
          </w:tcPr>
          <w:p>
            <w:pPr>
              <w:widowControl/>
              <w:adjustRightInd w:val="0"/>
              <w:snapToGrid w:val="0"/>
              <w:ind w:firstLine="420" w:firstLineChars="200"/>
              <w:rPr>
                <w:rFonts w:ascii="宋体" w:hAnsi="宋体"/>
                <w:kern w:val="0"/>
                <w:sz w:val="24"/>
                <w:szCs w:val="24"/>
              </w:rPr>
            </w:pPr>
            <w:r>
              <w:rPr>
                <w:rFonts w:hint="eastAsia" w:ascii="宋体" w:hAnsi="宋体" w:cs="宋体"/>
                <w:kern w:val="0"/>
                <w:szCs w:val="21"/>
              </w:rPr>
              <w:t>《安全生产法》</w:t>
            </w:r>
            <w:r>
              <w:rPr>
                <w:rFonts w:hint="eastAsia" w:ascii="宋体" w:hAnsi="宋体"/>
              </w:rPr>
              <w:t>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24" w:hRule="atLeast"/>
          <w:jc w:val="center"/>
        </w:trPr>
        <w:tc>
          <w:tcPr>
            <w:tcW w:w="816" w:type="dxa"/>
            <w:vAlign w:val="center"/>
          </w:tcPr>
          <w:p>
            <w:pPr>
              <w:jc w:val="center"/>
              <w:rPr>
                <w:rFonts w:ascii="宋体" w:hAnsi="宋体"/>
                <w:szCs w:val="21"/>
              </w:rPr>
            </w:pPr>
            <w:r>
              <w:rPr>
                <w:rFonts w:hint="eastAsia" w:ascii="宋体" w:hAnsi="宋体"/>
                <w:szCs w:val="21"/>
              </w:rPr>
              <w:t>9</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设备本体检查与检测情况</w:t>
            </w: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炉、窑、槽、罐类设备本体及附属设施应定期检查，出现严重焊缝开裂、腐蚀、破损、衬砖损坏、壳体发红及明显弯曲变形等应报修或报废，不能继续使用</w:t>
            </w:r>
          </w:p>
        </w:tc>
        <w:tc>
          <w:tcPr>
            <w:tcW w:w="4250" w:type="dxa"/>
            <w:vAlign w:val="center"/>
          </w:tcPr>
          <w:p>
            <w:pPr>
              <w:widowControl/>
              <w:adjustRightInd w:val="0"/>
              <w:snapToGrid w:val="0"/>
              <w:ind w:firstLine="420" w:firstLineChars="200"/>
              <w:rPr>
                <w:rFonts w:ascii="宋体" w:hAnsi="宋体" w:cs="宋体"/>
                <w:kern w:val="0"/>
                <w:szCs w:val="21"/>
              </w:rPr>
            </w:pPr>
            <w:r>
              <w:rPr>
                <w:rFonts w:ascii="宋体" w:hAnsi="宋体" w:cs="宋体"/>
                <w:kern w:val="0"/>
                <w:szCs w:val="21"/>
              </w:rPr>
              <w:t>《安全生产法》第三十八条</w:t>
            </w:r>
            <w:r>
              <w:rPr>
                <w:rFonts w:hint="eastAsia" w:ascii="宋体" w:hAnsi="宋体" w:cs="宋体"/>
                <w:kern w:val="0"/>
                <w:szCs w:val="21"/>
              </w:rPr>
              <w:t xml:space="preserve">  </w:t>
            </w:r>
            <w:r>
              <w:rPr>
                <w:rFonts w:ascii="宋体" w:hAnsi="宋体" w:cs="宋体"/>
                <w:kern w:val="0"/>
                <w:szCs w:val="21"/>
              </w:rPr>
              <w:t>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ascii="宋体" w:hAnsi="宋体" w:cs="宋体"/>
                <w:kern w:val="0"/>
                <w:szCs w:val="21"/>
              </w:rPr>
              <w:t>《工贸行业重大生产安全事故隐患判定标准（2017版）》（安监总管四〔2017〕129号）</w:t>
            </w:r>
          </w:p>
          <w:p>
            <w:pPr>
              <w:widowControl/>
              <w:adjustRightInd w:val="0"/>
              <w:snapToGrid w:val="0"/>
              <w:ind w:firstLine="420" w:firstLineChars="200"/>
              <w:rPr>
                <w:rFonts w:ascii="宋体" w:hAnsi="宋体" w:cs="宋体"/>
                <w:kern w:val="0"/>
                <w:szCs w:val="21"/>
              </w:rPr>
            </w:pPr>
            <w:r>
              <w:rPr>
                <w:rFonts w:ascii="宋体" w:hAnsi="宋体" w:cs="宋体"/>
                <w:kern w:val="0"/>
                <w:szCs w:val="21"/>
              </w:rPr>
              <w:t>二、行业类重大事故隐患</w:t>
            </w:r>
          </w:p>
          <w:p>
            <w:pPr>
              <w:widowControl/>
              <w:adjustRightInd w:val="0"/>
              <w:snapToGrid w:val="0"/>
              <w:ind w:firstLine="420" w:firstLineChars="200"/>
              <w:rPr>
                <w:rFonts w:ascii="宋体" w:hAnsi="宋体" w:cs="宋体"/>
                <w:kern w:val="0"/>
                <w:szCs w:val="21"/>
              </w:rPr>
            </w:pPr>
            <w:r>
              <w:rPr>
                <w:rFonts w:ascii="宋体" w:hAnsi="宋体" w:cs="宋体"/>
                <w:kern w:val="0"/>
                <w:szCs w:val="21"/>
              </w:rPr>
              <w:t>（一）冶金行业。</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5.炉、窑、槽、罐类设备本体及附属设施未定期检查，出现严重焊缝开裂、腐蚀、破损、衬砖损坏、壳体发红及明显弯曲变形等未报修或报废，仍继续使用。</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《冶金企业和有色金属企业安全生产规定》第三十条  企业应当定期对吊运、盛装 熔融金属的吊具、罐体（本体、耳轴）进行安全检查和探伤检测。</w:t>
            </w:r>
          </w:p>
        </w:tc>
        <w:tc>
          <w:tcPr>
            <w:tcW w:w="3545" w:type="dxa"/>
            <w:vAlign w:val="center"/>
          </w:tcPr>
          <w:p>
            <w:pPr>
              <w:widowControl/>
              <w:adjustRightInd w:val="0"/>
              <w:snapToGrid w:val="0"/>
              <w:ind w:firstLine="420" w:firstLineChars="200"/>
              <w:rPr>
                <w:rFonts w:hint="eastAsia"/>
              </w:rPr>
            </w:pPr>
            <w:r>
              <w:rPr>
                <w:rFonts w:hint="eastAsia" w:ascii="宋体" w:hAnsi="宋体" w:cs="宋体"/>
                <w:kern w:val="0"/>
                <w:szCs w:val="21"/>
              </w:rPr>
              <w:t>《安全生产法》</w:t>
            </w:r>
            <w:r>
              <w:rPr>
                <w:rFonts w:hint="eastAsia"/>
              </w:rPr>
              <w:t>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widowControl/>
              <w:adjustRightInd w:val="0"/>
              <w:snapToGrid w:val="0"/>
              <w:ind w:firstLine="420" w:firstLineChars="200"/>
              <w:rPr>
                <w:rFonts w:ascii="宋体" w:hAnsi="宋体" w:cs="宋体"/>
                <w:kern w:val="0"/>
                <w:szCs w:val="21"/>
              </w:rPr>
            </w:pPr>
            <w:r>
              <w:rPr>
                <w:rFonts w:hint="eastAsia" w:ascii="Calibri" w:hAnsi="Calibri" w:eastAsia="宋体" w:cs="Times New Roman"/>
                <w:color w:val="auto"/>
                <w:kern w:val="2"/>
                <w:sz w:val="21"/>
                <w:szCs w:val="22"/>
                <w:highlight w:val="none"/>
                <w:lang w:val="en-US" w:eastAsia="zh-CN" w:bidi="ar-SA"/>
              </w:rPr>
              <w:t>《冶金企业和有色金属企业安全生产规定》</w:t>
            </w:r>
            <w:r>
              <w:rPr>
                <w:rFonts w:hint="default" w:ascii="Calibri" w:hAnsi="Calibri" w:eastAsia="宋体" w:cs="Times New Roman"/>
                <w:color w:val="auto"/>
                <w:kern w:val="2"/>
                <w:sz w:val="21"/>
                <w:szCs w:val="22"/>
                <w:highlight w:val="none"/>
                <w:lang w:val="en-US" w:eastAsia="zh-CN" w:bidi="ar-SA"/>
              </w:rPr>
              <w:t>第四十六条</w:t>
            </w:r>
            <w:r>
              <w:rPr>
                <w:rFonts w:hint="eastAsia" w:eastAsia="宋体" w:cs="Times New Roman"/>
                <w:color w:val="auto"/>
                <w:kern w:val="2"/>
                <w:sz w:val="21"/>
                <w:szCs w:val="22"/>
                <w:highlight w:val="none"/>
                <w:lang w:val="en-US" w:eastAsia="zh-CN" w:bidi="ar-SA"/>
              </w:rPr>
              <w:t xml:space="preserve">  </w:t>
            </w:r>
            <w:r>
              <w:rPr>
                <w:rFonts w:hint="default" w:ascii="Calibri" w:hAnsi="Calibri" w:eastAsia="宋体" w:cs="Times New Roman"/>
                <w:color w:val="auto"/>
                <w:kern w:val="2"/>
                <w:sz w:val="21"/>
                <w:szCs w:val="22"/>
                <w:highlight w:val="none"/>
                <w:lang w:val="en-US" w:eastAsia="zh-CN" w:bidi="ar-SA"/>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jc w:val="center"/>
              <w:rPr>
                <w:rFonts w:ascii="宋体" w:hAnsi="宋体"/>
                <w:szCs w:val="21"/>
              </w:rPr>
            </w:pPr>
            <w:r>
              <w:rPr>
                <w:rFonts w:hint="eastAsia" w:ascii="宋体" w:hAnsi="宋体"/>
                <w:szCs w:val="21"/>
              </w:rPr>
              <w:t>10</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水冷元件情况</w:t>
            </w:r>
          </w:p>
        </w:tc>
        <w:tc>
          <w:tcPr>
            <w:tcW w:w="2551" w:type="dxa"/>
            <w:vAlign w:val="center"/>
          </w:tcPr>
          <w:p>
            <w:pPr>
              <w:widowControl/>
              <w:adjustRightInd w:val="0"/>
              <w:snapToGrid w:val="0"/>
              <w:rPr>
                <w:rFonts w:ascii="宋体" w:hAnsi="宋体" w:cs="宋体"/>
                <w:kern w:val="0"/>
                <w:szCs w:val="21"/>
              </w:rPr>
            </w:pPr>
            <w:r>
              <w:rPr>
                <w:rFonts w:hint="eastAsia" w:ascii="宋体" w:hAnsi="宋体" w:cs="宋体"/>
                <w:kern w:val="0"/>
                <w:szCs w:val="21"/>
              </w:rPr>
              <w:t>★</w:t>
            </w:r>
            <w:r>
              <w:rPr>
                <w:rFonts w:ascii="宋体" w:hAnsi="宋体" w:cs="宋体"/>
                <w:kern w:val="0"/>
                <w:szCs w:val="21"/>
              </w:rPr>
              <w:t>氧枪等水冷元件未配置出水温度与进出水流量差检测、报警装置及温度监测，与炉体倾动、氧气开闭等联锁</w:t>
            </w:r>
          </w:p>
        </w:tc>
        <w:tc>
          <w:tcPr>
            <w:tcW w:w="4250" w:type="dxa"/>
            <w:vAlign w:val="center"/>
          </w:tcPr>
          <w:p>
            <w:pPr>
              <w:widowControl/>
              <w:adjustRightInd w:val="0"/>
              <w:snapToGrid w:val="0"/>
              <w:ind w:firstLine="420" w:firstLineChars="200"/>
              <w:rPr>
                <w:rFonts w:ascii="宋体" w:hAnsi="宋体" w:cs="宋体"/>
                <w:kern w:val="0"/>
                <w:szCs w:val="21"/>
              </w:rPr>
            </w:pPr>
            <w:r>
              <w:rPr>
                <w:rFonts w:ascii="宋体" w:hAnsi="宋体" w:cs="宋体"/>
                <w:kern w:val="0"/>
                <w:szCs w:val="21"/>
              </w:rPr>
              <w:t>《安全生产法》第三十八条</w:t>
            </w:r>
            <w:r>
              <w:rPr>
                <w:rFonts w:hint="eastAsia" w:ascii="宋体" w:hAnsi="宋体" w:cs="宋体"/>
                <w:kern w:val="0"/>
                <w:szCs w:val="21"/>
              </w:rPr>
              <w:t xml:space="preserve">  </w:t>
            </w:r>
            <w:r>
              <w:rPr>
                <w:rFonts w:ascii="宋体" w:hAnsi="宋体" w:cs="宋体"/>
                <w:kern w:val="0"/>
                <w:szCs w:val="21"/>
              </w:rPr>
              <w:t>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ascii="宋体" w:hAnsi="宋体" w:cs="宋体"/>
                <w:kern w:val="0"/>
                <w:szCs w:val="21"/>
              </w:rPr>
              <w:t>《炼钢安全规程》（AQ2001-2018）</w:t>
            </w:r>
          </w:p>
          <w:p>
            <w:pPr>
              <w:widowControl/>
              <w:adjustRightInd w:val="0"/>
              <w:snapToGrid w:val="0"/>
              <w:ind w:firstLine="420" w:firstLineChars="200"/>
              <w:rPr>
                <w:rFonts w:ascii="宋体" w:hAnsi="宋体" w:cs="宋体"/>
                <w:kern w:val="0"/>
                <w:szCs w:val="21"/>
              </w:rPr>
            </w:pPr>
            <w:r>
              <w:rPr>
                <w:rFonts w:ascii="宋体" w:hAnsi="宋体" w:cs="宋体"/>
                <w:kern w:val="0"/>
                <w:szCs w:val="21"/>
              </w:rPr>
              <w:t>9.1.4</w:t>
            </w:r>
            <w:r>
              <w:rPr>
                <w:rFonts w:hint="eastAsia" w:ascii="宋体" w:hAnsi="宋体" w:cs="宋体"/>
                <w:kern w:val="0"/>
                <w:szCs w:val="21"/>
              </w:rPr>
              <w:t xml:space="preserve"> </w:t>
            </w:r>
            <w:r>
              <w:rPr>
                <w:rFonts w:ascii="宋体" w:hAnsi="宋体" w:cs="宋体"/>
                <w:kern w:val="0"/>
                <w:szCs w:val="21"/>
              </w:rPr>
              <w:t>转炉氧枪升降装置，应配备钢绳张力测定、钢绳断裂防坠、事故驱动等安全装置；各枪位停靠点，应与转炉倾动、氧气开闭、冷却水流量和温度等联锁；当氧气压力小于规定值、冷却水流量低于规定值、出水温度超过规定值、进出水流量差大于规定值时，氧枪应自动升起，停止吹氧。转炉氧枪供水，应设置电动或气动快速切断阀。转炉副枪升降装置，应配备钢绳张力测定、钢绳断裂防坠、事故驱动等安全装置；各枪位停靠点，应与转炉倾动、冷却水流量和温度等联锁；当冷却水流量低于规定值、出水温度超过规定值、进出水流量差大于规定值时，副枪应自动升起，停止测量。转炉副枪供水，应设置电动或气动快速切断阀。</w:t>
            </w: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ascii="宋体" w:hAnsi="宋体" w:cs="宋体"/>
                <w:kern w:val="0"/>
                <w:szCs w:val="21"/>
              </w:rPr>
              <w:t>10.1.8</w:t>
            </w:r>
            <w:r>
              <w:rPr>
                <w:rFonts w:hint="eastAsia" w:ascii="宋体" w:hAnsi="宋体" w:cs="宋体"/>
                <w:kern w:val="0"/>
                <w:szCs w:val="21"/>
              </w:rPr>
              <w:t xml:space="preserve"> </w:t>
            </w:r>
            <w:r>
              <w:rPr>
                <w:rFonts w:ascii="宋体" w:hAnsi="宋体" w:cs="宋体"/>
                <w:kern w:val="0"/>
                <w:szCs w:val="21"/>
              </w:rPr>
              <w:t>水冷炉壁与炉盖的水冷板、Consteel炉连接小车水套、竖井水冷件等，应配置出水温度与进出水流量差检测、报警装置。出水温度超过规定值、进出水流量差报警时，应自动断电并升起电极停止冶炼，操作人员应迅速查明原因，排除故障，然后恢复供电。</w:t>
            </w:r>
          </w:p>
          <w:p>
            <w:pPr>
              <w:widowControl/>
              <w:adjustRightInd w:val="0"/>
              <w:snapToGrid w:val="0"/>
              <w:ind w:firstLine="420" w:firstLineChars="200"/>
              <w:rPr>
                <w:rFonts w:ascii="宋体" w:hAnsi="宋体" w:cs="宋体"/>
                <w:kern w:val="0"/>
                <w:szCs w:val="21"/>
              </w:rPr>
            </w:pPr>
            <w:r>
              <w:rPr>
                <w:rFonts w:ascii="宋体" w:hAnsi="宋体" w:cs="宋体"/>
                <w:kern w:val="0"/>
                <w:szCs w:val="21"/>
              </w:rPr>
              <w:t>11.1.4</w:t>
            </w:r>
            <w:r>
              <w:rPr>
                <w:rFonts w:hint="eastAsia" w:ascii="宋体" w:hAnsi="宋体" w:cs="宋体"/>
                <w:kern w:val="0"/>
                <w:szCs w:val="21"/>
              </w:rPr>
              <w:t xml:space="preserve"> </w:t>
            </w:r>
            <w:r>
              <w:rPr>
                <w:rFonts w:ascii="宋体" w:hAnsi="宋体" w:cs="宋体"/>
                <w:kern w:val="0"/>
                <w:szCs w:val="21"/>
              </w:rPr>
              <w:t>受钢液高温影响的水冷元件，应采取必要的安全措施，确保在断电期间保护设备免遭损坏；可能因冷却水泄漏酿成爆炸事故的水冷元件，如VOD、CAS-OB、IR-UT、RH-KTB中的水冷氧枪，应配备进出水流量差报警装置；报警信号发出后，氧枪应自动提升并停止供氧，停止精炼作业。</w:t>
            </w:r>
          </w:p>
          <w:p>
            <w:pPr>
              <w:widowControl/>
              <w:adjustRightInd w:val="0"/>
              <w:snapToGrid w:val="0"/>
              <w:ind w:firstLine="420" w:firstLineChars="200"/>
              <w:rPr>
                <w:rFonts w:ascii="宋体" w:hAnsi="宋体" w:cs="宋体"/>
                <w:kern w:val="0"/>
                <w:szCs w:val="21"/>
              </w:rPr>
            </w:pPr>
            <w:r>
              <w:rPr>
                <w:rFonts w:ascii="宋体" w:hAnsi="宋体" w:cs="宋体"/>
                <w:kern w:val="0"/>
                <w:szCs w:val="21"/>
              </w:rPr>
              <w:t>《工贸行业重大生产安全事故隐患判定标准（2017版）》（安监总管四〔2017〕129号）</w:t>
            </w:r>
          </w:p>
          <w:p>
            <w:pPr>
              <w:widowControl/>
              <w:adjustRightInd w:val="0"/>
              <w:snapToGrid w:val="0"/>
              <w:ind w:firstLine="420" w:firstLineChars="200"/>
              <w:rPr>
                <w:rFonts w:ascii="宋体" w:hAnsi="宋体" w:cs="宋体"/>
                <w:kern w:val="0"/>
                <w:szCs w:val="21"/>
              </w:rPr>
            </w:pPr>
            <w:r>
              <w:rPr>
                <w:rFonts w:ascii="宋体" w:hAnsi="宋体" w:cs="宋体"/>
                <w:kern w:val="0"/>
                <w:szCs w:val="21"/>
              </w:rPr>
              <w:t>二、行业类重大事故隐患</w:t>
            </w:r>
          </w:p>
          <w:p>
            <w:pPr>
              <w:widowControl/>
              <w:adjustRightInd w:val="0"/>
              <w:snapToGrid w:val="0"/>
              <w:ind w:firstLine="420" w:firstLineChars="200"/>
              <w:rPr>
                <w:rFonts w:ascii="宋体" w:hAnsi="宋体" w:cs="宋体"/>
                <w:kern w:val="0"/>
                <w:szCs w:val="21"/>
              </w:rPr>
            </w:pPr>
            <w:r>
              <w:rPr>
                <w:rFonts w:ascii="宋体" w:hAnsi="宋体" w:cs="宋体"/>
                <w:kern w:val="0"/>
                <w:szCs w:val="21"/>
              </w:rPr>
              <w:t>（一）冶金行业。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6.氧枪等水冷元件未配置出水温度与进出水流量差检测、报警装置及温度监测，未与炉体倾动、氧气开闭等联锁。</w:t>
            </w:r>
          </w:p>
        </w:tc>
        <w:tc>
          <w:tcPr>
            <w:tcW w:w="3545"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90" w:hRule="atLeast"/>
          <w:jc w:val="center"/>
        </w:trPr>
        <w:tc>
          <w:tcPr>
            <w:tcW w:w="816" w:type="dxa"/>
            <w:vAlign w:val="center"/>
          </w:tcPr>
          <w:p>
            <w:pPr>
              <w:jc w:val="center"/>
              <w:rPr>
                <w:rFonts w:ascii="宋体" w:hAnsi="宋体"/>
                <w:szCs w:val="21"/>
              </w:rPr>
            </w:pPr>
            <w:r>
              <w:rPr>
                <w:rFonts w:hint="eastAsia" w:ascii="宋体" w:hAnsi="宋体"/>
                <w:szCs w:val="21"/>
              </w:rPr>
              <w:t>11</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煤气柜防火间距情况</w:t>
            </w: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煤气柜与有关建筑物、设施等的防护间距符合有关标准规定</w:t>
            </w:r>
          </w:p>
        </w:tc>
        <w:tc>
          <w:tcPr>
            <w:tcW w:w="4250" w:type="dxa"/>
            <w:vAlign w:val="center"/>
          </w:tcPr>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spacing w:line="240" w:lineRule="exact"/>
              <w:ind w:firstLine="420" w:firstLineChars="200"/>
              <w:rPr>
                <w:rFonts w:ascii="宋体" w:hAnsi="宋体" w:cs="宋体"/>
                <w:kern w:val="0"/>
                <w:szCs w:val="21"/>
                <w:highlight w:val="none"/>
              </w:rPr>
            </w:pPr>
            <w:r>
              <w:rPr>
                <w:rFonts w:hint="eastAsia" w:ascii="宋体" w:hAnsi="宋体" w:cs="宋体"/>
                <w:kern w:val="0"/>
                <w:szCs w:val="21"/>
                <w:highlight w:val="none"/>
              </w:rPr>
              <w:t>《建筑设计防火规范》（GB 50016-</w:t>
            </w:r>
            <w:r>
              <w:rPr>
                <w:rFonts w:ascii="宋体" w:hAnsi="宋体" w:cs="宋体"/>
                <w:kern w:val="0"/>
                <w:szCs w:val="21"/>
                <w:highlight w:val="none"/>
              </w:rPr>
              <w:t>2014</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2018年版</w:t>
            </w:r>
            <w:r>
              <w:rPr>
                <w:rFonts w:hint="eastAsia" w:ascii="宋体" w:hAnsi="宋体" w:cs="宋体"/>
                <w:kern w:val="0"/>
                <w:szCs w:val="21"/>
                <w:highlight w:val="none"/>
              </w:rPr>
              <w:t>）</w:t>
            </w:r>
          </w:p>
          <w:p>
            <w:pPr>
              <w:widowControl/>
              <w:adjustRightInd w:val="0"/>
              <w:snapToGrid w:val="0"/>
              <w:spacing w:line="240" w:lineRule="exact"/>
              <w:ind w:firstLine="420" w:firstLineChars="200"/>
            </w:pPr>
            <w:r>
              <w:rPr>
                <w:rFonts w:hint="eastAsia" w:ascii="宋体" w:hAnsi="宋体" w:cs="宋体"/>
                <w:kern w:val="0"/>
                <w:szCs w:val="21"/>
                <w:highlight w:val="none"/>
              </w:rPr>
              <w:t>4.3.1  可燃气体储罐与建筑物、储罐、堆场等的防火间距应符合规定。</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《工业企业煤气安全规程》（GB 6222-</w:t>
            </w:r>
            <w:r>
              <w:rPr>
                <w:rFonts w:ascii="宋体" w:hAnsi="宋体" w:cs="宋体"/>
                <w:kern w:val="0"/>
                <w:szCs w:val="21"/>
              </w:rPr>
              <w:t>2005</w:t>
            </w:r>
            <w:r>
              <w:rPr>
                <w:rFonts w:hint="eastAsia" w:ascii="宋体" w:hAnsi="宋体" w:cs="宋体"/>
                <w:kern w:val="0"/>
                <w:szCs w:val="21"/>
              </w:rPr>
              <w:t>）</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9.1.1.1  新建湿式柜不应建设在居民稠密区，应远离大型建筑、仓库、通信和交通枢纽等重要设施，并应布置在通风良好的地方。</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9.1.2.8  湿式柜柜顶和柜壁外的爆炸性气体环境危险区域的范围应遵守GB50058的规定。</w:t>
            </w:r>
          </w:p>
          <w:p>
            <w:pPr>
              <w:widowControl/>
              <w:adjustRightInd w:val="0"/>
              <w:snapToGrid w:val="0"/>
              <w:spacing w:line="240" w:lineRule="exact"/>
              <w:ind w:firstLine="420" w:firstLineChars="200"/>
              <w:rPr>
                <w:rFonts w:ascii="宋体" w:hAnsi="宋体" w:cs="宋体"/>
                <w:kern w:val="0"/>
                <w:szCs w:val="21"/>
              </w:rPr>
            </w:pPr>
            <w:r>
              <w:rPr>
                <w:rFonts w:ascii="宋体" w:hAnsi="宋体" w:cs="宋体"/>
                <w:kern w:val="0"/>
                <w:szCs w:val="21"/>
              </w:rPr>
              <w:t>《工贸行业重大生产安全事故隐患判定标准（2017版）》（安监总管四〔2017〕129号）</w:t>
            </w:r>
          </w:p>
          <w:p>
            <w:pPr>
              <w:widowControl/>
              <w:adjustRightInd w:val="0"/>
              <w:snapToGrid w:val="0"/>
              <w:spacing w:line="240" w:lineRule="exact"/>
              <w:ind w:firstLine="420" w:firstLineChars="200"/>
              <w:rPr>
                <w:rFonts w:ascii="宋体" w:hAnsi="宋体" w:cs="宋体"/>
                <w:kern w:val="0"/>
                <w:szCs w:val="21"/>
              </w:rPr>
            </w:pPr>
            <w:r>
              <w:rPr>
                <w:rFonts w:ascii="宋体" w:hAnsi="宋体" w:cs="宋体"/>
                <w:kern w:val="0"/>
                <w:szCs w:val="21"/>
              </w:rPr>
              <w:t>二、行业类重大事故隐患</w:t>
            </w:r>
          </w:p>
          <w:p>
            <w:pPr>
              <w:widowControl/>
              <w:adjustRightInd w:val="0"/>
              <w:snapToGrid w:val="0"/>
              <w:spacing w:line="240" w:lineRule="exact"/>
              <w:ind w:firstLine="420" w:firstLineChars="200"/>
              <w:rPr>
                <w:rFonts w:ascii="宋体" w:hAnsi="宋体" w:cs="宋体"/>
                <w:kern w:val="0"/>
                <w:szCs w:val="21"/>
              </w:rPr>
            </w:pPr>
            <w:r>
              <w:rPr>
                <w:rFonts w:ascii="宋体" w:hAnsi="宋体" w:cs="宋体"/>
                <w:kern w:val="0"/>
                <w:szCs w:val="21"/>
              </w:rPr>
              <w:t>（一）冶金行业。</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7.煤气柜建设在居民稠密区，未远离大型建筑、仓库、通信和交通枢纽等重要设施；附属设备设施未按防火防爆要求配置防爆型设备；柜顶未设置防雷装置。</w:t>
            </w:r>
          </w:p>
        </w:tc>
        <w:tc>
          <w:tcPr>
            <w:tcW w:w="3545" w:type="dxa"/>
            <w:vAlign w:val="center"/>
          </w:tcPr>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91" w:hRule="atLeast"/>
          <w:jc w:val="center"/>
        </w:trPr>
        <w:tc>
          <w:tcPr>
            <w:tcW w:w="816" w:type="dxa"/>
            <w:vAlign w:val="center"/>
          </w:tcPr>
          <w:p>
            <w:pPr>
              <w:jc w:val="center"/>
              <w:rPr>
                <w:rFonts w:ascii="宋体" w:hAnsi="宋体"/>
                <w:szCs w:val="21"/>
              </w:rPr>
            </w:pPr>
            <w:r>
              <w:rPr>
                <w:rFonts w:hint="eastAsia" w:ascii="宋体" w:hAnsi="宋体"/>
                <w:szCs w:val="21"/>
              </w:rPr>
              <w:t>12</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煤气区域报警装置情况</w:t>
            </w: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高炉、转炉、钢水连铸、加热炉和煤气柜等煤气区域</w:t>
            </w:r>
            <w:r>
              <w:rPr>
                <w:rFonts w:ascii="宋体" w:hAnsi="宋体" w:cs="宋体"/>
                <w:kern w:val="0"/>
                <w:szCs w:val="21"/>
              </w:rPr>
              <w:t>的</w:t>
            </w:r>
            <w:r>
              <w:rPr>
                <w:rFonts w:hint="eastAsia" w:ascii="宋体" w:hAnsi="宋体" w:cs="宋体"/>
                <w:kern w:val="0"/>
                <w:szCs w:val="21"/>
              </w:rPr>
              <w:t>有人值守的主控室、</w:t>
            </w:r>
            <w:r>
              <w:rPr>
                <w:rFonts w:ascii="宋体" w:hAnsi="宋体" w:cs="宋体"/>
                <w:kern w:val="0"/>
                <w:szCs w:val="21"/>
              </w:rPr>
              <w:t>操作室</w:t>
            </w:r>
            <w:r>
              <w:rPr>
                <w:rFonts w:hint="eastAsia" w:ascii="宋体" w:hAnsi="宋体" w:cs="宋体"/>
                <w:kern w:val="0"/>
                <w:szCs w:val="21"/>
              </w:rPr>
              <w:t>和人员休息室等</w:t>
            </w:r>
            <w:r>
              <w:rPr>
                <w:rFonts w:ascii="宋体" w:hAnsi="宋体" w:cs="宋体"/>
                <w:kern w:val="0"/>
                <w:szCs w:val="21"/>
              </w:rPr>
              <w:t>人员较集中的地方以及在可能发生煤气泄漏、聚集的场所，设置固定式一氧化碳监测报警装置</w:t>
            </w:r>
          </w:p>
        </w:tc>
        <w:tc>
          <w:tcPr>
            <w:tcW w:w="4250" w:type="dxa"/>
            <w:vAlign w:val="center"/>
          </w:tcPr>
          <w:p>
            <w:pPr>
              <w:widowControl/>
              <w:adjustRightInd w:val="0"/>
              <w:snapToGrid w:val="0"/>
              <w:ind w:firstLine="420" w:firstLineChars="200"/>
              <w:rPr>
                <w:rFonts w:ascii="宋体" w:hAnsi="宋体" w:cs="宋体"/>
                <w:kern w:val="0"/>
                <w:szCs w:val="21"/>
              </w:rPr>
            </w:pPr>
            <w:r>
              <w:rPr>
                <w:rFonts w:ascii="宋体" w:hAnsi="宋体" w:cs="宋体"/>
                <w:kern w:val="0"/>
                <w:szCs w:val="21"/>
              </w:rPr>
              <w:t>《安全生产法》第三十三条</w:t>
            </w:r>
            <w:r>
              <w:rPr>
                <w:rFonts w:hint="eastAsia" w:ascii="宋体" w:hAnsi="宋体" w:cs="宋体"/>
                <w:kern w:val="0"/>
                <w:szCs w:val="21"/>
              </w:rPr>
              <w:t xml:space="preserve">  </w:t>
            </w:r>
            <w:r>
              <w:rPr>
                <w:rFonts w:ascii="宋体" w:hAnsi="宋体" w:cs="宋体"/>
                <w:kern w:val="0"/>
                <w:szCs w:val="21"/>
              </w:rPr>
              <w:t>安全设备的设计、制造、安装、使用、检测、维修、改造和报废，应当符合国家标准或者行业标准。生产经营单位必须对安全设备进行经常性维护、保养，并定期检测，保证正常运转。维护、保养、检测应当作好记录，并由有关人员签字。</w:t>
            </w:r>
          </w:p>
          <w:p>
            <w:pPr>
              <w:widowControl/>
              <w:adjustRightInd w:val="0"/>
              <w:snapToGrid w:val="0"/>
              <w:ind w:firstLine="420"/>
            </w:pPr>
            <w:r>
              <w:rPr>
                <w:rFonts w:hint="eastAsia"/>
              </w:rPr>
              <w:t>……</w:t>
            </w:r>
          </w:p>
          <w:p>
            <w:pPr>
              <w:widowControl/>
              <w:adjustRightInd w:val="0"/>
              <w:snapToGrid w:val="0"/>
              <w:ind w:firstLine="420" w:firstLineChars="200"/>
              <w:rPr>
                <w:rFonts w:ascii="宋体" w:hAnsi="宋体" w:cs="宋体"/>
                <w:kern w:val="0"/>
                <w:szCs w:val="21"/>
              </w:rPr>
            </w:pPr>
            <w:r>
              <w:rPr>
                <w:rFonts w:ascii="宋体" w:hAnsi="宋体" w:cs="宋体"/>
                <w:kern w:val="0"/>
                <w:szCs w:val="21"/>
              </w:rPr>
              <w:t>《工业企业煤气安全规程》（GB</w:t>
            </w:r>
            <w:r>
              <w:rPr>
                <w:rFonts w:hint="eastAsia" w:ascii="宋体" w:hAnsi="宋体" w:cs="宋体"/>
                <w:kern w:val="0"/>
                <w:szCs w:val="21"/>
              </w:rPr>
              <w:t xml:space="preserve"> </w:t>
            </w:r>
            <w:r>
              <w:rPr>
                <w:rFonts w:ascii="宋体" w:hAnsi="宋体" w:cs="宋体"/>
                <w:kern w:val="0"/>
                <w:szCs w:val="21"/>
              </w:rPr>
              <w:t>6222-2005）</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4.10 煤气危险区(如地下室、加压站、热风炉及各种煤气发生设施附近)的一氧化碳浓度应定期测定，在关键部位应设置一氧化碳监测装置。作业环境一氧化碳最高允许浓度为30mg/m</w:t>
            </w:r>
            <w:r>
              <w:rPr>
                <w:rFonts w:hint="eastAsia" w:ascii="宋体" w:hAnsi="宋体" w:cs="宋体"/>
                <w:kern w:val="0"/>
                <w:szCs w:val="21"/>
                <w:vertAlign w:val="superscript"/>
              </w:rPr>
              <w:t>3</w:t>
            </w:r>
            <w:r>
              <w:rPr>
                <w:rFonts w:hint="eastAsia" w:ascii="宋体" w:hAnsi="宋体" w:cs="宋体"/>
                <w:kern w:val="0"/>
                <w:szCs w:val="21"/>
              </w:rPr>
              <w:t>（24ppm）。</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8.2.4站房内应设有一氧化碳监测装置，并把检测信号传送到管理室内。</w:t>
            </w:r>
          </w:p>
          <w:p>
            <w:pPr>
              <w:widowControl/>
              <w:adjustRightInd w:val="0"/>
              <w:snapToGrid w:val="0"/>
              <w:ind w:firstLine="420" w:firstLineChars="200"/>
            </w:pPr>
            <w:r>
              <w:rPr>
                <w:rFonts w:hint="eastAsia" w:ascii="宋体" w:hAnsi="宋体" w:cs="宋体"/>
                <w:kern w:val="0"/>
                <w:szCs w:val="21"/>
              </w:rPr>
              <w:t>9.2.2.3活塞上部应备有一氧化碳检测报警装置及空气呼吸器。</w:t>
            </w:r>
          </w:p>
          <w:p>
            <w:pPr>
              <w:widowControl/>
              <w:adjustRightInd w:val="0"/>
              <w:snapToGrid w:val="0"/>
              <w:ind w:firstLine="420" w:firstLineChars="200"/>
              <w:rPr>
                <w:rFonts w:ascii="宋体" w:hAnsi="宋体" w:cs="宋体"/>
                <w:kern w:val="0"/>
                <w:szCs w:val="21"/>
              </w:rPr>
            </w:pPr>
            <w:r>
              <w:rPr>
                <w:rFonts w:ascii="宋体" w:hAnsi="宋体" w:cs="宋体"/>
                <w:kern w:val="0"/>
                <w:szCs w:val="21"/>
              </w:rPr>
              <w:t>《工贸行业重大生产安全事故隐患判定标准（2017版）》（安监总管四〔2017〕129号）</w:t>
            </w:r>
          </w:p>
          <w:p>
            <w:pPr>
              <w:widowControl/>
              <w:adjustRightInd w:val="0"/>
              <w:snapToGrid w:val="0"/>
              <w:ind w:firstLine="420" w:firstLineChars="200"/>
              <w:rPr>
                <w:rFonts w:ascii="宋体" w:hAnsi="宋体" w:cs="宋体"/>
                <w:kern w:val="0"/>
                <w:szCs w:val="21"/>
              </w:rPr>
            </w:pPr>
            <w:r>
              <w:rPr>
                <w:rFonts w:ascii="宋体" w:hAnsi="宋体" w:cs="宋体"/>
                <w:kern w:val="0"/>
                <w:szCs w:val="21"/>
              </w:rPr>
              <w:t>二、行业类重大事故隐患</w:t>
            </w:r>
          </w:p>
          <w:p>
            <w:pPr>
              <w:widowControl/>
              <w:adjustRightInd w:val="0"/>
              <w:snapToGrid w:val="0"/>
              <w:ind w:firstLine="420" w:firstLineChars="200"/>
              <w:rPr>
                <w:rFonts w:ascii="宋体" w:hAnsi="宋体" w:cs="宋体"/>
                <w:kern w:val="0"/>
                <w:szCs w:val="21"/>
              </w:rPr>
            </w:pPr>
            <w:r>
              <w:rPr>
                <w:rFonts w:ascii="宋体" w:hAnsi="宋体" w:cs="宋体"/>
                <w:kern w:val="0"/>
                <w:szCs w:val="21"/>
              </w:rPr>
              <w:t>（一）冶金行业。</w:t>
            </w:r>
          </w:p>
          <w:p>
            <w:pPr>
              <w:widowControl/>
              <w:adjustRightInd w:val="0"/>
              <w:snapToGrid w:val="0"/>
              <w:ind w:firstLine="420" w:firstLineChars="200"/>
              <w:rPr>
                <w:rFonts w:hint="eastAsia" w:ascii="宋体" w:hAnsi="宋体" w:cs="宋体"/>
                <w:kern w:val="0"/>
                <w:szCs w:val="21"/>
              </w:rPr>
            </w:pPr>
            <w:r>
              <w:rPr>
                <w:rFonts w:hint="eastAsia" w:ascii="宋体" w:hAnsi="宋体"/>
                <w:szCs w:val="21"/>
              </w:rPr>
              <w:t>8.煤气区域的值班室</w:t>
            </w:r>
            <w:r>
              <w:rPr>
                <w:rFonts w:hint="eastAsia" w:ascii="宋体" w:hAnsi="宋体" w:cs="宋体"/>
                <w:kern w:val="0"/>
                <w:szCs w:val="21"/>
              </w:rPr>
              <w:t>、操作室等人员较集中的地方，未设置固定式一氧化碳监测报警装置。</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highlight w:val="none"/>
              </w:rPr>
              <w:t>《冶金企业和有色金属企业安全生产规定》</w:t>
            </w:r>
            <w:r>
              <w:rPr>
                <w:rFonts w:ascii="宋体" w:hAnsi="宋体" w:cs="宋体"/>
                <w:kern w:val="0"/>
                <w:szCs w:val="21"/>
                <w:highlight w:val="none"/>
              </w:rPr>
              <w:t xml:space="preserve">第三十二条 </w:t>
            </w:r>
            <w:r>
              <w:rPr>
                <w:rFonts w:hint="eastAsia" w:ascii="宋体" w:hAnsi="宋体" w:cs="宋体"/>
                <w:kern w:val="0"/>
                <w:szCs w:val="21"/>
                <w:highlight w:val="none"/>
              </w:rPr>
              <w:t xml:space="preserve"> </w:t>
            </w:r>
            <w:r>
              <w:rPr>
                <w:rFonts w:ascii="宋体" w:hAnsi="宋体" w:cs="宋体"/>
                <w:kern w:val="0"/>
                <w:szCs w:val="21"/>
                <w:highlight w:val="none"/>
              </w:rPr>
              <w:t>生产、储存、使用煤气的企业应当严格执行《工业企业煤气安全规程》（GB622</w:t>
            </w:r>
            <w:r>
              <w:rPr>
                <w:rFonts w:hint="eastAsia" w:ascii="宋体" w:hAnsi="宋体"/>
                <w:szCs w:val="21"/>
                <w:highlight w:val="none"/>
              </w:rPr>
              <w:t>2），在可能发生煤气泄漏、聚集的场所，设置固定式煤气检测报警仪和安全警示标志。</w:t>
            </w:r>
          </w:p>
        </w:tc>
        <w:tc>
          <w:tcPr>
            <w:tcW w:w="3545" w:type="dxa"/>
            <w:vAlign w:val="center"/>
          </w:tcPr>
          <w:p>
            <w:pPr>
              <w:widowControl/>
              <w:adjustRightInd w:val="0"/>
              <w:snapToGrid w:val="0"/>
              <w:ind w:firstLine="420" w:firstLineChars="200"/>
              <w:rPr>
                <w:rFonts w:ascii="宋体" w:hAnsi="宋体" w:cs="宋体"/>
                <w:kern w:val="0"/>
                <w:szCs w:val="21"/>
              </w:rPr>
            </w:pPr>
            <w:r>
              <w:rPr>
                <w:rFonts w:ascii="宋体" w:hAnsi="宋体" w:cs="宋体"/>
                <w:kern w:val="0"/>
                <w:szCs w:val="21"/>
              </w:rPr>
              <w:t>《安全生产法》第九十六条</w:t>
            </w:r>
            <w:r>
              <w:rPr>
                <w:rFonts w:hint="eastAsia" w:ascii="宋体" w:hAnsi="宋体" w:cs="宋体"/>
                <w:kern w:val="0"/>
                <w:szCs w:val="21"/>
              </w:rPr>
              <w:t xml:space="preserve">  </w:t>
            </w:r>
            <w:r>
              <w:rPr>
                <w:rFonts w:ascii="宋体" w:hAnsi="宋体" w:cs="宋体"/>
                <w:kern w:val="0"/>
                <w:szCs w:val="21"/>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ascii="宋体" w:hAnsi="宋体" w:cs="宋体"/>
                <w:kern w:val="0"/>
                <w:szCs w:val="21"/>
              </w:rPr>
              <w:t>（二）安全设备的安装、使用、检测、改造和报废不符合国家标准或者行业标准的；</w:t>
            </w:r>
          </w:p>
          <w:p>
            <w:pPr>
              <w:widowControl/>
              <w:adjustRightInd w:val="0"/>
              <w:snapToGrid w:val="0"/>
              <w:ind w:firstLine="420"/>
            </w:pPr>
            <w:r>
              <w:t>（三）未对安全设备进行经常性维护、保养和定期检测的</w:t>
            </w:r>
            <w:r>
              <w:rPr>
                <w:rFonts w:hint="eastAsia"/>
              </w:rPr>
              <w:t>；</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Calibri" w:hAnsi="Calibri" w:eastAsia="宋体" w:cs="Times New Roman"/>
                <w:color w:val="auto"/>
                <w:kern w:val="2"/>
                <w:sz w:val="21"/>
                <w:szCs w:val="22"/>
                <w:highlight w:val="none"/>
                <w:lang w:val="en-US" w:eastAsia="zh-CN" w:bidi="ar-SA"/>
              </w:rPr>
              <w:t>《冶金企业和有色金属企业安全生产规定》</w:t>
            </w:r>
            <w:r>
              <w:rPr>
                <w:rFonts w:hint="default" w:ascii="Calibri" w:hAnsi="Calibri" w:eastAsia="宋体" w:cs="Times New Roman"/>
                <w:color w:val="auto"/>
                <w:kern w:val="2"/>
                <w:sz w:val="21"/>
                <w:szCs w:val="22"/>
                <w:highlight w:val="none"/>
                <w:lang w:val="en-US" w:eastAsia="zh-CN" w:bidi="ar-SA"/>
              </w:rPr>
              <w:t>第四十六条</w:t>
            </w:r>
            <w:r>
              <w:rPr>
                <w:rFonts w:hint="eastAsia" w:eastAsia="宋体" w:cs="Times New Roman"/>
                <w:color w:val="auto"/>
                <w:kern w:val="2"/>
                <w:sz w:val="21"/>
                <w:szCs w:val="22"/>
                <w:highlight w:val="none"/>
                <w:lang w:val="en-US" w:eastAsia="zh-CN" w:bidi="ar-SA"/>
              </w:rPr>
              <w:t xml:space="preserve">  </w:t>
            </w:r>
            <w:r>
              <w:rPr>
                <w:rFonts w:hint="default" w:ascii="Calibri" w:hAnsi="Calibri" w:eastAsia="宋体" w:cs="Times New Roman"/>
                <w:color w:val="auto"/>
                <w:kern w:val="2"/>
                <w:sz w:val="21"/>
                <w:szCs w:val="22"/>
                <w:highlight w:val="none"/>
                <w:lang w:val="en-US" w:eastAsia="zh-CN" w:bidi="ar-SA"/>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jc w:val="center"/>
              <w:rPr>
                <w:rFonts w:ascii="宋体" w:hAnsi="宋体"/>
                <w:szCs w:val="21"/>
              </w:rPr>
            </w:pPr>
            <w:r>
              <w:rPr>
                <w:rFonts w:hint="eastAsia" w:ascii="宋体" w:hAnsi="宋体"/>
                <w:szCs w:val="21"/>
              </w:rPr>
              <w:t>13</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煤气设施煤气管道隔断和吹扫情况</w:t>
            </w:r>
          </w:p>
        </w:tc>
        <w:tc>
          <w:tcPr>
            <w:tcW w:w="2551" w:type="dxa"/>
            <w:vAlign w:val="center"/>
          </w:tcPr>
          <w:p>
            <w:pPr>
              <w:widowControl/>
              <w:adjustRightInd w:val="0"/>
              <w:snapToGrid w:val="0"/>
              <w:rPr>
                <w:rFonts w:ascii="思源黑体 CN" w:hAnsi="思源黑体 CN" w:eastAsia="思源黑体 CN" w:cs="思源黑体 CN"/>
                <w:szCs w:val="21"/>
              </w:rPr>
            </w:pPr>
            <w:r>
              <w:rPr>
                <w:rFonts w:hint="eastAsia" w:ascii="思源黑体 CN" w:hAnsi="思源黑体 CN" w:eastAsia="思源黑体 CN" w:cs="思源黑体 CN"/>
                <w:szCs w:val="21"/>
              </w:rPr>
              <w:t>★</w:t>
            </w:r>
            <w:r>
              <w:rPr>
                <w:rFonts w:hint="eastAsia" w:ascii="宋体" w:hAnsi="宋体" w:cs="宋体"/>
                <w:kern w:val="0"/>
                <w:szCs w:val="21"/>
              </w:rPr>
              <w:t>高炉、转炉、加热炉、煤气柜、除尘器等设施的煤气管道设置可靠隔离装置和吹扫设施</w:t>
            </w:r>
          </w:p>
        </w:tc>
        <w:tc>
          <w:tcPr>
            <w:tcW w:w="4250" w:type="dxa"/>
            <w:vAlign w:val="center"/>
          </w:tcPr>
          <w:p>
            <w:pPr>
              <w:widowControl/>
              <w:adjustRightInd w:val="0"/>
              <w:snapToGrid w:val="0"/>
              <w:ind w:firstLine="420" w:firstLineChars="200"/>
              <w:rPr>
                <w:rFonts w:ascii="宋体" w:hAnsi="宋体" w:cs="宋体"/>
                <w:kern w:val="0"/>
                <w:szCs w:val="21"/>
              </w:rPr>
            </w:pPr>
            <w:r>
              <w:rPr>
                <w:rFonts w:ascii="宋体" w:hAnsi="宋体" w:cs="宋体"/>
                <w:kern w:val="0"/>
                <w:szCs w:val="21"/>
              </w:rPr>
              <w:t>《安全生产法》第三十三条</w:t>
            </w:r>
            <w:r>
              <w:rPr>
                <w:rFonts w:hint="eastAsia" w:ascii="宋体" w:hAnsi="宋体" w:cs="宋体"/>
                <w:kern w:val="0"/>
                <w:szCs w:val="21"/>
              </w:rPr>
              <w:t xml:space="preserve">  </w:t>
            </w:r>
            <w:r>
              <w:rPr>
                <w:rFonts w:ascii="宋体" w:hAnsi="宋体" w:cs="宋体"/>
                <w:kern w:val="0"/>
                <w:szCs w:val="21"/>
              </w:rPr>
              <w:t>安全设备的设计、制造、安装、使用、检测、维修、改造和报废，应当符合国家标准或者行业标准。生产经营单位必须对安全设备进行经常性维护、保养，并定期检测，保证正常运转。维护、保养、检测应当作好记录，并由有关人员签字。</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ascii="宋体" w:hAnsi="宋体" w:cs="宋体"/>
                <w:kern w:val="0"/>
                <w:szCs w:val="21"/>
              </w:rPr>
              <w:t>《工业企业煤气安全规程》（GB</w:t>
            </w:r>
            <w:r>
              <w:rPr>
                <w:rFonts w:hint="eastAsia" w:ascii="宋体" w:hAnsi="宋体" w:cs="宋体"/>
                <w:kern w:val="0"/>
                <w:szCs w:val="21"/>
              </w:rPr>
              <w:t xml:space="preserve"> </w:t>
            </w:r>
            <w:r>
              <w:rPr>
                <w:rFonts w:ascii="宋体" w:hAnsi="宋体" w:cs="宋体"/>
                <w:kern w:val="0"/>
                <w:szCs w:val="21"/>
              </w:rPr>
              <w:t>6222</w:t>
            </w:r>
            <w:r>
              <w:rPr>
                <w:rFonts w:hint="eastAsia" w:ascii="宋体" w:hAnsi="宋体" w:cs="宋体"/>
                <w:kern w:val="0"/>
                <w:szCs w:val="21"/>
              </w:rPr>
              <w:t>-</w:t>
            </w:r>
            <w:r>
              <w:rPr>
                <w:rFonts w:ascii="宋体" w:hAnsi="宋体" w:cs="宋体"/>
                <w:kern w:val="0"/>
                <w:szCs w:val="21"/>
              </w:rPr>
              <w:t>2005）</w:t>
            </w:r>
          </w:p>
          <w:p>
            <w:pPr>
              <w:widowControl/>
              <w:adjustRightInd w:val="0"/>
              <w:snapToGrid w:val="0"/>
              <w:ind w:firstLine="420" w:firstLineChars="200"/>
              <w:rPr>
                <w:rFonts w:ascii="宋体" w:hAnsi="宋体" w:cs="宋体"/>
                <w:kern w:val="0"/>
                <w:szCs w:val="21"/>
              </w:rPr>
            </w:pPr>
            <w:r>
              <w:rPr>
                <w:rFonts w:ascii="宋体" w:hAnsi="宋体" w:cs="宋体"/>
                <w:kern w:val="0"/>
                <w:szCs w:val="21"/>
              </w:rPr>
              <w:t>7.5.2</w:t>
            </w:r>
            <w:r>
              <w:rPr>
                <w:rFonts w:hint="eastAsia" w:ascii="宋体" w:hAnsi="宋体" w:cs="宋体"/>
                <w:kern w:val="0"/>
                <w:szCs w:val="21"/>
              </w:rPr>
              <w:t xml:space="preserve">  ……</w:t>
            </w:r>
            <w:r>
              <w:rPr>
                <w:rFonts w:ascii="宋体" w:hAnsi="宋体" w:cs="宋体"/>
                <w:kern w:val="0"/>
                <w:szCs w:val="21"/>
              </w:rPr>
              <w:t>为防止煤气串入蒸汽或氮气管内，只有在通蒸汽或氮气时，才能把蒸汽或氮气管与煤气管道连通，停用时应断开或堵盲板。</w:t>
            </w:r>
          </w:p>
          <w:p>
            <w:pPr>
              <w:widowControl/>
              <w:adjustRightInd w:val="0"/>
              <w:snapToGrid w:val="0"/>
              <w:ind w:firstLine="420" w:firstLineChars="200"/>
              <w:rPr>
                <w:rFonts w:ascii="宋体" w:hAnsi="宋体" w:cs="宋体"/>
                <w:kern w:val="0"/>
                <w:szCs w:val="21"/>
              </w:rPr>
            </w:pPr>
            <w:r>
              <w:rPr>
                <w:rFonts w:ascii="宋体" w:hAnsi="宋体" w:cs="宋体"/>
                <w:kern w:val="0"/>
                <w:szCs w:val="21"/>
              </w:rPr>
              <w:t xml:space="preserve">10.2.1 </w:t>
            </w:r>
            <w:r>
              <w:rPr>
                <w:rFonts w:hint="eastAsia" w:ascii="宋体" w:hAnsi="宋体" w:cs="宋体"/>
                <w:kern w:val="0"/>
                <w:szCs w:val="21"/>
              </w:rPr>
              <w:t xml:space="preserve"> 煤气设施停煤气检修时，应可靠地切断煤气来源并将内部煤气吹净。长期检修或停用的煤气设施， 应打开上、下人孔、放散管等，保持设施内部的自然通风。</w:t>
            </w:r>
          </w:p>
          <w:p>
            <w:pPr>
              <w:widowControl/>
              <w:adjustRightInd w:val="0"/>
              <w:snapToGrid w:val="0"/>
              <w:ind w:firstLine="420" w:firstLineChars="200"/>
              <w:rPr>
                <w:rFonts w:ascii="宋体" w:hAnsi="宋体" w:cs="宋体"/>
                <w:kern w:val="0"/>
                <w:szCs w:val="21"/>
              </w:rPr>
            </w:pPr>
            <w:r>
              <w:rPr>
                <w:rFonts w:ascii="宋体" w:hAnsi="宋体" w:cs="宋体"/>
                <w:kern w:val="0"/>
                <w:szCs w:val="21"/>
              </w:rPr>
              <w:t>《工贸行业重大生产安全事故隐患判定标准（2017版）》（安监总管四〔2017〕129号）</w:t>
            </w:r>
          </w:p>
          <w:p>
            <w:pPr>
              <w:widowControl/>
              <w:adjustRightInd w:val="0"/>
              <w:snapToGrid w:val="0"/>
              <w:ind w:firstLine="420" w:firstLineChars="200"/>
              <w:rPr>
                <w:rFonts w:ascii="宋体" w:hAnsi="宋体" w:cs="宋体"/>
                <w:kern w:val="0"/>
                <w:szCs w:val="21"/>
              </w:rPr>
            </w:pPr>
            <w:r>
              <w:rPr>
                <w:rFonts w:ascii="宋体" w:hAnsi="宋体" w:cs="宋体"/>
                <w:kern w:val="0"/>
                <w:szCs w:val="21"/>
              </w:rPr>
              <w:t>二、行业类重大事故隐患</w:t>
            </w:r>
          </w:p>
          <w:p>
            <w:pPr>
              <w:widowControl/>
              <w:adjustRightInd w:val="0"/>
              <w:snapToGrid w:val="0"/>
              <w:ind w:firstLine="420" w:firstLineChars="200"/>
              <w:rPr>
                <w:rFonts w:ascii="宋体" w:hAnsi="宋体" w:cs="宋体"/>
                <w:kern w:val="0"/>
                <w:szCs w:val="21"/>
              </w:rPr>
            </w:pPr>
            <w:r>
              <w:rPr>
                <w:rFonts w:ascii="宋体" w:hAnsi="宋体" w:cs="宋体"/>
                <w:kern w:val="0"/>
                <w:szCs w:val="21"/>
              </w:rPr>
              <w:t>（一）冶金行业。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9.高炉、转炉、加热炉、煤气柜、除尘器等设施的煤气管道未设置可靠隔离装置和吹扫设施。</w:t>
            </w:r>
          </w:p>
        </w:tc>
        <w:tc>
          <w:tcPr>
            <w:tcW w:w="3545" w:type="dxa"/>
            <w:vAlign w:val="center"/>
          </w:tcPr>
          <w:p>
            <w:pPr>
              <w:widowControl/>
              <w:adjustRightInd w:val="0"/>
              <w:snapToGrid w:val="0"/>
              <w:ind w:firstLine="420"/>
              <w:rPr>
                <w:rFonts w:ascii="宋体" w:hAnsi="宋体" w:cs="宋体"/>
                <w:kern w:val="0"/>
                <w:szCs w:val="21"/>
              </w:rPr>
            </w:pPr>
            <w:r>
              <w:rPr>
                <w:rFonts w:hint="eastAsia" w:ascii="宋体" w:hAnsi="宋体" w:cs="宋体"/>
                <w:kern w:val="0"/>
                <w:szCs w:val="21"/>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rPr>
                <w:rFonts w:ascii="宋体" w:hAnsi="宋体" w:cs="宋体"/>
                <w:kern w:val="0"/>
                <w:szCs w:val="21"/>
              </w:rPr>
            </w:pPr>
            <w:r>
              <w:rPr>
                <w:rFonts w:hint="eastAsia" w:ascii="宋体" w:hAnsi="宋体" w:cs="宋体"/>
                <w:kern w:val="0"/>
                <w:szCs w:val="21"/>
              </w:rPr>
              <w:t>……</w:t>
            </w:r>
          </w:p>
          <w:p>
            <w:pPr>
              <w:widowControl/>
              <w:adjustRightInd w:val="0"/>
              <w:snapToGrid w:val="0"/>
              <w:ind w:firstLine="420"/>
              <w:rPr>
                <w:rFonts w:ascii="宋体" w:hAnsi="宋体" w:cs="宋体"/>
                <w:kern w:val="0"/>
                <w:szCs w:val="21"/>
              </w:rPr>
            </w:pPr>
            <w:r>
              <w:rPr>
                <w:rFonts w:hint="eastAsia" w:ascii="宋体" w:hAnsi="宋体" w:cs="宋体"/>
                <w:kern w:val="0"/>
                <w:szCs w:val="21"/>
              </w:rPr>
              <w:t>（二）安全设备的安装、使用、检测、改造和报废不符合国家标准或者行业标准的；</w:t>
            </w:r>
          </w:p>
          <w:p>
            <w:pPr>
              <w:widowControl/>
              <w:adjustRightInd w:val="0"/>
              <w:snapToGrid w:val="0"/>
              <w:ind w:firstLine="420"/>
            </w:pPr>
            <w:r>
              <w:t>（三）未对安全设备进行经常性维护、保养和定期检测的</w:t>
            </w:r>
            <w:r>
              <w:rPr>
                <w:rFonts w:hint="eastAsia"/>
              </w:rPr>
              <w:t>；</w:t>
            </w:r>
          </w:p>
          <w:p>
            <w:pPr>
              <w:widowControl/>
              <w:adjustRightInd w:val="0"/>
              <w:snapToGrid w:val="0"/>
              <w:ind w:firstLine="420"/>
              <w:rPr>
                <w:rFonts w:ascii="宋体" w:hAnsi="宋体" w:cs="宋体"/>
                <w:kern w:val="0"/>
                <w:szCs w:val="21"/>
              </w:rPr>
            </w:pPr>
            <w:r>
              <w:rPr>
                <w:rFonts w:hint="eastAsia" w:ascii="宋体" w:hAnsi="宋体" w:cs="宋体"/>
                <w:kern w:val="0"/>
                <w:szCs w:val="21"/>
              </w:rPr>
              <w:t>……</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602" w:hRule="atLeast"/>
          <w:jc w:val="center"/>
        </w:trPr>
        <w:tc>
          <w:tcPr>
            <w:tcW w:w="816" w:type="dxa"/>
            <w:vAlign w:val="center"/>
          </w:tcPr>
          <w:p>
            <w:pPr>
              <w:jc w:val="center"/>
              <w:rPr>
                <w:rFonts w:ascii="宋体" w:hAnsi="宋体"/>
                <w:szCs w:val="21"/>
              </w:rPr>
            </w:pPr>
            <w:r>
              <w:rPr>
                <w:rFonts w:hint="eastAsia" w:ascii="宋体" w:hAnsi="宋体"/>
                <w:szCs w:val="21"/>
              </w:rPr>
              <w:t>14</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煤气管道隔断情况</w:t>
            </w: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煤气分配主管上支管引接处，设置可靠的切断装置；车间内各类燃气管线，在车间入口应设置总管切断阀</w:t>
            </w:r>
          </w:p>
        </w:tc>
        <w:tc>
          <w:tcPr>
            <w:tcW w:w="425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《安全生产法》第三十三条  安全设备的设计、制造、安装、使用、检测、维修、改造和报废，应当符合国家标准或者行业标准。</w:t>
            </w:r>
            <w:r>
              <w:rPr>
                <w:rFonts w:ascii="宋体" w:hAnsi="宋体" w:cs="宋体"/>
                <w:kern w:val="0"/>
                <w:szCs w:val="21"/>
              </w:rPr>
              <w:t>生产经营单位必须对安全设备进行经常性维护、保养，并定期检测，保证正常运转。维护、保养、检测应当作好记录，并由有关人员签字。</w:t>
            </w:r>
          </w:p>
          <w:p>
            <w:pPr>
              <w:widowControl/>
              <w:adjustRightInd w:val="0"/>
              <w:snapToGrid w:val="0"/>
              <w:ind w:firstLine="420"/>
              <w:rPr>
                <w:rFonts w:ascii="宋体" w:hAnsi="宋体" w:cs="宋体"/>
                <w:kern w:val="0"/>
                <w:szCs w:val="21"/>
              </w:rPr>
            </w:pPr>
            <w:r>
              <w:rPr>
                <w:rFonts w:hint="eastAsia"/>
              </w:rPr>
              <w:t>……</w:t>
            </w:r>
          </w:p>
          <w:p>
            <w:pPr>
              <w:widowControl/>
              <w:adjustRightInd w:val="0"/>
              <w:snapToGrid w:val="0"/>
              <w:ind w:firstLine="420" w:firstLineChars="200"/>
              <w:rPr>
                <w:rFonts w:ascii="宋体" w:hAnsi="宋体" w:cs="宋体"/>
                <w:kern w:val="0"/>
                <w:szCs w:val="21"/>
              </w:rPr>
            </w:pPr>
            <w:r>
              <w:rPr>
                <w:rFonts w:ascii="宋体" w:hAnsi="宋体" w:cs="宋体"/>
                <w:kern w:val="0"/>
                <w:szCs w:val="21"/>
              </w:rPr>
              <w:t>《工业企业煤气安全规程》（GB</w:t>
            </w:r>
            <w:r>
              <w:rPr>
                <w:rFonts w:hint="eastAsia" w:ascii="宋体" w:hAnsi="宋体" w:cs="宋体"/>
                <w:kern w:val="0"/>
                <w:szCs w:val="21"/>
              </w:rPr>
              <w:t xml:space="preserve"> </w:t>
            </w:r>
            <w:r>
              <w:rPr>
                <w:rFonts w:ascii="宋体" w:hAnsi="宋体" w:cs="宋体"/>
                <w:kern w:val="0"/>
                <w:szCs w:val="21"/>
              </w:rPr>
              <w:t>6222</w:t>
            </w:r>
            <w:r>
              <w:rPr>
                <w:rFonts w:hint="eastAsia" w:ascii="宋体" w:hAnsi="宋体" w:cs="宋体"/>
                <w:kern w:val="0"/>
                <w:szCs w:val="21"/>
              </w:rPr>
              <w:t>-</w:t>
            </w:r>
            <w:r>
              <w:rPr>
                <w:rFonts w:ascii="宋体" w:hAnsi="宋体" w:cs="宋体"/>
                <w:kern w:val="0"/>
                <w:szCs w:val="21"/>
              </w:rPr>
              <w:t>2005）</w:t>
            </w:r>
          </w:p>
          <w:p>
            <w:pPr>
              <w:widowControl/>
              <w:adjustRightInd w:val="0"/>
              <w:snapToGrid w:val="0"/>
              <w:ind w:firstLine="420" w:firstLineChars="200"/>
              <w:rPr>
                <w:rFonts w:ascii="宋体" w:hAnsi="宋体" w:cs="宋体"/>
                <w:kern w:val="0"/>
                <w:szCs w:val="21"/>
              </w:rPr>
            </w:pPr>
            <w:r>
              <w:rPr>
                <w:rFonts w:ascii="宋体" w:hAnsi="宋体" w:cs="宋体"/>
                <w:kern w:val="0"/>
                <w:szCs w:val="21"/>
              </w:rPr>
              <w:t>6.2</w:t>
            </w:r>
            <w:r>
              <w:rPr>
                <w:rFonts w:hint="eastAsia" w:ascii="宋体" w:hAnsi="宋体" w:cs="宋体"/>
                <w:kern w:val="0"/>
                <w:szCs w:val="21"/>
              </w:rPr>
              <w:t>.</w:t>
            </w:r>
            <w:r>
              <w:rPr>
                <w:rFonts w:ascii="宋体" w:hAnsi="宋体" w:cs="宋体"/>
                <w:kern w:val="0"/>
                <w:szCs w:val="21"/>
              </w:rPr>
              <w:t>1.10</w:t>
            </w:r>
            <w:r>
              <w:rPr>
                <w:rFonts w:hint="eastAsia" w:ascii="宋体" w:hAnsi="宋体" w:cs="宋体"/>
                <w:kern w:val="0"/>
                <w:szCs w:val="21"/>
              </w:rPr>
              <w:t xml:space="preserve">  煤气分配主管上支管引接处( 热发生炉煤气管除外)，应设置可靠的隔断装置</w:t>
            </w:r>
          </w:p>
          <w:p>
            <w:pPr>
              <w:widowControl/>
              <w:adjustRightInd w:val="0"/>
              <w:snapToGrid w:val="0"/>
              <w:ind w:firstLine="420" w:firstLineChars="200"/>
              <w:rPr>
                <w:rFonts w:ascii="宋体" w:hAnsi="宋体" w:cs="宋体"/>
                <w:kern w:val="0"/>
                <w:szCs w:val="21"/>
              </w:rPr>
            </w:pPr>
            <w:r>
              <w:rPr>
                <w:rFonts w:ascii="宋体" w:hAnsi="宋体" w:cs="宋体"/>
                <w:kern w:val="0"/>
                <w:szCs w:val="21"/>
              </w:rPr>
              <w:t>《工贸行业重大生产安全事故隐患判定标准（2017版）》（安监总管四〔2017〕129号）</w:t>
            </w:r>
          </w:p>
          <w:p>
            <w:pPr>
              <w:widowControl/>
              <w:adjustRightInd w:val="0"/>
              <w:snapToGrid w:val="0"/>
              <w:ind w:firstLine="420" w:firstLineChars="200"/>
              <w:rPr>
                <w:rFonts w:ascii="宋体" w:hAnsi="宋体" w:cs="宋体"/>
                <w:kern w:val="0"/>
                <w:szCs w:val="21"/>
              </w:rPr>
            </w:pPr>
            <w:r>
              <w:rPr>
                <w:rFonts w:ascii="宋体" w:hAnsi="宋体" w:cs="宋体"/>
                <w:kern w:val="0"/>
                <w:szCs w:val="21"/>
              </w:rPr>
              <w:t>二、行业类重大事故隐患</w:t>
            </w:r>
          </w:p>
          <w:p>
            <w:pPr>
              <w:widowControl/>
              <w:adjustRightInd w:val="0"/>
              <w:snapToGrid w:val="0"/>
              <w:ind w:firstLine="420" w:firstLineChars="200"/>
              <w:rPr>
                <w:rFonts w:ascii="宋体" w:hAnsi="宋体" w:cs="宋体"/>
                <w:kern w:val="0"/>
                <w:szCs w:val="21"/>
              </w:rPr>
            </w:pPr>
            <w:r>
              <w:rPr>
                <w:rFonts w:ascii="宋体" w:hAnsi="宋体" w:cs="宋体"/>
                <w:kern w:val="0"/>
                <w:szCs w:val="21"/>
              </w:rPr>
              <w:t>（一）冶金行业。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10.煤气分配主管上支管引接处，未设置可靠的切断装置；车间内各类燃气管线，在车间入口未设置总管切断阀。</w:t>
            </w:r>
          </w:p>
        </w:tc>
        <w:tc>
          <w:tcPr>
            <w:tcW w:w="3545"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（二）安全设备的安装、使用、检测、改造和报废不符合国家标准或者行业标准的；</w:t>
            </w:r>
          </w:p>
          <w:p>
            <w:pPr>
              <w:widowControl/>
              <w:adjustRightInd w:val="0"/>
              <w:snapToGrid w:val="0"/>
              <w:ind w:firstLine="420"/>
            </w:pPr>
            <w:r>
              <w:t>（三）未对安全设备进行经常性维护、保养和定期检测的</w:t>
            </w:r>
            <w:r>
              <w:rPr>
                <w:rFonts w:hint="eastAsia"/>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jc w:val="center"/>
              <w:rPr>
                <w:rFonts w:ascii="宋体" w:hAnsi="宋体"/>
                <w:szCs w:val="21"/>
              </w:rPr>
            </w:pPr>
            <w:r>
              <w:rPr>
                <w:rFonts w:hint="eastAsia" w:ascii="宋体" w:hAnsi="宋体"/>
                <w:szCs w:val="21"/>
              </w:rPr>
              <w:t>15</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淘汰落后情况</w:t>
            </w:r>
          </w:p>
        </w:tc>
        <w:tc>
          <w:tcPr>
            <w:tcW w:w="2551" w:type="dxa"/>
            <w:vAlign w:val="center"/>
          </w:tcPr>
          <w:p>
            <w:pPr>
              <w:widowControl/>
              <w:adjustRightInd w:val="0"/>
              <w:snapToGrid w:val="0"/>
              <w:rPr>
                <w:rFonts w:ascii="宋体" w:hAnsi="宋体" w:cs="宋体"/>
                <w:kern w:val="0"/>
                <w:szCs w:val="21"/>
              </w:rPr>
            </w:pPr>
            <w:r>
              <w:rPr>
                <w:rFonts w:ascii="宋体" w:hAnsi="宋体" w:cs="宋体"/>
                <w:kern w:val="0"/>
                <w:szCs w:val="21"/>
              </w:rPr>
              <w:t>使用国家明令禁止使用的设备、材料和工艺</w:t>
            </w:r>
            <w:r>
              <w:rPr>
                <w:rFonts w:hint="eastAsia" w:ascii="宋体" w:hAnsi="宋体" w:cs="宋体"/>
                <w:kern w:val="0"/>
                <w:szCs w:val="21"/>
              </w:rPr>
              <w:t>的现象</w:t>
            </w:r>
          </w:p>
        </w:tc>
        <w:tc>
          <w:tcPr>
            <w:tcW w:w="4250" w:type="dxa"/>
            <w:vAlign w:val="center"/>
          </w:tcPr>
          <w:p>
            <w:pPr>
              <w:spacing w:line="320" w:lineRule="exact"/>
              <w:ind w:firstLine="420" w:firstLineChars="200"/>
              <w:rPr>
                <w:rFonts w:ascii="宋体" w:hAnsi="宋体" w:cs="宋体"/>
                <w:kern w:val="0"/>
                <w:szCs w:val="21"/>
              </w:rPr>
            </w:pPr>
            <w:r>
              <w:rPr>
                <w:rFonts w:ascii="宋体" w:hAnsi="宋体" w:cs="宋体"/>
                <w:kern w:val="0"/>
                <w:szCs w:val="21"/>
              </w:rPr>
              <w:t>《安全生产法》第三十五条</w:t>
            </w:r>
            <w:r>
              <w:rPr>
                <w:rFonts w:hint="eastAsia" w:ascii="宋体" w:hAnsi="宋体" w:cs="宋体"/>
                <w:kern w:val="0"/>
                <w:szCs w:val="21"/>
              </w:rPr>
              <w:t xml:space="preserve"> ……</w:t>
            </w:r>
          </w:p>
          <w:p>
            <w:pPr>
              <w:spacing w:line="320" w:lineRule="exact"/>
              <w:ind w:firstLine="420" w:firstLineChars="200"/>
              <w:rPr>
                <w:rFonts w:ascii="宋体" w:hAnsi="宋体" w:cs="宋体"/>
                <w:kern w:val="0"/>
                <w:szCs w:val="21"/>
              </w:rPr>
            </w:pPr>
            <w:r>
              <w:rPr>
                <w:rFonts w:ascii="宋体" w:hAnsi="宋体" w:cs="宋体"/>
                <w:kern w:val="0"/>
                <w:szCs w:val="21"/>
              </w:rPr>
              <w:t>生产经营单位不得使用应当淘汰的危及生产安全的工艺、设备。</w:t>
            </w:r>
          </w:p>
          <w:p>
            <w:pPr>
              <w:spacing w:line="320" w:lineRule="exact"/>
              <w:ind w:firstLine="420" w:firstLineChars="200"/>
              <w:rPr>
                <w:rFonts w:ascii="宋体" w:hAnsi="宋体" w:cs="宋体"/>
                <w:kern w:val="0"/>
                <w:szCs w:val="21"/>
              </w:rPr>
            </w:pPr>
            <w:r>
              <w:rPr>
                <w:rFonts w:ascii="宋体" w:hAnsi="宋体" w:cs="宋体"/>
                <w:kern w:val="0"/>
                <w:szCs w:val="21"/>
              </w:rPr>
              <w:t>《关于发布金属冶炼企业禁止使用的设备及工艺目录（第一批）的通知》（安监总管四〔2017〕142号）</w:t>
            </w:r>
          </w:p>
          <w:p>
            <w:pPr>
              <w:spacing w:line="320" w:lineRule="exact"/>
              <w:ind w:firstLine="420" w:firstLineChars="200"/>
              <w:rPr>
                <w:rFonts w:ascii="宋体" w:hAnsi="宋体" w:cs="宋体"/>
                <w:kern w:val="0"/>
                <w:szCs w:val="21"/>
              </w:rPr>
            </w:pPr>
            <w:r>
              <w:rPr>
                <w:rFonts w:ascii="宋体" w:hAnsi="宋体" w:cs="宋体"/>
                <w:kern w:val="0"/>
                <w:szCs w:val="21"/>
                <w:highlight w:val="none"/>
              </w:rPr>
              <w:t>《冶金企业和有色金属企业安全生产规定》第二十四条</w:t>
            </w:r>
            <w:r>
              <w:rPr>
                <w:rFonts w:hint="eastAsia" w:ascii="宋体" w:hAnsi="宋体" w:cs="宋体"/>
                <w:kern w:val="0"/>
                <w:szCs w:val="21"/>
                <w:highlight w:val="none"/>
              </w:rPr>
              <w:t xml:space="preserve">  </w:t>
            </w:r>
            <w:r>
              <w:rPr>
                <w:rFonts w:ascii="宋体" w:hAnsi="宋体" w:cs="宋体"/>
                <w:kern w:val="0"/>
                <w:szCs w:val="21"/>
                <w:highlight w:val="none"/>
              </w:rPr>
              <w:t>企业不得使用不符合国家标准或者行业标准的技术、工艺和设备；对现有工艺、设备进行更新或者改造的，不得降低其安全技术性能。</w:t>
            </w:r>
          </w:p>
        </w:tc>
        <w:tc>
          <w:tcPr>
            <w:tcW w:w="3545" w:type="dxa"/>
            <w:vAlign w:val="center"/>
          </w:tcPr>
          <w:p>
            <w:pPr>
              <w:spacing w:line="320" w:lineRule="exact"/>
              <w:ind w:firstLine="420" w:firstLineChars="200"/>
              <w:rPr>
                <w:rFonts w:ascii="宋体" w:hAnsi="宋体" w:cs="宋体"/>
                <w:kern w:val="0"/>
                <w:szCs w:val="21"/>
              </w:rPr>
            </w:pPr>
            <w:r>
              <w:rPr>
                <w:rFonts w:ascii="宋体" w:hAnsi="宋体" w:cs="宋体"/>
                <w:kern w:val="0"/>
                <w:szCs w:val="21"/>
              </w:rPr>
              <w:t>《安全生产法》第九十六条</w:t>
            </w:r>
            <w:r>
              <w:rPr>
                <w:rFonts w:hint="eastAsia" w:ascii="宋体" w:hAnsi="宋体" w:cs="宋体"/>
                <w:kern w:val="0"/>
                <w:szCs w:val="21"/>
              </w:rPr>
              <w:t xml:space="preserve">  </w:t>
            </w:r>
            <w:r>
              <w:rPr>
                <w:rFonts w:ascii="宋体" w:hAnsi="宋体" w:cs="宋体"/>
                <w:kern w:val="0"/>
                <w:szCs w:val="21"/>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320" w:lineRule="exact"/>
              <w:ind w:firstLine="420" w:firstLineChars="200"/>
              <w:rPr>
                <w:rFonts w:ascii="宋体" w:hAnsi="宋体" w:cs="宋体"/>
                <w:kern w:val="0"/>
                <w:szCs w:val="21"/>
              </w:rPr>
            </w:pPr>
            <w:r>
              <w:rPr>
                <w:rFonts w:hint="eastAsia" w:ascii="宋体" w:hAnsi="宋体" w:cs="宋体"/>
                <w:kern w:val="0"/>
                <w:szCs w:val="21"/>
              </w:rPr>
              <w:t>……</w:t>
            </w:r>
          </w:p>
          <w:p>
            <w:pPr>
              <w:spacing w:line="320" w:lineRule="exact"/>
              <w:ind w:firstLine="420" w:firstLineChars="200"/>
              <w:rPr>
                <w:rFonts w:ascii="宋体" w:hAnsi="宋体" w:cs="宋体"/>
                <w:kern w:val="0"/>
                <w:szCs w:val="21"/>
              </w:rPr>
            </w:pPr>
            <w:r>
              <w:rPr>
                <w:rFonts w:ascii="宋体" w:hAnsi="宋体" w:cs="宋体"/>
                <w:kern w:val="0"/>
                <w:szCs w:val="21"/>
              </w:rPr>
              <w:t>（六）使用应当淘汰的危及生产安全的工艺、设备的。</w:t>
            </w:r>
          </w:p>
          <w:p>
            <w:pPr>
              <w:spacing w:line="320" w:lineRule="exact"/>
              <w:ind w:firstLine="420" w:firstLineChars="200"/>
              <w:rPr>
                <w:rFonts w:ascii="宋体" w:hAnsi="宋体" w:cs="宋体"/>
                <w:kern w:val="0"/>
                <w:szCs w:val="21"/>
              </w:rPr>
            </w:pPr>
            <w:r>
              <w:rPr>
                <w:rFonts w:hint="eastAsia" w:ascii="Calibri" w:hAnsi="Calibri" w:eastAsia="宋体" w:cs="Times New Roman"/>
                <w:color w:val="auto"/>
                <w:kern w:val="2"/>
                <w:sz w:val="21"/>
                <w:szCs w:val="22"/>
                <w:highlight w:val="none"/>
                <w:lang w:val="en-US" w:eastAsia="zh-CN" w:bidi="ar-SA"/>
              </w:rPr>
              <w:t>《冶金企业和有色金属企业安全生产规定》</w:t>
            </w:r>
            <w:r>
              <w:rPr>
                <w:rFonts w:hint="default" w:ascii="Calibri" w:hAnsi="Calibri" w:eastAsia="宋体" w:cs="Times New Roman"/>
                <w:color w:val="auto"/>
                <w:kern w:val="2"/>
                <w:sz w:val="21"/>
                <w:szCs w:val="22"/>
                <w:highlight w:val="none"/>
                <w:lang w:val="en-US" w:eastAsia="zh-CN" w:bidi="ar-SA"/>
              </w:rPr>
              <w:t>第四十六条</w:t>
            </w:r>
            <w:r>
              <w:rPr>
                <w:rFonts w:hint="eastAsia" w:eastAsia="宋体" w:cs="Times New Roman"/>
                <w:color w:val="auto"/>
                <w:kern w:val="2"/>
                <w:sz w:val="21"/>
                <w:szCs w:val="22"/>
                <w:highlight w:val="none"/>
                <w:lang w:val="en-US" w:eastAsia="zh-CN" w:bidi="ar-SA"/>
              </w:rPr>
              <w:t xml:space="preserve">  </w:t>
            </w:r>
            <w:r>
              <w:rPr>
                <w:rFonts w:hint="default" w:ascii="Calibri" w:hAnsi="Calibri" w:eastAsia="宋体" w:cs="Times New Roman"/>
                <w:color w:val="auto"/>
                <w:kern w:val="2"/>
                <w:sz w:val="21"/>
                <w:szCs w:val="22"/>
                <w:highlight w:val="none"/>
                <w:lang w:val="en-US" w:eastAsia="zh-CN" w:bidi="ar-SA"/>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1013" w:type="dxa"/>
            <w:vAlign w:val="center"/>
          </w:tcPr>
          <w:p>
            <w:pPr>
              <w:widowControl/>
              <w:adjustRightInd w:val="0"/>
              <w:snapToGrid w:val="0"/>
              <w:rPr>
                <w:rFonts w:ascii="宋体" w:hAnsi="宋体" w:cs="宋体"/>
                <w:kern w:val="0"/>
                <w:szCs w:val="21"/>
              </w:rPr>
            </w:pPr>
          </w:p>
        </w:tc>
      </w:tr>
    </w:tbl>
    <w:p>
      <w:pPr>
        <w:pStyle w:val="4"/>
        <w:keepNext w:val="0"/>
        <w:keepLines w:val="0"/>
        <w:pageBreakBefore/>
        <w:spacing w:line="240" w:lineRule="auto"/>
        <w:rPr>
          <w:rFonts w:ascii="黑体" w:hAnsi="黑体" w:eastAsia="黑体"/>
          <w:b w:val="0"/>
        </w:rPr>
      </w:pPr>
      <w:r>
        <w:rPr>
          <w:rFonts w:hint="eastAsia" w:ascii="黑体" w:hAnsi="黑体" w:eastAsia="黑体"/>
          <w:b w:val="0"/>
        </w:rPr>
        <w:t>表5-2  有色企业</w:t>
      </w:r>
    </w:p>
    <w:tbl>
      <w:tblPr>
        <w:tblStyle w:val="19"/>
        <w:tblW w:w="13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816"/>
        <w:gridCol w:w="1704"/>
        <w:gridCol w:w="2551"/>
        <w:gridCol w:w="4250"/>
        <w:gridCol w:w="354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50" w:hRule="atLeast"/>
          <w:tblHeader/>
          <w:jc w:val="center"/>
        </w:trPr>
        <w:tc>
          <w:tcPr>
            <w:tcW w:w="816"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序号</w:t>
            </w:r>
          </w:p>
        </w:tc>
        <w:tc>
          <w:tcPr>
            <w:tcW w:w="1704"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检查事项</w:t>
            </w:r>
          </w:p>
        </w:tc>
        <w:tc>
          <w:tcPr>
            <w:tcW w:w="2551"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检查内容</w:t>
            </w:r>
          </w:p>
        </w:tc>
        <w:tc>
          <w:tcPr>
            <w:tcW w:w="4250"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检查依据指引</w:t>
            </w:r>
          </w:p>
        </w:tc>
        <w:tc>
          <w:tcPr>
            <w:tcW w:w="3545"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法律责任指引</w:t>
            </w:r>
          </w:p>
        </w:tc>
        <w:tc>
          <w:tcPr>
            <w:tcW w:w="1013"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jc w:val="center"/>
              <w:rPr>
                <w:rFonts w:ascii="宋体" w:hAnsi="宋体"/>
                <w:szCs w:val="21"/>
              </w:rPr>
            </w:pPr>
            <w:r>
              <w:rPr>
                <w:rFonts w:hint="eastAsia" w:ascii="宋体" w:hAnsi="宋体"/>
                <w:szCs w:val="21"/>
              </w:rPr>
              <w:t>1</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人员管理情况</w:t>
            </w:r>
          </w:p>
        </w:tc>
        <w:tc>
          <w:tcPr>
            <w:tcW w:w="11359" w:type="dxa"/>
            <w:gridSpan w:val="4"/>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对有色企业内的金属冶炼企业，按照《安全生产监督检查综合事项》第3项、第4项、第5项执行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jc w:val="center"/>
              <w:rPr>
                <w:rFonts w:ascii="宋体" w:hAnsi="宋体"/>
                <w:szCs w:val="21"/>
              </w:rPr>
            </w:pPr>
            <w:r>
              <w:rPr>
                <w:rFonts w:hint="eastAsia" w:ascii="宋体" w:hAnsi="宋体"/>
                <w:szCs w:val="21"/>
              </w:rPr>
              <w:t>2</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建设项目安全评价及建设项目安全设施“三同时”情况</w:t>
            </w:r>
          </w:p>
        </w:tc>
        <w:tc>
          <w:tcPr>
            <w:tcW w:w="11359" w:type="dxa"/>
            <w:gridSpan w:val="4"/>
            <w:vAlign w:val="center"/>
          </w:tcPr>
          <w:p>
            <w:pPr>
              <w:widowControl/>
              <w:adjustRightInd w:val="0"/>
              <w:snapToGrid w:val="0"/>
              <w:rPr>
                <w:rFonts w:ascii="宋体" w:hAnsi="宋体" w:cs="宋体"/>
                <w:kern w:val="0"/>
                <w:szCs w:val="21"/>
              </w:rPr>
            </w:pPr>
            <w:r>
              <w:rPr>
                <w:rFonts w:hint="eastAsia" w:ascii="宋体" w:hAnsi="宋体" w:cs="宋体"/>
                <w:kern w:val="0"/>
                <w:szCs w:val="21"/>
              </w:rPr>
              <w:t>对有色企业内的金属冶炼企业，按照《安全生产监督检查综合事项》第6项执行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jc w:val="center"/>
              <w:rPr>
                <w:rFonts w:ascii="宋体" w:hAnsi="宋体"/>
                <w:szCs w:val="21"/>
              </w:rPr>
            </w:pPr>
            <w:r>
              <w:rPr>
                <w:rFonts w:hint="eastAsia" w:ascii="宋体" w:hAnsi="宋体"/>
                <w:szCs w:val="21"/>
              </w:rPr>
              <w:t>3</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起重机情况</w:t>
            </w:r>
          </w:p>
        </w:tc>
        <w:tc>
          <w:tcPr>
            <w:tcW w:w="2551" w:type="dxa"/>
            <w:vAlign w:val="center"/>
          </w:tcPr>
          <w:p>
            <w:pPr>
              <w:widowControl/>
              <w:adjustRightInd w:val="0"/>
              <w:snapToGrid w:val="0"/>
              <w:rPr>
                <w:rFonts w:ascii="思源黑体 CN" w:hAnsi="思源黑体 CN" w:eastAsia="思源黑体 CN" w:cs="思源黑体 CN"/>
                <w:szCs w:val="21"/>
              </w:rPr>
            </w:pPr>
            <w:r>
              <w:rPr>
                <w:rFonts w:hint="eastAsia" w:ascii="思源黑体 CN" w:hAnsi="思源黑体 CN" w:eastAsia="思源黑体 CN" w:cs="思源黑体 CN"/>
                <w:szCs w:val="21"/>
              </w:rPr>
              <w:t>★</w:t>
            </w:r>
            <w:r>
              <w:rPr>
                <w:rFonts w:hint="eastAsia"/>
              </w:rPr>
              <w:t>吊运铜水等熔融有色金属及渣的起重机符合冶金起重机的相关要求，定期检查，发现问题及时处理</w:t>
            </w:r>
          </w:p>
        </w:tc>
        <w:tc>
          <w:tcPr>
            <w:tcW w:w="4250" w:type="dxa"/>
            <w:vAlign w:val="center"/>
          </w:tcPr>
          <w:p>
            <w:pPr>
              <w:ind w:firstLine="420" w:firstLineChars="200"/>
              <w:rPr>
                <w:rFonts w:ascii="Times New Roman" w:hAnsi="Times New Roman"/>
              </w:rPr>
            </w:pPr>
            <w:r>
              <w:rPr>
                <w:rFonts w:ascii="Times New Roman" w:hAnsi="Times New Roman"/>
                <w:kern w:val="0"/>
                <w:szCs w:val="21"/>
              </w:rPr>
              <w:t>《安全生产法》</w:t>
            </w:r>
            <w:r>
              <w:rPr>
                <w:rFonts w:ascii="Times New Roman" w:hAnsi="Times New Roman"/>
              </w:rPr>
              <w:t>第三十八条</w:t>
            </w:r>
            <w:r>
              <w:rPr>
                <w:rFonts w:hint="eastAsia" w:ascii="Times New Roman" w:hAnsi="Times New Roman"/>
              </w:rPr>
              <w:t xml:space="preserve">  </w:t>
            </w:r>
            <w:r>
              <w:rPr>
                <w:rFonts w:ascii="Times New Roman" w:hAnsi="Times New Roman"/>
              </w:rPr>
              <w:t>生产经营单位应当建立健全生产安全事故隐患排查治理制度，采取技术、管理措施，及时发现并消除事故隐患。事故隐患排查治理情况应当如实记录，并向从业人员通报。</w:t>
            </w:r>
          </w:p>
          <w:p>
            <w:pPr>
              <w:ind w:firstLine="420"/>
            </w:pPr>
            <w:r>
              <w:rPr>
                <w:rFonts w:hint="eastAsia"/>
              </w:rPr>
              <w:t>……</w:t>
            </w:r>
          </w:p>
          <w:p>
            <w:pPr>
              <w:ind w:firstLine="420" w:firstLineChars="200"/>
              <w:rPr>
                <w:rFonts w:ascii="宋体" w:hAnsi="宋体"/>
                <w:szCs w:val="21"/>
                <w:highlight w:val="none"/>
              </w:rPr>
            </w:pPr>
            <w:r>
              <w:rPr>
                <w:rFonts w:hint="eastAsia" w:ascii="宋体" w:hAnsi="宋体"/>
                <w:szCs w:val="21"/>
                <w:highlight w:val="none"/>
              </w:rPr>
              <w:t>《有色金属工程设计防火规范》（GB 50630-2010）</w:t>
            </w:r>
          </w:p>
          <w:p>
            <w:pPr>
              <w:ind w:firstLine="420" w:firstLineChars="200"/>
              <w:rPr>
                <w:rFonts w:hint="eastAsia" w:ascii="宋体" w:hAnsi="宋体"/>
                <w:szCs w:val="21"/>
              </w:rPr>
            </w:pPr>
            <w:r>
              <w:rPr>
                <w:rFonts w:hint="eastAsia" w:ascii="宋体" w:hAnsi="宋体"/>
                <w:szCs w:val="21"/>
                <w:highlight w:val="none"/>
              </w:rPr>
              <w:t>4.5.5  9.</w:t>
            </w:r>
            <w:r>
              <w:rPr>
                <w:rFonts w:hint="eastAsia" w:ascii="宋体" w:hAnsi="宋体"/>
                <w:szCs w:val="21"/>
              </w:rPr>
              <w:t>用于吊运熔融体或进行浇铸作业的厂房起重机（吊车）应采用冶金专用的铸造桥式起重机。</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《炼钢安全规程》（AQ2001-</w:t>
            </w:r>
            <w:r>
              <w:rPr>
                <w:rFonts w:ascii="宋体" w:hAnsi="宋体" w:cs="宋体"/>
                <w:kern w:val="0"/>
                <w:szCs w:val="21"/>
              </w:rPr>
              <w:t>2018</w:t>
            </w: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8.4.4炼钢车间铁水、钢水或液渣，应使用铸造起重机，铸造起重机额定能力应符合G</w:t>
            </w:r>
            <w:r>
              <w:rPr>
                <w:rFonts w:ascii="宋体" w:hAnsi="宋体" w:cs="宋体"/>
                <w:kern w:val="0"/>
                <w:szCs w:val="21"/>
              </w:rPr>
              <w:t>B50439</w:t>
            </w:r>
            <w:r>
              <w:rPr>
                <w:rFonts w:hint="eastAsia" w:ascii="宋体" w:hAnsi="宋体" w:cs="宋体"/>
                <w:kern w:val="0"/>
                <w:szCs w:val="21"/>
              </w:rPr>
              <w:t>的规定。</w:t>
            </w:r>
          </w:p>
          <w:p>
            <w:pPr>
              <w:widowControl/>
              <w:adjustRightInd w:val="0"/>
              <w:snapToGrid w:val="0"/>
              <w:ind w:firstLine="420"/>
              <w:rPr>
                <w:rFonts w:ascii="宋体" w:hAnsi="宋体"/>
                <w:kern w:val="0"/>
                <w:szCs w:val="21"/>
                <w:highlight w:val="none"/>
              </w:rPr>
            </w:pPr>
            <w:r>
              <w:rPr>
                <w:rFonts w:ascii="宋体" w:hAnsi="宋体"/>
                <w:kern w:val="0"/>
                <w:szCs w:val="21"/>
                <w:highlight w:val="none"/>
              </w:rPr>
              <w:t>《高温熔融金属吊运安全规程》（AQ7011-2018）</w:t>
            </w:r>
          </w:p>
          <w:p>
            <w:pPr>
              <w:pStyle w:val="2"/>
              <w:widowControl/>
              <w:adjustRightInd w:val="0"/>
              <w:snapToGrid w:val="0"/>
              <w:ind w:firstLine="420"/>
              <w:rPr>
                <w:rFonts w:ascii="宋体" w:hAnsi="宋体" w:eastAsia="宋体" w:cs="宋体"/>
                <w:kern w:val="0"/>
                <w:szCs w:val="21"/>
              </w:rPr>
            </w:pPr>
            <w:r>
              <w:rPr>
                <w:rFonts w:hint="eastAsia" w:ascii="宋体" w:hAnsi="宋体" w:eastAsia="宋体" w:cs="宋体"/>
                <w:kern w:val="0"/>
                <w:szCs w:val="21"/>
              </w:rPr>
              <w:t>6.1.2 炼钢企业吊运铁水、钢水或液渣，应使用带有固定龙门钩的铸造起重机，铸造起重机额定能力应符合GB50439的规定。</w:t>
            </w:r>
          </w:p>
          <w:p>
            <w:pPr>
              <w:ind w:firstLine="420" w:firstLineChars="200"/>
              <w:rPr>
                <w:rFonts w:ascii="宋体" w:hAnsi="宋体" w:cs="宋体"/>
                <w:kern w:val="0"/>
                <w:szCs w:val="21"/>
              </w:rPr>
            </w:pPr>
            <w:r>
              <w:rPr>
                <w:rFonts w:ascii="宋体" w:hAnsi="宋体" w:cs="宋体"/>
                <w:kern w:val="0"/>
                <w:szCs w:val="21"/>
              </w:rPr>
              <w:t>《工贸行业重大生产安全事故隐患判定标准（2017版）》（安监总管四〔2017〕129号）</w:t>
            </w:r>
          </w:p>
          <w:p>
            <w:pPr>
              <w:ind w:firstLine="420" w:firstLineChars="200"/>
              <w:rPr>
                <w:rFonts w:ascii="宋体" w:hAnsi="宋体" w:cs="宋体"/>
                <w:kern w:val="0"/>
                <w:szCs w:val="21"/>
              </w:rPr>
            </w:pPr>
            <w:r>
              <w:rPr>
                <w:rFonts w:ascii="宋体" w:hAnsi="宋体" w:cs="宋体"/>
                <w:kern w:val="0"/>
                <w:szCs w:val="21"/>
              </w:rPr>
              <w:t>二、行业类重大事故隐患</w:t>
            </w:r>
          </w:p>
          <w:p>
            <w:pPr>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二</w:t>
            </w:r>
            <w:r>
              <w:rPr>
                <w:rFonts w:ascii="宋体" w:hAnsi="宋体" w:cs="宋体"/>
                <w:kern w:val="0"/>
                <w:szCs w:val="21"/>
              </w:rPr>
              <w:t>）</w:t>
            </w:r>
            <w:r>
              <w:rPr>
                <w:rFonts w:hint="eastAsia" w:ascii="宋体" w:hAnsi="宋体" w:cs="宋体"/>
                <w:kern w:val="0"/>
                <w:szCs w:val="21"/>
              </w:rPr>
              <w:t>有色</w:t>
            </w:r>
            <w:r>
              <w:rPr>
                <w:rFonts w:ascii="宋体" w:hAnsi="宋体" w:cs="宋体"/>
                <w:kern w:val="0"/>
                <w:szCs w:val="21"/>
              </w:rPr>
              <w:t>行业。</w:t>
            </w:r>
          </w:p>
          <w:p>
            <w:pPr>
              <w:ind w:firstLine="420" w:firstLineChars="200"/>
              <w:rPr>
                <w:rFonts w:ascii="Times New Roman" w:hAnsi="Times New Roman"/>
                <w:kern w:val="0"/>
                <w:szCs w:val="21"/>
              </w:rPr>
            </w:pPr>
            <w:r>
              <w:rPr>
                <w:rFonts w:hint="eastAsia" w:ascii="宋体" w:hAnsi="宋体"/>
                <w:szCs w:val="21"/>
              </w:rPr>
              <w:t>1.吊运铜水等熔融有色金属及渣的起重机不符合冶金起重机的相关要求；横梁、耳轴销和吊钩、钢丝绳及其端头固定零件，未进行定期检查，发现问题未及时处理。</w:t>
            </w:r>
          </w:p>
        </w:tc>
        <w:tc>
          <w:tcPr>
            <w:tcW w:w="3545" w:type="dxa"/>
            <w:vAlign w:val="center"/>
          </w:tcPr>
          <w:p>
            <w:pPr>
              <w:ind w:firstLine="420" w:firstLineChars="200"/>
              <w:rPr>
                <w:rFonts w:ascii="宋体" w:hAnsi="宋体"/>
              </w:rPr>
            </w:pPr>
            <w:r>
              <w:rPr>
                <w:rFonts w:ascii="宋体" w:hAnsi="宋体"/>
              </w:rPr>
              <w:t xml:space="preserve">《安全生产法》第九十九条 </w:t>
            </w:r>
            <w:r>
              <w:rPr>
                <w:rFonts w:hint="eastAsia" w:ascii="宋体" w:hAnsi="宋体"/>
              </w:rPr>
              <w:t xml:space="preserve"> </w:t>
            </w:r>
            <w:r>
              <w:rPr>
                <w:rFonts w:ascii="宋体" w:hAnsi="宋体"/>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ind w:firstLine="420" w:firstLineChars="200"/>
              <w:rPr>
                <w:rFonts w:ascii="Times New Roman" w:hAnsi="Times New Roman"/>
              </w:rPr>
            </w:pP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jc w:val="center"/>
              <w:rPr>
                <w:rFonts w:ascii="宋体" w:hAnsi="宋体"/>
                <w:szCs w:val="21"/>
              </w:rPr>
            </w:pPr>
            <w:r>
              <w:rPr>
                <w:rFonts w:hint="eastAsia" w:ascii="宋体" w:hAnsi="宋体"/>
                <w:szCs w:val="21"/>
              </w:rPr>
              <w:t>4</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人员聚集场所设置情况</w:t>
            </w: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会议室、活动室、休息室、更衣室等场所设置在安全地点</w:t>
            </w:r>
          </w:p>
        </w:tc>
        <w:tc>
          <w:tcPr>
            <w:tcW w:w="4250" w:type="dxa"/>
            <w:vAlign w:val="center"/>
          </w:tcPr>
          <w:p>
            <w:pPr>
              <w:ind w:firstLine="420" w:firstLineChars="200"/>
              <w:rPr>
                <w:rFonts w:ascii="Times New Roman" w:hAnsi="Times New Roman"/>
              </w:rPr>
            </w:pPr>
            <w:r>
              <w:rPr>
                <w:rFonts w:ascii="Times New Roman" w:hAnsi="Times New Roman"/>
                <w:kern w:val="0"/>
                <w:szCs w:val="21"/>
              </w:rPr>
              <w:t>《安全生产法》</w:t>
            </w:r>
            <w:r>
              <w:rPr>
                <w:rFonts w:ascii="Times New Roman" w:hAnsi="Times New Roman"/>
              </w:rPr>
              <w:t>第三十八条</w:t>
            </w:r>
            <w:r>
              <w:rPr>
                <w:rFonts w:hint="eastAsia" w:ascii="Times New Roman" w:hAnsi="Times New Roman"/>
              </w:rPr>
              <w:t xml:space="preserve">  </w:t>
            </w:r>
            <w:r>
              <w:rPr>
                <w:rFonts w:ascii="Times New Roman" w:hAnsi="Times New Roman"/>
              </w:rPr>
              <w:t>生产经营单位应当建立健全生产安全事故隐患排查治理制度，采取技术、管理措施，及时发现并消除事故隐患。事故隐患排查治理情况应当如实记录，并向从业人员通报。</w:t>
            </w:r>
          </w:p>
          <w:p>
            <w:pPr>
              <w:ind w:firstLine="420"/>
            </w:pPr>
            <w:r>
              <w:rPr>
                <w:rFonts w:hint="eastAsia"/>
              </w:rPr>
              <w:t>……</w:t>
            </w:r>
          </w:p>
          <w:p>
            <w:pPr>
              <w:ind w:firstLine="420" w:firstLineChars="200"/>
              <w:rPr>
                <w:rFonts w:ascii="宋体" w:hAnsi="宋体"/>
                <w:szCs w:val="21"/>
                <w:highlight w:val="none"/>
              </w:rPr>
            </w:pPr>
            <w:r>
              <w:rPr>
                <w:rFonts w:ascii="Times New Roman" w:hAnsi="Times New Roman"/>
                <w:highlight w:val="none"/>
              </w:rPr>
              <w:t>《有色金属工程设计防火规范》</w:t>
            </w:r>
            <w:r>
              <w:rPr>
                <w:rFonts w:hint="eastAsia" w:ascii="宋体" w:hAnsi="宋体"/>
                <w:szCs w:val="21"/>
                <w:highlight w:val="none"/>
              </w:rPr>
              <w:t>（GB 50630-2010）</w:t>
            </w:r>
          </w:p>
          <w:p>
            <w:pPr>
              <w:ind w:firstLine="420" w:firstLineChars="200"/>
              <w:rPr>
                <w:rFonts w:ascii="Times New Roman" w:hAnsi="Times New Roman"/>
                <w:highlight w:val="none"/>
              </w:rPr>
            </w:pPr>
            <w:r>
              <w:rPr>
                <w:rFonts w:ascii="宋体" w:hAnsi="宋体"/>
                <w:szCs w:val="21"/>
                <w:highlight w:val="none"/>
              </w:rPr>
              <w:t>4.5.6</w:t>
            </w:r>
            <w:r>
              <w:rPr>
                <w:rFonts w:hint="eastAsia" w:ascii="Times New Roman" w:hAnsi="Times New Roman"/>
                <w:highlight w:val="none"/>
              </w:rPr>
              <w:t xml:space="preserve">  </w:t>
            </w:r>
            <w:r>
              <w:rPr>
                <w:rFonts w:ascii="Times New Roman" w:hAnsi="Times New Roman"/>
                <w:highlight w:val="none"/>
              </w:rPr>
              <w:t>冶炼生产厂房内具有熔融体作业区的防火设计应符合下列规定：</w:t>
            </w:r>
          </w:p>
          <w:p>
            <w:pPr>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1.作业范围内（含地下、上空）严禁设置车间生活间。</w:t>
            </w:r>
          </w:p>
          <w:p>
            <w:pPr>
              <w:ind w:firstLine="420" w:firstLineChars="200"/>
              <w:rPr>
                <w:rFonts w:ascii="宋体" w:hAnsi="宋体"/>
                <w:szCs w:val="21"/>
              </w:rPr>
            </w:pPr>
            <w:r>
              <w:rPr>
                <w:rFonts w:hint="eastAsia" w:asciiTheme="minorEastAsia" w:hAnsiTheme="minorEastAsia" w:eastAsiaTheme="minorEastAsia" w:cstheme="minorEastAsia"/>
                <w:szCs w:val="21"/>
              </w:rPr>
              <w:t>6.2.</w:t>
            </w:r>
            <w:r>
              <w:rPr>
                <w:rFonts w:hint="eastAsia" w:ascii="宋体" w:hAnsi="宋体"/>
                <w:szCs w:val="21"/>
              </w:rPr>
              <w:t>2  受炽热烘烤、熔体喷溅、明火作用的区域，不应设置控制（操作、值班）室。当必须设置时，其构件应采用不燃烧体，并应对门、窗和结构构件采取防火保护措施；当具有爆炸危险时，尚应设置有效地防爆设施。</w:t>
            </w:r>
          </w:p>
          <w:p>
            <w:pPr>
              <w:ind w:firstLine="420" w:firstLineChars="200"/>
              <w:rPr>
                <w:rFonts w:ascii="宋体" w:hAnsi="宋体"/>
                <w:szCs w:val="21"/>
              </w:rPr>
            </w:pPr>
            <w:r>
              <w:rPr>
                <w:rFonts w:hint="eastAsia"/>
              </w:rPr>
              <w:t>……</w:t>
            </w:r>
          </w:p>
          <w:p>
            <w:pPr>
              <w:ind w:firstLine="420" w:firstLineChars="200"/>
              <w:rPr>
                <w:rFonts w:ascii="宋体" w:hAnsi="宋体"/>
                <w:szCs w:val="21"/>
              </w:rPr>
            </w:pPr>
            <w:r>
              <w:rPr>
                <w:rFonts w:hint="eastAsia" w:ascii="宋体" w:hAnsi="宋体"/>
                <w:szCs w:val="21"/>
              </w:rPr>
              <w:t>《铜及铜合金熔铸安全设计规范》（GB 30187-2013）</w:t>
            </w:r>
          </w:p>
          <w:p>
            <w:pPr>
              <w:ind w:firstLine="420" w:firstLineChars="200"/>
              <w:rPr>
                <w:rFonts w:ascii="宋体" w:hAnsi="宋体"/>
                <w:szCs w:val="21"/>
              </w:rPr>
            </w:pPr>
            <w:r>
              <w:rPr>
                <w:rFonts w:hint="eastAsia" w:ascii="宋体" w:hAnsi="宋体"/>
                <w:szCs w:val="21"/>
              </w:rPr>
              <w:t>11.2  起吊高温铜液的起重机，其行走路线应尽量短，并禁止通过操作室、人行通道等有人区域。</w:t>
            </w:r>
          </w:p>
          <w:p>
            <w:pPr>
              <w:ind w:firstLine="420" w:firstLineChars="200"/>
              <w:rPr>
                <w:rFonts w:ascii="宋体" w:hAnsi="宋体" w:cs="宋体"/>
                <w:kern w:val="0"/>
                <w:szCs w:val="21"/>
              </w:rPr>
            </w:pPr>
            <w:r>
              <w:rPr>
                <w:rFonts w:ascii="宋体" w:hAnsi="宋体" w:cs="宋体"/>
                <w:kern w:val="0"/>
                <w:szCs w:val="21"/>
              </w:rPr>
              <w:t>《工贸行业重大生产安全事故隐患判定标准（2017版）》（安监总管四〔2017〕129号）</w:t>
            </w:r>
          </w:p>
          <w:p>
            <w:pPr>
              <w:ind w:firstLine="420" w:firstLineChars="200"/>
              <w:rPr>
                <w:rFonts w:ascii="宋体" w:hAnsi="宋体" w:cs="宋体"/>
                <w:kern w:val="0"/>
                <w:szCs w:val="21"/>
              </w:rPr>
            </w:pPr>
            <w:r>
              <w:rPr>
                <w:rFonts w:ascii="宋体" w:hAnsi="宋体" w:cs="宋体"/>
                <w:kern w:val="0"/>
                <w:szCs w:val="21"/>
              </w:rPr>
              <w:t>二、行业类重大事故隐患</w:t>
            </w:r>
          </w:p>
          <w:p>
            <w:pPr>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二</w:t>
            </w:r>
            <w:r>
              <w:rPr>
                <w:rFonts w:ascii="宋体" w:hAnsi="宋体" w:cs="宋体"/>
                <w:kern w:val="0"/>
                <w:szCs w:val="21"/>
              </w:rPr>
              <w:t>）</w:t>
            </w:r>
            <w:r>
              <w:rPr>
                <w:rFonts w:hint="eastAsia" w:ascii="宋体" w:hAnsi="宋体" w:cs="宋体"/>
                <w:kern w:val="0"/>
                <w:szCs w:val="21"/>
              </w:rPr>
              <w:t>有色</w:t>
            </w:r>
            <w:r>
              <w:rPr>
                <w:rFonts w:ascii="宋体" w:hAnsi="宋体" w:cs="宋体"/>
                <w:kern w:val="0"/>
                <w:szCs w:val="21"/>
              </w:rPr>
              <w:t>行业。</w:t>
            </w:r>
          </w:p>
          <w:p>
            <w:pPr>
              <w:ind w:firstLine="420" w:firstLineChars="200"/>
              <w:rPr>
                <w:rFonts w:hint="eastAsia" w:ascii="Times New Roman" w:hAnsi="Times New Roman"/>
              </w:rPr>
            </w:pPr>
            <w:r>
              <w:rPr>
                <w:rFonts w:hint="eastAsia" w:ascii="宋体" w:hAnsi="宋体"/>
                <w:szCs w:val="21"/>
              </w:rPr>
              <w:t>2.会议室、活动室、休息</w:t>
            </w:r>
            <w:r>
              <w:rPr>
                <w:rFonts w:hint="eastAsia" w:ascii="Times New Roman" w:hAnsi="Times New Roman"/>
              </w:rPr>
              <w:t>室、更衣室等场所设置在铜水等熔融有色金属及渣的吊运影响范围内。</w:t>
            </w:r>
          </w:p>
          <w:p>
            <w:pPr>
              <w:ind w:firstLine="420" w:firstLineChars="200"/>
            </w:pPr>
            <w:r>
              <w:rPr>
                <w:rFonts w:ascii="Times New Roman" w:hAnsi="Times New Roman"/>
                <w:highlight w:val="none"/>
              </w:rPr>
              <w:t>《冶金企业和有色金属企业安全生产规定》第</w:t>
            </w:r>
            <w:r>
              <w:rPr>
                <w:rFonts w:hint="eastAsia" w:ascii="Times New Roman" w:hAnsi="Times New Roman"/>
                <w:highlight w:val="none"/>
              </w:rPr>
              <w:t>二十七</w:t>
            </w:r>
            <w:r>
              <w:rPr>
                <w:rFonts w:ascii="Times New Roman" w:hAnsi="Times New Roman"/>
                <w:highlight w:val="none"/>
              </w:rPr>
              <w:t>条</w:t>
            </w:r>
            <w:r>
              <w:rPr>
                <w:rFonts w:hint="eastAsia" w:ascii="Times New Roman" w:hAnsi="Times New Roman"/>
                <w:highlight w:val="none"/>
              </w:rPr>
              <w:t xml:space="preserve">  </w:t>
            </w:r>
            <w:r>
              <w:rPr>
                <w:rFonts w:ascii="Arial" w:hAnsi="Arial" w:cs="Arial"/>
                <w:szCs w:val="21"/>
                <w:highlight w:val="none"/>
              </w:rPr>
              <w:t>企业的操作室、会议室、活动室、休息室、更衣室等场所不得设置在高温熔融金属吊运的影响范围内。</w:t>
            </w:r>
            <w:r>
              <w:rPr>
                <w:rFonts w:hint="eastAsia" w:ascii="Arial" w:hAnsi="Arial" w:cs="Arial"/>
                <w:szCs w:val="21"/>
                <w:highlight w:val="none"/>
                <w:lang w:eastAsia="zh-CN"/>
              </w:rPr>
              <w:t>……</w:t>
            </w:r>
          </w:p>
        </w:tc>
        <w:tc>
          <w:tcPr>
            <w:tcW w:w="3545" w:type="dxa"/>
            <w:vAlign w:val="center"/>
          </w:tcPr>
          <w:p>
            <w:pPr>
              <w:ind w:firstLine="420" w:firstLineChars="200"/>
              <w:rPr>
                <w:rFonts w:ascii="Times New Roman" w:hAnsi="Times New Roman"/>
              </w:rPr>
            </w:pPr>
            <w:r>
              <w:rPr>
                <w:rFonts w:ascii="Times New Roman" w:hAnsi="Times New Roman"/>
              </w:rPr>
              <w:t xml:space="preserve">《安全生产法》第九十九条 </w:t>
            </w:r>
            <w:r>
              <w:rPr>
                <w:rFonts w:hint="eastAsia" w:ascii="Times New Roman" w:hAnsi="Times New Roman"/>
              </w:rPr>
              <w:t xml:space="preserve"> </w:t>
            </w:r>
            <w:r>
              <w:rPr>
                <w:rFonts w:ascii="Times New Roman" w:hAnsi="Times New Roman"/>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ind w:firstLine="420" w:firstLineChars="200"/>
            </w:pPr>
            <w:r>
              <w:rPr>
                <w:rFonts w:hint="eastAsia" w:ascii="Calibri" w:hAnsi="Calibri" w:eastAsia="宋体" w:cs="Times New Roman"/>
                <w:color w:val="auto"/>
                <w:kern w:val="2"/>
                <w:sz w:val="21"/>
                <w:szCs w:val="22"/>
                <w:highlight w:val="none"/>
                <w:lang w:val="en-US" w:eastAsia="zh-CN" w:bidi="ar-SA"/>
              </w:rPr>
              <w:t>《冶金企业和有色金属企业安全生产规定》</w:t>
            </w:r>
            <w:r>
              <w:rPr>
                <w:rFonts w:hint="default" w:ascii="Calibri" w:hAnsi="Calibri" w:eastAsia="宋体" w:cs="Times New Roman"/>
                <w:color w:val="auto"/>
                <w:kern w:val="2"/>
                <w:sz w:val="21"/>
                <w:szCs w:val="22"/>
                <w:highlight w:val="none"/>
                <w:lang w:val="en-US" w:eastAsia="zh-CN" w:bidi="ar-SA"/>
              </w:rPr>
              <w:t>第四十六条</w:t>
            </w:r>
            <w:r>
              <w:rPr>
                <w:rFonts w:hint="eastAsia" w:eastAsia="宋体" w:cs="Times New Roman"/>
                <w:color w:val="auto"/>
                <w:kern w:val="2"/>
                <w:sz w:val="21"/>
                <w:szCs w:val="22"/>
                <w:highlight w:val="none"/>
                <w:lang w:val="en-US" w:eastAsia="zh-CN" w:bidi="ar-SA"/>
              </w:rPr>
              <w:t xml:space="preserve">  </w:t>
            </w:r>
            <w:r>
              <w:rPr>
                <w:rFonts w:hint="default" w:ascii="Calibri" w:hAnsi="Calibri" w:eastAsia="宋体" w:cs="Times New Roman"/>
                <w:color w:val="auto"/>
                <w:kern w:val="2"/>
                <w:sz w:val="21"/>
                <w:szCs w:val="22"/>
                <w:highlight w:val="none"/>
                <w:lang w:val="en-US" w:eastAsia="zh-CN" w:bidi="ar-SA"/>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631" w:hRule="atLeast"/>
          <w:jc w:val="center"/>
        </w:trPr>
        <w:tc>
          <w:tcPr>
            <w:tcW w:w="816" w:type="dxa"/>
            <w:vAlign w:val="center"/>
          </w:tcPr>
          <w:p>
            <w:pPr>
              <w:jc w:val="center"/>
              <w:rPr>
                <w:rFonts w:ascii="宋体" w:hAnsi="宋体"/>
                <w:szCs w:val="21"/>
              </w:rPr>
            </w:pPr>
            <w:r>
              <w:rPr>
                <w:rFonts w:hint="eastAsia" w:ascii="宋体" w:hAnsi="宋体"/>
                <w:szCs w:val="21"/>
              </w:rPr>
              <w:t>5</w:t>
            </w:r>
          </w:p>
        </w:tc>
        <w:tc>
          <w:tcPr>
            <w:tcW w:w="1704" w:type="dxa"/>
            <w:vAlign w:val="center"/>
          </w:tcPr>
          <w:p>
            <w:pPr>
              <w:widowControl/>
              <w:adjustRightInd w:val="0"/>
              <w:snapToGrid w:val="0"/>
              <w:rPr>
                <w:rFonts w:ascii="宋体" w:hAnsi="宋体" w:cs="宋体"/>
                <w:kern w:val="0"/>
                <w:szCs w:val="21"/>
              </w:rPr>
            </w:pPr>
            <w:r>
              <w:rPr>
                <w:rFonts w:ascii="Times New Roman" w:hAnsi="Times New Roman"/>
                <w:kern w:val="0"/>
                <w:szCs w:val="21"/>
              </w:rPr>
              <w:t>熔融有色金属罐体耳轴检测情况</w:t>
            </w:r>
          </w:p>
        </w:tc>
        <w:tc>
          <w:tcPr>
            <w:tcW w:w="2551" w:type="dxa"/>
            <w:vAlign w:val="center"/>
          </w:tcPr>
          <w:p>
            <w:pPr>
              <w:widowControl/>
              <w:adjustRightInd w:val="0"/>
              <w:snapToGrid w:val="0"/>
            </w:pPr>
            <w:r>
              <w:rPr>
                <w:rFonts w:hint="eastAsia" w:ascii="思源黑体 CN" w:hAnsi="思源黑体 CN" w:eastAsia="思源黑体 CN" w:cs="思源黑体 CN"/>
                <w:szCs w:val="21"/>
              </w:rPr>
              <w:t>★</w:t>
            </w:r>
            <w:r>
              <w:rPr>
                <w:rFonts w:ascii="Times New Roman" w:hAnsi="Times New Roman"/>
                <w:kern w:val="0"/>
                <w:szCs w:val="21"/>
              </w:rPr>
              <w:t>盛装铜水等熔融有色金属及渣的罐（包、盆）等容器耳轴定期进行检测</w:t>
            </w:r>
          </w:p>
        </w:tc>
        <w:tc>
          <w:tcPr>
            <w:tcW w:w="4250" w:type="dxa"/>
            <w:vAlign w:val="center"/>
          </w:tcPr>
          <w:p>
            <w:pPr>
              <w:ind w:firstLine="420" w:firstLineChars="200"/>
              <w:rPr>
                <w:rFonts w:ascii="宋体" w:hAnsi="宋体"/>
                <w:szCs w:val="21"/>
              </w:rPr>
            </w:pPr>
            <w:r>
              <w:rPr>
                <w:rFonts w:ascii="Times New Roman" w:hAnsi="Times New Roman"/>
                <w:kern w:val="0"/>
                <w:szCs w:val="21"/>
              </w:rPr>
              <w:t>《安全生产法》</w:t>
            </w:r>
            <w:r>
              <w:rPr>
                <w:rFonts w:ascii="Times New Roman" w:hAnsi="Times New Roman"/>
              </w:rPr>
              <w:t>第三十八条</w:t>
            </w:r>
            <w:r>
              <w:rPr>
                <w:rFonts w:hint="eastAsia" w:ascii="Times New Roman" w:hAnsi="Times New Roman"/>
              </w:rPr>
              <w:t xml:space="preserve">  </w:t>
            </w:r>
            <w:r>
              <w:rPr>
                <w:rFonts w:ascii="Times New Roman" w:hAnsi="Times New Roman"/>
              </w:rPr>
              <w:t>生产经营单位应当建立健全生产安全事故隐患排查治理制度，</w:t>
            </w:r>
            <w:r>
              <w:rPr>
                <w:rFonts w:hint="eastAsia" w:ascii="宋体" w:hAnsi="宋体"/>
                <w:szCs w:val="21"/>
              </w:rPr>
              <w:t>采取技术、管理措施，及时发现并消除事故隐患。事故隐患排查治理情况应当如实记录，并向从业人员通报。</w:t>
            </w:r>
          </w:p>
          <w:p>
            <w:pPr>
              <w:ind w:firstLine="420"/>
            </w:pPr>
            <w:r>
              <w:rPr>
                <w:rFonts w:hint="eastAsia"/>
              </w:rPr>
              <w:t>……</w:t>
            </w:r>
          </w:p>
          <w:p>
            <w:pPr>
              <w:ind w:firstLine="420" w:firstLineChars="200"/>
              <w:rPr>
                <w:rFonts w:ascii="宋体" w:hAnsi="宋体"/>
                <w:szCs w:val="21"/>
              </w:rPr>
            </w:pPr>
            <w:r>
              <w:rPr>
                <w:rFonts w:hint="eastAsia" w:ascii="宋体" w:hAnsi="宋体"/>
                <w:szCs w:val="21"/>
              </w:rPr>
              <w:t>《高温熔融金属吊运安全规程》（AQ7011-2018）</w:t>
            </w:r>
          </w:p>
          <w:p>
            <w:pPr>
              <w:ind w:firstLine="420" w:firstLineChars="200"/>
              <w:rPr>
                <w:rFonts w:ascii="宋体" w:hAnsi="宋体"/>
                <w:szCs w:val="21"/>
              </w:rPr>
            </w:pPr>
            <w:r>
              <w:rPr>
                <w:rFonts w:hint="eastAsia" w:ascii="宋体" w:hAnsi="宋体"/>
                <w:szCs w:val="21"/>
              </w:rPr>
              <w:t>6.2.6  罐体和浇包耳轴加工后应进行探伤检查，探伤的要求应遵守JB/T 5000的规定。使用中的熔融金属罐体和包体每年应至少对耳轴作一次无损探伤检查，做好记录，并存档。凡耳轴出现内裂纹、壳体焊缝开裂、明显变形、耳轴磨损超过原轴直径的10%、机械失灵、内衬损坏超过规定，均应报修或报废。</w:t>
            </w:r>
          </w:p>
          <w:p>
            <w:pPr>
              <w:ind w:firstLine="420" w:firstLineChars="200"/>
              <w:rPr>
                <w:rFonts w:ascii="宋体" w:hAnsi="宋体" w:cs="宋体"/>
                <w:kern w:val="0"/>
                <w:szCs w:val="21"/>
              </w:rPr>
            </w:pPr>
            <w:r>
              <w:rPr>
                <w:rFonts w:ascii="宋体" w:hAnsi="宋体" w:cs="宋体"/>
                <w:kern w:val="0"/>
                <w:szCs w:val="21"/>
              </w:rPr>
              <w:t>《工贸行业重大生产安全事故隐患判定标准（2017版）》（安监总管四〔2017〕129号）</w:t>
            </w:r>
          </w:p>
          <w:p>
            <w:pPr>
              <w:ind w:firstLine="420" w:firstLineChars="200"/>
              <w:rPr>
                <w:rFonts w:ascii="宋体" w:hAnsi="宋体" w:cs="宋体"/>
                <w:kern w:val="0"/>
                <w:szCs w:val="21"/>
              </w:rPr>
            </w:pPr>
            <w:r>
              <w:rPr>
                <w:rFonts w:ascii="宋体" w:hAnsi="宋体" w:cs="宋体"/>
                <w:kern w:val="0"/>
                <w:szCs w:val="21"/>
              </w:rPr>
              <w:t>二、行业类重大事故隐患</w:t>
            </w:r>
          </w:p>
          <w:p>
            <w:pPr>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二</w:t>
            </w:r>
            <w:r>
              <w:rPr>
                <w:rFonts w:ascii="宋体" w:hAnsi="宋体" w:cs="宋体"/>
                <w:kern w:val="0"/>
                <w:szCs w:val="21"/>
              </w:rPr>
              <w:t>）</w:t>
            </w:r>
            <w:r>
              <w:rPr>
                <w:rFonts w:hint="eastAsia" w:ascii="宋体" w:hAnsi="宋体" w:cs="宋体"/>
                <w:kern w:val="0"/>
                <w:szCs w:val="21"/>
              </w:rPr>
              <w:t>有色</w:t>
            </w:r>
            <w:r>
              <w:rPr>
                <w:rFonts w:ascii="宋体" w:hAnsi="宋体" w:cs="宋体"/>
                <w:kern w:val="0"/>
                <w:szCs w:val="21"/>
              </w:rPr>
              <w:t>行业。</w:t>
            </w:r>
          </w:p>
          <w:p>
            <w:pPr>
              <w:ind w:firstLine="420" w:firstLineChars="200"/>
              <w:rPr>
                <w:rFonts w:hint="eastAsia" w:ascii="宋体" w:hAnsi="宋体"/>
                <w:szCs w:val="21"/>
              </w:rPr>
            </w:pPr>
            <w:r>
              <w:rPr>
                <w:rFonts w:hint="eastAsia" w:ascii="宋体" w:hAnsi="宋体"/>
                <w:szCs w:val="21"/>
              </w:rPr>
              <w:t>3.盛装铜水等熔融有色金属及渣的罐（包、盆）等容器耳轴未定期进行检测。</w:t>
            </w:r>
          </w:p>
          <w:p>
            <w:pPr>
              <w:ind w:firstLine="420" w:firstLineChars="200"/>
              <w:rPr>
                <w:rFonts w:ascii="Times New Roman" w:hAnsi="Times New Roman"/>
              </w:rPr>
            </w:pPr>
            <w:r>
              <w:rPr>
                <w:rFonts w:hint="eastAsia" w:ascii="宋体" w:hAnsi="宋体"/>
                <w:szCs w:val="21"/>
                <w:highlight w:val="none"/>
              </w:rPr>
              <w:t>《冶金企业和有色金属企业安全生产规定》第三十条  企业应当定期对吊运、盛装熔融金属的吊具、罐体（本体、耳轴）进行安全检查和探伤检测。</w:t>
            </w:r>
          </w:p>
        </w:tc>
        <w:tc>
          <w:tcPr>
            <w:tcW w:w="3545" w:type="dxa"/>
            <w:vAlign w:val="center"/>
          </w:tcPr>
          <w:p>
            <w:pPr>
              <w:ind w:firstLine="420" w:firstLineChars="200"/>
              <w:jc w:val="left"/>
              <w:rPr>
                <w:rFonts w:ascii="Times New Roman" w:hAnsi="Times New Roman"/>
              </w:rPr>
            </w:pPr>
            <w:r>
              <w:rPr>
                <w:rFonts w:ascii="Times New Roman" w:hAnsi="Times New Roman"/>
              </w:rPr>
              <w:t xml:space="preserve">《安全生产法》第九十九条 </w:t>
            </w:r>
            <w:r>
              <w:rPr>
                <w:rFonts w:hint="eastAsia" w:ascii="Times New Roman" w:hAnsi="Times New Roman"/>
              </w:rPr>
              <w:t xml:space="preserve"> </w:t>
            </w:r>
            <w:r>
              <w:rPr>
                <w:rFonts w:ascii="Times New Roman" w:hAnsi="Times New Roman"/>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ind w:firstLine="420" w:firstLineChars="200"/>
              <w:rPr>
                <w:rFonts w:ascii="Times New Roman" w:hAnsi="Times New Roman"/>
                <w:kern w:val="0"/>
                <w:szCs w:val="21"/>
              </w:rPr>
            </w:pPr>
            <w:r>
              <w:rPr>
                <w:rFonts w:hint="eastAsia" w:ascii="Calibri" w:hAnsi="Calibri" w:eastAsia="宋体" w:cs="Times New Roman"/>
                <w:color w:val="auto"/>
                <w:kern w:val="2"/>
                <w:sz w:val="21"/>
                <w:szCs w:val="22"/>
                <w:highlight w:val="none"/>
                <w:lang w:val="en-US" w:eastAsia="zh-CN" w:bidi="ar-SA"/>
              </w:rPr>
              <w:t>《冶金企业和有色金属企业安全生产规定》</w:t>
            </w:r>
            <w:r>
              <w:rPr>
                <w:rFonts w:hint="default" w:ascii="Calibri" w:hAnsi="Calibri" w:eastAsia="宋体" w:cs="Times New Roman"/>
                <w:color w:val="auto"/>
                <w:kern w:val="2"/>
                <w:sz w:val="21"/>
                <w:szCs w:val="22"/>
                <w:highlight w:val="none"/>
                <w:lang w:val="en-US" w:eastAsia="zh-CN" w:bidi="ar-SA"/>
              </w:rPr>
              <w:t>第四十六条</w:t>
            </w:r>
            <w:r>
              <w:rPr>
                <w:rFonts w:hint="eastAsia" w:eastAsia="宋体" w:cs="Times New Roman"/>
                <w:color w:val="auto"/>
                <w:kern w:val="2"/>
                <w:sz w:val="21"/>
                <w:szCs w:val="22"/>
                <w:highlight w:val="none"/>
                <w:lang w:val="en-US" w:eastAsia="zh-CN" w:bidi="ar-SA"/>
              </w:rPr>
              <w:t xml:space="preserve">  </w:t>
            </w:r>
            <w:r>
              <w:rPr>
                <w:rFonts w:hint="default" w:ascii="Calibri" w:hAnsi="Calibri" w:eastAsia="宋体" w:cs="Times New Roman"/>
                <w:color w:val="auto"/>
                <w:kern w:val="2"/>
                <w:sz w:val="21"/>
                <w:szCs w:val="22"/>
                <w:highlight w:val="none"/>
                <w:lang w:val="en-US" w:eastAsia="zh-CN" w:bidi="ar-SA"/>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608" w:hRule="atLeast"/>
          <w:jc w:val="center"/>
        </w:trPr>
        <w:tc>
          <w:tcPr>
            <w:tcW w:w="816" w:type="dxa"/>
            <w:vAlign w:val="center"/>
          </w:tcPr>
          <w:p>
            <w:r>
              <w:rPr>
                <w:rFonts w:hint="eastAsia"/>
              </w:rPr>
              <w:t>6</w:t>
            </w:r>
          </w:p>
        </w:tc>
        <w:tc>
          <w:tcPr>
            <w:tcW w:w="1704" w:type="dxa"/>
            <w:vAlign w:val="center"/>
          </w:tcPr>
          <w:p>
            <w:r>
              <w:rPr>
                <w:rFonts w:hint="eastAsia"/>
              </w:rPr>
              <w:t>防积水情况</w:t>
            </w:r>
          </w:p>
        </w:tc>
        <w:tc>
          <w:tcPr>
            <w:tcW w:w="2551" w:type="dxa"/>
            <w:vAlign w:val="center"/>
          </w:tcPr>
          <w:p>
            <w:r>
              <w:rPr>
                <w:rFonts w:hint="eastAsia" w:ascii="思源黑体 CN" w:hAnsi="思源黑体 CN" w:eastAsia="思源黑体 CN" w:cs="思源黑体 CN"/>
                <w:szCs w:val="21"/>
              </w:rPr>
              <w:t>★</w:t>
            </w:r>
            <w:r>
              <w:rPr>
                <w:rFonts w:hint="eastAsia"/>
              </w:rPr>
              <w:t>高温熔融有色金属冶炼、精炼、铸造生产区域的安全坑内及熔体泄漏、喷溅影响范围内无非生产性积水</w:t>
            </w:r>
          </w:p>
        </w:tc>
        <w:tc>
          <w:tcPr>
            <w:tcW w:w="4250" w:type="dxa"/>
            <w:vAlign w:val="center"/>
          </w:tcPr>
          <w:p>
            <w:pPr>
              <w:ind w:firstLine="420" w:firstLineChars="200"/>
              <w:rPr>
                <w:rFonts w:ascii="宋体" w:hAnsi="宋体"/>
                <w:szCs w:val="21"/>
              </w:rPr>
            </w:pPr>
            <w:r>
              <w:rPr>
                <w:rFonts w:hint="eastAsia" w:ascii="宋体" w:hAnsi="宋体"/>
                <w:szCs w:val="21"/>
              </w:rPr>
              <w:t>《安全生产法》第三十八条  生产经营单位应当建立健全生产安全事故隐患排查治理制度，采取技术、管理措施，及时发现并消除事故隐患。事故隐患排查治理情况应当如实记录，并向从业人员通报。</w:t>
            </w:r>
          </w:p>
          <w:p>
            <w:pPr>
              <w:ind w:firstLine="420"/>
            </w:pPr>
            <w:r>
              <w:rPr>
                <w:rFonts w:hint="eastAsia"/>
              </w:rPr>
              <w:t>……</w:t>
            </w:r>
          </w:p>
          <w:p>
            <w:pPr>
              <w:ind w:firstLine="420" w:firstLineChars="200"/>
              <w:rPr>
                <w:rFonts w:ascii="宋体" w:hAnsi="宋体"/>
                <w:szCs w:val="21"/>
                <w:highlight w:val="none"/>
              </w:rPr>
            </w:pPr>
            <w:r>
              <w:rPr>
                <w:rFonts w:hint="eastAsia" w:ascii="宋体" w:hAnsi="宋体"/>
                <w:szCs w:val="21"/>
                <w:highlight w:val="none"/>
              </w:rPr>
              <w:t>《有色金属工程设计防火规范》（GB 50630-2010）</w:t>
            </w:r>
          </w:p>
          <w:p>
            <w:pPr>
              <w:ind w:firstLine="420" w:firstLineChars="200"/>
              <w:rPr>
                <w:rFonts w:ascii="宋体" w:hAnsi="宋体"/>
                <w:szCs w:val="21"/>
              </w:rPr>
            </w:pPr>
            <w:r>
              <w:rPr>
                <w:rFonts w:hint="eastAsia" w:ascii="宋体" w:hAnsi="宋体"/>
                <w:szCs w:val="21"/>
              </w:rPr>
              <w:t>4.5.6  冶炼生产厂房内具有熔融体作业区的防火设计应符合下列规定：2.应采取防止雨雪飘淋室内的措施，严禁地面积水；不应在场地内设置水沟和给、排水管道，当必需设置时，应有避免水沟中积水和渗漏可靠构造措施。</w:t>
            </w:r>
          </w:p>
          <w:p>
            <w:pPr>
              <w:ind w:firstLine="420" w:firstLineChars="200"/>
              <w:rPr>
                <w:rFonts w:ascii="宋体" w:hAnsi="宋体"/>
                <w:szCs w:val="21"/>
                <w:highlight w:val="none"/>
              </w:rPr>
            </w:pPr>
            <w:r>
              <w:rPr>
                <w:rFonts w:hint="eastAsia" w:ascii="宋体" w:hAnsi="宋体"/>
                <w:szCs w:val="21"/>
                <w:highlight w:val="none"/>
              </w:rPr>
              <w:t>《铜及铜合金熔铸安全设计规范》（GB 30187-2013）</w:t>
            </w:r>
          </w:p>
          <w:p>
            <w:pPr>
              <w:ind w:firstLine="420" w:firstLineChars="200"/>
              <w:rPr>
                <w:rFonts w:ascii="宋体" w:hAnsi="宋体"/>
                <w:szCs w:val="21"/>
              </w:rPr>
            </w:pPr>
            <w:r>
              <w:rPr>
                <w:rFonts w:hint="eastAsia" w:ascii="宋体" w:hAnsi="宋体"/>
                <w:szCs w:val="21"/>
              </w:rPr>
              <w:t>8.10.8  具有熔融铜液（熔渣）的作业、吊运及浇铸场所，不宜设置地沟，不应敷设上、下管道；屋面防水等级不应低于二级，并应有放置雨水渗漏的可靠措施。生产确需设置地沟或地坑时，应有严密的防水设施。</w:t>
            </w:r>
          </w:p>
          <w:p>
            <w:pPr>
              <w:ind w:firstLine="420" w:firstLineChars="200"/>
              <w:rPr>
                <w:rFonts w:ascii="宋体" w:hAnsi="宋体" w:cs="宋体"/>
                <w:kern w:val="0"/>
                <w:szCs w:val="21"/>
              </w:rPr>
            </w:pPr>
            <w:r>
              <w:rPr>
                <w:rFonts w:ascii="宋体" w:hAnsi="宋体" w:cs="宋体"/>
                <w:kern w:val="0"/>
                <w:szCs w:val="21"/>
              </w:rPr>
              <w:t>《工贸行业重大生产安全事故隐患判定标准（2017版）》（安监总管四〔2017〕129号）</w:t>
            </w:r>
          </w:p>
          <w:p>
            <w:pPr>
              <w:ind w:firstLine="420" w:firstLineChars="200"/>
              <w:rPr>
                <w:rFonts w:ascii="宋体" w:hAnsi="宋体" w:cs="宋体"/>
                <w:kern w:val="0"/>
                <w:szCs w:val="21"/>
              </w:rPr>
            </w:pPr>
            <w:r>
              <w:rPr>
                <w:rFonts w:ascii="宋体" w:hAnsi="宋体" w:cs="宋体"/>
                <w:kern w:val="0"/>
                <w:szCs w:val="21"/>
              </w:rPr>
              <w:t>二、行业类重大事故隐患</w:t>
            </w:r>
          </w:p>
          <w:p>
            <w:pPr>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二</w:t>
            </w:r>
            <w:r>
              <w:rPr>
                <w:rFonts w:ascii="宋体" w:hAnsi="宋体" w:cs="宋体"/>
                <w:kern w:val="0"/>
                <w:szCs w:val="21"/>
              </w:rPr>
              <w:t>）</w:t>
            </w:r>
            <w:r>
              <w:rPr>
                <w:rFonts w:hint="eastAsia" w:ascii="宋体" w:hAnsi="宋体" w:cs="宋体"/>
                <w:kern w:val="0"/>
                <w:szCs w:val="21"/>
              </w:rPr>
              <w:t>有色</w:t>
            </w:r>
            <w:r>
              <w:rPr>
                <w:rFonts w:ascii="宋体" w:hAnsi="宋体" w:cs="宋体"/>
                <w:kern w:val="0"/>
                <w:szCs w:val="21"/>
              </w:rPr>
              <w:t>行业。</w:t>
            </w:r>
          </w:p>
          <w:p>
            <w:pPr>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铜水等高温熔融有色金属冶炼、精炼、铸造生产区域的安全坑内及熔体泄漏、喷溅影响范围内存在非生产性积水；熔体容易喷溅到的区域，放置有易燃易爆物品。</w:t>
            </w:r>
          </w:p>
          <w:p>
            <w:pPr>
              <w:ind w:firstLine="420" w:firstLineChars="200"/>
              <w:rPr>
                <w:rFonts w:ascii="宋体" w:hAnsi="宋体"/>
                <w:szCs w:val="21"/>
              </w:rPr>
            </w:pPr>
            <w:r>
              <w:rPr>
                <w:rFonts w:hint="eastAsia" w:ascii="宋体" w:hAnsi="宋体"/>
                <w:szCs w:val="21"/>
                <w:highlight w:val="none"/>
              </w:rPr>
              <w:t>《冶金企业和有色金属企业安全生产规定》第二十八条  企业在进行高温熔融金属冶炼、保温、运输、吊运过程中，应当采取防止泄漏、喷溅、爆炸伤人的安全措施，其影响区域不得有非生产性积水。</w:t>
            </w:r>
          </w:p>
        </w:tc>
        <w:tc>
          <w:tcPr>
            <w:tcW w:w="3545" w:type="dxa"/>
            <w:vAlign w:val="center"/>
          </w:tcPr>
          <w:p>
            <w:pPr>
              <w:ind w:firstLine="420" w:firstLineChars="200"/>
              <w:rPr>
                <w:rFonts w:ascii="Times New Roman" w:hAnsi="Times New Roman"/>
              </w:rPr>
            </w:pPr>
            <w:r>
              <w:rPr>
                <w:rFonts w:ascii="Times New Roman" w:hAnsi="Times New Roman"/>
              </w:rPr>
              <w:t xml:space="preserve">《安全生产法》第九十九条 </w:t>
            </w:r>
            <w:r>
              <w:rPr>
                <w:rFonts w:hint="eastAsia" w:ascii="Times New Roman" w:hAnsi="Times New Roman"/>
              </w:rPr>
              <w:t xml:space="preserve"> </w:t>
            </w:r>
            <w:r>
              <w:rPr>
                <w:rFonts w:ascii="Times New Roman" w:hAnsi="Times New Roman"/>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ind w:firstLine="420" w:firstLineChars="200"/>
            </w:pPr>
            <w:r>
              <w:rPr>
                <w:rFonts w:hint="eastAsia" w:ascii="Calibri" w:hAnsi="Calibri" w:eastAsia="宋体" w:cs="Times New Roman"/>
                <w:color w:val="auto"/>
                <w:kern w:val="2"/>
                <w:sz w:val="21"/>
                <w:szCs w:val="22"/>
                <w:highlight w:val="none"/>
                <w:lang w:val="en-US" w:eastAsia="zh-CN" w:bidi="ar-SA"/>
              </w:rPr>
              <w:t>《冶金企业和有色金属企业安全生产规定》</w:t>
            </w:r>
            <w:r>
              <w:rPr>
                <w:rFonts w:hint="default" w:ascii="Calibri" w:hAnsi="Calibri" w:eastAsia="宋体" w:cs="Times New Roman"/>
                <w:color w:val="auto"/>
                <w:kern w:val="2"/>
                <w:sz w:val="21"/>
                <w:szCs w:val="22"/>
                <w:highlight w:val="none"/>
                <w:lang w:val="en-US" w:eastAsia="zh-CN" w:bidi="ar-SA"/>
              </w:rPr>
              <w:t>第四十六条</w:t>
            </w:r>
            <w:r>
              <w:rPr>
                <w:rFonts w:hint="eastAsia" w:eastAsia="宋体" w:cs="Times New Roman"/>
                <w:color w:val="auto"/>
                <w:kern w:val="2"/>
                <w:sz w:val="21"/>
                <w:szCs w:val="22"/>
                <w:highlight w:val="none"/>
                <w:lang w:val="en-US" w:eastAsia="zh-CN" w:bidi="ar-SA"/>
              </w:rPr>
              <w:t xml:space="preserve">  </w:t>
            </w:r>
            <w:r>
              <w:rPr>
                <w:rFonts w:hint="default" w:ascii="Calibri" w:hAnsi="Calibri" w:eastAsia="宋体" w:cs="Times New Roman"/>
                <w:color w:val="auto"/>
                <w:kern w:val="2"/>
                <w:sz w:val="21"/>
                <w:szCs w:val="22"/>
                <w:highlight w:val="none"/>
                <w:lang w:val="en-US" w:eastAsia="zh-CN" w:bidi="ar-SA"/>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10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r>
              <w:rPr>
                <w:rFonts w:hint="eastAsia"/>
              </w:rPr>
              <w:t>7</w:t>
            </w:r>
          </w:p>
        </w:tc>
        <w:tc>
          <w:tcPr>
            <w:tcW w:w="1704" w:type="dxa"/>
            <w:vAlign w:val="center"/>
          </w:tcPr>
          <w:p>
            <w:r>
              <w:rPr>
                <w:rFonts w:ascii="Times New Roman" w:hAnsi="Times New Roman"/>
              </w:rPr>
              <w:t>有色金属铸造、浇铸流程紧急排放和应急储存设施情况</w:t>
            </w:r>
          </w:p>
        </w:tc>
        <w:tc>
          <w:tcPr>
            <w:tcW w:w="2551" w:type="dxa"/>
            <w:vAlign w:val="center"/>
          </w:tcPr>
          <w:p>
            <w:r>
              <w:rPr>
                <w:rFonts w:hint="eastAsia" w:ascii="思源黑体 CN" w:hAnsi="思源黑体 CN" w:eastAsia="思源黑体 CN" w:cs="思源黑体 CN"/>
                <w:szCs w:val="21"/>
              </w:rPr>
              <w:t>★</w:t>
            </w:r>
            <w:r>
              <w:rPr>
                <w:rFonts w:ascii="Times New Roman" w:hAnsi="Times New Roman"/>
              </w:rPr>
              <w:t>电炉、铸造熔炼炉、保温炉、倾翻炉、铸机、流液槽、熔盐电解槽等设备，</w:t>
            </w:r>
            <w:r>
              <w:rPr>
                <w:rFonts w:hint="eastAsia" w:ascii="Times New Roman" w:hAnsi="Times New Roman"/>
              </w:rPr>
              <w:t>应</w:t>
            </w:r>
            <w:r>
              <w:rPr>
                <w:rFonts w:ascii="Times New Roman" w:hAnsi="Times New Roman"/>
              </w:rPr>
              <w:t>设置熔融金属紧急排放和储存的设施情况</w:t>
            </w:r>
          </w:p>
        </w:tc>
        <w:tc>
          <w:tcPr>
            <w:tcW w:w="4250" w:type="dxa"/>
            <w:vAlign w:val="center"/>
          </w:tcPr>
          <w:p>
            <w:pPr>
              <w:ind w:firstLine="420" w:firstLineChars="200"/>
              <w:rPr>
                <w:rFonts w:ascii="宋体" w:hAnsi="宋体"/>
                <w:szCs w:val="21"/>
              </w:rPr>
            </w:pPr>
            <w:r>
              <w:rPr>
                <w:rFonts w:hint="eastAsia" w:ascii="宋体" w:hAnsi="宋体"/>
                <w:szCs w:val="21"/>
              </w:rPr>
              <w:t>《安全生产法》第三十八条  生产经营单位应当建立健全生产安全事故隐患排查治理制度，采取技术、管理措施，及时发现并消除事故隐患。事故隐患排查治理情况应当如实记录，并向从业人员通报。</w:t>
            </w:r>
          </w:p>
          <w:p>
            <w:pPr>
              <w:ind w:firstLine="420"/>
            </w:pPr>
            <w:r>
              <w:rPr>
                <w:rFonts w:hint="eastAsia"/>
              </w:rPr>
              <w:t>……</w:t>
            </w:r>
          </w:p>
          <w:p>
            <w:pPr>
              <w:ind w:firstLine="420" w:firstLineChars="200"/>
              <w:rPr>
                <w:rFonts w:ascii="宋体" w:hAnsi="宋体" w:cs="宋体"/>
                <w:kern w:val="0"/>
                <w:szCs w:val="21"/>
              </w:rPr>
            </w:pPr>
            <w:r>
              <w:rPr>
                <w:rFonts w:ascii="宋体" w:hAnsi="宋体" w:cs="宋体"/>
                <w:kern w:val="0"/>
                <w:szCs w:val="21"/>
              </w:rPr>
              <w:t>《工贸行业重大生产安全事故隐患判定标准（2017版）》（安监总管四〔2017〕129号）</w:t>
            </w:r>
          </w:p>
          <w:p>
            <w:pPr>
              <w:ind w:firstLine="420" w:firstLineChars="200"/>
              <w:rPr>
                <w:rFonts w:ascii="宋体" w:hAnsi="宋体" w:cs="宋体"/>
                <w:kern w:val="0"/>
                <w:szCs w:val="21"/>
              </w:rPr>
            </w:pPr>
            <w:r>
              <w:rPr>
                <w:rFonts w:ascii="宋体" w:hAnsi="宋体" w:cs="宋体"/>
                <w:kern w:val="0"/>
                <w:szCs w:val="21"/>
              </w:rPr>
              <w:t>二、行业类重大事故隐患</w:t>
            </w:r>
          </w:p>
          <w:p>
            <w:pPr>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二</w:t>
            </w:r>
            <w:r>
              <w:rPr>
                <w:rFonts w:ascii="宋体" w:hAnsi="宋体" w:cs="宋体"/>
                <w:kern w:val="0"/>
                <w:szCs w:val="21"/>
              </w:rPr>
              <w:t>）</w:t>
            </w:r>
            <w:r>
              <w:rPr>
                <w:rFonts w:hint="eastAsia" w:ascii="宋体" w:hAnsi="宋体" w:cs="宋体"/>
                <w:kern w:val="0"/>
                <w:szCs w:val="21"/>
              </w:rPr>
              <w:t>有色</w:t>
            </w:r>
            <w:r>
              <w:rPr>
                <w:rFonts w:ascii="宋体" w:hAnsi="宋体" w:cs="宋体"/>
                <w:kern w:val="0"/>
                <w:szCs w:val="21"/>
              </w:rPr>
              <w:t>行业。</w:t>
            </w:r>
          </w:p>
          <w:p>
            <w:pPr>
              <w:ind w:firstLine="420" w:firstLineChars="200"/>
              <w:rPr>
                <w:rFonts w:hint="eastAsia" w:ascii="宋体" w:hAnsi="宋体"/>
                <w:szCs w:val="21"/>
              </w:rPr>
            </w:pPr>
            <w:r>
              <w:rPr>
                <w:rFonts w:hint="eastAsia" w:ascii="宋体" w:hAnsi="宋体"/>
                <w:szCs w:val="21"/>
              </w:rPr>
              <w:t>5.铜水等熔融有色金属铸造、浇铸流程未设置紧急排放和应急储存设施。</w:t>
            </w:r>
          </w:p>
          <w:p>
            <w:pPr>
              <w:ind w:firstLine="420" w:firstLineChars="200"/>
              <w:rPr>
                <w:rFonts w:ascii="宋体" w:hAnsi="宋体"/>
                <w:szCs w:val="21"/>
              </w:rPr>
            </w:pPr>
            <w:r>
              <w:rPr>
                <w:rFonts w:hint="eastAsia" w:ascii="宋体" w:hAnsi="宋体"/>
                <w:szCs w:val="21"/>
                <w:highlight w:val="none"/>
              </w:rPr>
              <w:t>《冶金企业和有色金属企业安全生产规定》第二十九条  企业对电炉、电解车间应当采取防雨措施和有效的排水设施，防止雨水进入槽下地坪，确保电炉、电解槽下没有积水。企业对电炉、铸造熔炼炉、保温炉、倾翻炉、铸机、流液槽、熔盐电解槽等设备，应当设置熔融金属紧急排放和储存的设施，并在设备周围设置拦挡围堰，防止熔融金属外流。</w:t>
            </w:r>
          </w:p>
        </w:tc>
        <w:tc>
          <w:tcPr>
            <w:tcW w:w="3545" w:type="dxa"/>
            <w:vAlign w:val="center"/>
          </w:tcPr>
          <w:p>
            <w:pPr>
              <w:ind w:firstLine="420" w:firstLineChars="200"/>
              <w:jc w:val="left"/>
              <w:rPr>
                <w:rFonts w:ascii="Times New Roman" w:hAnsi="Times New Roman"/>
              </w:rPr>
            </w:pPr>
            <w:r>
              <w:rPr>
                <w:rFonts w:ascii="Times New Roman" w:hAnsi="Times New Roman"/>
              </w:rPr>
              <w:t>《安全生产法》第九十九条</w:t>
            </w:r>
            <w:r>
              <w:rPr>
                <w:rFonts w:hint="eastAsia" w:ascii="Times New Roman" w:hAnsi="Times New Roman"/>
              </w:rPr>
              <w:t xml:space="preserve">  </w:t>
            </w:r>
            <w:r>
              <w:rPr>
                <w:rFonts w:ascii="Times New Roman" w:hAnsi="Times New Roman"/>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ind w:firstLine="420" w:firstLineChars="200"/>
              <w:rPr>
                <w:rFonts w:ascii="Times New Roman" w:hAnsi="Times New Roman"/>
                <w:kern w:val="0"/>
                <w:szCs w:val="21"/>
              </w:rPr>
            </w:pPr>
            <w:r>
              <w:rPr>
                <w:rFonts w:hint="eastAsia" w:ascii="Calibri" w:hAnsi="Calibri" w:eastAsia="宋体" w:cs="Times New Roman"/>
                <w:color w:val="auto"/>
                <w:kern w:val="2"/>
                <w:sz w:val="21"/>
                <w:szCs w:val="22"/>
                <w:highlight w:val="none"/>
                <w:lang w:val="en-US" w:eastAsia="zh-CN" w:bidi="ar-SA"/>
              </w:rPr>
              <w:t>《冶金企业和有色金属企业安全生产规定》</w:t>
            </w:r>
            <w:r>
              <w:rPr>
                <w:rFonts w:hint="default" w:ascii="Calibri" w:hAnsi="Calibri" w:eastAsia="宋体" w:cs="Times New Roman"/>
                <w:color w:val="auto"/>
                <w:kern w:val="2"/>
                <w:sz w:val="21"/>
                <w:szCs w:val="22"/>
                <w:highlight w:val="none"/>
                <w:lang w:val="en-US" w:eastAsia="zh-CN" w:bidi="ar-SA"/>
              </w:rPr>
              <w:t>第四十六条</w:t>
            </w:r>
            <w:r>
              <w:rPr>
                <w:rFonts w:hint="eastAsia" w:eastAsia="宋体" w:cs="Times New Roman"/>
                <w:color w:val="auto"/>
                <w:kern w:val="2"/>
                <w:sz w:val="21"/>
                <w:szCs w:val="22"/>
                <w:highlight w:val="none"/>
                <w:lang w:val="en-US" w:eastAsia="zh-CN" w:bidi="ar-SA"/>
              </w:rPr>
              <w:t xml:space="preserve">  </w:t>
            </w:r>
            <w:r>
              <w:rPr>
                <w:rFonts w:hint="default" w:ascii="Calibri" w:hAnsi="Calibri" w:eastAsia="宋体" w:cs="Times New Roman"/>
                <w:color w:val="auto"/>
                <w:kern w:val="2"/>
                <w:sz w:val="21"/>
                <w:szCs w:val="22"/>
                <w:highlight w:val="none"/>
                <w:lang w:val="en-US" w:eastAsia="zh-CN" w:bidi="ar-SA"/>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10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r>
              <w:rPr>
                <w:rFonts w:hint="eastAsia"/>
              </w:rPr>
              <w:t>8</w:t>
            </w:r>
          </w:p>
        </w:tc>
        <w:tc>
          <w:tcPr>
            <w:tcW w:w="1704" w:type="dxa"/>
            <w:vAlign w:val="center"/>
          </w:tcPr>
          <w:p>
            <w:r>
              <w:rPr>
                <w:rFonts w:ascii="Times New Roman" w:hAnsi="Times New Roman"/>
              </w:rPr>
              <w:t>应急处置措施情况</w:t>
            </w:r>
          </w:p>
        </w:tc>
        <w:tc>
          <w:tcPr>
            <w:tcW w:w="2551" w:type="dxa"/>
            <w:vAlign w:val="center"/>
          </w:tcPr>
          <w:p>
            <w:r>
              <w:rPr>
                <w:rFonts w:hint="eastAsia" w:ascii="思源黑体 CN" w:hAnsi="思源黑体 CN" w:eastAsia="思源黑体 CN" w:cs="思源黑体 CN"/>
                <w:szCs w:val="21"/>
              </w:rPr>
              <w:t>★</w:t>
            </w:r>
            <w:r>
              <w:rPr>
                <w:rFonts w:ascii="Times New Roman" w:hAnsi="Times New Roman"/>
              </w:rPr>
              <w:t>高温工作的熔融有色金属冶炼炉窑、铸造机、加热炉及水冷元件应设置应急冷却水源等冷却应急处置措施</w:t>
            </w:r>
          </w:p>
        </w:tc>
        <w:tc>
          <w:tcPr>
            <w:tcW w:w="4250" w:type="dxa"/>
            <w:vAlign w:val="center"/>
          </w:tcPr>
          <w:p>
            <w:pPr>
              <w:ind w:firstLine="420" w:firstLineChars="200"/>
              <w:rPr>
                <w:rFonts w:ascii="宋体" w:hAnsi="宋体"/>
                <w:szCs w:val="21"/>
              </w:rPr>
            </w:pPr>
            <w:r>
              <w:rPr>
                <w:rFonts w:hint="eastAsia" w:ascii="宋体" w:hAnsi="宋体"/>
                <w:szCs w:val="21"/>
              </w:rPr>
              <w:t>《安全生产法》第三十八条  生产经营单位应当建立健全生产安全事故隐患排查治理制度，采取技术、管理措施，及时发现并消除事故隐患。事故隐患排查治理情况应当如实记录，并向从业人员通报。</w:t>
            </w:r>
          </w:p>
          <w:p>
            <w:pPr>
              <w:pStyle w:val="2"/>
              <w:ind w:firstLine="420"/>
              <w:rPr>
                <w:highlight w:val="none"/>
              </w:rPr>
            </w:pPr>
            <w:r>
              <w:rPr>
                <w:rFonts w:hint="eastAsia"/>
                <w:highlight w:val="none"/>
              </w:rPr>
              <w:t>……</w:t>
            </w:r>
          </w:p>
          <w:p>
            <w:pPr>
              <w:ind w:firstLine="420" w:firstLineChars="200"/>
              <w:rPr>
                <w:rFonts w:ascii="宋体" w:hAnsi="宋体"/>
                <w:szCs w:val="21"/>
              </w:rPr>
            </w:pPr>
            <w:r>
              <w:rPr>
                <w:rFonts w:hint="eastAsia" w:ascii="宋体" w:hAnsi="宋体"/>
                <w:szCs w:val="21"/>
              </w:rPr>
              <w:t>《铸造机械安全要求》</w:t>
            </w:r>
            <w:r>
              <w:rPr>
                <w:rFonts w:hint="eastAsia" w:ascii="宋体" w:hAnsi="宋体"/>
                <w:szCs w:val="21"/>
                <w:highlight w:val="none"/>
              </w:rPr>
              <w:t>（GB 20905-2007）</w:t>
            </w:r>
          </w:p>
          <w:p>
            <w:pPr>
              <w:ind w:firstLine="420" w:firstLineChars="200"/>
              <w:rPr>
                <w:rFonts w:ascii="宋体" w:hAnsi="宋体"/>
                <w:szCs w:val="21"/>
              </w:rPr>
            </w:pPr>
            <w:r>
              <w:rPr>
                <w:rFonts w:hint="eastAsia" w:ascii="宋体" w:hAnsi="宋体"/>
                <w:szCs w:val="21"/>
              </w:rPr>
              <w:t>10.4  工作中不允许因停电而造成水冷和其他系统中断的机器，应另设维持水冷和其他系统正常工作的附属装置。</w:t>
            </w:r>
          </w:p>
          <w:p>
            <w:pPr>
              <w:ind w:firstLine="420" w:firstLineChars="200"/>
              <w:rPr>
                <w:rFonts w:ascii="宋体" w:hAnsi="宋体"/>
                <w:szCs w:val="21"/>
                <w:highlight w:val="none"/>
              </w:rPr>
            </w:pPr>
            <w:r>
              <w:rPr>
                <w:rFonts w:hint="eastAsia" w:ascii="宋体" w:hAnsi="宋体"/>
                <w:szCs w:val="21"/>
                <w:highlight w:val="none"/>
              </w:rPr>
              <w:t>《铜及铜合金熔铸安全设计规范》（GB 30187-2013）</w:t>
            </w:r>
          </w:p>
          <w:p>
            <w:pPr>
              <w:ind w:firstLine="420" w:firstLineChars="200"/>
              <w:rPr>
                <w:rFonts w:ascii="宋体" w:hAnsi="宋体"/>
                <w:szCs w:val="21"/>
                <w:highlight w:val="none"/>
              </w:rPr>
            </w:pPr>
            <w:r>
              <w:rPr>
                <w:rFonts w:hint="eastAsia" w:ascii="宋体" w:hAnsi="宋体"/>
                <w:szCs w:val="21"/>
                <w:highlight w:val="none"/>
              </w:rPr>
              <w:t>6.2.2 有芯感应炉应设置应急电源，有芯感应炉和无芯感应炉应设置应急水；铸造机的结晶器应设置应急水；</w:t>
            </w:r>
          </w:p>
          <w:p>
            <w:pPr>
              <w:ind w:firstLine="420" w:firstLineChars="200"/>
              <w:rPr>
                <w:rFonts w:ascii="宋体" w:hAnsi="宋体"/>
                <w:szCs w:val="21"/>
                <w:highlight w:val="none"/>
              </w:rPr>
            </w:pPr>
            <w:r>
              <w:rPr>
                <w:rFonts w:hint="eastAsia" w:ascii="宋体" w:hAnsi="宋体"/>
                <w:szCs w:val="21"/>
                <w:highlight w:val="none"/>
              </w:rPr>
              <w:t>《铜冶炼厂工艺设计规范》（GB 50616-2010）</w:t>
            </w:r>
          </w:p>
          <w:p>
            <w:pPr>
              <w:ind w:firstLine="420" w:firstLineChars="200"/>
              <w:rPr>
                <w:rFonts w:ascii="宋体" w:hAnsi="宋体"/>
                <w:szCs w:val="21"/>
              </w:rPr>
            </w:pPr>
            <w:r>
              <w:rPr>
                <w:rFonts w:hint="eastAsia" w:ascii="宋体" w:hAnsi="宋体"/>
                <w:szCs w:val="21"/>
              </w:rPr>
              <w:t>6.2.12  闪速炉冷却水必须连续供水，不得中断，水压应稳定。</w:t>
            </w:r>
          </w:p>
          <w:p>
            <w:pPr>
              <w:ind w:firstLine="420" w:firstLineChars="200"/>
              <w:rPr>
                <w:rFonts w:ascii="宋体" w:hAnsi="宋体"/>
                <w:szCs w:val="21"/>
              </w:rPr>
            </w:pPr>
            <w:r>
              <w:rPr>
                <w:rFonts w:hint="eastAsia" w:ascii="宋体" w:hAnsi="宋体"/>
                <w:szCs w:val="21"/>
              </w:rPr>
              <w:t>6.3.12.3  顶吹浸没熔炼安全措施必须符合下列规定：炉体冷却元件供水不得中断，水压应稳定，冷却水应使用硬度低的净化水。</w:t>
            </w:r>
          </w:p>
          <w:p>
            <w:pPr>
              <w:ind w:firstLine="420" w:firstLineChars="200"/>
              <w:rPr>
                <w:rFonts w:ascii="宋体" w:hAnsi="宋体"/>
                <w:szCs w:val="21"/>
              </w:rPr>
            </w:pPr>
            <w:r>
              <w:rPr>
                <w:rFonts w:hint="eastAsia" w:ascii="宋体" w:hAnsi="宋体"/>
                <w:szCs w:val="21"/>
              </w:rPr>
              <w:t>6.7.11  三菱熔炼炉冷却水必须连续供水，不得中断，水压应稳定，冷却水应为净化水。</w:t>
            </w:r>
          </w:p>
          <w:p>
            <w:pPr>
              <w:ind w:firstLine="420" w:firstLineChars="200"/>
              <w:rPr>
                <w:rFonts w:ascii="宋体" w:hAnsi="宋体"/>
                <w:szCs w:val="21"/>
              </w:rPr>
            </w:pPr>
            <w:r>
              <w:rPr>
                <w:rFonts w:hint="eastAsia" w:ascii="宋体" w:hAnsi="宋体"/>
                <w:szCs w:val="21"/>
              </w:rPr>
              <w:t>6.8.10  瓦纽科夫熔炼炉冷却水必须连续供水，不得中断，水压应稳定，冷却水应为净化水。</w:t>
            </w:r>
          </w:p>
          <w:p>
            <w:pPr>
              <w:ind w:firstLine="420" w:firstLineChars="200"/>
              <w:rPr>
                <w:rFonts w:ascii="宋体" w:hAnsi="宋体" w:cs="宋体"/>
                <w:kern w:val="0"/>
                <w:szCs w:val="21"/>
              </w:rPr>
            </w:pPr>
            <w:r>
              <w:rPr>
                <w:rFonts w:ascii="宋体" w:hAnsi="宋体" w:cs="宋体"/>
                <w:kern w:val="0"/>
                <w:szCs w:val="21"/>
              </w:rPr>
              <w:t>《工贸行业重大生产安全事故隐患判定标准（2017版）》（安监总管四〔2017〕129号）</w:t>
            </w:r>
          </w:p>
          <w:p>
            <w:pPr>
              <w:ind w:firstLine="420" w:firstLineChars="200"/>
              <w:rPr>
                <w:rFonts w:ascii="宋体" w:hAnsi="宋体" w:cs="宋体"/>
                <w:kern w:val="0"/>
                <w:szCs w:val="21"/>
              </w:rPr>
            </w:pPr>
            <w:r>
              <w:rPr>
                <w:rFonts w:ascii="宋体" w:hAnsi="宋体" w:cs="宋体"/>
                <w:kern w:val="0"/>
                <w:szCs w:val="21"/>
              </w:rPr>
              <w:t>二、行业类重大事故隐患</w:t>
            </w:r>
          </w:p>
          <w:p>
            <w:pPr>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二</w:t>
            </w:r>
            <w:r>
              <w:rPr>
                <w:rFonts w:ascii="宋体" w:hAnsi="宋体" w:cs="宋体"/>
                <w:kern w:val="0"/>
                <w:szCs w:val="21"/>
              </w:rPr>
              <w:t>）</w:t>
            </w:r>
            <w:r>
              <w:rPr>
                <w:rFonts w:hint="eastAsia" w:ascii="宋体" w:hAnsi="宋体" w:cs="宋体"/>
                <w:kern w:val="0"/>
                <w:szCs w:val="21"/>
              </w:rPr>
              <w:t>有色</w:t>
            </w:r>
            <w:r>
              <w:rPr>
                <w:rFonts w:ascii="宋体" w:hAnsi="宋体" w:cs="宋体"/>
                <w:kern w:val="0"/>
                <w:szCs w:val="21"/>
              </w:rPr>
              <w:t>行业。</w:t>
            </w:r>
          </w:p>
          <w:p>
            <w:pPr>
              <w:ind w:firstLine="420" w:firstLineChars="200"/>
              <w:rPr>
                <w:rFonts w:ascii="宋体" w:hAnsi="宋体"/>
                <w:szCs w:val="21"/>
              </w:rPr>
            </w:pPr>
            <w:r>
              <w:rPr>
                <w:rFonts w:hint="eastAsia" w:ascii="宋体" w:hAnsi="宋体"/>
                <w:szCs w:val="21"/>
              </w:rPr>
              <w:t>6.高温工作的熔融有色金属冶炼炉窑、铸造机、加热炉及水冷元件未设置应急冷却水源等冷却应急处置措施。</w:t>
            </w:r>
          </w:p>
        </w:tc>
        <w:tc>
          <w:tcPr>
            <w:tcW w:w="3545" w:type="dxa"/>
            <w:vAlign w:val="center"/>
          </w:tcPr>
          <w:p>
            <w:pPr>
              <w:ind w:firstLine="420" w:firstLineChars="200"/>
              <w:rPr>
                <w:rFonts w:ascii="宋体" w:hAnsi="宋体"/>
                <w:szCs w:val="21"/>
              </w:rPr>
            </w:pPr>
            <w:r>
              <w:rPr>
                <w:rFonts w:hint="eastAsia" w:ascii="宋体" w:hAnsi="宋体"/>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10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r>
              <w:rPr>
                <w:rFonts w:hint="eastAsia"/>
              </w:rPr>
              <w:t>9</w:t>
            </w:r>
          </w:p>
        </w:tc>
        <w:tc>
          <w:tcPr>
            <w:tcW w:w="1704" w:type="dxa"/>
            <w:vAlign w:val="center"/>
          </w:tcPr>
          <w:p>
            <w:r>
              <w:rPr>
                <w:rFonts w:ascii="Times New Roman" w:hAnsi="Times New Roman"/>
              </w:rPr>
              <w:t>水冷元件</w:t>
            </w:r>
            <w:r>
              <w:rPr>
                <w:rFonts w:hint="eastAsia" w:ascii="Times New Roman" w:hAnsi="Times New Roman"/>
              </w:rPr>
              <w:t>设置</w:t>
            </w:r>
            <w:r>
              <w:rPr>
                <w:rFonts w:ascii="Times New Roman" w:hAnsi="Times New Roman"/>
              </w:rPr>
              <w:t>和防止冷却水大量进入炉内的安全设施设置情况</w:t>
            </w:r>
          </w:p>
        </w:tc>
        <w:tc>
          <w:tcPr>
            <w:tcW w:w="2551" w:type="dxa"/>
            <w:vAlign w:val="center"/>
          </w:tcPr>
          <w:p>
            <w:r>
              <w:rPr>
                <w:rFonts w:hint="eastAsia" w:ascii="思源黑体 CN" w:hAnsi="思源黑体 CN" w:eastAsia="思源黑体 CN" w:cs="思源黑体 CN"/>
                <w:szCs w:val="21"/>
              </w:rPr>
              <w:t>★</w:t>
            </w:r>
            <w:r>
              <w:rPr>
                <w:rFonts w:ascii="Times New Roman" w:hAnsi="Times New Roman"/>
              </w:rPr>
              <w:t>冶炼炉窑的水冷元件应配置温度、进出水流量差检测及报警装置；应设置防止冷却水大量进入炉内的安全设施</w:t>
            </w:r>
          </w:p>
        </w:tc>
        <w:tc>
          <w:tcPr>
            <w:tcW w:w="4250" w:type="dxa"/>
            <w:vAlign w:val="center"/>
          </w:tcPr>
          <w:p>
            <w:pPr>
              <w:ind w:firstLine="420" w:firstLineChars="200"/>
              <w:rPr>
                <w:rFonts w:ascii="宋体" w:hAnsi="宋体"/>
                <w:szCs w:val="21"/>
              </w:rPr>
            </w:pPr>
            <w:r>
              <w:rPr>
                <w:rFonts w:hint="eastAsia" w:ascii="宋体" w:hAnsi="宋体"/>
                <w:szCs w:val="21"/>
              </w:rPr>
              <w:t>《安全生产法》第三十八条  生产经营单位应当建立健全生产安全事故隐患排查治理制度，采取技术、管理措施，及时发现并消除事故隐患。事故隐患排查治理情况应当如实记录，并向从业人员通报。</w:t>
            </w:r>
          </w:p>
          <w:p>
            <w:pPr>
              <w:ind w:firstLine="420"/>
            </w:pPr>
            <w:r>
              <w:rPr>
                <w:rFonts w:hint="eastAsia"/>
              </w:rPr>
              <w:t>……</w:t>
            </w:r>
          </w:p>
          <w:p>
            <w:pPr>
              <w:ind w:firstLine="420" w:firstLineChars="200"/>
              <w:rPr>
                <w:rFonts w:ascii="宋体" w:hAnsi="宋体" w:cs="宋体"/>
                <w:kern w:val="0"/>
                <w:szCs w:val="21"/>
              </w:rPr>
            </w:pPr>
            <w:r>
              <w:rPr>
                <w:rFonts w:ascii="宋体" w:hAnsi="宋体" w:cs="宋体"/>
                <w:kern w:val="0"/>
                <w:szCs w:val="21"/>
              </w:rPr>
              <w:t>《工贸行业重大生产安全事故隐患判定标准（2017版）》（安监总管四〔2017〕129号）</w:t>
            </w:r>
          </w:p>
          <w:p>
            <w:pPr>
              <w:ind w:firstLine="420" w:firstLineChars="200"/>
              <w:rPr>
                <w:rFonts w:ascii="宋体" w:hAnsi="宋体" w:cs="宋体"/>
                <w:kern w:val="0"/>
                <w:szCs w:val="21"/>
              </w:rPr>
            </w:pPr>
            <w:r>
              <w:rPr>
                <w:rFonts w:ascii="宋体" w:hAnsi="宋体" w:cs="宋体"/>
                <w:kern w:val="0"/>
                <w:szCs w:val="21"/>
              </w:rPr>
              <w:t>二、行业类重大事故隐患</w:t>
            </w:r>
          </w:p>
          <w:p>
            <w:pPr>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二</w:t>
            </w:r>
            <w:r>
              <w:rPr>
                <w:rFonts w:ascii="宋体" w:hAnsi="宋体" w:cs="宋体"/>
                <w:kern w:val="0"/>
                <w:szCs w:val="21"/>
              </w:rPr>
              <w:t>）</w:t>
            </w:r>
            <w:r>
              <w:rPr>
                <w:rFonts w:hint="eastAsia" w:ascii="宋体" w:hAnsi="宋体" w:cs="宋体"/>
                <w:kern w:val="0"/>
                <w:szCs w:val="21"/>
              </w:rPr>
              <w:t>有色</w:t>
            </w:r>
            <w:r>
              <w:rPr>
                <w:rFonts w:ascii="宋体" w:hAnsi="宋体" w:cs="宋体"/>
                <w:kern w:val="0"/>
                <w:szCs w:val="21"/>
              </w:rPr>
              <w:t>行业。</w:t>
            </w:r>
          </w:p>
          <w:p>
            <w:pPr>
              <w:ind w:firstLine="420" w:firstLineChars="200"/>
              <w:rPr>
                <w:rFonts w:ascii="宋体" w:hAnsi="宋体"/>
                <w:szCs w:val="21"/>
              </w:rPr>
            </w:pPr>
            <w:r>
              <w:rPr>
                <w:rFonts w:hint="eastAsia" w:ascii="宋体" w:hAnsi="宋体"/>
                <w:szCs w:val="21"/>
              </w:rPr>
              <w:t>7.冶炼炉窑的水冷元件未配置温度、进出水流量差检测及报警装置；未设置防止冷却水大量进入炉内的安全设施（如：快速切断阀等）。</w:t>
            </w:r>
          </w:p>
        </w:tc>
        <w:tc>
          <w:tcPr>
            <w:tcW w:w="3545" w:type="dxa"/>
            <w:vAlign w:val="center"/>
          </w:tcPr>
          <w:p>
            <w:pPr>
              <w:ind w:firstLine="420" w:firstLineChars="200"/>
              <w:rPr>
                <w:rFonts w:ascii="宋体" w:hAnsi="宋体"/>
                <w:szCs w:val="21"/>
              </w:rPr>
            </w:pPr>
            <w:r>
              <w:rPr>
                <w:rFonts w:hint="eastAsia" w:ascii="宋体" w:hAnsi="宋体"/>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10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r>
              <w:rPr>
                <w:rFonts w:hint="eastAsia"/>
              </w:rPr>
              <w:t>10</w:t>
            </w:r>
          </w:p>
        </w:tc>
        <w:tc>
          <w:tcPr>
            <w:tcW w:w="1704" w:type="dxa"/>
            <w:vAlign w:val="center"/>
          </w:tcPr>
          <w:p>
            <w:r>
              <w:rPr>
                <w:rFonts w:hint="eastAsia"/>
              </w:rPr>
              <w:t>设备设施检查及维修报废情况</w:t>
            </w:r>
          </w:p>
        </w:tc>
        <w:tc>
          <w:tcPr>
            <w:tcW w:w="2551" w:type="dxa"/>
            <w:vAlign w:val="center"/>
          </w:tcPr>
          <w:p>
            <w:r>
              <w:rPr>
                <w:rFonts w:hint="eastAsia" w:ascii="思源黑体 CN" w:hAnsi="思源黑体 CN" w:eastAsia="思源黑体 CN" w:cs="思源黑体 CN"/>
                <w:szCs w:val="21"/>
              </w:rPr>
              <w:t>★</w:t>
            </w:r>
            <w:r>
              <w:rPr>
                <w:rFonts w:hint="eastAsia"/>
              </w:rPr>
              <w:t>炉、窑、槽、罐类设备本体及附属设施定期检查，按规定维修或报废</w:t>
            </w:r>
          </w:p>
        </w:tc>
        <w:tc>
          <w:tcPr>
            <w:tcW w:w="4250" w:type="dxa"/>
            <w:vAlign w:val="center"/>
          </w:tcPr>
          <w:p>
            <w:pPr>
              <w:ind w:firstLine="420" w:firstLineChars="200"/>
              <w:jc w:val="left"/>
              <w:rPr>
                <w:rFonts w:ascii="宋体" w:hAnsi="宋体"/>
                <w:szCs w:val="21"/>
              </w:rPr>
            </w:pPr>
            <w:r>
              <w:rPr>
                <w:rFonts w:hint="eastAsia" w:ascii="宋体" w:hAnsi="宋体"/>
                <w:szCs w:val="21"/>
              </w:rPr>
              <w:t>《安全生产法》第三十八条  生产经营单位应当建立健全生产安全事故隐患排查治理制度，采取技术、管理措施，及时发现并消除事故隐患。事故隐患排查治理情况应当如实记录，并向从业人员通报。</w:t>
            </w:r>
          </w:p>
          <w:p>
            <w:pPr>
              <w:ind w:firstLine="420" w:firstLineChars="200"/>
              <w:jc w:val="left"/>
              <w:rPr>
                <w:rFonts w:hint="eastAsia" w:ascii="宋体" w:hAnsi="宋体"/>
                <w:szCs w:val="21"/>
              </w:rPr>
            </w:pPr>
            <w:r>
              <w:rPr>
                <w:rFonts w:hint="eastAsia" w:ascii="宋体" w:hAnsi="宋体"/>
                <w:szCs w:val="21"/>
              </w:rPr>
              <w:t>……</w:t>
            </w:r>
          </w:p>
          <w:p>
            <w:pPr>
              <w:ind w:firstLine="420" w:firstLineChars="200"/>
              <w:jc w:val="left"/>
              <w:rPr>
                <w:rFonts w:ascii="宋体" w:hAnsi="宋体"/>
                <w:szCs w:val="21"/>
                <w:highlight w:val="none"/>
              </w:rPr>
            </w:pPr>
            <w:r>
              <w:rPr>
                <w:rFonts w:hint="eastAsia" w:ascii="宋体" w:hAnsi="宋体"/>
                <w:szCs w:val="21"/>
                <w:highlight w:val="none"/>
              </w:rPr>
              <w:t>《氧化铝安全生产规范》（GB</w:t>
            </w:r>
            <w:r>
              <w:rPr>
                <w:rFonts w:hint="eastAsia" w:ascii="宋体" w:hAnsi="宋体"/>
                <w:szCs w:val="21"/>
                <w:highlight w:val="none"/>
                <w:lang w:val="en-US" w:eastAsia="zh-CN"/>
              </w:rPr>
              <w:t xml:space="preserve"> </w:t>
            </w:r>
            <w:r>
              <w:rPr>
                <w:rFonts w:hint="eastAsia" w:ascii="宋体" w:hAnsi="宋体"/>
                <w:szCs w:val="21"/>
                <w:highlight w:val="none"/>
              </w:rPr>
              <w:t>30186-2013）</w:t>
            </w:r>
          </w:p>
          <w:p>
            <w:pPr>
              <w:ind w:firstLine="420" w:firstLineChars="200"/>
              <w:jc w:val="left"/>
              <w:rPr>
                <w:rFonts w:ascii="宋体" w:hAnsi="宋体"/>
                <w:szCs w:val="21"/>
              </w:rPr>
            </w:pPr>
            <w:r>
              <w:rPr>
                <w:rFonts w:hint="eastAsia" w:ascii="宋体" w:hAnsi="宋体"/>
                <w:szCs w:val="21"/>
              </w:rPr>
              <w:t>4.1.1.1  石灰炉炉体及卷扬、下料漏斗、布料器等应定期检查，设备出现裂纹、破损、炉体焊缝开裂、明显变形、机械失灵、衬砖损坏等应报修或报废。</w:t>
            </w:r>
          </w:p>
          <w:p>
            <w:pPr>
              <w:ind w:firstLine="420" w:firstLineChars="200"/>
              <w:jc w:val="left"/>
              <w:rPr>
                <w:rFonts w:ascii="宋体" w:hAnsi="宋体"/>
                <w:szCs w:val="21"/>
              </w:rPr>
            </w:pPr>
            <w:r>
              <w:rPr>
                <w:rFonts w:hint="eastAsia" w:ascii="宋体" w:hAnsi="宋体"/>
                <w:szCs w:val="21"/>
              </w:rPr>
              <w:t>4.2.4.1  应定期检查槽罐类设备及附属设施，槽体出现焊缝开裂、腐蚀、破损、明显变形、机械失灵应报修或报废。应按规定检测承压槽罐、管道，检测不合格不应使用。</w:t>
            </w:r>
          </w:p>
          <w:p>
            <w:pPr>
              <w:ind w:firstLine="420" w:firstLineChars="200"/>
              <w:jc w:val="left"/>
              <w:rPr>
                <w:rFonts w:ascii="宋体" w:hAnsi="宋体"/>
                <w:szCs w:val="21"/>
              </w:rPr>
            </w:pPr>
            <w:r>
              <w:rPr>
                <w:rFonts w:hint="eastAsia" w:ascii="宋体" w:hAnsi="宋体"/>
                <w:szCs w:val="21"/>
              </w:rPr>
              <w:t>4.3.1.1  应定期检查熟料窑，窑体出现裂纹破损、焊缝开裂、明显弯曲变形、衬砖损坏等应检修处置。窑附属设施应定期检查、维护，发现问题及时联系检修处置。</w:t>
            </w:r>
          </w:p>
          <w:p>
            <w:pPr>
              <w:ind w:firstLine="420" w:firstLineChars="200"/>
              <w:jc w:val="left"/>
              <w:rPr>
                <w:rFonts w:ascii="宋体" w:hAnsi="宋体"/>
                <w:szCs w:val="21"/>
              </w:rPr>
            </w:pPr>
            <w:r>
              <w:rPr>
                <w:rFonts w:hint="eastAsia" w:ascii="宋体" w:hAnsi="宋体"/>
                <w:szCs w:val="21"/>
              </w:rPr>
              <w:t xml:space="preserve">4.5.1.1应定期检查、检测脱硅机及附属设施，机体出现焊缝开裂、腐蚀、机械损伤、凸凹变形、超过规定使用年限等，应报修或报废。 </w:t>
            </w:r>
          </w:p>
          <w:p>
            <w:pPr>
              <w:ind w:firstLine="420" w:firstLineChars="200"/>
              <w:jc w:val="left"/>
              <w:rPr>
                <w:rFonts w:ascii="宋体" w:hAnsi="宋体" w:cs="宋体"/>
                <w:kern w:val="0"/>
                <w:szCs w:val="21"/>
              </w:rPr>
            </w:pPr>
            <w:r>
              <w:rPr>
                <w:rFonts w:ascii="宋体" w:hAnsi="宋体" w:cs="宋体"/>
                <w:kern w:val="0"/>
                <w:szCs w:val="21"/>
              </w:rPr>
              <w:t>《工贸行业重大生产安全事故隐患判定标准（2017版）》（安监总管四〔2017〕129号）</w:t>
            </w:r>
          </w:p>
          <w:p>
            <w:pPr>
              <w:ind w:firstLine="420" w:firstLineChars="200"/>
              <w:jc w:val="left"/>
              <w:rPr>
                <w:rFonts w:ascii="宋体" w:hAnsi="宋体" w:cs="宋体"/>
                <w:kern w:val="0"/>
                <w:szCs w:val="21"/>
              </w:rPr>
            </w:pPr>
            <w:r>
              <w:rPr>
                <w:rFonts w:ascii="宋体" w:hAnsi="宋体" w:cs="宋体"/>
                <w:kern w:val="0"/>
                <w:szCs w:val="21"/>
              </w:rPr>
              <w:t>二、行业类重大事故隐患</w:t>
            </w:r>
          </w:p>
          <w:p>
            <w:pPr>
              <w:ind w:firstLine="420" w:firstLineChars="200"/>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二</w:t>
            </w:r>
            <w:r>
              <w:rPr>
                <w:rFonts w:ascii="宋体" w:hAnsi="宋体" w:cs="宋体"/>
                <w:kern w:val="0"/>
                <w:szCs w:val="21"/>
              </w:rPr>
              <w:t>）</w:t>
            </w:r>
            <w:r>
              <w:rPr>
                <w:rFonts w:hint="eastAsia" w:ascii="宋体" w:hAnsi="宋体" w:cs="宋体"/>
                <w:kern w:val="0"/>
                <w:szCs w:val="21"/>
              </w:rPr>
              <w:t>有色</w:t>
            </w:r>
            <w:r>
              <w:rPr>
                <w:rFonts w:ascii="宋体" w:hAnsi="宋体" w:cs="宋体"/>
                <w:kern w:val="0"/>
                <w:szCs w:val="21"/>
              </w:rPr>
              <w:t>行业。</w:t>
            </w:r>
          </w:p>
          <w:p>
            <w:pPr>
              <w:ind w:firstLine="420" w:firstLineChars="200"/>
              <w:jc w:val="left"/>
              <w:rPr>
                <w:rFonts w:hint="eastAsia" w:ascii="宋体" w:hAnsi="宋体"/>
                <w:szCs w:val="21"/>
              </w:rPr>
            </w:pPr>
            <w:r>
              <w:rPr>
                <w:rFonts w:hint="eastAsia" w:ascii="宋体" w:hAnsi="宋体"/>
                <w:szCs w:val="21"/>
              </w:rPr>
              <w:t>8.炉、窑、槽、罐类设备本体及附属设施未定期检查，出现严重焊缝开裂、腐蚀、破损、衬砖损坏、壳体发红及明显弯曲变形等未报修或报废，仍继续使用。</w:t>
            </w:r>
          </w:p>
          <w:p>
            <w:pPr>
              <w:ind w:firstLine="420" w:firstLineChars="200"/>
              <w:jc w:val="left"/>
              <w:rPr>
                <w:rFonts w:ascii="宋体" w:hAnsi="宋体"/>
                <w:szCs w:val="21"/>
              </w:rPr>
            </w:pPr>
            <w:r>
              <w:rPr>
                <w:rFonts w:hint="eastAsia" w:ascii="宋体" w:hAnsi="宋体"/>
                <w:szCs w:val="21"/>
                <w:highlight w:val="none"/>
              </w:rPr>
              <w:t>《冶金企业和有色金属企业安全生产规定》第三十四条  企业对反应槽、罐、池、釜和储液罐、酸洗槽应当采取防腐蚀措施，设置事故池，进行经常性安全检查、维护、保养，并定期检测，保证正常运转。</w:t>
            </w:r>
          </w:p>
        </w:tc>
        <w:tc>
          <w:tcPr>
            <w:tcW w:w="3545" w:type="dxa"/>
            <w:vAlign w:val="center"/>
          </w:tcPr>
          <w:p>
            <w:pPr>
              <w:ind w:firstLine="420" w:firstLineChars="200"/>
              <w:rPr>
                <w:rFonts w:hint="eastAsia" w:ascii="宋体" w:hAnsi="宋体"/>
                <w:szCs w:val="21"/>
              </w:rPr>
            </w:pPr>
            <w:r>
              <w:rPr>
                <w:rFonts w:hint="eastAsia" w:ascii="宋体" w:hAnsi="宋体"/>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ind w:firstLine="420" w:firstLineChars="200"/>
              <w:rPr>
                <w:rFonts w:ascii="宋体" w:hAnsi="宋体"/>
                <w:szCs w:val="21"/>
              </w:rPr>
            </w:pPr>
            <w:r>
              <w:rPr>
                <w:rFonts w:hint="eastAsia" w:ascii="Calibri" w:hAnsi="Calibri" w:eastAsia="宋体" w:cs="Times New Roman"/>
                <w:color w:val="auto"/>
                <w:kern w:val="2"/>
                <w:sz w:val="21"/>
                <w:szCs w:val="22"/>
                <w:highlight w:val="none"/>
                <w:lang w:val="en-US" w:eastAsia="zh-CN" w:bidi="ar-SA"/>
              </w:rPr>
              <w:t>《冶金企业和有色金属企业安全生产规定》</w:t>
            </w:r>
            <w:r>
              <w:rPr>
                <w:rFonts w:hint="default" w:ascii="Calibri" w:hAnsi="Calibri" w:eastAsia="宋体" w:cs="Times New Roman"/>
                <w:color w:val="auto"/>
                <w:kern w:val="2"/>
                <w:sz w:val="21"/>
                <w:szCs w:val="22"/>
                <w:highlight w:val="none"/>
                <w:lang w:val="en-US" w:eastAsia="zh-CN" w:bidi="ar-SA"/>
              </w:rPr>
              <w:t>第四十六条</w:t>
            </w:r>
            <w:r>
              <w:rPr>
                <w:rFonts w:hint="eastAsia" w:eastAsia="宋体" w:cs="Times New Roman"/>
                <w:color w:val="auto"/>
                <w:kern w:val="2"/>
                <w:sz w:val="21"/>
                <w:szCs w:val="22"/>
                <w:highlight w:val="none"/>
                <w:lang w:val="en-US" w:eastAsia="zh-CN" w:bidi="ar-SA"/>
              </w:rPr>
              <w:t xml:space="preserve">  </w:t>
            </w:r>
            <w:r>
              <w:rPr>
                <w:rFonts w:hint="default" w:ascii="Calibri" w:hAnsi="Calibri" w:eastAsia="宋体" w:cs="Times New Roman"/>
                <w:color w:val="auto"/>
                <w:kern w:val="2"/>
                <w:sz w:val="21"/>
                <w:szCs w:val="22"/>
                <w:highlight w:val="none"/>
                <w:lang w:val="en-US" w:eastAsia="zh-CN" w:bidi="ar-SA"/>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10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r>
              <w:rPr>
                <w:rFonts w:hint="eastAsia"/>
              </w:rPr>
              <w:t>11</w:t>
            </w:r>
          </w:p>
        </w:tc>
        <w:tc>
          <w:tcPr>
            <w:tcW w:w="1704" w:type="dxa"/>
            <w:vAlign w:val="center"/>
          </w:tcPr>
          <w:p>
            <w:r>
              <w:rPr>
                <w:rFonts w:hint="eastAsia" w:ascii="Times New Roman" w:hAnsi="Times New Roman"/>
              </w:rPr>
              <w:t>设置</w:t>
            </w:r>
            <w:r>
              <w:rPr>
                <w:rFonts w:ascii="Times New Roman" w:hAnsi="Times New Roman"/>
              </w:rPr>
              <w:t>快速切断装置情况</w:t>
            </w:r>
          </w:p>
        </w:tc>
        <w:tc>
          <w:tcPr>
            <w:tcW w:w="2551" w:type="dxa"/>
            <w:vAlign w:val="center"/>
          </w:tcPr>
          <w:p>
            <w:r>
              <w:rPr>
                <w:rFonts w:hint="eastAsia" w:ascii="宋体" w:hAnsi="宋体"/>
                <w:szCs w:val="21"/>
              </w:rPr>
              <w:t>★使用煤气（天然气）的烧嘴等燃烧装置，应设置与管线压力联锁的快速切断阀</w:t>
            </w:r>
          </w:p>
        </w:tc>
        <w:tc>
          <w:tcPr>
            <w:tcW w:w="4250" w:type="dxa"/>
            <w:vAlign w:val="center"/>
          </w:tcPr>
          <w:p>
            <w:pPr>
              <w:ind w:firstLine="420" w:firstLineChars="200"/>
              <w:rPr>
                <w:rFonts w:ascii="宋体" w:hAnsi="宋体"/>
                <w:szCs w:val="21"/>
              </w:rPr>
            </w:pPr>
            <w:r>
              <w:rPr>
                <w:rFonts w:hint="eastAsia" w:ascii="宋体" w:hAnsi="宋体"/>
                <w:szCs w:val="21"/>
              </w:rPr>
              <w:t>《安全生产法》第三十八条  生产经营单位应当建立健全生产安全事故隐患排查治理制度，采取技术、管理措施，及时发现并消除事故隐患。事故隐患排查治理情况应当如实记录，并向从业人员通报。</w:t>
            </w:r>
          </w:p>
          <w:p>
            <w:pPr>
              <w:ind w:firstLine="420"/>
            </w:pPr>
            <w:r>
              <w:rPr>
                <w:rFonts w:hint="eastAsia"/>
              </w:rPr>
              <w:t>……</w:t>
            </w:r>
          </w:p>
          <w:p>
            <w:pPr>
              <w:ind w:firstLine="420" w:firstLineChars="200"/>
              <w:rPr>
                <w:rFonts w:ascii="宋体" w:hAnsi="宋体"/>
                <w:szCs w:val="21"/>
                <w:highlight w:val="none"/>
              </w:rPr>
            </w:pPr>
            <w:r>
              <w:rPr>
                <w:rFonts w:hint="eastAsia" w:ascii="宋体" w:hAnsi="宋体"/>
                <w:szCs w:val="21"/>
              </w:rPr>
              <w:t>《工业企业煤气安全规程》</w:t>
            </w:r>
            <w:r>
              <w:rPr>
                <w:rFonts w:hint="eastAsia" w:ascii="宋体" w:hAnsi="宋体"/>
                <w:szCs w:val="21"/>
                <w:highlight w:val="none"/>
              </w:rPr>
              <w:t>（GB 6222-2005）</w:t>
            </w:r>
          </w:p>
          <w:p>
            <w:pPr>
              <w:ind w:firstLine="420" w:firstLineChars="200"/>
              <w:rPr>
                <w:rFonts w:ascii="宋体" w:hAnsi="宋体"/>
                <w:szCs w:val="21"/>
                <w:highlight w:val="none"/>
              </w:rPr>
            </w:pPr>
            <w:r>
              <w:rPr>
                <w:rFonts w:hint="eastAsia" w:ascii="宋体" w:hAnsi="宋体"/>
                <w:szCs w:val="21"/>
                <w:highlight w:val="none"/>
              </w:rPr>
              <w:t>7.1.1  当燃烧装置采用强制送风的燃烧嘴时，煤气支管上应装止回装置或自动隔断阀。</w:t>
            </w:r>
          </w:p>
          <w:p>
            <w:pPr>
              <w:ind w:firstLine="420" w:firstLineChars="200"/>
              <w:rPr>
                <w:rFonts w:ascii="宋体" w:hAnsi="宋体"/>
                <w:szCs w:val="21"/>
                <w:highlight w:val="none"/>
              </w:rPr>
            </w:pPr>
            <w:r>
              <w:rPr>
                <w:rFonts w:hint="eastAsia" w:ascii="宋体" w:hAnsi="宋体"/>
                <w:szCs w:val="21"/>
                <w:highlight w:val="none"/>
              </w:rPr>
              <w:t>《城镇燃气设计规范》（GB 50028-2006）</w:t>
            </w:r>
          </w:p>
          <w:p>
            <w:pPr>
              <w:ind w:firstLine="420" w:firstLineChars="200"/>
              <w:rPr>
                <w:rFonts w:ascii="宋体" w:hAnsi="宋体"/>
                <w:szCs w:val="21"/>
              </w:rPr>
            </w:pPr>
            <w:r>
              <w:rPr>
                <w:rFonts w:hint="eastAsia" w:ascii="宋体" w:hAnsi="宋体"/>
                <w:szCs w:val="21"/>
              </w:rPr>
              <w:t>10.6.6.1  工业企业生产用气设备燃烧装置的安全设施应符合下列要求：燃气管道上应安装低压和超压报警以及紧急自动切断阀。</w:t>
            </w:r>
          </w:p>
          <w:p>
            <w:pPr>
              <w:ind w:firstLine="420" w:firstLineChars="200"/>
              <w:rPr>
                <w:rFonts w:ascii="宋体" w:hAnsi="宋体" w:cs="宋体"/>
                <w:kern w:val="0"/>
                <w:szCs w:val="21"/>
              </w:rPr>
            </w:pPr>
            <w:r>
              <w:rPr>
                <w:rFonts w:ascii="宋体" w:hAnsi="宋体" w:cs="宋体"/>
                <w:kern w:val="0"/>
                <w:szCs w:val="21"/>
              </w:rPr>
              <w:t>《工贸行业重大生产安全事故隐患判定标准（2017版）</w:t>
            </w:r>
            <w:r>
              <w:rPr>
                <w:rFonts w:hint="eastAsia" w:ascii="宋体" w:hAnsi="宋体" w:cs="宋体"/>
                <w:kern w:val="0"/>
                <w:szCs w:val="21"/>
              </w:rPr>
              <w:t>）</w:t>
            </w:r>
            <w:r>
              <w:rPr>
                <w:rFonts w:ascii="宋体" w:hAnsi="宋体" w:cs="宋体"/>
                <w:kern w:val="0"/>
                <w:szCs w:val="21"/>
              </w:rPr>
              <w:t>》（安监总管四〔2017〕129号）</w:t>
            </w:r>
          </w:p>
          <w:p>
            <w:pPr>
              <w:ind w:firstLine="420" w:firstLineChars="200"/>
              <w:rPr>
                <w:rFonts w:ascii="宋体" w:hAnsi="宋体" w:cs="宋体"/>
                <w:kern w:val="0"/>
                <w:szCs w:val="21"/>
              </w:rPr>
            </w:pPr>
            <w:r>
              <w:rPr>
                <w:rFonts w:ascii="宋体" w:hAnsi="宋体" w:cs="宋体"/>
                <w:kern w:val="0"/>
                <w:szCs w:val="21"/>
              </w:rPr>
              <w:t>二、行业类重大事故隐患</w:t>
            </w:r>
          </w:p>
          <w:p>
            <w:pPr>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二</w:t>
            </w:r>
            <w:r>
              <w:rPr>
                <w:rFonts w:ascii="宋体" w:hAnsi="宋体" w:cs="宋体"/>
                <w:kern w:val="0"/>
                <w:szCs w:val="21"/>
              </w:rPr>
              <w:t>）</w:t>
            </w:r>
            <w:r>
              <w:rPr>
                <w:rFonts w:hint="eastAsia" w:ascii="宋体" w:hAnsi="宋体" w:cs="宋体"/>
                <w:kern w:val="0"/>
                <w:szCs w:val="21"/>
              </w:rPr>
              <w:t>有色</w:t>
            </w:r>
            <w:r>
              <w:rPr>
                <w:rFonts w:ascii="宋体" w:hAnsi="宋体" w:cs="宋体"/>
                <w:kern w:val="0"/>
                <w:szCs w:val="21"/>
              </w:rPr>
              <w:t>行业。</w:t>
            </w:r>
          </w:p>
          <w:p>
            <w:pPr>
              <w:ind w:firstLine="420" w:firstLineChars="200"/>
              <w:rPr>
                <w:rFonts w:hint="eastAsia" w:ascii="宋体" w:hAnsi="宋体"/>
                <w:szCs w:val="21"/>
              </w:rPr>
            </w:pPr>
            <w:r>
              <w:rPr>
                <w:rFonts w:hint="eastAsia" w:ascii="宋体" w:hAnsi="宋体"/>
                <w:szCs w:val="21"/>
              </w:rPr>
              <w:t>9.使用煤气（天然气）的烧嘴等燃烧装置，未设置防突然熄火或点火失败的快速切断阀，以切断煤气（天然气）。</w:t>
            </w:r>
          </w:p>
          <w:p>
            <w:pPr>
              <w:ind w:firstLine="420" w:firstLineChars="200"/>
              <w:rPr>
                <w:rFonts w:ascii="宋体" w:hAnsi="宋体"/>
                <w:szCs w:val="21"/>
              </w:rPr>
            </w:pPr>
            <w:r>
              <w:rPr>
                <w:rFonts w:hint="eastAsia" w:ascii="宋体" w:hAnsi="宋体"/>
                <w:szCs w:val="21"/>
                <w:highlight w:val="none"/>
              </w:rPr>
              <w:t>《冶金企业和有色金属企业安全生产规定》第三十二条  生产、储存、使用煤气的企业应当严格执行《工业企业煤气安全规程》（GB6222），在可能发生煤气泄漏、聚集的场所，设置固定式煤气检测报警仪和安全警示标志。</w:t>
            </w:r>
          </w:p>
        </w:tc>
        <w:tc>
          <w:tcPr>
            <w:tcW w:w="3545" w:type="dxa"/>
            <w:vAlign w:val="center"/>
          </w:tcPr>
          <w:p>
            <w:pPr>
              <w:ind w:firstLine="420" w:firstLineChars="200"/>
              <w:rPr>
                <w:rFonts w:ascii="宋体" w:hAnsi="宋体"/>
                <w:szCs w:val="21"/>
              </w:rPr>
            </w:pPr>
            <w:r>
              <w:rPr>
                <w:rFonts w:hint="eastAsia" w:ascii="宋体" w:hAnsi="宋体"/>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ind w:firstLine="420" w:firstLineChars="200"/>
              <w:rPr>
                <w:rFonts w:ascii="宋体" w:hAnsi="宋体"/>
                <w:szCs w:val="21"/>
              </w:rPr>
            </w:pPr>
            <w:r>
              <w:rPr>
                <w:rFonts w:hint="eastAsia" w:ascii="Calibri" w:hAnsi="Calibri" w:eastAsia="宋体" w:cs="Times New Roman"/>
                <w:color w:val="auto"/>
                <w:kern w:val="2"/>
                <w:sz w:val="21"/>
                <w:szCs w:val="22"/>
                <w:highlight w:val="none"/>
                <w:lang w:val="en-US" w:eastAsia="zh-CN" w:bidi="ar-SA"/>
              </w:rPr>
              <w:t>《冶金企业和有色金属企业安全生产规定》</w:t>
            </w:r>
            <w:r>
              <w:rPr>
                <w:rFonts w:hint="default" w:ascii="Calibri" w:hAnsi="Calibri" w:eastAsia="宋体" w:cs="Times New Roman"/>
                <w:color w:val="auto"/>
                <w:kern w:val="2"/>
                <w:sz w:val="21"/>
                <w:szCs w:val="22"/>
                <w:highlight w:val="none"/>
                <w:lang w:val="en-US" w:eastAsia="zh-CN" w:bidi="ar-SA"/>
              </w:rPr>
              <w:t>第四十六条</w:t>
            </w:r>
            <w:r>
              <w:rPr>
                <w:rFonts w:hint="eastAsia" w:eastAsia="宋体" w:cs="Times New Roman"/>
                <w:color w:val="auto"/>
                <w:kern w:val="2"/>
                <w:sz w:val="21"/>
                <w:szCs w:val="22"/>
                <w:highlight w:val="none"/>
                <w:lang w:val="en-US" w:eastAsia="zh-CN" w:bidi="ar-SA"/>
              </w:rPr>
              <w:t xml:space="preserve">  </w:t>
            </w:r>
            <w:r>
              <w:rPr>
                <w:rFonts w:hint="default" w:ascii="Calibri" w:hAnsi="Calibri" w:eastAsia="宋体" w:cs="Times New Roman"/>
                <w:color w:val="auto"/>
                <w:kern w:val="2"/>
                <w:sz w:val="21"/>
                <w:szCs w:val="22"/>
                <w:highlight w:val="none"/>
                <w:lang w:val="en-US" w:eastAsia="zh-CN" w:bidi="ar-SA"/>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1013" w:type="dxa"/>
            <w:vAlign w:val="center"/>
          </w:tcPr>
          <w:p/>
        </w:tc>
      </w:tr>
    </w:tbl>
    <w:p>
      <w:pPr>
        <w:pStyle w:val="4"/>
        <w:keepNext w:val="0"/>
        <w:keepLines w:val="0"/>
        <w:pageBreakBefore/>
        <w:spacing w:line="240" w:lineRule="auto"/>
      </w:pPr>
      <w:r>
        <w:rPr>
          <w:rFonts w:hint="eastAsia" w:ascii="黑体" w:hAnsi="黑体" w:eastAsia="黑体"/>
          <w:b w:val="0"/>
        </w:rPr>
        <w:t>表5-3  建材企业</w:t>
      </w:r>
    </w:p>
    <w:tbl>
      <w:tblPr>
        <w:tblStyle w:val="19"/>
        <w:tblW w:w="13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816"/>
        <w:gridCol w:w="1704"/>
        <w:gridCol w:w="2551"/>
        <w:gridCol w:w="4250"/>
        <w:gridCol w:w="354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50" w:hRule="atLeast"/>
          <w:tblHeader/>
          <w:jc w:val="center"/>
        </w:trPr>
        <w:tc>
          <w:tcPr>
            <w:tcW w:w="816"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序号</w:t>
            </w:r>
          </w:p>
        </w:tc>
        <w:tc>
          <w:tcPr>
            <w:tcW w:w="1704"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检查事项</w:t>
            </w:r>
          </w:p>
        </w:tc>
        <w:tc>
          <w:tcPr>
            <w:tcW w:w="2551"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检查内容</w:t>
            </w:r>
          </w:p>
        </w:tc>
        <w:tc>
          <w:tcPr>
            <w:tcW w:w="4250"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检查依据指引</w:t>
            </w:r>
          </w:p>
        </w:tc>
        <w:tc>
          <w:tcPr>
            <w:tcW w:w="3545"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法律责任指引</w:t>
            </w:r>
          </w:p>
        </w:tc>
        <w:tc>
          <w:tcPr>
            <w:tcW w:w="1013"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671" w:hRule="atLeast"/>
          <w:jc w:val="center"/>
        </w:trPr>
        <w:tc>
          <w:tcPr>
            <w:tcW w:w="816" w:type="dxa"/>
            <w:vAlign w:val="center"/>
          </w:tcPr>
          <w:p>
            <w:pPr>
              <w:jc w:val="center"/>
              <w:rPr>
                <w:rFonts w:ascii="宋体" w:hAnsi="宋体"/>
                <w:szCs w:val="21"/>
              </w:rPr>
            </w:pPr>
            <w:r>
              <w:rPr>
                <w:rFonts w:hint="eastAsia" w:ascii="宋体" w:hAnsi="宋体"/>
                <w:szCs w:val="21"/>
              </w:rPr>
              <w:t>1</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水泥筒型库清库作业外包情况</w:t>
            </w: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水泥工厂筒型储存库人工清库作业外包给具专业承包资质的承包方，签订安全管理协议</w:t>
            </w:r>
          </w:p>
        </w:tc>
        <w:tc>
          <w:tcPr>
            <w:tcW w:w="4250" w:type="dxa"/>
            <w:vAlign w:val="center"/>
          </w:tcPr>
          <w:p>
            <w:pPr>
              <w:ind w:firstLine="420" w:firstLineChars="200"/>
              <w:rPr>
                <w:rFonts w:ascii="宋体" w:hAnsi="宋体"/>
                <w:szCs w:val="21"/>
              </w:rPr>
            </w:pPr>
            <w:r>
              <w:rPr>
                <w:rFonts w:hint="eastAsia" w:ascii="宋体" w:hAnsi="宋体"/>
                <w:szCs w:val="21"/>
              </w:rPr>
              <w:t>《安全生产法》第四十六条  生产经营单位不得将生产经营项目、场所、设备发包或者出租给不具备安全生产条件或者相应资质的单位或者个人。</w:t>
            </w:r>
          </w:p>
          <w:p>
            <w:pPr>
              <w:ind w:firstLine="420" w:firstLineChars="200"/>
              <w:rPr>
                <w:rFonts w:ascii="宋体" w:hAnsi="宋体"/>
                <w:szCs w:val="21"/>
              </w:rPr>
            </w:pPr>
            <w:r>
              <w:rPr>
                <w:rFonts w:hint="eastAsia" w:ascii="宋体" w:hAnsi="宋体"/>
                <w:szCs w:val="21"/>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ind w:firstLine="420" w:firstLineChars="200"/>
              <w:rPr>
                <w:rFonts w:ascii="宋体" w:hAnsi="宋体"/>
                <w:szCs w:val="21"/>
              </w:rPr>
            </w:pPr>
            <w:r>
              <w:rPr>
                <w:rFonts w:hint="eastAsia" w:ascii="宋体" w:hAnsi="宋体"/>
                <w:szCs w:val="21"/>
              </w:rPr>
              <w:t>《水泥工厂筒型储存库人工清库安全规程》（AQ 2047-2012）</w:t>
            </w:r>
          </w:p>
          <w:p>
            <w:pPr>
              <w:ind w:firstLine="420" w:firstLineChars="200"/>
              <w:rPr>
                <w:rFonts w:ascii="宋体" w:hAnsi="宋体"/>
                <w:szCs w:val="21"/>
              </w:rPr>
            </w:pPr>
            <w:r>
              <w:rPr>
                <w:rFonts w:hint="eastAsia" w:ascii="宋体" w:hAnsi="宋体"/>
                <w:szCs w:val="21"/>
              </w:rPr>
              <w:t>5.1  清库工作外包时，承包方必须具备高空作业工程专业承包企业资质。</w:t>
            </w:r>
          </w:p>
          <w:p>
            <w:pPr>
              <w:ind w:firstLine="420" w:firstLineChars="200"/>
              <w:rPr>
                <w:rFonts w:ascii="宋体" w:hAnsi="宋体" w:cs="宋体"/>
                <w:kern w:val="0"/>
                <w:szCs w:val="21"/>
              </w:rPr>
            </w:pPr>
            <w:r>
              <w:rPr>
                <w:rFonts w:ascii="宋体" w:hAnsi="宋体" w:cs="宋体"/>
                <w:kern w:val="0"/>
                <w:szCs w:val="21"/>
              </w:rPr>
              <w:t>《工贸行业重大生产安全事故隐患判定标准（2017版）》（安监总管四〔2017〕129号）</w:t>
            </w:r>
          </w:p>
          <w:p>
            <w:pPr>
              <w:ind w:firstLine="420" w:firstLineChars="200"/>
              <w:rPr>
                <w:rFonts w:ascii="宋体" w:hAnsi="宋体" w:cs="宋体"/>
                <w:kern w:val="0"/>
                <w:szCs w:val="21"/>
              </w:rPr>
            </w:pPr>
            <w:r>
              <w:rPr>
                <w:rFonts w:ascii="宋体" w:hAnsi="宋体" w:cs="宋体"/>
                <w:kern w:val="0"/>
                <w:szCs w:val="21"/>
              </w:rPr>
              <w:t>二、行业类重大事故隐患</w:t>
            </w:r>
          </w:p>
          <w:p>
            <w:pPr>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三</w:t>
            </w:r>
            <w:r>
              <w:rPr>
                <w:rFonts w:ascii="宋体" w:hAnsi="宋体" w:cs="宋体"/>
                <w:kern w:val="0"/>
                <w:szCs w:val="21"/>
              </w:rPr>
              <w:t>）</w:t>
            </w:r>
            <w:r>
              <w:rPr>
                <w:rFonts w:hint="eastAsia" w:ascii="宋体" w:hAnsi="宋体" w:cs="宋体"/>
                <w:kern w:val="0"/>
                <w:szCs w:val="21"/>
              </w:rPr>
              <w:t>建材</w:t>
            </w:r>
            <w:r>
              <w:rPr>
                <w:rFonts w:ascii="宋体" w:hAnsi="宋体" w:cs="宋体"/>
                <w:kern w:val="0"/>
                <w:szCs w:val="21"/>
              </w:rPr>
              <w:t>行业。</w:t>
            </w:r>
          </w:p>
          <w:p>
            <w:pPr>
              <w:ind w:firstLine="420" w:firstLineChars="200"/>
              <w:rPr>
                <w:rFonts w:ascii="宋体" w:hAnsi="宋体"/>
                <w:szCs w:val="21"/>
              </w:rPr>
            </w:pPr>
            <w:r>
              <w:rPr>
                <w:rFonts w:hint="eastAsia" w:ascii="宋体" w:hAnsi="宋体"/>
                <w:szCs w:val="21"/>
              </w:rPr>
              <w:t>2.水泥工厂筒型储存库人工清库作业外包给不具备高空作业工程专业承包资质的承包方且作业前未进行风险分析。</w:t>
            </w:r>
          </w:p>
        </w:tc>
        <w:tc>
          <w:tcPr>
            <w:tcW w:w="3545" w:type="dxa"/>
            <w:vAlign w:val="center"/>
          </w:tcPr>
          <w:p>
            <w:pPr>
              <w:ind w:firstLine="420" w:firstLineChars="200"/>
              <w:rPr>
                <w:rFonts w:ascii="宋体" w:hAnsi="宋体"/>
                <w:szCs w:val="21"/>
              </w:rPr>
            </w:pPr>
            <w:r>
              <w:rPr>
                <w:rFonts w:hint="eastAsia" w:ascii="宋体" w:hAnsi="宋体"/>
                <w:szCs w:val="21"/>
              </w:rPr>
              <w:t>《安全生产法》第一百条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ind w:firstLine="420" w:firstLineChars="200"/>
              <w:rPr>
                <w:rFonts w:ascii="宋体" w:hAnsi="宋体"/>
                <w:szCs w:val="21"/>
              </w:rPr>
            </w:pPr>
            <w:r>
              <w:rPr>
                <w:rFonts w:hint="eastAsia" w:ascii="宋体" w:hAnsi="宋体"/>
                <w:szCs w:val="21"/>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jc w:val="center"/>
              <w:rPr>
                <w:rFonts w:ascii="宋体" w:hAnsi="宋体"/>
                <w:szCs w:val="21"/>
              </w:rPr>
            </w:pPr>
            <w:r>
              <w:rPr>
                <w:rFonts w:hint="eastAsia" w:ascii="宋体" w:hAnsi="宋体"/>
                <w:szCs w:val="21"/>
              </w:rPr>
              <w:t>2</w:t>
            </w:r>
          </w:p>
        </w:tc>
        <w:tc>
          <w:tcPr>
            <w:tcW w:w="1704" w:type="dxa"/>
            <w:vAlign w:val="center"/>
          </w:tcPr>
          <w:p>
            <w:pPr>
              <w:widowControl/>
              <w:adjustRightInd w:val="0"/>
              <w:snapToGrid w:val="0"/>
              <w:rPr>
                <w:rFonts w:ascii="宋体" w:hAnsi="宋体" w:cs="宋体"/>
                <w:kern w:val="0"/>
                <w:szCs w:val="21"/>
              </w:rPr>
            </w:pPr>
            <w:r>
              <w:rPr>
                <w:rFonts w:ascii="宋体" w:hAnsi="宋体" w:cs="宋体"/>
                <w:kern w:val="0"/>
                <w:szCs w:val="21"/>
              </w:rPr>
              <w:t>水泥</w:t>
            </w:r>
            <w:r>
              <w:rPr>
                <w:rFonts w:hint="eastAsia" w:ascii="宋体" w:hAnsi="宋体" w:cs="宋体"/>
                <w:kern w:val="0"/>
                <w:szCs w:val="21"/>
              </w:rPr>
              <w:t>工厂监测、报警、灭火及防爆装置的设置情况</w:t>
            </w: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t>煤磨进出口设温度监测装置；在煤粉仓、收尘器上设监测报警装置；煤磨、煤粉仓、煤磨收尘器设置气体灭火系统</w:t>
            </w:r>
          </w:p>
        </w:tc>
        <w:tc>
          <w:tcPr>
            <w:tcW w:w="4250" w:type="dxa"/>
            <w:vAlign w:val="center"/>
          </w:tcPr>
          <w:p>
            <w:pPr>
              <w:widowControl/>
              <w:ind w:firstLine="420" w:firstLineChars="200"/>
            </w:pPr>
            <w:r>
              <w:rPr>
                <w:rFonts w:hint="eastAsia"/>
              </w:rPr>
              <w:t>《安全生产法》第三十八条  生产经营单位应当建立健全生产安全事故隐患排查治理制度，采取技术、管理措施，及时发现并消除事故隐患。事故隐患排查治理情况应当如实记录，并向从业人员通报。</w:t>
            </w:r>
          </w:p>
          <w:p>
            <w:pPr>
              <w:widowControl/>
              <w:ind w:firstLine="420" w:firstLineChars="200"/>
              <w:rPr>
                <w:rFonts w:ascii="宋体" w:hAnsi="宋体" w:cs="宋体"/>
                <w:kern w:val="0"/>
                <w:szCs w:val="21"/>
              </w:rPr>
            </w:pPr>
            <w:r>
              <w:rPr>
                <w:rFonts w:hint="eastAsia"/>
              </w:rPr>
              <w:t>……</w:t>
            </w:r>
          </w:p>
          <w:p>
            <w:pPr>
              <w:widowControl/>
              <w:ind w:firstLine="420" w:firstLineChars="200"/>
              <w:rPr>
                <w:rFonts w:ascii="宋体" w:hAnsi="宋体" w:cs="宋体"/>
                <w:kern w:val="0"/>
                <w:szCs w:val="21"/>
              </w:rPr>
            </w:pPr>
            <w:r>
              <w:rPr>
                <w:rFonts w:hint="eastAsia" w:ascii="宋体" w:hAnsi="宋体" w:cs="宋体"/>
                <w:kern w:val="0"/>
                <w:szCs w:val="21"/>
              </w:rPr>
              <w:t>《水泥工厂设计规范》（</w:t>
            </w:r>
            <w:r>
              <w:rPr>
                <w:rFonts w:ascii="宋体" w:hAnsi="宋体" w:cs="宋体"/>
                <w:kern w:val="0"/>
                <w:szCs w:val="21"/>
              </w:rPr>
              <w:t>GB 50295-20</w:t>
            </w:r>
            <w:r>
              <w:rPr>
                <w:rFonts w:hint="eastAsia" w:ascii="宋体" w:hAnsi="宋体" w:cs="宋体"/>
                <w:kern w:val="0"/>
                <w:szCs w:val="21"/>
              </w:rPr>
              <w:t>16）</w:t>
            </w:r>
          </w:p>
          <w:p>
            <w:pPr>
              <w:widowControl/>
              <w:ind w:firstLine="420" w:firstLineChars="200"/>
              <w:rPr>
                <w:highlight w:val="none"/>
              </w:rPr>
            </w:pPr>
            <w:r>
              <w:rPr>
                <w:rFonts w:hint="eastAsia" w:ascii="宋体" w:hAnsi="宋体" w:cs="宋体"/>
                <w:kern w:val="0"/>
                <w:szCs w:val="21"/>
              </w:rPr>
              <w:t xml:space="preserve">6.7.4  </w:t>
            </w:r>
            <w:r>
              <w:rPr>
                <w:rFonts w:hint="eastAsia" w:ascii="宋体" w:hAnsi="宋体" w:cs="宋体"/>
                <w:kern w:val="0"/>
                <w:szCs w:val="21"/>
                <w:highlight w:val="none"/>
              </w:rPr>
              <w:t>8.</w:t>
            </w:r>
            <w:r>
              <w:rPr>
                <w:highlight w:val="none"/>
              </w:rPr>
              <w:t>煤磨进出口应设温度监测装置；在煤粉仓、收尘器上应设温度和一氧化碳监测及自动报警装置；</w:t>
            </w:r>
          </w:p>
          <w:p>
            <w:pPr>
              <w:widowControl/>
              <w:ind w:firstLine="420" w:firstLineChars="200"/>
              <w:rPr>
                <w:rFonts w:ascii="宋体" w:hAnsi="宋体" w:cs="宋体"/>
                <w:kern w:val="0"/>
                <w:szCs w:val="21"/>
                <w:highlight w:val="none"/>
              </w:rPr>
            </w:pPr>
            <w:r>
              <w:rPr>
                <w:rFonts w:hint="eastAsia" w:asciiTheme="minorEastAsia" w:hAnsiTheme="minorEastAsia" w:eastAsiaTheme="minorEastAsia"/>
                <w:highlight w:val="none"/>
              </w:rPr>
              <w:t>10.</w:t>
            </w:r>
            <w:r>
              <w:rPr>
                <w:rFonts w:asciiTheme="minorEastAsia" w:hAnsiTheme="minorEastAsia" w:eastAsiaTheme="minorEastAsia"/>
                <w:highlight w:val="none"/>
              </w:rPr>
              <w:t>煤</w:t>
            </w:r>
            <w:r>
              <w:rPr>
                <w:highlight w:val="none"/>
              </w:rPr>
              <w:t>磨、煤粉仓、煤磨收尘器应设置气体灭火系统。</w:t>
            </w:r>
          </w:p>
          <w:p>
            <w:pPr>
              <w:widowControl/>
              <w:ind w:firstLine="420" w:firstLineChars="200"/>
              <w:rPr>
                <w:rFonts w:ascii="宋体" w:hAnsi="宋体" w:cs="宋体"/>
                <w:kern w:val="0"/>
                <w:szCs w:val="21"/>
              </w:rPr>
            </w:pPr>
            <w:r>
              <w:rPr>
                <w:rFonts w:hint="eastAsia" w:ascii="宋体" w:hAnsi="宋体" w:cs="宋体"/>
                <w:kern w:val="0"/>
                <w:szCs w:val="21"/>
              </w:rPr>
              <w:t>《水泥工厂职业安全卫生设计规范》（</w:t>
            </w:r>
            <w:r>
              <w:rPr>
                <w:rFonts w:ascii="宋体" w:hAnsi="宋体" w:cs="宋体"/>
                <w:kern w:val="0"/>
                <w:szCs w:val="21"/>
              </w:rPr>
              <w:t>GB 50577-2010</w:t>
            </w:r>
            <w:r>
              <w:rPr>
                <w:rFonts w:hint="eastAsia" w:ascii="宋体" w:hAnsi="宋体" w:cs="宋体"/>
                <w:kern w:val="0"/>
                <w:szCs w:val="21"/>
              </w:rPr>
              <w:t>）</w:t>
            </w:r>
          </w:p>
          <w:p>
            <w:pPr>
              <w:widowControl/>
              <w:ind w:firstLine="420" w:firstLineChars="200"/>
              <w:rPr>
                <w:rFonts w:ascii="宋体" w:hAnsi="宋体" w:cs="宋体"/>
                <w:kern w:val="0"/>
                <w:szCs w:val="21"/>
              </w:rPr>
            </w:pPr>
            <w:r>
              <w:rPr>
                <w:rFonts w:hint="eastAsia" w:ascii="宋体" w:hAnsi="宋体" w:cs="宋体"/>
                <w:kern w:val="0"/>
                <w:szCs w:val="21"/>
              </w:rPr>
              <w:t xml:space="preserve">5.4.9  煤粉仓应设置一氧化碳和温度监测仪表及报警、灭火设施。 </w:t>
            </w:r>
          </w:p>
          <w:p>
            <w:pPr>
              <w:widowControl/>
              <w:ind w:firstLine="420" w:firstLineChars="200"/>
              <w:rPr>
                <w:rFonts w:ascii="宋体" w:hAnsi="宋体" w:cs="宋体"/>
                <w:kern w:val="0"/>
                <w:szCs w:val="21"/>
                <w:highlight w:val="none"/>
              </w:rPr>
            </w:pPr>
            <w:r>
              <w:rPr>
                <w:rFonts w:hint="eastAsia" w:ascii="宋体" w:hAnsi="宋体" w:cs="宋体"/>
                <w:kern w:val="0"/>
                <w:szCs w:val="21"/>
                <w:highlight w:val="none"/>
              </w:rPr>
              <w:t>5.4.11  煤磨收尘器入口处及</w:t>
            </w:r>
            <w:r>
              <w:rPr>
                <w:highlight w:val="none"/>
              </w:rPr>
              <w:t>煤粉仓应设置气体灭火装置。</w:t>
            </w:r>
          </w:p>
          <w:p>
            <w:pPr>
              <w:ind w:firstLine="420" w:firstLineChars="200"/>
              <w:rPr>
                <w:rFonts w:ascii="宋体" w:hAnsi="宋体" w:cs="宋体"/>
                <w:kern w:val="0"/>
                <w:szCs w:val="21"/>
              </w:rPr>
            </w:pPr>
            <w:r>
              <w:rPr>
                <w:rFonts w:ascii="宋体" w:hAnsi="宋体" w:cs="宋体"/>
                <w:kern w:val="0"/>
                <w:szCs w:val="21"/>
              </w:rPr>
              <w:t>《工贸行业重大生产安全事故隐患判定标准（2017版）》（安监总管四〔2017〕129号）</w:t>
            </w:r>
          </w:p>
          <w:p>
            <w:pPr>
              <w:ind w:firstLine="420" w:firstLineChars="200"/>
              <w:rPr>
                <w:rFonts w:ascii="宋体" w:hAnsi="宋体" w:cs="宋体"/>
                <w:kern w:val="0"/>
                <w:szCs w:val="21"/>
              </w:rPr>
            </w:pPr>
            <w:r>
              <w:rPr>
                <w:rFonts w:ascii="宋体" w:hAnsi="宋体" w:cs="宋体"/>
                <w:kern w:val="0"/>
                <w:szCs w:val="21"/>
              </w:rPr>
              <w:t>二、行业类重大事故隐患</w:t>
            </w:r>
          </w:p>
          <w:p>
            <w:pPr>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三</w:t>
            </w:r>
            <w:r>
              <w:rPr>
                <w:rFonts w:ascii="宋体" w:hAnsi="宋体" w:cs="宋体"/>
                <w:kern w:val="0"/>
                <w:szCs w:val="21"/>
              </w:rPr>
              <w:t>）</w:t>
            </w:r>
            <w:r>
              <w:rPr>
                <w:rFonts w:hint="eastAsia" w:ascii="宋体" w:hAnsi="宋体" w:cs="宋体"/>
                <w:kern w:val="0"/>
                <w:szCs w:val="21"/>
              </w:rPr>
              <w:t>建材</w:t>
            </w:r>
            <w:r>
              <w:rPr>
                <w:rFonts w:ascii="宋体" w:hAnsi="宋体" w:cs="宋体"/>
                <w:kern w:val="0"/>
                <w:szCs w:val="21"/>
              </w:rPr>
              <w:t>行业。</w:t>
            </w:r>
          </w:p>
          <w:p>
            <w:pPr>
              <w:ind w:firstLine="420" w:firstLineChars="200"/>
              <w:rPr>
                <w:rFonts w:ascii="宋体" w:hAnsi="宋体" w:cs="宋体"/>
                <w:kern w:val="0"/>
                <w:szCs w:val="21"/>
              </w:rPr>
            </w:pPr>
            <w:r>
              <w:rPr>
                <w:rFonts w:hint="eastAsia" w:ascii="宋体" w:hAnsi="宋体" w:cs="宋体"/>
                <w:kern w:val="0"/>
                <w:szCs w:val="21"/>
              </w:rPr>
              <w:t>1.水泥工厂煤磨袋式收尘器（或煤粉仓）未设置温度和一氧化碳监测，或未设置气体灭火装置。</w:t>
            </w:r>
          </w:p>
        </w:tc>
        <w:tc>
          <w:tcPr>
            <w:tcW w:w="3545"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jc w:val="center"/>
              <w:rPr>
                <w:rFonts w:ascii="宋体" w:hAnsi="宋体"/>
                <w:szCs w:val="21"/>
              </w:rPr>
            </w:pPr>
            <w:r>
              <w:rPr>
                <w:rFonts w:hint="eastAsia" w:ascii="宋体" w:hAnsi="宋体"/>
                <w:szCs w:val="21"/>
              </w:rPr>
              <w:t>3</w:t>
            </w:r>
          </w:p>
        </w:tc>
        <w:tc>
          <w:tcPr>
            <w:tcW w:w="1704" w:type="dxa"/>
            <w:vAlign w:val="center"/>
          </w:tcPr>
          <w:p>
            <w:pPr>
              <w:widowControl/>
              <w:adjustRightInd w:val="0"/>
              <w:snapToGrid w:val="0"/>
              <w:rPr>
                <w:rFonts w:ascii="宋体" w:hAnsi="宋体" w:cs="宋体"/>
                <w:kern w:val="0"/>
                <w:szCs w:val="21"/>
              </w:rPr>
            </w:pPr>
            <w:r>
              <w:rPr>
                <w:rFonts w:ascii="宋体" w:hAnsi="宋体" w:cs="宋体"/>
                <w:kern w:val="0"/>
                <w:szCs w:val="21"/>
              </w:rPr>
              <w:t>燃气窑炉防火、防爆、防一氧化碳中毒措施情况</w:t>
            </w:r>
          </w:p>
        </w:tc>
        <w:tc>
          <w:tcPr>
            <w:tcW w:w="2551" w:type="dxa"/>
            <w:vAlign w:val="center"/>
          </w:tcPr>
          <w:p>
            <w:pPr>
              <w:widowControl/>
              <w:adjustRightInd w:val="0"/>
              <w:snapToGrid w:val="0"/>
              <w:rPr>
                <w:rFonts w:ascii="宋体" w:hAnsi="宋体" w:cs="宋体"/>
                <w:kern w:val="0"/>
                <w:sz w:val="18"/>
                <w:szCs w:val="21"/>
              </w:rPr>
            </w:pPr>
            <w:r>
              <w:rPr>
                <w:rFonts w:hint="eastAsia" w:ascii="思源黑体 CN" w:hAnsi="思源黑体 CN" w:eastAsia="思源黑体 CN" w:cs="思源黑体 CN"/>
                <w:szCs w:val="21"/>
              </w:rPr>
              <w:t>★</w:t>
            </w:r>
            <w:r>
              <w:rPr>
                <w:rFonts w:hint="eastAsia" w:ascii="宋体" w:hAnsi="宋体" w:cs="宋体"/>
                <w:kern w:val="0"/>
                <w:szCs w:val="21"/>
              </w:rPr>
              <w:t>燃气窑炉设置燃气低压警报器和快速切断阀；发生炉煤气的熔窑烟道采取煤气换向防爆措施；煤气危险区域关键部位设置一氧化碳监测装置</w:t>
            </w:r>
          </w:p>
        </w:tc>
        <w:tc>
          <w:tcPr>
            <w:tcW w:w="4250" w:type="dxa"/>
            <w:vAlign w:val="center"/>
          </w:tcPr>
          <w:p>
            <w:pPr>
              <w:widowControl/>
              <w:adjustRightInd w:val="0"/>
              <w:snapToGrid w:val="0"/>
              <w:ind w:firstLine="420" w:firstLineChars="200"/>
              <w:rPr>
                <w:rFonts w:ascii="宋体" w:hAnsi="宋体" w:cs="宋体"/>
                <w:kern w:val="0"/>
                <w:szCs w:val="21"/>
              </w:rPr>
            </w:pPr>
            <w:r>
              <w:rPr>
                <w:rFonts w:hint="eastAsia"/>
              </w:rPr>
              <w:t>《安全生产法》第三十三条  安全设备的设计、制造、安装、使用、检测、维修、改造和报废，应当符合国家标准或者行业标准。</w:t>
            </w:r>
            <w:r>
              <w:rPr>
                <w:rFonts w:ascii="宋体" w:hAnsi="宋体" w:cs="宋体"/>
                <w:kern w:val="0"/>
                <w:szCs w:val="21"/>
              </w:rPr>
              <w:t>生产经营单位必须对安全设备进行经常性维护、保养，并定期检测，保证正常运转。维护、保养、检测应当作好记录，并由有关人员签字。</w:t>
            </w:r>
          </w:p>
          <w:p>
            <w:pPr>
              <w:widowControl/>
              <w:adjustRightInd w:val="0"/>
              <w:snapToGrid w:val="0"/>
              <w:ind w:firstLine="420"/>
              <w:rPr>
                <w:rFonts w:ascii="宋体" w:hAnsi="宋体" w:cs="宋体"/>
                <w:kern w:val="0"/>
                <w:szCs w:val="21"/>
              </w:rPr>
            </w:pPr>
            <w:r>
              <w:rPr>
                <w:rFonts w:hint="eastAsia"/>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eastAsia="zh-CN"/>
              </w:rPr>
              <w:t>耐火材料生产安全规程</w:t>
            </w:r>
            <w:r>
              <w:rPr>
                <w:rFonts w:hint="eastAsia" w:ascii="宋体" w:hAnsi="宋体" w:cs="宋体"/>
                <w:kern w:val="0"/>
                <w:szCs w:val="21"/>
              </w:rPr>
              <w:t>》（AQ 2023－2008）</w:t>
            </w:r>
          </w:p>
          <w:p>
            <w:pPr>
              <w:widowControl/>
              <w:adjustRightInd w:val="0"/>
              <w:snapToGrid w:val="0"/>
              <w:ind w:firstLine="420" w:firstLineChars="200"/>
              <w:rPr>
                <w:rFonts w:ascii="宋体" w:hAnsi="宋体" w:cs="宋体"/>
                <w:kern w:val="0"/>
                <w:szCs w:val="21"/>
              </w:rPr>
            </w:pPr>
            <w:r>
              <w:rPr>
                <w:rFonts w:ascii="宋体" w:hAnsi="宋体" w:cs="宋体"/>
                <w:kern w:val="0"/>
                <w:szCs w:val="21"/>
              </w:rPr>
              <w:t>5.15</w:t>
            </w:r>
            <w:r>
              <w:rPr>
                <w:rFonts w:hint="eastAsia" w:ascii="宋体" w:hAnsi="宋体" w:cs="宋体"/>
                <w:kern w:val="0"/>
                <w:szCs w:val="21"/>
              </w:rPr>
              <w:t xml:space="preserve">  </w:t>
            </w:r>
            <w:r>
              <w:rPr>
                <w:rFonts w:ascii="宋体" w:hAnsi="宋体"/>
                <w:szCs w:val="21"/>
              </w:rPr>
              <w:t>燃气窑</w:t>
            </w:r>
            <w:r>
              <w:rPr>
                <w:rFonts w:ascii="宋体" w:hAnsi="宋体" w:cs="宋体"/>
                <w:kern w:val="0"/>
                <w:szCs w:val="21"/>
              </w:rPr>
              <w:t>炉和燃气管道的仪表室应设低压警报器。</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 xml:space="preserve">8.2.1  燃气总管应设快速切断阀和低压报警装置。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《平板玻璃工厂设计规范》（GB 50435-2016）</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 xml:space="preserve">7.2.6  </w:t>
            </w:r>
            <w:r>
              <w:rPr>
                <w:rFonts w:hint="eastAsia" w:ascii="宋体" w:hAnsi="宋体" w:cs="宋体"/>
                <w:kern w:val="0"/>
                <w:szCs w:val="21"/>
                <w:highlight w:val="none"/>
              </w:rPr>
              <w:t>9.发生炉</w:t>
            </w:r>
            <w:r>
              <w:rPr>
                <w:rFonts w:hint="eastAsia" w:ascii="宋体" w:hAnsi="宋体" w:cs="宋体"/>
                <w:kern w:val="0"/>
                <w:szCs w:val="21"/>
              </w:rPr>
              <w:t xml:space="preserve">煤气的熔窑烟道必须采取煤气换向防爆措施。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《工业企业煤气安全规程》（GB 6222-2005）</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 xml:space="preserve">4.10  </w:t>
            </w:r>
            <w:r>
              <w:rPr>
                <w:rFonts w:ascii="宋体" w:hAnsi="宋体" w:cs="宋体"/>
                <w:kern w:val="0"/>
                <w:szCs w:val="21"/>
              </w:rPr>
              <w:t>煤气危险区(如地下室、加压站、热风炉及各种煤气发生设施附近)的一氧化碳浓度应定期测定，在关键部位应设置一氧化碳监测装置。作业环境一氧化碳最高允许浓度为30mg／</w:t>
            </w:r>
            <w:r>
              <w:rPr>
                <w:rFonts w:hint="eastAsia" w:ascii="宋体" w:hAnsi="宋体" w:cs="宋体"/>
                <w:kern w:val="0"/>
                <w:szCs w:val="21"/>
              </w:rPr>
              <w:t>m³</w:t>
            </w:r>
            <w:r>
              <w:rPr>
                <w:rFonts w:ascii="宋体" w:hAnsi="宋体" w:cs="宋体"/>
                <w:kern w:val="0"/>
                <w:szCs w:val="21"/>
              </w:rPr>
              <w:t>(24ppm)</w:t>
            </w: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ascii="宋体" w:hAnsi="宋体" w:cs="宋体"/>
                <w:kern w:val="0"/>
                <w:szCs w:val="21"/>
              </w:rPr>
              <w:t>《工贸行业重大生产安全事故隐患判定标准（2017版）》（安监总管四〔2017〕129号）</w:t>
            </w:r>
          </w:p>
          <w:p>
            <w:pPr>
              <w:widowControl/>
              <w:adjustRightInd w:val="0"/>
              <w:snapToGrid w:val="0"/>
              <w:ind w:firstLine="420" w:firstLineChars="200"/>
              <w:rPr>
                <w:rFonts w:ascii="宋体" w:hAnsi="宋体" w:cs="宋体"/>
                <w:kern w:val="0"/>
                <w:szCs w:val="21"/>
              </w:rPr>
            </w:pPr>
            <w:r>
              <w:rPr>
                <w:rFonts w:ascii="宋体" w:hAnsi="宋体" w:cs="宋体"/>
                <w:kern w:val="0"/>
                <w:szCs w:val="21"/>
              </w:rPr>
              <w:t>二、行业类重大事故隐患</w:t>
            </w:r>
          </w:p>
          <w:p>
            <w:pPr>
              <w:widowControl/>
              <w:adjustRightInd w:val="0"/>
              <w:snapToGrid w:val="0"/>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三</w:t>
            </w:r>
            <w:r>
              <w:rPr>
                <w:rFonts w:ascii="宋体" w:hAnsi="宋体" w:cs="宋体"/>
                <w:kern w:val="0"/>
                <w:szCs w:val="21"/>
              </w:rPr>
              <w:t>）</w:t>
            </w:r>
            <w:r>
              <w:rPr>
                <w:rFonts w:hint="eastAsia" w:ascii="宋体" w:hAnsi="宋体" w:cs="宋体"/>
                <w:kern w:val="0"/>
                <w:szCs w:val="21"/>
              </w:rPr>
              <w:t>建材</w:t>
            </w:r>
            <w:r>
              <w:rPr>
                <w:rFonts w:ascii="宋体" w:hAnsi="宋体" w:cs="宋体"/>
                <w:kern w:val="0"/>
                <w:szCs w:val="21"/>
              </w:rPr>
              <w:t>行业。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3.燃气窑炉未设置燃气低压警报器和快速切断阀，或易燃易爆气体聚集区域未设置监测报警装置。</w:t>
            </w:r>
          </w:p>
        </w:tc>
        <w:tc>
          <w:tcPr>
            <w:tcW w:w="3545"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2"/>
              <w:ind w:firstLine="420"/>
              <w:rPr>
                <w:rFonts w:ascii="宋体" w:hAnsi="宋体" w:eastAsia="宋体" w:cs="宋体"/>
                <w:kern w:val="0"/>
                <w:szCs w:val="21"/>
              </w:rPr>
            </w:pPr>
            <w:r>
              <w:rPr>
                <w:rFonts w:hint="eastAsia" w:ascii="宋体" w:hAnsi="宋体" w:eastAsia="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（二）安全设备的安装、使用、检测、改造和报废不符合国家标准或者行业标准的；</w:t>
            </w:r>
          </w:p>
          <w:p>
            <w:pPr>
              <w:widowControl/>
              <w:adjustRightInd w:val="0"/>
              <w:snapToGrid w:val="0"/>
              <w:ind w:firstLine="420"/>
            </w:pPr>
            <w:r>
              <w:t>（三）未对安全设备进行经常性维护、保养和定期检测的</w:t>
            </w:r>
            <w:r>
              <w:rPr>
                <w:rFonts w:hint="eastAsia"/>
              </w:rPr>
              <w:t>；</w:t>
            </w:r>
          </w:p>
          <w:p>
            <w:pPr>
              <w:pStyle w:val="2"/>
              <w:ind w:firstLine="420"/>
              <w:rPr>
                <w:rFonts w:ascii="宋体" w:hAnsi="宋体" w:eastAsia="宋体" w:cs="宋体"/>
                <w:kern w:val="0"/>
                <w:szCs w:val="21"/>
              </w:rPr>
            </w:pPr>
            <w:r>
              <w:rPr>
                <w:rFonts w:hint="eastAsia" w:ascii="宋体" w:hAnsi="宋体" w:eastAsia="宋体" w:cs="宋体"/>
                <w:kern w:val="0"/>
                <w:szCs w:val="21"/>
              </w:rPr>
              <w:t>……</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jc w:val="center"/>
              <w:rPr>
                <w:rFonts w:ascii="宋体" w:hAnsi="宋体"/>
                <w:szCs w:val="21"/>
              </w:rPr>
            </w:pPr>
            <w:r>
              <w:rPr>
                <w:rFonts w:hint="eastAsia" w:ascii="宋体" w:hAnsi="宋体"/>
                <w:szCs w:val="21"/>
              </w:rPr>
              <w:t>4</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高温熔炉冷却及报警装置的设置情况</w:t>
            </w: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玻璃窑炉、纤维制品三相电弧炉、电熔制品电炉等高温熔炉的冷却保护系统满足冷却要求，设置停机报警装置</w:t>
            </w:r>
          </w:p>
        </w:tc>
        <w:tc>
          <w:tcPr>
            <w:tcW w:w="4250" w:type="dxa"/>
            <w:vAlign w:val="center"/>
          </w:tcPr>
          <w:p>
            <w:pPr>
              <w:widowControl/>
              <w:adjustRightInd w:val="0"/>
              <w:snapToGrid w:val="0"/>
              <w:ind w:firstLine="420" w:firstLineChars="200"/>
            </w:pPr>
            <w:r>
              <w:rPr>
                <w:rFonts w:hint="eastAsia"/>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eastAsia="zh-CN"/>
              </w:rPr>
              <w:t>耐火材料生产安全规程</w:t>
            </w:r>
            <w:r>
              <w:rPr>
                <w:rFonts w:hint="eastAsia" w:ascii="宋体" w:hAnsi="宋体" w:cs="宋体"/>
                <w:kern w:val="0"/>
                <w:szCs w:val="21"/>
              </w:rPr>
              <w:t>》（AQ 2023－2008）</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7.8.1  使用三相电弧炉时 ,应遵守下列规定：电极夹头安装冷却循环水防漏装置，如有漏水，立即断电抢修。</w:t>
            </w:r>
          </w:p>
          <w:p>
            <w:pPr>
              <w:widowControl/>
              <w:adjustRightInd w:val="0"/>
              <w:snapToGrid w:val="0"/>
              <w:ind w:firstLine="420" w:firstLineChars="200"/>
              <w:rPr>
                <w:rFonts w:ascii="宋体" w:hAnsi="宋体" w:cs="宋体"/>
                <w:kern w:val="0"/>
                <w:szCs w:val="21"/>
              </w:rPr>
            </w:pPr>
            <w:r>
              <w:rPr>
                <w:rFonts w:ascii="宋体" w:hAnsi="宋体" w:cs="宋体"/>
                <w:kern w:val="0"/>
                <w:szCs w:val="21"/>
              </w:rPr>
              <w:t>《工贸行业重大生产安全事故隐患判定标准（2017版）》（安监总管四〔2017〕129号）</w:t>
            </w:r>
          </w:p>
          <w:p>
            <w:pPr>
              <w:widowControl/>
              <w:adjustRightInd w:val="0"/>
              <w:snapToGrid w:val="0"/>
              <w:ind w:firstLine="420" w:firstLineChars="200"/>
              <w:rPr>
                <w:rFonts w:ascii="宋体" w:hAnsi="宋体" w:cs="宋体"/>
                <w:kern w:val="0"/>
                <w:szCs w:val="21"/>
              </w:rPr>
            </w:pPr>
            <w:r>
              <w:rPr>
                <w:rFonts w:ascii="宋体" w:hAnsi="宋体" w:cs="宋体"/>
                <w:kern w:val="0"/>
                <w:szCs w:val="21"/>
              </w:rPr>
              <w:t>二、行业类重大事故隐患</w:t>
            </w:r>
          </w:p>
          <w:p>
            <w:pPr>
              <w:widowControl/>
              <w:adjustRightInd w:val="0"/>
              <w:snapToGrid w:val="0"/>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三</w:t>
            </w:r>
            <w:r>
              <w:rPr>
                <w:rFonts w:ascii="宋体" w:hAnsi="宋体" w:cs="宋体"/>
                <w:kern w:val="0"/>
                <w:szCs w:val="21"/>
              </w:rPr>
              <w:t>）</w:t>
            </w:r>
            <w:r>
              <w:rPr>
                <w:rFonts w:hint="eastAsia" w:ascii="宋体" w:hAnsi="宋体" w:cs="宋体"/>
                <w:kern w:val="0"/>
                <w:szCs w:val="21"/>
              </w:rPr>
              <w:t>建材</w:t>
            </w:r>
            <w:r>
              <w:rPr>
                <w:rFonts w:ascii="宋体" w:hAnsi="宋体" w:cs="宋体"/>
                <w:kern w:val="0"/>
                <w:szCs w:val="21"/>
              </w:rPr>
              <w:t>行业。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4.纤维制品三相电弧炉、电熔制品电炉，水冷构件泄漏。6.玻璃窑炉、玻璃锡槽，水冷、风冷保护系统存在漏水、漏气，未设置监测报警装置。</w:t>
            </w:r>
          </w:p>
        </w:tc>
        <w:tc>
          <w:tcPr>
            <w:tcW w:w="3545"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95" w:hRule="atLeast"/>
          <w:jc w:val="center"/>
        </w:trPr>
        <w:tc>
          <w:tcPr>
            <w:tcW w:w="816" w:type="dxa"/>
            <w:vAlign w:val="center"/>
          </w:tcPr>
          <w:p>
            <w:pPr>
              <w:jc w:val="center"/>
              <w:rPr>
                <w:rFonts w:ascii="宋体" w:hAnsi="宋体"/>
                <w:szCs w:val="21"/>
              </w:rPr>
            </w:pPr>
            <w:r>
              <w:rPr>
                <w:rFonts w:hint="eastAsia" w:ascii="宋体" w:hAnsi="宋体"/>
                <w:szCs w:val="21"/>
              </w:rPr>
              <w:t>5</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进入筒型储库、磨机等有限空间作业控制措施落实情况</w:t>
            </w: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对可能存在的设备意外启动、热气涌入等风险进行评估，制定有效控制措施，并经审批后作业</w:t>
            </w:r>
          </w:p>
        </w:tc>
        <w:tc>
          <w:tcPr>
            <w:tcW w:w="425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ascii="宋体" w:hAnsi="宋体" w:cs="宋体"/>
                <w:kern w:val="0"/>
                <w:szCs w:val="21"/>
              </w:rPr>
              <w:t>《工贸行业重大生产安全事故隐患判定标准（2017版）》（安监总管四〔2017〕129号）</w:t>
            </w:r>
          </w:p>
          <w:p>
            <w:pPr>
              <w:widowControl/>
              <w:adjustRightInd w:val="0"/>
              <w:snapToGrid w:val="0"/>
              <w:ind w:firstLine="420" w:firstLineChars="200"/>
              <w:rPr>
                <w:rFonts w:ascii="宋体" w:hAnsi="宋体" w:cs="宋体"/>
                <w:kern w:val="0"/>
                <w:szCs w:val="21"/>
              </w:rPr>
            </w:pPr>
            <w:r>
              <w:rPr>
                <w:rFonts w:ascii="宋体" w:hAnsi="宋体" w:cs="宋体"/>
                <w:kern w:val="0"/>
                <w:szCs w:val="21"/>
              </w:rPr>
              <w:t>二、行业类重大事故隐患</w:t>
            </w:r>
          </w:p>
          <w:p>
            <w:pPr>
              <w:widowControl/>
              <w:adjustRightInd w:val="0"/>
              <w:snapToGrid w:val="0"/>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三</w:t>
            </w:r>
            <w:r>
              <w:rPr>
                <w:rFonts w:ascii="宋体" w:hAnsi="宋体" w:cs="宋体"/>
                <w:kern w:val="0"/>
                <w:szCs w:val="21"/>
              </w:rPr>
              <w:t>）</w:t>
            </w:r>
            <w:r>
              <w:rPr>
                <w:rFonts w:hint="eastAsia" w:ascii="宋体" w:hAnsi="宋体" w:cs="宋体"/>
                <w:kern w:val="0"/>
                <w:szCs w:val="21"/>
              </w:rPr>
              <w:t>建材</w:t>
            </w:r>
            <w:r>
              <w:rPr>
                <w:rFonts w:ascii="宋体" w:hAnsi="宋体" w:cs="宋体"/>
                <w:kern w:val="0"/>
                <w:szCs w:val="21"/>
              </w:rPr>
              <w:t>行业。</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5.进入筒型储库、磨机、破碎机、篦冷机、各种焙烧窑等有限空间作业时，未采取有效的防止电气设备意外启动、热气涌入等隔离防护措施。</w:t>
            </w:r>
          </w:p>
          <w:p>
            <w:pPr>
              <w:widowControl/>
              <w:adjustRightInd w:val="0"/>
              <w:snapToGrid w:val="0"/>
              <w:ind w:firstLine="420" w:firstLineChars="200"/>
            </w:pPr>
            <w:r>
              <w:rPr>
                <w:rFonts w:hint="eastAsia" w:ascii="宋体" w:hAnsi="宋体" w:cs="宋体"/>
                <w:kern w:val="0"/>
                <w:szCs w:val="21"/>
              </w:rPr>
              <w:t>《工贸企业有限空间作业安全管理与监督暂行规定》第八条  工贸企业实施有限空间作业前，应当对作业环境进行评估，分析存在的危险有害因素，提出消除、控制危害的措施，制定有限空间作业方案，并经本企业安全生产管理人员审核，负责人批准。</w:t>
            </w:r>
          </w:p>
        </w:tc>
        <w:tc>
          <w:tcPr>
            <w:tcW w:w="3545" w:type="dxa"/>
            <w:vAlign w:val="center"/>
          </w:tcPr>
          <w:p>
            <w:pPr>
              <w:widowControl/>
              <w:adjustRightInd w:val="0"/>
              <w:snapToGrid w:val="0"/>
              <w:ind w:firstLine="42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widowControl/>
              <w:adjustRightInd w:val="0"/>
              <w:snapToGrid w:val="0"/>
              <w:ind w:firstLine="420"/>
              <w:rPr>
                <w:rFonts w:ascii="宋体" w:hAnsi="宋体" w:cs="宋体"/>
                <w:kern w:val="0"/>
                <w:szCs w:val="21"/>
              </w:rPr>
            </w:pPr>
            <w:r>
              <w:rPr>
                <w:rFonts w:hint="eastAsia" w:ascii="宋体" w:hAnsi="宋体" w:cs="宋体"/>
                <w:kern w:val="0"/>
                <w:szCs w:val="21"/>
              </w:rPr>
              <w:t>《工贸企业有限空间作业安全管理与监督暂行规定》第三十条  工贸企业有下列情形之一的，由县级以上安全生产监督管理部门责令限期改正，可以处3万元以下的罚款，对其直接负责的主管人员和其他直接责任人员处1万元以下的罚款：</w:t>
            </w:r>
          </w:p>
          <w:p>
            <w:pPr>
              <w:widowControl/>
              <w:adjustRightInd w:val="0"/>
              <w:snapToGrid w:val="0"/>
              <w:ind w:firstLine="420"/>
              <w:rPr>
                <w:rFonts w:ascii="宋体" w:hAnsi="宋体" w:cs="宋体"/>
                <w:kern w:val="0"/>
                <w:szCs w:val="21"/>
              </w:rPr>
            </w:pPr>
            <w:r>
              <w:rPr>
                <w:rFonts w:hint="eastAsia" w:ascii="宋体" w:hAnsi="宋体" w:cs="宋体"/>
                <w:kern w:val="0"/>
                <w:szCs w:val="21"/>
              </w:rPr>
              <w:t>……</w:t>
            </w:r>
          </w:p>
          <w:p>
            <w:pPr>
              <w:widowControl/>
              <w:adjustRightInd w:val="0"/>
              <w:snapToGrid w:val="0"/>
              <w:ind w:firstLine="420"/>
              <w:rPr>
                <w:rFonts w:ascii="宋体" w:hAnsi="宋体" w:cs="宋体"/>
                <w:kern w:val="0"/>
                <w:szCs w:val="21"/>
              </w:rPr>
            </w:pPr>
            <w:r>
              <w:rPr>
                <w:rFonts w:hint="eastAsia" w:ascii="宋体" w:hAnsi="宋体" w:cs="宋体"/>
                <w:kern w:val="0"/>
                <w:szCs w:val="21"/>
              </w:rPr>
              <w:t>（二）未按照本规定对有限空间作业制定作业方案或者方案未经审批擅自作业的；</w:t>
            </w:r>
          </w:p>
          <w:p>
            <w:pPr>
              <w:widowControl/>
              <w:adjustRightInd w:val="0"/>
              <w:snapToGrid w:val="0"/>
              <w:ind w:firstLine="420"/>
            </w:pPr>
            <w:r>
              <w:rPr>
                <w:rFonts w:hint="eastAsia" w:ascii="宋体" w:hAnsi="宋体" w:cs="宋体"/>
                <w:kern w:val="0"/>
                <w:szCs w:val="21"/>
              </w:rPr>
              <w:t>……</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663" w:hRule="atLeast"/>
          <w:jc w:val="center"/>
        </w:trPr>
        <w:tc>
          <w:tcPr>
            <w:tcW w:w="816" w:type="dxa"/>
            <w:vAlign w:val="center"/>
          </w:tcPr>
          <w:p>
            <w:pPr>
              <w:jc w:val="center"/>
              <w:rPr>
                <w:rFonts w:ascii="宋体" w:hAnsi="宋体"/>
                <w:szCs w:val="21"/>
              </w:rPr>
            </w:pPr>
            <w:r>
              <w:rPr>
                <w:rFonts w:hint="eastAsia" w:ascii="宋体" w:hAnsi="宋体"/>
                <w:szCs w:val="21"/>
              </w:rPr>
              <w:t>6</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煤气发生炉及煤气输送系统的防火、防爆等装置的设置情况</w:t>
            </w:r>
          </w:p>
        </w:tc>
        <w:tc>
          <w:tcPr>
            <w:tcW w:w="2551" w:type="dxa"/>
            <w:vAlign w:val="center"/>
          </w:tcPr>
          <w:p>
            <w:pPr>
              <w:widowControl/>
              <w:adjustRightInd w:val="0"/>
              <w:snapToGrid w:val="0"/>
              <w:rPr>
                <w:rFonts w:ascii="宋体" w:hAnsi="宋体" w:cs="宋体"/>
                <w:kern w:val="0"/>
                <w:szCs w:val="21"/>
              </w:rPr>
            </w:pPr>
            <w:r>
              <w:rPr>
                <w:rFonts w:ascii="宋体" w:hAnsi="宋体" w:cs="宋体"/>
                <w:kern w:val="0"/>
                <w:szCs w:val="21"/>
              </w:rPr>
              <w:t>煤气发生炉的进口空气管道上，设有阀门、止回阀和蒸汽吹扫装置；煤气发生炉空气总管末端设有泄爆装置和放散管；</w:t>
            </w:r>
            <w:r>
              <w:rPr>
                <w:rFonts w:hint="eastAsia" w:ascii="宋体" w:hAnsi="宋体" w:cs="宋体"/>
                <w:kern w:val="0"/>
                <w:szCs w:val="21"/>
              </w:rPr>
              <w:t>设报警装置</w:t>
            </w:r>
          </w:p>
        </w:tc>
        <w:tc>
          <w:tcPr>
            <w:tcW w:w="4250" w:type="dxa"/>
            <w:vAlign w:val="center"/>
          </w:tcPr>
          <w:p>
            <w:pPr>
              <w:widowControl/>
              <w:adjustRightInd w:val="0"/>
              <w:snapToGrid w:val="0"/>
              <w:ind w:firstLine="420" w:firstLineChars="200"/>
              <w:rPr>
                <w:rFonts w:ascii="宋体" w:hAnsi="宋体" w:cs="宋体"/>
                <w:kern w:val="0"/>
                <w:szCs w:val="21"/>
              </w:rPr>
            </w:pPr>
            <w:r>
              <w:rPr>
                <w:rFonts w:hint="eastAsia"/>
              </w:rPr>
              <w:t>《安全生产法》第三十三条  安全设备的设计、制造、安装、使用、检测、维修、改造和报废，应当符合国家标准或者行业标准。</w:t>
            </w:r>
            <w:r>
              <w:rPr>
                <w:rFonts w:ascii="宋体" w:hAnsi="宋体" w:cs="宋体"/>
                <w:kern w:val="0"/>
                <w:szCs w:val="21"/>
              </w:rPr>
              <w:t>生产经营单位必须对安全设备进行经常性维护、保养，并定期检测，保证正常运转。维护、保养、检测应当作好记录，并由有关人员签字。</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《工业企业煤气安全规程》(GB 6222-2005)</w:t>
            </w:r>
          </w:p>
          <w:p>
            <w:pPr>
              <w:widowControl/>
              <w:shd w:val="clear" w:color="auto" w:fill="FCFCFC"/>
              <w:adjustRightInd w:val="0"/>
              <w:snapToGrid w:val="0"/>
              <w:ind w:firstLine="420" w:firstLineChars="200"/>
              <w:rPr>
                <w:rFonts w:ascii="宋体" w:hAnsi="宋体" w:cs="宋体"/>
                <w:kern w:val="0"/>
                <w:szCs w:val="21"/>
              </w:rPr>
            </w:pPr>
            <w:r>
              <w:rPr>
                <w:rFonts w:hint="eastAsia" w:ascii="宋体" w:hAnsi="宋体" w:cs="宋体"/>
                <w:kern w:val="0"/>
                <w:szCs w:val="21"/>
              </w:rPr>
              <w:t>5.1.2.3  煤气发生站中央控制室应设有调度电话和一般电话，并设有煤气发生炉进口饱和空气压力计、温度计、流量计、煤气发生炉出口煤气压力计、温度计、煤气高低压和空气低压报警装置、主要自动控制调节装置、连锁装置及灯光信号等。</w:t>
            </w:r>
          </w:p>
          <w:p>
            <w:pPr>
              <w:widowControl/>
              <w:adjustRightInd w:val="0"/>
              <w:snapToGrid w:val="0"/>
              <w:ind w:firstLine="420" w:firstLineChars="200"/>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 xml:space="preserve">  </w:t>
            </w:r>
            <w:r>
              <w:rPr>
                <w:rFonts w:ascii="宋体" w:hAnsi="宋体" w:cs="宋体"/>
                <w:kern w:val="0"/>
                <w:szCs w:val="21"/>
              </w:rPr>
              <w:t>煤气发生炉的进口空气管道上，应设有阀门、止回阀和蒸汽吹扫装置。空气总管末端应设有泄爆装置和放散管，放散管应接至室外。</w:t>
            </w:r>
          </w:p>
          <w:p>
            <w:pPr>
              <w:widowControl/>
              <w:adjustRightInd w:val="0"/>
              <w:snapToGrid w:val="0"/>
              <w:ind w:firstLine="420" w:firstLineChars="200"/>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 xml:space="preserve">  </w:t>
            </w:r>
            <w:r>
              <w:rPr>
                <w:rFonts w:ascii="宋体" w:hAnsi="宋体" w:cs="宋体"/>
                <w:kern w:val="0"/>
                <w:szCs w:val="21"/>
              </w:rPr>
              <w:t>新建、扩建煤气发生炉后的竖管、除尘器顶部或煤气发生炉出口管道，应设能自动放散煤气的装置。</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《发生炉煤气站设计规范》（GB 50195-2013）</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7.0.1  煤气净化设备和煤气余热锅炉，应设放散管和吹扫管接头；其装设的位置应能使设备内的介质吹净；当煤气净化设备相连处无隔断装置时，应在较高的设备上或设备之间的煤气管道上装设放散管。</w:t>
            </w:r>
          </w:p>
        </w:tc>
        <w:tc>
          <w:tcPr>
            <w:tcW w:w="3545" w:type="dxa"/>
            <w:vAlign w:val="center"/>
          </w:tcPr>
          <w:p>
            <w:pPr>
              <w:widowControl/>
              <w:adjustRightInd w:val="0"/>
              <w:snapToGrid w:val="0"/>
              <w:ind w:firstLine="420"/>
            </w:pPr>
            <w:r>
              <w:rPr>
                <w:rFonts w:hint="eastAsia"/>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pPr>
            <w:r>
              <w:rPr>
                <w:rFonts w:hint="eastAsia"/>
              </w:rPr>
              <w:t>……</w:t>
            </w:r>
          </w:p>
          <w:p>
            <w:pPr>
              <w:widowControl/>
              <w:adjustRightInd w:val="0"/>
              <w:snapToGrid w:val="0"/>
              <w:ind w:firstLine="420"/>
            </w:pPr>
            <w:r>
              <w:rPr>
                <w:rFonts w:hint="eastAsia"/>
              </w:rPr>
              <w:t>（二）安全设备的安装、使用、检测、改造和报废不符合国家标准或者行业标准的；</w:t>
            </w:r>
          </w:p>
          <w:p>
            <w:pPr>
              <w:widowControl/>
              <w:adjustRightInd w:val="0"/>
              <w:snapToGrid w:val="0"/>
              <w:ind w:firstLine="420"/>
            </w:pPr>
            <w:r>
              <w:t>（三）未对安全设备进行经常性维护、保养和定期检测的</w:t>
            </w:r>
            <w:r>
              <w:rPr>
                <w:rFonts w:hint="eastAsia"/>
              </w:rPr>
              <w:t>；</w:t>
            </w:r>
          </w:p>
          <w:p>
            <w:pPr>
              <w:widowControl/>
              <w:adjustRightInd w:val="0"/>
              <w:snapToGrid w:val="0"/>
              <w:ind w:firstLine="420"/>
            </w:pPr>
            <w:r>
              <w:rPr>
                <w:rFonts w:hint="eastAsia"/>
                <w:highlight w:val="none"/>
              </w:rPr>
              <w:t>……</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jc w:val="center"/>
              <w:rPr>
                <w:rFonts w:ascii="宋体" w:hAnsi="宋体"/>
                <w:szCs w:val="21"/>
              </w:rPr>
            </w:pPr>
            <w:r>
              <w:rPr>
                <w:rFonts w:hint="eastAsia" w:ascii="宋体" w:hAnsi="宋体"/>
                <w:szCs w:val="21"/>
              </w:rPr>
              <w:t>7</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输送设备防护、急停等隔离的情况</w:t>
            </w:r>
          </w:p>
        </w:tc>
        <w:tc>
          <w:tcPr>
            <w:tcW w:w="2551"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带式输送机的头部、尾部、拉紧部位和输送带改向部位及夹角等部位设防护装置；滚筒、托辊设防护；各种机械传动装置的外露部分设防护，露出的轴承加护盖</w:t>
            </w:r>
          </w:p>
        </w:tc>
        <w:tc>
          <w:tcPr>
            <w:tcW w:w="4250" w:type="dxa"/>
            <w:vAlign w:val="center"/>
          </w:tcPr>
          <w:p>
            <w:pPr>
              <w:pStyle w:val="2"/>
              <w:ind w:firstLine="457" w:firstLineChars="218"/>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《安全生产法》第三十三条  安全设备的设计、制造、安装、使用、检测、维修、改造和报废，应当符合国家标准或者行业标准。生产经营单位必须对安全设备进行经常性维护、保养，并定期检测，保证正常运转。维护、保养、检测应当作好记录，并由有关人员签字。</w:t>
            </w:r>
          </w:p>
          <w:p>
            <w:pPr>
              <w:pStyle w:val="2"/>
              <w:ind w:firstLine="457" w:firstLineChars="218"/>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p>
            <w:pPr>
              <w:pStyle w:val="2"/>
              <w:ind w:firstLine="457" w:firstLineChars="218"/>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《带式输送机安全规范》（GB 14784-2013）</w:t>
            </w:r>
          </w:p>
          <w:p>
            <w:pPr>
              <w:pStyle w:val="2"/>
              <w:ind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4.1.1在经常有人接近的输送机的头部、尾部、拉紧部位和输送带改向部位及夹角等部位也应设置防护装置。</w:t>
            </w:r>
          </w:p>
          <w:p>
            <w:pPr>
              <w:pStyle w:val="2"/>
              <w:ind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4.1.2 滚筒的防护 滚筒的防护应采用防护罩（板）或防护楔。</w:t>
            </w:r>
          </w:p>
          <w:p>
            <w:pPr>
              <w:pStyle w:val="2"/>
              <w:ind w:firstLine="457" w:firstLineChars="218"/>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4.1.3 托辊的防护  4.1.3.3在回程分支凸弧段两相邻托辊组的夹角大于3°时，也应按照4.3.1.1的规定对托辊进行防护。</w:t>
            </w:r>
          </w:p>
          <w:p>
            <w:pPr>
              <w:widowControl/>
              <w:adjustRightInd w:val="0"/>
              <w:snapToGrid w:val="0"/>
              <w:ind w:firstLine="457" w:firstLineChars="218"/>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《水泥工厂职业安全卫生设计规范》（GB  50577-2010）5.2.8  </w:t>
            </w:r>
          </w:p>
          <w:p>
            <w:pPr>
              <w:widowControl/>
              <w:adjustRightInd w:val="0"/>
              <w:snapToGrid w:val="0"/>
              <w:ind w:firstLine="457" w:firstLineChars="218"/>
              <w:rPr>
                <w:rFonts w:ascii="宋体" w:hAnsi="宋体" w:cs="宋体"/>
                <w:kern w:val="0"/>
                <w:szCs w:val="21"/>
              </w:rPr>
            </w:pPr>
            <w:r>
              <w:rPr>
                <w:rFonts w:hint="eastAsia" w:ascii="宋体" w:hAnsi="宋体" w:cs="宋体"/>
                <w:kern w:val="0"/>
                <w:szCs w:val="21"/>
              </w:rPr>
              <w:t>各种机械传动装置的外露部分必须配置防护罩或防护网等安全防护装置，露出的轴承必须加护盖。</w:t>
            </w:r>
          </w:p>
        </w:tc>
        <w:tc>
          <w:tcPr>
            <w:tcW w:w="3545" w:type="dxa"/>
            <w:vAlign w:val="center"/>
          </w:tcPr>
          <w:p>
            <w:pPr>
              <w:widowControl/>
              <w:adjustRightInd w:val="0"/>
              <w:snapToGrid w:val="0"/>
              <w:ind w:firstLine="420"/>
            </w:pPr>
            <w:r>
              <w:rPr>
                <w:rFonts w:hint="eastAsia"/>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pPr>
            <w:r>
              <w:rPr>
                <w:rFonts w:hint="eastAsia"/>
              </w:rPr>
              <w:t>……</w:t>
            </w:r>
          </w:p>
          <w:p>
            <w:pPr>
              <w:widowControl/>
              <w:adjustRightInd w:val="0"/>
              <w:snapToGrid w:val="0"/>
              <w:ind w:firstLine="420"/>
            </w:pPr>
            <w:r>
              <w:rPr>
                <w:rFonts w:hint="eastAsia"/>
              </w:rPr>
              <w:t>（二）安全设备的安装、使用、检测、改造和报废不符合国家标准或者行业标准的；</w:t>
            </w:r>
          </w:p>
          <w:p>
            <w:pPr>
              <w:widowControl/>
              <w:adjustRightInd w:val="0"/>
              <w:snapToGrid w:val="0"/>
              <w:ind w:firstLine="420" w:firstLineChars="200"/>
            </w:pPr>
            <w:r>
              <w:t>（三）未对安全设备进行经常性维护、保养和定期检测的</w:t>
            </w:r>
            <w:r>
              <w:rPr>
                <w:rFonts w:hint="eastAsia"/>
              </w:rPr>
              <w:t>；</w:t>
            </w:r>
          </w:p>
          <w:p>
            <w:pPr>
              <w:widowControl/>
              <w:adjustRightInd w:val="0"/>
              <w:snapToGrid w:val="0"/>
              <w:ind w:firstLine="420" w:firstLineChars="200"/>
            </w:pPr>
            <w:r>
              <w:rPr>
                <w:rFonts w:hint="eastAsia"/>
              </w:rPr>
              <w:t>……</w:t>
            </w:r>
          </w:p>
        </w:tc>
        <w:tc>
          <w:tcPr>
            <w:tcW w:w="1013" w:type="dxa"/>
            <w:vAlign w:val="center"/>
          </w:tcPr>
          <w:p>
            <w:pPr>
              <w:widowControl/>
              <w:adjustRightInd w:val="0"/>
              <w:snapToGrid w:val="0"/>
              <w:rPr>
                <w:rFonts w:ascii="宋体" w:hAnsi="宋体" w:cs="宋体"/>
                <w:kern w:val="0"/>
                <w:szCs w:val="21"/>
              </w:rPr>
            </w:pPr>
          </w:p>
        </w:tc>
      </w:tr>
    </w:tbl>
    <w:p>
      <w:pPr>
        <w:pStyle w:val="4"/>
        <w:keepNext w:val="0"/>
        <w:keepLines w:val="0"/>
        <w:pageBreakBefore/>
        <w:spacing w:line="240" w:lineRule="auto"/>
        <w:rPr>
          <w:rFonts w:ascii="黑体" w:hAnsi="黑体" w:eastAsia="黑体"/>
          <w:b w:val="0"/>
        </w:rPr>
      </w:pPr>
      <w:r>
        <w:rPr>
          <w:rFonts w:hint="eastAsia" w:ascii="黑体" w:hAnsi="黑体" w:eastAsia="黑体"/>
          <w:b w:val="0"/>
        </w:rPr>
        <w:t>表5-4  机械企业</w:t>
      </w:r>
    </w:p>
    <w:tbl>
      <w:tblPr>
        <w:tblStyle w:val="19"/>
        <w:tblW w:w="13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816"/>
        <w:gridCol w:w="1704"/>
        <w:gridCol w:w="2551"/>
        <w:gridCol w:w="4250"/>
        <w:gridCol w:w="354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50" w:hRule="atLeast"/>
          <w:tblHeader/>
          <w:jc w:val="center"/>
        </w:trPr>
        <w:tc>
          <w:tcPr>
            <w:tcW w:w="816"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序号</w:t>
            </w:r>
          </w:p>
        </w:tc>
        <w:tc>
          <w:tcPr>
            <w:tcW w:w="1704"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检查事项</w:t>
            </w:r>
          </w:p>
        </w:tc>
        <w:tc>
          <w:tcPr>
            <w:tcW w:w="2551"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检查内容</w:t>
            </w:r>
          </w:p>
        </w:tc>
        <w:tc>
          <w:tcPr>
            <w:tcW w:w="4250"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检查依据指引</w:t>
            </w:r>
          </w:p>
        </w:tc>
        <w:tc>
          <w:tcPr>
            <w:tcW w:w="3545"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法律责任指引</w:t>
            </w:r>
          </w:p>
        </w:tc>
        <w:tc>
          <w:tcPr>
            <w:tcW w:w="1013"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restart"/>
            <w:vAlign w:val="center"/>
          </w:tcPr>
          <w:p>
            <w:pPr>
              <w:jc w:val="center"/>
              <w:rPr>
                <w:rFonts w:ascii="宋体" w:hAnsi="宋体"/>
                <w:szCs w:val="21"/>
              </w:rPr>
            </w:pPr>
            <w:r>
              <w:rPr>
                <w:rFonts w:hint="eastAsia" w:ascii="宋体" w:hAnsi="宋体"/>
                <w:szCs w:val="21"/>
              </w:rPr>
              <w:t>1</w:t>
            </w:r>
          </w:p>
        </w:tc>
        <w:tc>
          <w:tcPr>
            <w:tcW w:w="1704"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高温熔融金属作业防护情况</w:t>
            </w: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1.1 会议室、活动室、休息室、更衣室等场所严禁设置在熔炼炉、熔融金属吊运和浇注影响范围内</w:t>
            </w:r>
          </w:p>
        </w:tc>
        <w:tc>
          <w:tcPr>
            <w:tcW w:w="4250" w:type="dxa"/>
            <w:vAlign w:val="center"/>
          </w:tcPr>
          <w:p>
            <w:pPr>
              <w:widowControl/>
              <w:adjustRightInd w:val="0"/>
              <w:snapToGrid w:val="0"/>
              <w:spacing w:line="240" w:lineRule="exact"/>
              <w:ind w:firstLine="420" w:firstLineChars="200"/>
            </w:pPr>
            <w:r>
              <w:rPr>
                <w:rFonts w:hint="eastAsia"/>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spacing w:line="240" w:lineRule="exact"/>
              <w:ind w:firstLine="420" w:firstLineChars="200"/>
            </w:pPr>
            <w:r>
              <w:rPr>
                <w:rFonts w:hint="eastAsia" w:ascii="宋体" w:hAnsi="宋体" w:cs="宋体"/>
                <w:kern w:val="0"/>
                <w:szCs w:val="21"/>
              </w:rPr>
              <w:t>……</w:t>
            </w:r>
          </w:p>
          <w:p>
            <w:pPr>
              <w:widowControl/>
              <w:adjustRightInd w:val="0"/>
              <w:snapToGrid w:val="0"/>
              <w:spacing w:line="240" w:lineRule="exact"/>
              <w:ind w:firstLine="420" w:firstLineChars="200"/>
              <w:rPr>
                <w:rFonts w:ascii="宋体" w:hAnsi="宋体" w:cs="宋体"/>
                <w:kern w:val="0"/>
                <w:szCs w:val="21"/>
              </w:rPr>
            </w:pPr>
            <w:r>
              <w:rPr>
                <w:rFonts w:ascii="宋体" w:hAnsi="宋体" w:cs="宋体"/>
                <w:kern w:val="0"/>
                <w:szCs w:val="21"/>
                <w:highlight w:val="none"/>
              </w:rPr>
              <w:t>《工贸行业重大生产安全事故隐患判定标准（2017版）》</w:t>
            </w:r>
            <w:r>
              <w:rPr>
                <w:rFonts w:ascii="宋体" w:hAnsi="宋体" w:cs="宋体"/>
                <w:kern w:val="0"/>
                <w:szCs w:val="21"/>
              </w:rPr>
              <w:t>（安监总管四〔2017〕129号）</w:t>
            </w:r>
          </w:p>
          <w:p>
            <w:pPr>
              <w:widowControl/>
              <w:adjustRightInd w:val="0"/>
              <w:snapToGrid w:val="0"/>
              <w:spacing w:line="240" w:lineRule="exact"/>
              <w:ind w:firstLine="420" w:firstLineChars="200"/>
              <w:rPr>
                <w:rFonts w:ascii="宋体" w:hAnsi="宋体" w:cs="宋体"/>
                <w:kern w:val="0"/>
                <w:szCs w:val="21"/>
              </w:rPr>
            </w:pPr>
            <w:r>
              <w:rPr>
                <w:rFonts w:ascii="宋体" w:hAnsi="宋体" w:cs="宋体"/>
                <w:kern w:val="0"/>
                <w:szCs w:val="21"/>
              </w:rPr>
              <w:t>二、行业类重大事故隐患</w:t>
            </w:r>
          </w:p>
          <w:p>
            <w:pPr>
              <w:widowControl/>
              <w:adjustRightInd w:val="0"/>
              <w:snapToGrid w:val="0"/>
              <w:spacing w:line="240" w:lineRule="exact"/>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四</w:t>
            </w:r>
            <w:r>
              <w:rPr>
                <w:rFonts w:ascii="宋体" w:hAnsi="宋体" w:cs="宋体"/>
                <w:kern w:val="0"/>
                <w:szCs w:val="21"/>
              </w:rPr>
              <w:t>）</w:t>
            </w:r>
            <w:r>
              <w:rPr>
                <w:rFonts w:hint="eastAsia" w:ascii="宋体" w:hAnsi="宋体" w:cs="宋体"/>
                <w:kern w:val="0"/>
                <w:szCs w:val="21"/>
              </w:rPr>
              <w:t>机械</w:t>
            </w:r>
            <w:r>
              <w:rPr>
                <w:rFonts w:ascii="宋体" w:hAnsi="宋体" w:cs="宋体"/>
                <w:kern w:val="0"/>
                <w:szCs w:val="21"/>
              </w:rPr>
              <w:t>行业。</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1.会议室、活动室、休息室、更衣室等场所设置在熔炼炉、熔融金属吊运和浇注影响范围内。</w:t>
            </w:r>
          </w:p>
        </w:tc>
        <w:tc>
          <w:tcPr>
            <w:tcW w:w="3545"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90"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widowControl/>
              <w:adjustRightInd w:val="0"/>
              <w:snapToGrid w:val="0"/>
              <w:rPr>
                <w:rFonts w:ascii="宋体" w:hAnsi="宋体" w:cs="宋体"/>
                <w:kern w:val="0"/>
                <w:szCs w:val="21"/>
              </w:rPr>
            </w:pP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1.2 吊运熔融金属的起重机应符合冶金铸造起重机技术条件</w:t>
            </w:r>
            <w:r>
              <w:rPr>
                <w:rFonts w:ascii="宋体" w:hAnsi="宋体" w:cs="宋体"/>
                <w:kern w:val="0"/>
                <w:szCs w:val="21"/>
              </w:rPr>
              <w:t>,</w:t>
            </w:r>
            <w:r>
              <w:rPr>
                <w:rFonts w:hint="eastAsia" w:ascii="宋体" w:hAnsi="宋体" w:cs="宋体"/>
                <w:kern w:val="0"/>
                <w:szCs w:val="21"/>
              </w:rPr>
              <w:t>驱动装置中应设置两套制动器。吊运浇注包的龙门钩横梁、耳轴销和吊钩等零件</w:t>
            </w:r>
            <w:r>
              <w:rPr>
                <w:rFonts w:ascii="宋体" w:hAnsi="宋体" w:cs="宋体"/>
                <w:kern w:val="0"/>
                <w:szCs w:val="21"/>
              </w:rPr>
              <w:t>,</w:t>
            </w:r>
            <w:r>
              <w:rPr>
                <w:rFonts w:hint="eastAsia" w:ascii="宋体" w:hAnsi="宋体" w:cs="宋体"/>
                <w:kern w:val="0"/>
                <w:szCs w:val="21"/>
              </w:rPr>
              <w:t>应进行定期探伤检查</w:t>
            </w:r>
          </w:p>
        </w:tc>
        <w:tc>
          <w:tcPr>
            <w:tcW w:w="4250" w:type="dxa"/>
            <w:vAlign w:val="center"/>
          </w:tcPr>
          <w:p>
            <w:pPr>
              <w:widowControl/>
              <w:adjustRightInd w:val="0"/>
              <w:snapToGrid w:val="0"/>
              <w:ind w:firstLine="420" w:firstLineChars="200"/>
            </w:pPr>
            <w:r>
              <w:rPr>
                <w:rFonts w:hint="eastAsia"/>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ascii="宋体" w:hAnsi="宋体" w:cs="宋体"/>
                <w:kern w:val="0"/>
                <w:szCs w:val="21"/>
                <w:highlight w:val="none"/>
              </w:rPr>
              <w:t>《工贸行业重大生产安全事故隐患判定标准（2017版）》</w:t>
            </w:r>
            <w:r>
              <w:rPr>
                <w:rFonts w:ascii="宋体" w:hAnsi="宋体" w:cs="宋体"/>
                <w:kern w:val="0"/>
                <w:szCs w:val="21"/>
              </w:rPr>
              <w:t>（安监总管四〔2017〕129号）</w:t>
            </w:r>
          </w:p>
          <w:p>
            <w:pPr>
              <w:widowControl/>
              <w:adjustRightInd w:val="0"/>
              <w:snapToGrid w:val="0"/>
              <w:ind w:firstLine="420" w:firstLineChars="200"/>
              <w:rPr>
                <w:rFonts w:ascii="宋体" w:hAnsi="宋体" w:cs="宋体"/>
                <w:kern w:val="0"/>
                <w:szCs w:val="21"/>
              </w:rPr>
            </w:pPr>
            <w:r>
              <w:rPr>
                <w:rFonts w:ascii="宋体" w:hAnsi="宋体" w:cs="宋体"/>
                <w:kern w:val="0"/>
                <w:szCs w:val="21"/>
              </w:rPr>
              <w:t>二、行业类重大事故隐患</w:t>
            </w:r>
          </w:p>
          <w:p>
            <w:pPr>
              <w:widowControl/>
              <w:adjustRightInd w:val="0"/>
              <w:snapToGrid w:val="0"/>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四</w:t>
            </w:r>
            <w:r>
              <w:rPr>
                <w:rFonts w:ascii="宋体" w:hAnsi="宋体" w:cs="宋体"/>
                <w:kern w:val="0"/>
                <w:szCs w:val="21"/>
              </w:rPr>
              <w:t>）</w:t>
            </w:r>
            <w:r>
              <w:rPr>
                <w:rFonts w:hint="eastAsia" w:ascii="宋体" w:hAnsi="宋体" w:cs="宋体"/>
                <w:kern w:val="0"/>
                <w:szCs w:val="21"/>
              </w:rPr>
              <w:t>机械</w:t>
            </w:r>
            <w:r>
              <w:rPr>
                <w:rFonts w:ascii="宋体" w:hAnsi="宋体" w:cs="宋体"/>
                <w:kern w:val="0"/>
                <w:szCs w:val="21"/>
              </w:rPr>
              <w:t>行业。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2.吊运熔融金属的起重机不符合冶金铸造起重机技术条件，或驱动装置中未设置两套制动器。吊运浇注包的龙门钩横梁、耳轴销和吊钩等零件，未进行定期探伤检查。</w:t>
            </w:r>
          </w:p>
        </w:tc>
        <w:tc>
          <w:tcPr>
            <w:tcW w:w="3545"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101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关于起重机的检查主要查验起重机的特种设备检验合格证明。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867"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widowControl/>
              <w:adjustRightInd w:val="0"/>
              <w:snapToGrid w:val="0"/>
              <w:rPr>
                <w:rFonts w:ascii="宋体" w:hAnsi="宋体" w:cs="宋体"/>
                <w:kern w:val="0"/>
                <w:szCs w:val="21"/>
              </w:rPr>
            </w:pP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1.3 铸造熔炼炉炉底、炉坑及浇注坑等作业坑严禁存在潮湿、积水状况，或者存放易燃易爆物品</w:t>
            </w:r>
          </w:p>
        </w:tc>
        <w:tc>
          <w:tcPr>
            <w:tcW w:w="4250" w:type="dxa"/>
            <w:vAlign w:val="center"/>
          </w:tcPr>
          <w:p>
            <w:pPr>
              <w:ind w:firstLine="420" w:firstLineChars="200"/>
              <w:rPr>
                <w:rFonts w:ascii="宋体" w:hAnsi="宋体"/>
                <w:szCs w:val="21"/>
              </w:rPr>
            </w:pPr>
            <w:r>
              <w:rPr>
                <w:rFonts w:hint="eastAsia"/>
              </w:rPr>
              <w:t>《</w:t>
            </w:r>
            <w:r>
              <w:rPr>
                <w:rFonts w:hint="eastAsia" w:ascii="宋体" w:hAnsi="宋体"/>
                <w:szCs w:val="21"/>
              </w:rPr>
              <w:t>安全生产法》第三十八条  生产经营单位应当建立健全生产安全事故隐患排查治理制度，采取技术、管理措施，及时发现并消除事故隐患。事故隐患排查治理情况应当如实记录，并向从业人员通报。</w:t>
            </w:r>
          </w:p>
          <w:p>
            <w:pPr>
              <w:ind w:firstLine="420" w:firstLineChars="200"/>
              <w:rPr>
                <w:rFonts w:ascii="宋体" w:hAnsi="宋体"/>
                <w:szCs w:val="21"/>
              </w:rPr>
            </w:pPr>
            <w:r>
              <w:rPr>
                <w:rFonts w:hint="eastAsia" w:ascii="宋体" w:hAnsi="宋体"/>
                <w:szCs w:val="21"/>
              </w:rPr>
              <w:t>……</w:t>
            </w:r>
          </w:p>
          <w:p>
            <w:pPr>
              <w:widowControl/>
              <w:adjustRightInd w:val="0"/>
              <w:snapToGrid w:val="0"/>
              <w:ind w:firstLine="420" w:firstLineChars="200"/>
              <w:rPr>
                <w:rFonts w:ascii="宋体" w:hAnsi="宋体" w:cs="宋体"/>
                <w:kern w:val="0"/>
                <w:szCs w:val="21"/>
              </w:rPr>
            </w:pPr>
            <w:r>
              <w:rPr>
                <w:rFonts w:ascii="宋体" w:hAnsi="宋体" w:cs="宋体"/>
                <w:kern w:val="0"/>
                <w:szCs w:val="21"/>
                <w:highlight w:val="none"/>
              </w:rPr>
              <w:t>《工贸行业重大生产安全事故隐患判定标准（2017版）》（</w:t>
            </w:r>
            <w:r>
              <w:rPr>
                <w:rFonts w:ascii="宋体" w:hAnsi="宋体" w:cs="宋体"/>
                <w:kern w:val="0"/>
                <w:szCs w:val="21"/>
              </w:rPr>
              <w:t>安监总管四〔2017〕129号）</w:t>
            </w:r>
          </w:p>
          <w:p>
            <w:pPr>
              <w:widowControl/>
              <w:adjustRightInd w:val="0"/>
              <w:snapToGrid w:val="0"/>
              <w:ind w:firstLine="420" w:firstLineChars="200"/>
              <w:rPr>
                <w:rFonts w:ascii="宋体" w:hAnsi="宋体" w:cs="宋体"/>
                <w:kern w:val="0"/>
                <w:szCs w:val="21"/>
              </w:rPr>
            </w:pPr>
            <w:r>
              <w:rPr>
                <w:rFonts w:ascii="宋体" w:hAnsi="宋体" w:cs="宋体"/>
                <w:kern w:val="0"/>
                <w:szCs w:val="21"/>
              </w:rPr>
              <w:t>二、行业类重大事故隐患</w:t>
            </w:r>
          </w:p>
          <w:p>
            <w:pPr>
              <w:widowControl/>
              <w:adjustRightInd w:val="0"/>
              <w:snapToGrid w:val="0"/>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四</w:t>
            </w:r>
            <w:r>
              <w:rPr>
                <w:rFonts w:ascii="宋体" w:hAnsi="宋体" w:cs="宋体"/>
                <w:kern w:val="0"/>
                <w:szCs w:val="21"/>
              </w:rPr>
              <w:t>）</w:t>
            </w:r>
            <w:r>
              <w:rPr>
                <w:rFonts w:hint="eastAsia" w:ascii="宋体" w:hAnsi="宋体" w:cs="宋体"/>
                <w:kern w:val="0"/>
                <w:szCs w:val="21"/>
              </w:rPr>
              <w:t>机械</w:t>
            </w:r>
            <w:r>
              <w:rPr>
                <w:rFonts w:ascii="宋体" w:hAnsi="宋体" w:cs="宋体"/>
                <w:kern w:val="0"/>
                <w:szCs w:val="21"/>
              </w:rPr>
              <w:t>行业。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3.铸造熔炼炉炉底、炉坑及浇注坑等作业坑存在潮湿、积水状况，或存放易燃易爆物品。</w:t>
            </w:r>
          </w:p>
        </w:tc>
        <w:tc>
          <w:tcPr>
            <w:tcW w:w="3545"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51"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widowControl/>
              <w:adjustRightInd w:val="0"/>
              <w:snapToGrid w:val="0"/>
              <w:rPr>
                <w:rFonts w:ascii="宋体" w:hAnsi="宋体" w:cs="宋体"/>
                <w:kern w:val="0"/>
                <w:szCs w:val="21"/>
              </w:rPr>
            </w:pP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1.4 铸造熔炼炉冷却水系统应配置温度、进出水流量检测及报警装置</w:t>
            </w:r>
            <w:r>
              <w:rPr>
                <w:rFonts w:ascii="宋体" w:hAnsi="宋体" w:cs="宋体"/>
                <w:kern w:val="0"/>
                <w:szCs w:val="21"/>
              </w:rPr>
              <w:t>,</w:t>
            </w:r>
            <w:r>
              <w:rPr>
                <w:rFonts w:hint="eastAsia" w:ascii="宋体" w:hAnsi="宋体" w:cs="宋体"/>
                <w:kern w:val="0"/>
                <w:szCs w:val="21"/>
              </w:rPr>
              <w:t>设置防止冷却水进入炉内的安全设施</w:t>
            </w:r>
          </w:p>
        </w:tc>
        <w:tc>
          <w:tcPr>
            <w:tcW w:w="4250" w:type="dxa"/>
            <w:vAlign w:val="center"/>
          </w:tcPr>
          <w:p>
            <w:pPr>
              <w:widowControl/>
              <w:adjustRightInd w:val="0"/>
              <w:snapToGrid w:val="0"/>
              <w:spacing w:line="240" w:lineRule="exact"/>
              <w:ind w:firstLine="420" w:firstLineChars="200"/>
            </w:pPr>
            <w:r>
              <w:rPr>
                <w:rFonts w:hint="eastAsia"/>
              </w:rPr>
              <w:t>《安全生产法》第三十三条  安全设备的设计、制造、安装、使用、检测、维修、改造和报废，应当符合国家标准或者行业标准。</w:t>
            </w:r>
            <w:r>
              <w:rPr>
                <w:rFonts w:hint="eastAsia" w:ascii="宋体" w:hAnsi="宋体" w:cs="宋体"/>
                <w:kern w:val="0"/>
                <w:szCs w:val="21"/>
              </w:rPr>
              <w:t>生产经营单位必须对安全设备进行经常性维护、保养，并定期检测，保证正常运转。维护、保养、检测应当作好记录，并由有关人员签字。</w:t>
            </w:r>
          </w:p>
          <w:p>
            <w:pPr>
              <w:widowControl/>
              <w:adjustRightInd w:val="0"/>
              <w:snapToGrid w:val="0"/>
              <w:spacing w:line="240" w:lineRule="exact"/>
              <w:ind w:firstLine="420" w:firstLineChars="200"/>
              <w:rPr>
                <w:rFonts w:hint="eastAsia" w:ascii="宋体" w:hAnsi="宋体" w:cs="宋体"/>
                <w:kern w:val="0"/>
                <w:szCs w:val="21"/>
              </w:rPr>
            </w:pPr>
            <w:r>
              <w:rPr>
                <w:rFonts w:hint="eastAsia" w:ascii="宋体" w:hAnsi="宋体" w:cs="宋体"/>
                <w:kern w:val="0"/>
                <w:szCs w:val="21"/>
              </w:rPr>
              <w:t>《冲天炉与冲天炉加料机 安全要求》（GB 21501-2008）</w:t>
            </w:r>
          </w:p>
          <w:p>
            <w:pPr>
              <w:widowControl/>
              <w:adjustRightInd w:val="0"/>
              <w:snapToGrid w:val="0"/>
              <w:spacing w:line="240" w:lineRule="exact"/>
              <w:ind w:firstLine="420" w:firstLineChars="200"/>
              <w:rPr>
                <w:rFonts w:hint="eastAsia" w:ascii="宋体" w:hAnsi="宋体" w:cs="宋体"/>
                <w:kern w:val="0"/>
                <w:szCs w:val="21"/>
              </w:rPr>
            </w:pPr>
            <w:r>
              <w:rPr>
                <w:rFonts w:hint="eastAsia" w:ascii="宋体" w:hAnsi="宋体" w:cs="宋体"/>
                <w:kern w:val="0"/>
                <w:szCs w:val="21"/>
              </w:rPr>
              <w:t>5.4.7  水冷炉的炉壳应严密，冷却水不应向炉内渗漏”；</w:t>
            </w:r>
          </w:p>
          <w:p>
            <w:pPr>
              <w:widowControl/>
              <w:adjustRightInd w:val="0"/>
              <w:snapToGrid w:val="0"/>
              <w:spacing w:line="240" w:lineRule="exact"/>
              <w:ind w:firstLine="420" w:firstLineChars="200"/>
              <w:rPr>
                <w:rFonts w:hint="eastAsia" w:ascii="宋体" w:hAnsi="宋体" w:cs="宋体"/>
                <w:kern w:val="0"/>
                <w:szCs w:val="21"/>
              </w:rPr>
            </w:pPr>
            <w:r>
              <w:rPr>
                <w:rFonts w:hint="eastAsia" w:ascii="宋体" w:hAnsi="宋体" w:cs="宋体"/>
                <w:kern w:val="0"/>
                <w:szCs w:val="21"/>
              </w:rPr>
              <w:t>《电热装置的安全 第3部分：对感应和导电加热装置以及感应熔炼装置的特殊要求》（GB 5959.3-2008）</w:t>
            </w:r>
          </w:p>
          <w:p>
            <w:pPr>
              <w:widowControl/>
              <w:adjustRightInd w:val="0"/>
              <w:snapToGrid w:val="0"/>
              <w:spacing w:line="240" w:lineRule="exact"/>
              <w:ind w:firstLine="420" w:firstLineChars="200"/>
              <w:rPr>
                <w:rFonts w:hint="eastAsia" w:ascii="宋体" w:hAnsi="宋体" w:cs="宋体"/>
                <w:kern w:val="0"/>
                <w:szCs w:val="21"/>
              </w:rPr>
            </w:pPr>
            <w:r>
              <w:rPr>
                <w:rFonts w:hint="eastAsia" w:ascii="宋体" w:hAnsi="宋体" w:cs="宋体"/>
                <w:kern w:val="0"/>
                <w:szCs w:val="21"/>
              </w:rPr>
              <w:t>4.3  如果加热感应器的冷却效果不足而对工作人员造成危险或对设备的主要部件有损害时，应发出报警信号并自动切断加热电源。</w:t>
            </w:r>
          </w:p>
          <w:p>
            <w:pPr>
              <w:widowControl/>
              <w:adjustRightInd w:val="0"/>
              <w:snapToGrid w:val="0"/>
              <w:ind w:firstLine="420" w:firstLineChars="200"/>
              <w:rPr>
                <w:rFonts w:ascii="宋体" w:hAnsi="宋体" w:cs="宋体"/>
                <w:kern w:val="0"/>
                <w:szCs w:val="21"/>
              </w:rPr>
            </w:pPr>
            <w:r>
              <w:rPr>
                <w:rFonts w:ascii="宋体" w:hAnsi="宋体" w:cs="宋体"/>
                <w:kern w:val="0"/>
                <w:szCs w:val="21"/>
                <w:highlight w:val="none"/>
              </w:rPr>
              <w:t>《工贸行业重大生产安全事故隐患判定标准（2017版）》（</w:t>
            </w:r>
            <w:r>
              <w:rPr>
                <w:rFonts w:ascii="宋体" w:hAnsi="宋体" w:cs="宋体"/>
                <w:kern w:val="0"/>
                <w:szCs w:val="21"/>
              </w:rPr>
              <w:t>安监总管四〔2017〕129号）</w:t>
            </w:r>
          </w:p>
          <w:p>
            <w:pPr>
              <w:widowControl/>
              <w:adjustRightInd w:val="0"/>
              <w:snapToGrid w:val="0"/>
              <w:ind w:firstLine="420" w:firstLineChars="200"/>
              <w:rPr>
                <w:rFonts w:ascii="宋体" w:hAnsi="宋体" w:cs="宋体"/>
                <w:kern w:val="0"/>
                <w:szCs w:val="21"/>
              </w:rPr>
            </w:pPr>
            <w:r>
              <w:rPr>
                <w:rFonts w:ascii="宋体" w:hAnsi="宋体" w:cs="宋体"/>
                <w:kern w:val="0"/>
                <w:szCs w:val="21"/>
              </w:rPr>
              <w:t>二、行业类重大事故隐患</w:t>
            </w:r>
          </w:p>
          <w:p>
            <w:pPr>
              <w:widowControl/>
              <w:adjustRightInd w:val="0"/>
              <w:snapToGrid w:val="0"/>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四</w:t>
            </w:r>
            <w:r>
              <w:rPr>
                <w:rFonts w:ascii="宋体" w:hAnsi="宋体" w:cs="宋体"/>
                <w:kern w:val="0"/>
                <w:szCs w:val="21"/>
              </w:rPr>
              <w:t>）</w:t>
            </w:r>
            <w:r>
              <w:rPr>
                <w:rFonts w:hint="eastAsia" w:ascii="宋体" w:hAnsi="宋体" w:cs="宋体"/>
                <w:kern w:val="0"/>
                <w:szCs w:val="21"/>
              </w:rPr>
              <w:t>机械</w:t>
            </w:r>
            <w:r>
              <w:rPr>
                <w:rFonts w:ascii="宋体" w:hAnsi="宋体" w:cs="宋体"/>
                <w:kern w:val="0"/>
                <w:szCs w:val="21"/>
              </w:rPr>
              <w:t>行业。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4.铸造熔炼炉冷却水系统未配置温度、进出水流量检测报警装置，没有设置防止冷却水进入炉内的安全设施。</w:t>
            </w:r>
          </w:p>
        </w:tc>
        <w:tc>
          <w:tcPr>
            <w:tcW w:w="3545" w:type="dxa"/>
            <w:vAlign w:val="center"/>
          </w:tcPr>
          <w:p>
            <w:pPr>
              <w:widowControl/>
              <w:adjustRightInd w:val="0"/>
              <w:snapToGrid w:val="0"/>
              <w:ind w:firstLine="420"/>
            </w:pPr>
            <w:r>
              <w:rPr>
                <w:rFonts w:hint="eastAsia"/>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pPr>
            <w:r>
              <w:rPr>
                <w:rFonts w:hint="eastAsia"/>
              </w:rPr>
              <w:t>……</w:t>
            </w:r>
          </w:p>
          <w:p>
            <w:pPr>
              <w:widowControl/>
              <w:adjustRightInd w:val="0"/>
              <w:snapToGrid w:val="0"/>
              <w:ind w:firstLine="420"/>
            </w:pPr>
            <w:r>
              <w:rPr>
                <w:rFonts w:hint="eastAsia"/>
              </w:rPr>
              <w:t>（二）安全设备的安装、使用、检测、改造和报废不符合国家标准或者行业标准的；</w:t>
            </w:r>
          </w:p>
          <w:p>
            <w:pPr>
              <w:widowControl/>
              <w:adjustRightInd w:val="0"/>
              <w:snapToGrid w:val="0"/>
              <w:ind w:firstLine="420"/>
            </w:pPr>
            <w:r>
              <w:rPr>
                <w:rFonts w:hint="eastAsia"/>
              </w:rPr>
              <w:t>（三）未对安全设备进行经常性维护、保养和定期检测的；</w:t>
            </w:r>
          </w:p>
          <w:p>
            <w:pPr>
              <w:widowControl/>
              <w:adjustRightInd w:val="0"/>
              <w:snapToGrid w:val="0"/>
              <w:ind w:firstLine="420" w:firstLineChars="200"/>
            </w:pPr>
            <w:r>
              <w:rPr>
                <w:rFonts w:hint="eastAsia"/>
              </w:rPr>
              <w:t>……</w:t>
            </w:r>
          </w:p>
          <w:p>
            <w:pPr>
              <w:widowControl/>
              <w:adjustRightInd w:val="0"/>
              <w:snapToGrid w:val="0"/>
              <w:ind w:firstLine="420" w:firstLineChars="200"/>
              <w:rPr>
                <w:rFonts w:ascii="宋体" w:hAnsi="宋体" w:cs="宋体"/>
                <w:kern w:val="0"/>
                <w:szCs w:val="21"/>
              </w:rPr>
            </w:pP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restart"/>
            <w:vAlign w:val="center"/>
          </w:tcPr>
          <w:p>
            <w:pPr>
              <w:jc w:val="center"/>
              <w:rPr>
                <w:rFonts w:ascii="宋体" w:hAnsi="宋体"/>
                <w:szCs w:val="21"/>
              </w:rPr>
            </w:pPr>
            <w:r>
              <w:rPr>
                <w:rFonts w:hint="eastAsia" w:ascii="宋体" w:hAnsi="宋体"/>
                <w:szCs w:val="21"/>
              </w:rPr>
              <w:t>2</w:t>
            </w:r>
          </w:p>
        </w:tc>
        <w:tc>
          <w:tcPr>
            <w:tcW w:w="1704"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安全风险较高场所监测报警装置和防爆装置设置情况</w:t>
            </w: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2.1 天然气（煤气）加热炉燃烧器操作部位应设置可燃气体泄漏报警装置，燃烧系统应设置防突然熄火或防点火失败的安全装置</w:t>
            </w:r>
          </w:p>
        </w:tc>
        <w:tc>
          <w:tcPr>
            <w:tcW w:w="4250" w:type="dxa"/>
            <w:vAlign w:val="center"/>
          </w:tcPr>
          <w:p>
            <w:pPr>
              <w:widowControl/>
              <w:adjustRightInd w:val="0"/>
              <w:snapToGrid w:val="0"/>
              <w:spacing w:line="240" w:lineRule="exact"/>
            </w:pPr>
            <w:r>
              <w:rPr>
                <w:rFonts w:hint="eastAsia"/>
              </w:rPr>
              <w:t xml:space="preserve">    《安全生产法》第三十三条  安全设备的设计、制造、安装、使用、检测、维修、改造和报废，应当符合国家标准或者行业标准。</w:t>
            </w:r>
            <w:r>
              <w:rPr>
                <w:rFonts w:hint="eastAsia" w:ascii="宋体" w:hAnsi="宋体" w:cs="宋体"/>
                <w:kern w:val="0"/>
                <w:szCs w:val="21"/>
              </w:rPr>
              <w:t>生产经营单位必须对安全设备进行经常性维护、保养，并定期检测，保证正常运转。维护、保养、检测应当作好记录，并由有关人员签字。</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《工业企业煤气安全规程》（GB 6222-2005）</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4.10  煤气危险区（如地下室、加压站、热风炉及各种煤气发生设施附近）的一氧化碳浓度应定期测定，在关键部位应设置一氧化碳监测装置。作业环境一氧化碳最高允许浓度为30mg／m³ （24ppm）。</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《金属热处理生产过程安全、卫生要求》（GB 15735-2012）</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7.2.5  可控气氛多用炉淬火室应设安全防爆装置，炉门应设防护装置；</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7.2</w:t>
            </w:r>
            <w:r>
              <w:rPr>
                <w:rFonts w:ascii="宋体" w:hAnsi="宋体" w:cs="宋体"/>
                <w:kern w:val="0"/>
                <w:szCs w:val="21"/>
              </w:rPr>
              <w:t>.</w:t>
            </w:r>
            <w:r>
              <w:rPr>
                <w:rFonts w:hint="eastAsia" w:ascii="宋体" w:hAnsi="宋体" w:cs="宋体"/>
                <w:kern w:val="0"/>
                <w:szCs w:val="21"/>
              </w:rPr>
              <w:t>6  通水冷却的电阻炉应安装水温、水压报警装置，当出现不正常情况时应能断电，并及时报警。</w:t>
            </w:r>
          </w:p>
          <w:p>
            <w:pPr>
              <w:widowControl/>
              <w:adjustRightInd w:val="0"/>
              <w:snapToGrid w:val="0"/>
              <w:ind w:firstLine="420" w:firstLineChars="200"/>
              <w:rPr>
                <w:rFonts w:ascii="宋体" w:hAnsi="宋体" w:cs="宋体"/>
                <w:kern w:val="0"/>
                <w:szCs w:val="21"/>
              </w:rPr>
            </w:pPr>
            <w:r>
              <w:rPr>
                <w:rFonts w:ascii="宋体" w:hAnsi="宋体" w:cs="宋体"/>
                <w:kern w:val="0"/>
                <w:szCs w:val="21"/>
                <w:highlight w:val="none"/>
              </w:rPr>
              <w:t>《工贸行业重大生产安全事故隐患判定标准（2017版）》（</w:t>
            </w:r>
            <w:r>
              <w:rPr>
                <w:rFonts w:ascii="宋体" w:hAnsi="宋体" w:cs="宋体"/>
                <w:kern w:val="0"/>
                <w:szCs w:val="21"/>
              </w:rPr>
              <w:t>安监总管四〔2017〕129号）</w:t>
            </w:r>
          </w:p>
          <w:p>
            <w:pPr>
              <w:widowControl/>
              <w:adjustRightInd w:val="0"/>
              <w:snapToGrid w:val="0"/>
              <w:ind w:firstLine="420" w:firstLineChars="200"/>
              <w:rPr>
                <w:rFonts w:ascii="宋体" w:hAnsi="宋体" w:cs="宋体"/>
                <w:kern w:val="0"/>
                <w:szCs w:val="21"/>
              </w:rPr>
            </w:pPr>
            <w:r>
              <w:rPr>
                <w:rFonts w:ascii="宋体" w:hAnsi="宋体" w:cs="宋体"/>
                <w:kern w:val="0"/>
                <w:szCs w:val="21"/>
              </w:rPr>
              <w:t>二、行业类重大事故隐患</w:t>
            </w:r>
          </w:p>
          <w:p>
            <w:pPr>
              <w:widowControl/>
              <w:adjustRightInd w:val="0"/>
              <w:snapToGrid w:val="0"/>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四</w:t>
            </w:r>
            <w:r>
              <w:rPr>
                <w:rFonts w:ascii="宋体" w:hAnsi="宋体" w:cs="宋体"/>
                <w:kern w:val="0"/>
                <w:szCs w:val="21"/>
              </w:rPr>
              <w:t>）</w:t>
            </w:r>
            <w:r>
              <w:rPr>
                <w:rFonts w:hint="eastAsia" w:ascii="宋体" w:hAnsi="宋体" w:cs="宋体"/>
                <w:kern w:val="0"/>
                <w:szCs w:val="21"/>
              </w:rPr>
              <w:t>机械</w:t>
            </w:r>
            <w:r>
              <w:rPr>
                <w:rFonts w:ascii="宋体" w:hAnsi="宋体" w:cs="宋体"/>
                <w:kern w:val="0"/>
                <w:szCs w:val="21"/>
              </w:rPr>
              <w:t>行业。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5.天然气（煤气）加热炉燃烧器操作部位未设置可燃气体泄漏报警装置，或燃烧系统未设置防突然熄火或点火失败的安全装置。</w:t>
            </w:r>
          </w:p>
        </w:tc>
        <w:tc>
          <w:tcPr>
            <w:tcW w:w="3545" w:type="dxa"/>
            <w:vAlign w:val="center"/>
          </w:tcPr>
          <w:p>
            <w:pPr>
              <w:widowControl/>
              <w:adjustRightInd w:val="0"/>
              <w:snapToGrid w:val="0"/>
              <w:ind w:firstLine="420"/>
            </w:pPr>
            <w:r>
              <w:rPr>
                <w:rFonts w:hint="eastAsia"/>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pPr>
            <w:r>
              <w:rPr>
                <w:rFonts w:hint="eastAsia"/>
              </w:rPr>
              <w:t>……</w:t>
            </w:r>
          </w:p>
          <w:p>
            <w:pPr>
              <w:widowControl/>
              <w:adjustRightInd w:val="0"/>
              <w:snapToGrid w:val="0"/>
              <w:ind w:firstLine="420"/>
            </w:pPr>
            <w:r>
              <w:rPr>
                <w:rFonts w:hint="eastAsia"/>
              </w:rPr>
              <w:t>（二）安全设备的安装、使用、检测、改造和报废不符合国家标准或者行业标准的；</w:t>
            </w:r>
          </w:p>
          <w:p>
            <w:pPr>
              <w:widowControl/>
              <w:adjustRightInd w:val="0"/>
              <w:snapToGrid w:val="0"/>
              <w:ind w:firstLine="420"/>
            </w:pPr>
            <w:r>
              <w:rPr>
                <w:rFonts w:hint="eastAsia"/>
              </w:rPr>
              <w:t>（三）未对安全设备进行经常性维护、保养和定期检测的；</w:t>
            </w:r>
          </w:p>
          <w:p>
            <w:pPr>
              <w:widowControl/>
              <w:adjustRightInd w:val="0"/>
              <w:snapToGrid w:val="0"/>
              <w:ind w:firstLine="420" w:firstLineChars="200"/>
              <w:rPr>
                <w:rFonts w:ascii="宋体" w:hAnsi="宋体" w:cs="宋体"/>
                <w:kern w:val="0"/>
                <w:szCs w:val="21"/>
              </w:rPr>
            </w:pPr>
            <w:r>
              <w:rPr>
                <w:rFonts w:hint="eastAsia"/>
              </w:rPr>
              <w:t>……</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widowControl/>
              <w:adjustRightInd w:val="0"/>
              <w:snapToGrid w:val="0"/>
              <w:rPr>
                <w:rFonts w:ascii="宋体" w:hAnsi="宋体" w:cs="宋体"/>
                <w:kern w:val="0"/>
                <w:szCs w:val="21"/>
              </w:rPr>
            </w:pP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2.2 涂装调漆间和喷漆室应规范设置可燃气体报警装置和防爆电气设备设施</w:t>
            </w:r>
          </w:p>
        </w:tc>
        <w:tc>
          <w:tcPr>
            <w:tcW w:w="4250" w:type="dxa"/>
            <w:vAlign w:val="center"/>
          </w:tcPr>
          <w:p>
            <w:pPr>
              <w:pStyle w:val="2"/>
              <w:ind w:firstLine="420"/>
              <w:rPr>
                <w:rFonts w:ascii="宋体" w:hAnsi="宋体" w:eastAsia="宋体" w:cs="宋体"/>
                <w:kern w:val="0"/>
                <w:szCs w:val="21"/>
              </w:rPr>
            </w:pPr>
            <w:r>
              <w:rPr>
                <w:rFonts w:hint="eastAsia" w:ascii="宋体" w:hAnsi="宋体" w:eastAsia="宋体" w:cs="宋体"/>
                <w:kern w:val="0"/>
                <w:szCs w:val="21"/>
              </w:rPr>
              <w:t>《安全生产法》第三十三条  安全设备的设计、制造、安装、使用、检测、维修、改造和报废，应当符合国家标准或者行业标准。生产经营单位必须对安全设备进行经常性维护、保养，并定期检测，保证正常运转。维护、保养、检测应当作好记录，并由有关人员签字。</w:t>
            </w:r>
          </w:p>
          <w:p>
            <w:pPr>
              <w:widowControl/>
              <w:adjustRightInd w:val="0"/>
              <w:snapToGrid w:val="0"/>
              <w:ind w:firstLine="420" w:firstLineChars="200"/>
              <w:rPr>
                <w:rFonts w:ascii="宋体" w:hAnsi="宋体" w:cs="宋体"/>
                <w:kern w:val="0"/>
                <w:szCs w:val="21"/>
                <w:highlight w:val="none"/>
              </w:rPr>
            </w:pPr>
            <w:r>
              <w:rPr>
                <w:rFonts w:hint="eastAsia" w:ascii="宋体" w:hAnsi="宋体" w:cs="宋体"/>
                <w:kern w:val="0"/>
                <w:szCs w:val="21"/>
                <w:highlight w:val="none"/>
              </w:rPr>
              <w:t>《涂装作业安全规程涂漆工艺安全及其通风净化》（GB</w:t>
            </w:r>
            <w:r>
              <w:rPr>
                <w:rFonts w:ascii="宋体" w:hAnsi="宋体" w:cs="宋体"/>
                <w:kern w:val="0"/>
                <w:szCs w:val="21"/>
                <w:highlight w:val="none"/>
              </w:rPr>
              <w:t xml:space="preserve"> </w:t>
            </w:r>
            <w:r>
              <w:rPr>
                <w:rFonts w:hint="eastAsia" w:ascii="宋体" w:hAnsi="宋体" w:cs="宋体"/>
                <w:kern w:val="0"/>
                <w:szCs w:val="21"/>
                <w:highlight w:val="none"/>
              </w:rPr>
              <w:t>6514-2008）</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5.1.4.2.2  调漆室应为不燃烧、不发火的地面；室内通风换气次数15次/h～25次/h；照明及各类电气设备应为防爆型；调漆室应安装可燃气体浓度报警装置及配置消防器材。</w:t>
            </w:r>
          </w:p>
          <w:p>
            <w:pPr>
              <w:widowControl/>
              <w:adjustRightInd w:val="0"/>
              <w:snapToGrid w:val="0"/>
              <w:ind w:firstLine="420" w:firstLineChars="200"/>
              <w:rPr>
                <w:rFonts w:ascii="宋体" w:hAnsi="宋体" w:cs="宋体"/>
                <w:kern w:val="0"/>
                <w:szCs w:val="21"/>
              </w:rPr>
            </w:pPr>
            <w:r>
              <w:rPr>
                <w:rFonts w:ascii="宋体" w:hAnsi="宋体" w:cs="宋体"/>
                <w:kern w:val="0"/>
                <w:szCs w:val="21"/>
                <w:highlight w:val="none"/>
              </w:rPr>
              <w:t>《工贸行业重大生产安全事故隐患判定标准（2017版）》</w:t>
            </w:r>
            <w:r>
              <w:rPr>
                <w:rFonts w:ascii="宋体" w:hAnsi="宋体" w:cs="宋体"/>
                <w:kern w:val="0"/>
                <w:szCs w:val="21"/>
              </w:rPr>
              <w:t>（安监总管四〔2017〕129号）</w:t>
            </w:r>
          </w:p>
          <w:p>
            <w:pPr>
              <w:widowControl/>
              <w:adjustRightInd w:val="0"/>
              <w:snapToGrid w:val="0"/>
              <w:ind w:firstLine="420" w:firstLineChars="200"/>
              <w:rPr>
                <w:rFonts w:ascii="宋体" w:hAnsi="宋体" w:cs="宋体"/>
                <w:kern w:val="0"/>
                <w:szCs w:val="21"/>
              </w:rPr>
            </w:pPr>
            <w:r>
              <w:rPr>
                <w:rFonts w:ascii="宋体" w:hAnsi="宋体" w:cs="宋体"/>
                <w:kern w:val="0"/>
                <w:szCs w:val="21"/>
              </w:rPr>
              <w:t>二、行业类重大事故隐患</w:t>
            </w:r>
          </w:p>
          <w:p>
            <w:pPr>
              <w:widowControl/>
              <w:adjustRightInd w:val="0"/>
              <w:snapToGrid w:val="0"/>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四</w:t>
            </w:r>
            <w:r>
              <w:rPr>
                <w:rFonts w:ascii="宋体" w:hAnsi="宋体" w:cs="宋体"/>
                <w:kern w:val="0"/>
                <w:szCs w:val="21"/>
              </w:rPr>
              <w:t>）</w:t>
            </w:r>
            <w:r>
              <w:rPr>
                <w:rFonts w:hint="eastAsia" w:ascii="宋体" w:hAnsi="宋体" w:cs="宋体"/>
                <w:kern w:val="0"/>
                <w:szCs w:val="21"/>
              </w:rPr>
              <w:t>机械</w:t>
            </w:r>
            <w:r>
              <w:rPr>
                <w:rFonts w:ascii="宋体" w:hAnsi="宋体" w:cs="宋体"/>
                <w:kern w:val="0"/>
                <w:szCs w:val="21"/>
              </w:rPr>
              <w:t>行业。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7.涂装调漆间和喷漆室未规范设置可燃气体报警装置和防爆电气设备设施。</w:t>
            </w:r>
          </w:p>
        </w:tc>
        <w:tc>
          <w:tcPr>
            <w:tcW w:w="3545" w:type="dxa"/>
            <w:vAlign w:val="center"/>
          </w:tcPr>
          <w:p>
            <w:pPr>
              <w:widowControl/>
              <w:adjustRightInd w:val="0"/>
              <w:snapToGrid w:val="0"/>
              <w:ind w:firstLine="420"/>
            </w:pPr>
            <w:r>
              <w:rPr>
                <w:rFonts w:hint="eastAsia"/>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pPr>
            <w:r>
              <w:rPr>
                <w:rFonts w:hint="eastAsia"/>
              </w:rPr>
              <w:t>……</w:t>
            </w:r>
          </w:p>
          <w:p>
            <w:pPr>
              <w:widowControl/>
              <w:adjustRightInd w:val="0"/>
              <w:snapToGrid w:val="0"/>
              <w:ind w:firstLine="420"/>
            </w:pPr>
            <w:r>
              <w:rPr>
                <w:rFonts w:hint="eastAsia"/>
              </w:rPr>
              <w:t>（二）安全设备的安装、使用、检测、改造和报废不符合国家标准或者行业标准的；</w:t>
            </w:r>
          </w:p>
          <w:p>
            <w:pPr>
              <w:widowControl/>
              <w:adjustRightInd w:val="0"/>
              <w:snapToGrid w:val="0"/>
              <w:ind w:firstLine="420"/>
            </w:pPr>
            <w:r>
              <w:rPr>
                <w:rFonts w:hint="eastAsia"/>
              </w:rPr>
              <w:t>（三）未对安全设备进行经常性维护、保养和定期检测的；</w:t>
            </w:r>
          </w:p>
          <w:p>
            <w:pPr>
              <w:widowControl/>
              <w:adjustRightInd w:val="0"/>
              <w:snapToGrid w:val="0"/>
              <w:ind w:firstLine="420" w:firstLineChars="200"/>
              <w:rPr>
                <w:rFonts w:ascii="宋体" w:hAnsi="宋体" w:cs="宋体"/>
                <w:kern w:val="0"/>
                <w:szCs w:val="21"/>
              </w:rPr>
            </w:pPr>
            <w:r>
              <w:rPr>
                <w:rFonts w:hint="eastAsia"/>
              </w:rPr>
              <w:t>……</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spacing w:line="360" w:lineRule="exact"/>
              <w:jc w:val="center"/>
              <w:rPr>
                <w:rFonts w:ascii="宋体" w:hAnsi="宋体"/>
                <w:szCs w:val="21"/>
              </w:rPr>
            </w:pPr>
            <w:r>
              <w:rPr>
                <w:rFonts w:hint="eastAsia" w:ascii="宋体" w:hAnsi="宋体"/>
                <w:szCs w:val="21"/>
              </w:rPr>
              <w:t>3</w:t>
            </w:r>
          </w:p>
        </w:tc>
        <w:tc>
          <w:tcPr>
            <w:tcW w:w="1704" w:type="dxa"/>
            <w:vAlign w:val="center"/>
          </w:tcPr>
          <w:p>
            <w:pPr>
              <w:widowControl/>
              <w:adjustRightInd w:val="0"/>
              <w:snapToGrid w:val="0"/>
              <w:spacing w:line="360" w:lineRule="exact"/>
              <w:rPr>
                <w:rFonts w:ascii="宋体" w:hAnsi="宋体" w:cs="宋体"/>
                <w:kern w:val="0"/>
                <w:szCs w:val="21"/>
              </w:rPr>
            </w:pPr>
            <w:r>
              <w:rPr>
                <w:rFonts w:hint="eastAsia" w:ascii="宋体" w:hAnsi="宋体" w:cs="宋体"/>
                <w:kern w:val="0"/>
                <w:szCs w:val="21"/>
              </w:rPr>
              <w:t>有机溶剂清理清除情况</w:t>
            </w:r>
          </w:p>
        </w:tc>
        <w:tc>
          <w:tcPr>
            <w:tcW w:w="2551" w:type="dxa"/>
            <w:vAlign w:val="center"/>
          </w:tcPr>
          <w:p>
            <w:pPr>
              <w:widowControl/>
              <w:adjustRightInd w:val="0"/>
              <w:snapToGrid w:val="0"/>
              <w:spacing w:line="360" w:lineRule="exact"/>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使用易燃易爆稀释剂（如天拿水）清洗设备设施应采取有效措施及时清除集聚在地沟、地坑等有限空间内的可燃气体</w:t>
            </w:r>
          </w:p>
        </w:tc>
        <w:tc>
          <w:tcPr>
            <w:tcW w:w="4250" w:type="dxa"/>
            <w:vAlign w:val="center"/>
          </w:tcPr>
          <w:p>
            <w:pPr>
              <w:widowControl/>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《安全生产法》第三十六条  ……</w:t>
            </w:r>
          </w:p>
          <w:p>
            <w:pPr>
              <w:widowControl/>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widowControl/>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《涂装作业安全规程 涂漆前处理工艺安全及其通风净化》（GB 7692-2012）</w:t>
            </w:r>
          </w:p>
          <w:p>
            <w:pPr>
              <w:widowControl/>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5.1.1  用有机溶剂除油、除旧漆的前处理作业场所，分别属于甲、乙类火灾危险性生产区域，作业场所的防火，均应符合GB 50016的有关规定。</w:t>
            </w:r>
          </w:p>
          <w:p>
            <w:pPr>
              <w:widowControl/>
              <w:adjustRightInd w:val="0"/>
              <w:snapToGrid w:val="0"/>
              <w:spacing w:line="360" w:lineRule="exact"/>
              <w:ind w:firstLine="420" w:firstLineChars="200"/>
              <w:rPr>
                <w:rFonts w:ascii="宋体" w:hAnsi="宋体" w:cs="宋体"/>
                <w:kern w:val="0"/>
                <w:szCs w:val="21"/>
              </w:rPr>
            </w:pPr>
            <w:r>
              <w:rPr>
                <w:rFonts w:ascii="宋体" w:hAnsi="宋体" w:cs="宋体"/>
                <w:kern w:val="0"/>
                <w:szCs w:val="21"/>
              </w:rPr>
              <w:t>《</w:t>
            </w:r>
            <w:r>
              <w:rPr>
                <w:rFonts w:ascii="宋体" w:hAnsi="宋体" w:cs="宋体"/>
                <w:kern w:val="0"/>
                <w:szCs w:val="21"/>
                <w:highlight w:val="none"/>
              </w:rPr>
              <w:t>工贸行业重大生产安全事故隐患判定标准（2017版）</w:t>
            </w:r>
            <w:r>
              <w:rPr>
                <w:rFonts w:ascii="宋体" w:hAnsi="宋体" w:cs="宋体"/>
                <w:kern w:val="0"/>
                <w:szCs w:val="21"/>
              </w:rPr>
              <w:t>》（安监总管四〔2017〕129号）</w:t>
            </w:r>
          </w:p>
          <w:p>
            <w:pPr>
              <w:widowControl/>
              <w:adjustRightInd w:val="0"/>
              <w:snapToGrid w:val="0"/>
              <w:spacing w:line="360" w:lineRule="exact"/>
              <w:ind w:firstLine="420" w:firstLineChars="200"/>
              <w:rPr>
                <w:rFonts w:ascii="宋体" w:hAnsi="宋体" w:cs="宋体"/>
                <w:kern w:val="0"/>
                <w:szCs w:val="21"/>
              </w:rPr>
            </w:pPr>
            <w:r>
              <w:rPr>
                <w:rFonts w:ascii="宋体" w:hAnsi="宋体" w:cs="宋体"/>
                <w:kern w:val="0"/>
                <w:szCs w:val="21"/>
              </w:rPr>
              <w:t>二、行业类重大事故隐患（</w:t>
            </w:r>
            <w:r>
              <w:rPr>
                <w:rFonts w:hint="eastAsia" w:ascii="宋体" w:hAnsi="宋体" w:cs="宋体"/>
                <w:kern w:val="0"/>
                <w:szCs w:val="21"/>
              </w:rPr>
              <w:t>四</w:t>
            </w:r>
            <w:r>
              <w:rPr>
                <w:rFonts w:ascii="宋体" w:hAnsi="宋体" w:cs="宋体"/>
                <w:kern w:val="0"/>
                <w:szCs w:val="21"/>
              </w:rPr>
              <w:t>）</w:t>
            </w:r>
            <w:r>
              <w:rPr>
                <w:rFonts w:hint="eastAsia" w:ascii="宋体" w:hAnsi="宋体" w:cs="宋体"/>
                <w:kern w:val="0"/>
                <w:szCs w:val="21"/>
              </w:rPr>
              <w:t>机械</w:t>
            </w:r>
            <w:r>
              <w:rPr>
                <w:rFonts w:ascii="宋体" w:hAnsi="宋体" w:cs="宋体"/>
                <w:kern w:val="0"/>
                <w:szCs w:val="21"/>
              </w:rPr>
              <w:t>行业。</w:t>
            </w:r>
            <w:r>
              <w:rPr>
                <w:rFonts w:hint="eastAsia" w:ascii="宋体" w:hAnsi="宋体" w:cs="宋体"/>
                <w:kern w:val="0"/>
                <w:szCs w:val="21"/>
              </w:rPr>
              <w:t>6.使用易燃易爆稀释剂（如天拿水）清洗设备设施，未采取有效措施及时清除集聚在地沟、地坑等有限空间内的可燃气体。</w:t>
            </w:r>
          </w:p>
        </w:tc>
        <w:tc>
          <w:tcPr>
            <w:tcW w:w="3545" w:type="dxa"/>
            <w:vAlign w:val="center"/>
          </w:tcPr>
          <w:p>
            <w:pPr>
              <w:widowControl/>
              <w:adjustRightInd w:val="0"/>
              <w:snapToGrid w:val="0"/>
              <w:spacing w:line="360" w:lineRule="exact"/>
              <w:rPr>
                <w:rFonts w:ascii="宋体" w:hAnsi="宋体" w:cs="宋体"/>
                <w:kern w:val="0"/>
                <w:szCs w:val="21"/>
              </w:rPr>
            </w:pPr>
            <w:r>
              <w:rPr>
                <w:rFonts w:hint="eastAsia" w:ascii="宋体" w:hAnsi="宋体" w:cs="宋体"/>
                <w:kern w:val="0"/>
                <w:szCs w:val="21"/>
              </w:rPr>
              <w:t xml:space="preserve">    《安全生产法》第九十八条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（一）生产、经营、运输、储存、使用危险物品或者处置废弃危险物品，未建立专门安全管理制度、未采取可靠的安全措施的；</w:t>
            </w:r>
          </w:p>
          <w:p>
            <w:pPr>
              <w:widowControl/>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w:t>
            </w:r>
          </w:p>
        </w:tc>
        <w:tc>
          <w:tcPr>
            <w:tcW w:w="1013" w:type="dxa"/>
            <w:vAlign w:val="center"/>
          </w:tcPr>
          <w:p>
            <w:pPr>
              <w:widowControl/>
              <w:adjustRightInd w:val="0"/>
              <w:snapToGrid w:val="0"/>
              <w:spacing w:line="360" w:lineRule="exact"/>
              <w:rPr>
                <w:rFonts w:ascii="宋体" w:hAnsi="宋体" w:cs="宋体"/>
                <w:kern w:val="0"/>
                <w:szCs w:val="21"/>
              </w:rPr>
            </w:pPr>
          </w:p>
        </w:tc>
      </w:tr>
    </w:tbl>
    <w:p>
      <w:pPr>
        <w:rPr>
          <w:rFonts w:ascii="仿宋_GB2312" w:eastAsia="仿宋_GB2312"/>
          <w:sz w:val="32"/>
          <w:szCs w:val="32"/>
        </w:rPr>
      </w:pPr>
    </w:p>
    <w:p>
      <w:pPr>
        <w:rPr>
          <w:rFonts w:ascii="仿宋_GB2312" w:eastAsia="仿宋_GB2312"/>
          <w:sz w:val="32"/>
          <w:szCs w:val="32"/>
        </w:rPr>
      </w:pPr>
    </w:p>
    <w:p>
      <w:pPr>
        <w:pStyle w:val="4"/>
        <w:keepNext w:val="0"/>
        <w:keepLines w:val="0"/>
        <w:pageBreakBefore/>
        <w:spacing w:line="240" w:lineRule="auto"/>
        <w:rPr>
          <w:rFonts w:ascii="黑体" w:hAnsi="黑体" w:eastAsia="黑体"/>
          <w:b w:val="0"/>
        </w:rPr>
      </w:pPr>
      <w:r>
        <w:rPr>
          <w:rFonts w:hint="eastAsia" w:ascii="黑体" w:hAnsi="黑体" w:eastAsia="黑体"/>
          <w:b w:val="0"/>
        </w:rPr>
        <w:t>表5-5  轻工企业</w:t>
      </w:r>
    </w:p>
    <w:tbl>
      <w:tblPr>
        <w:tblStyle w:val="19"/>
        <w:tblW w:w="13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816"/>
        <w:gridCol w:w="1704"/>
        <w:gridCol w:w="2266"/>
        <w:gridCol w:w="4535"/>
        <w:gridCol w:w="354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50" w:hRule="atLeast"/>
          <w:tblHeader/>
          <w:jc w:val="center"/>
        </w:trPr>
        <w:tc>
          <w:tcPr>
            <w:tcW w:w="816"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序号</w:t>
            </w:r>
          </w:p>
        </w:tc>
        <w:tc>
          <w:tcPr>
            <w:tcW w:w="1704"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检查事项</w:t>
            </w:r>
          </w:p>
        </w:tc>
        <w:tc>
          <w:tcPr>
            <w:tcW w:w="2266"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检查内容</w:t>
            </w:r>
          </w:p>
        </w:tc>
        <w:tc>
          <w:tcPr>
            <w:tcW w:w="4535"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检查依据指引</w:t>
            </w:r>
          </w:p>
        </w:tc>
        <w:tc>
          <w:tcPr>
            <w:tcW w:w="3545"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法律责任指引</w:t>
            </w:r>
          </w:p>
        </w:tc>
        <w:tc>
          <w:tcPr>
            <w:tcW w:w="1013"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jc w:val="center"/>
              <w:rPr>
                <w:rFonts w:ascii="宋体" w:hAnsi="宋体"/>
                <w:szCs w:val="21"/>
              </w:rPr>
            </w:pPr>
            <w:r>
              <w:rPr>
                <w:rFonts w:hint="eastAsia" w:ascii="宋体" w:hAnsi="宋体"/>
                <w:szCs w:val="21"/>
              </w:rPr>
              <w:t>1</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高温设备安全保护措施配备情况</w:t>
            </w:r>
          </w:p>
        </w:tc>
        <w:tc>
          <w:tcPr>
            <w:tcW w:w="2266"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食品制造企业涉及烘制、油炸等设施设备，应采取防过热自动报警切断装置和隔热防护措施</w:t>
            </w:r>
          </w:p>
        </w:tc>
        <w:tc>
          <w:tcPr>
            <w:tcW w:w="4535"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 xml:space="preserve">《安全生产法》第三十三条 </w:t>
            </w:r>
            <w:r>
              <w:rPr>
                <w:rFonts w:hint="eastAsia" w:ascii="宋体" w:hAnsi="宋体" w:cs="宋体"/>
                <w:kern w:val="0"/>
                <w:szCs w:val="21"/>
                <w:lang w:val="en-US" w:eastAsia="zh-CN"/>
              </w:rPr>
              <w:t xml:space="preserve"> </w:t>
            </w:r>
            <w:r>
              <w:rPr>
                <w:rFonts w:hint="eastAsia" w:ascii="宋体" w:hAnsi="宋体" w:cs="宋体"/>
                <w:kern w:val="0"/>
                <w:szCs w:val="21"/>
              </w:rPr>
              <w:t>安全设备的设计、制造、安装、使用、检测、维修、改造和报废，应当符合国家标准或者行业标准。生产经营单位必须对安全设备进行经常性维护、保养，并定期检测，保证正常运转。维护、保养、检测应当作好记录，并由有关人员签字。</w:t>
            </w:r>
          </w:p>
          <w:p>
            <w:pPr>
              <w:widowControl/>
              <w:adjustRightInd w:val="0"/>
              <w:snapToGrid w:val="0"/>
              <w:ind w:firstLine="420" w:firstLineChars="200"/>
              <w:rPr>
                <w:rFonts w:ascii="Times New Roman" w:hAnsi="Times New Roman"/>
              </w:rPr>
            </w:pPr>
            <w:r>
              <w:rPr>
                <w:rFonts w:hint="eastAsia" w:ascii="宋体" w:hAnsi="宋体" w:cs="宋体"/>
                <w:kern w:val="0"/>
                <w:szCs w:val="21"/>
              </w:rPr>
              <w:t xml:space="preserve">《食品生产企业安全生产监督管理暂行规定》第十六条  </w:t>
            </w:r>
            <w:r>
              <w:rPr>
                <w:rFonts w:hint="eastAsia" w:ascii="Times New Roman" w:hAnsi="Times New Roman"/>
              </w:rPr>
              <w:t>食品生产企业的作业场所应当符合下列要求：</w:t>
            </w:r>
          </w:p>
          <w:p>
            <w:pPr>
              <w:widowControl/>
              <w:adjustRightInd w:val="0"/>
              <w:snapToGrid w:val="0"/>
              <w:ind w:firstLine="420" w:firstLineChars="200"/>
              <w:rPr>
                <w:rFonts w:ascii="Times New Roman" w:hAnsi="Times New Roman"/>
              </w:rPr>
            </w:pPr>
            <w:r>
              <w:rPr>
                <w:rFonts w:hint="eastAsia" w:ascii="Times New Roman" w:hAnsi="Times New Roman"/>
              </w:rPr>
              <w:t>……</w:t>
            </w:r>
          </w:p>
          <w:p>
            <w:pPr>
              <w:widowControl/>
              <w:adjustRightInd w:val="0"/>
              <w:snapToGrid w:val="0"/>
              <w:ind w:firstLine="420" w:firstLineChars="200"/>
              <w:rPr>
                <w:rFonts w:ascii="宋体" w:hAnsi="宋体" w:cs="宋体"/>
                <w:kern w:val="0"/>
                <w:szCs w:val="21"/>
              </w:rPr>
            </w:pPr>
            <w:r>
              <w:rPr>
                <w:rFonts w:hint="eastAsia" w:ascii="Times New Roman" w:hAnsi="Times New Roman"/>
              </w:rPr>
              <w:t>（三）</w:t>
            </w:r>
            <w:r>
              <w:rPr>
                <w:rFonts w:hint="eastAsia" w:ascii="宋体" w:hAnsi="宋体" w:cs="宋体"/>
                <w:kern w:val="0"/>
                <w:szCs w:val="21"/>
              </w:rPr>
              <w:t>涉及烘制、油炸等高温的设施设备和岗位，采用必要的防过热自动报警切断和隔热板、墙等保护设施</w:t>
            </w:r>
            <w:r>
              <w:rPr>
                <w:rFonts w:hint="eastAsia" w:ascii="宋体" w:hAnsi="宋体" w:cs="宋体"/>
                <w:bCs/>
                <w:kern w:val="0"/>
                <w:szCs w:val="21"/>
              </w:rPr>
              <w:t>；</w:t>
            </w:r>
            <w:r>
              <w:rPr>
                <w:rFonts w:ascii="宋体" w:hAnsi="宋体" w:cs="宋体"/>
                <w:kern w:val="0"/>
                <w:szCs w:val="21"/>
              </w:rPr>
              <w:t xml:space="preserve"> </w:t>
            </w:r>
          </w:p>
          <w:p>
            <w:pPr>
              <w:widowControl/>
              <w:adjustRightInd w:val="0"/>
              <w:snapToGrid w:val="0"/>
              <w:ind w:firstLine="420" w:firstLineChars="200"/>
              <w:rPr>
                <w:rFonts w:ascii="Times New Roman" w:hAnsi="Times New Roman"/>
              </w:rPr>
            </w:pPr>
            <w:r>
              <w:rPr>
                <w:rFonts w:hint="eastAsia" w:ascii="Times New Roman" w:hAnsi="Times New Roman"/>
              </w:rPr>
              <w:t>……</w:t>
            </w:r>
          </w:p>
          <w:p>
            <w:pPr>
              <w:widowControl/>
              <w:adjustRightInd w:val="0"/>
              <w:snapToGrid w:val="0"/>
              <w:ind w:firstLine="420" w:firstLineChars="200"/>
              <w:rPr>
                <w:rFonts w:ascii="宋体" w:hAnsi="宋体" w:cs="宋体"/>
                <w:kern w:val="0"/>
                <w:szCs w:val="21"/>
              </w:rPr>
            </w:pPr>
            <w:r>
              <w:rPr>
                <w:rFonts w:ascii="宋体" w:hAnsi="宋体" w:cs="宋体"/>
                <w:kern w:val="0"/>
                <w:szCs w:val="21"/>
                <w:highlight w:val="none"/>
              </w:rPr>
              <w:t>《工贸行业重大生产安全事故隐患判定标准（2017版）》</w:t>
            </w:r>
            <w:r>
              <w:rPr>
                <w:rFonts w:ascii="宋体" w:hAnsi="宋体" w:cs="宋体"/>
                <w:kern w:val="0"/>
                <w:szCs w:val="21"/>
              </w:rPr>
              <w:t>（安监总管四〔2017〕129号）</w:t>
            </w:r>
          </w:p>
          <w:p>
            <w:pPr>
              <w:widowControl/>
              <w:adjustRightInd w:val="0"/>
              <w:snapToGrid w:val="0"/>
              <w:ind w:firstLine="420" w:firstLineChars="200"/>
              <w:rPr>
                <w:rFonts w:ascii="宋体" w:hAnsi="宋体" w:cs="宋体"/>
                <w:kern w:val="0"/>
                <w:szCs w:val="21"/>
              </w:rPr>
            </w:pPr>
            <w:r>
              <w:rPr>
                <w:rFonts w:ascii="宋体" w:hAnsi="宋体" w:cs="宋体"/>
                <w:kern w:val="0"/>
                <w:szCs w:val="21"/>
              </w:rPr>
              <w:t>二、行业类重大事故隐患</w:t>
            </w:r>
          </w:p>
          <w:p>
            <w:pPr>
              <w:widowControl/>
              <w:adjustRightInd w:val="0"/>
              <w:snapToGrid w:val="0"/>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五</w:t>
            </w:r>
            <w:r>
              <w:rPr>
                <w:rFonts w:ascii="宋体" w:hAnsi="宋体" w:cs="宋体"/>
                <w:kern w:val="0"/>
                <w:szCs w:val="21"/>
              </w:rPr>
              <w:t>）</w:t>
            </w:r>
            <w:r>
              <w:rPr>
                <w:rFonts w:hint="eastAsia" w:ascii="宋体" w:hAnsi="宋体" w:cs="宋体"/>
                <w:kern w:val="0"/>
                <w:szCs w:val="21"/>
              </w:rPr>
              <w:t>轻工</w:t>
            </w:r>
            <w:r>
              <w:rPr>
                <w:rFonts w:ascii="宋体" w:hAnsi="宋体" w:cs="宋体"/>
                <w:kern w:val="0"/>
                <w:szCs w:val="21"/>
              </w:rPr>
              <w:t>行业。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1.食品制造企业涉及烘制、油炸等设施设备，未采取防过热自动报警切断装置和隔热防护措施。</w:t>
            </w:r>
          </w:p>
        </w:tc>
        <w:tc>
          <w:tcPr>
            <w:tcW w:w="3545" w:type="dxa"/>
            <w:vAlign w:val="center"/>
          </w:tcPr>
          <w:p>
            <w:pPr>
              <w:widowControl/>
              <w:adjustRightInd w:val="0"/>
              <w:snapToGrid w:val="0"/>
              <w:ind w:firstLine="420"/>
            </w:pPr>
            <w:r>
              <w:rPr>
                <w:rFonts w:hint="eastAsia"/>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pPr>
            <w:r>
              <w:rPr>
                <w:rFonts w:hint="eastAsia"/>
              </w:rPr>
              <w:t>……</w:t>
            </w:r>
          </w:p>
          <w:p>
            <w:pPr>
              <w:widowControl/>
              <w:adjustRightInd w:val="0"/>
              <w:snapToGrid w:val="0"/>
              <w:ind w:firstLine="420"/>
            </w:pPr>
            <w:r>
              <w:rPr>
                <w:rFonts w:hint="eastAsia"/>
              </w:rPr>
              <w:t>（二）安全设备的安装、使用、检测、改造和报废不符合国家标准或者行业标准的；</w:t>
            </w:r>
          </w:p>
          <w:p>
            <w:pPr>
              <w:widowControl/>
              <w:adjustRightInd w:val="0"/>
              <w:snapToGrid w:val="0"/>
              <w:ind w:firstLine="420"/>
            </w:pPr>
            <w:r>
              <w:rPr>
                <w:rFonts w:hint="eastAsia"/>
              </w:rPr>
              <w:t>（三）未对安全设备进行经常性维护、保养和定期检测的；</w:t>
            </w:r>
          </w:p>
          <w:p>
            <w:pPr>
              <w:widowControl/>
              <w:adjustRightInd w:val="0"/>
              <w:snapToGrid w:val="0"/>
              <w:rPr>
                <w:rFonts w:ascii="宋体" w:hAnsi="宋体" w:cs="宋体"/>
                <w:kern w:val="0"/>
                <w:szCs w:val="21"/>
              </w:rPr>
            </w:pPr>
            <w:r>
              <w:rPr>
                <w:rFonts w:hint="eastAsia"/>
              </w:rPr>
              <w:t xml:space="preserve">    ……</w:t>
            </w:r>
          </w:p>
          <w:p>
            <w:pPr>
              <w:widowControl/>
              <w:adjustRightInd w:val="0"/>
              <w:snapToGrid w:val="0"/>
              <w:ind w:firstLine="420" w:firstLineChars="200"/>
              <w:rPr>
                <w:rFonts w:ascii="宋体" w:hAnsi="宋体" w:cs="宋体"/>
                <w:kern w:val="0"/>
                <w:szCs w:val="21"/>
              </w:rPr>
            </w:pP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restart"/>
            <w:vAlign w:val="center"/>
          </w:tcPr>
          <w:p>
            <w:pPr>
              <w:jc w:val="center"/>
              <w:rPr>
                <w:rFonts w:ascii="宋体" w:hAnsi="宋体"/>
                <w:szCs w:val="21"/>
              </w:rPr>
            </w:pPr>
            <w:r>
              <w:rPr>
                <w:rFonts w:hint="eastAsia" w:ascii="宋体" w:hAnsi="宋体"/>
                <w:szCs w:val="21"/>
              </w:rPr>
              <w:t>2</w:t>
            </w:r>
          </w:p>
          <w:p>
            <w:pPr>
              <w:jc w:val="center"/>
              <w:rPr>
                <w:rFonts w:ascii="宋体" w:hAnsi="宋体"/>
                <w:szCs w:val="21"/>
              </w:rPr>
            </w:pPr>
          </w:p>
          <w:p>
            <w:pPr>
              <w:jc w:val="center"/>
              <w:rPr>
                <w:rFonts w:ascii="宋体" w:hAnsi="宋体"/>
                <w:szCs w:val="21"/>
              </w:rPr>
            </w:pPr>
          </w:p>
        </w:tc>
        <w:tc>
          <w:tcPr>
            <w:tcW w:w="1704"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安全风险较高场所监测报警装置和防爆装置设置情况</w:t>
            </w:r>
          </w:p>
        </w:tc>
        <w:tc>
          <w:tcPr>
            <w:tcW w:w="2266"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2.1 白酒储存、勾兑场所应规范设置乙醇浓度监测报警装置</w:t>
            </w:r>
          </w:p>
          <w:p>
            <w:pPr>
              <w:widowControl/>
              <w:adjustRightInd w:val="0"/>
              <w:snapToGrid w:val="0"/>
              <w:rPr>
                <w:rFonts w:ascii="宋体" w:hAnsi="宋体" w:cs="宋体"/>
                <w:kern w:val="0"/>
                <w:szCs w:val="21"/>
              </w:rPr>
            </w:pPr>
          </w:p>
        </w:tc>
        <w:tc>
          <w:tcPr>
            <w:tcW w:w="4535"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 xml:space="preserve">《安全生产法》第三十三条 </w:t>
            </w:r>
            <w:r>
              <w:rPr>
                <w:rFonts w:hint="eastAsia" w:ascii="宋体" w:hAnsi="宋体" w:cs="宋体"/>
                <w:kern w:val="0"/>
                <w:szCs w:val="21"/>
                <w:lang w:val="en-US" w:eastAsia="zh-CN"/>
              </w:rPr>
              <w:t xml:space="preserve"> </w:t>
            </w:r>
            <w:r>
              <w:rPr>
                <w:rFonts w:hint="eastAsia" w:ascii="宋体" w:hAnsi="宋体" w:cs="宋体"/>
                <w:kern w:val="0"/>
                <w:szCs w:val="21"/>
              </w:rPr>
              <w:t>安全设备的设计、制造、安装、使用、检测、维修、改造和报废，应当符合国家标准或者行业标准。生产经营单位必须对安全设备进行经常性维护、保养，并定期检测，保证正常运转。维护、保养、检测应当作好记录，并由有关人员签字。</w:t>
            </w:r>
          </w:p>
          <w:p>
            <w:pPr>
              <w:widowControl/>
              <w:adjustRightInd w:val="0"/>
              <w:snapToGrid w:val="0"/>
              <w:ind w:firstLine="420" w:firstLineChars="200"/>
              <w:rPr>
                <w:rFonts w:ascii="宋体" w:hAnsi="宋体" w:cs="宋体"/>
                <w:kern w:val="0"/>
                <w:szCs w:val="21"/>
              </w:rPr>
            </w:pPr>
            <w:r>
              <w:rPr>
                <w:rFonts w:ascii="宋体" w:hAnsi="宋体" w:cs="宋体"/>
                <w:kern w:val="0"/>
                <w:szCs w:val="21"/>
                <w:highlight w:val="none"/>
              </w:rPr>
              <w:t>《工贸行业重大生产安全事故隐患判定标准（2017版）》</w:t>
            </w:r>
            <w:r>
              <w:rPr>
                <w:rFonts w:ascii="宋体" w:hAnsi="宋体" w:cs="宋体"/>
                <w:kern w:val="0"/>
                <w:szCs w:val="21"/>
              </w:rPr>
              <w:t>（安监总管四〔2017〕129号）</w:t>
            </w:r>
          </w:p>
          <w:p>
            <w:pPr>
              <w:widowControl/>
              <w:adjustRightInd w:val="0"/>
              <w:snapToGrid w:val="0"/>
              <w:ind w:firstLine="420" w:firstLineChars="200"/>
              <w:rPr>
                <w:rFonts w:ascii="宋体" w:hAnsi="宋体" w:cs="宋体"/>
                <w:kern w:val="0"/>
                <w:szCs w:val="21"/>
              </w:rPr>
            </w:pPr>
            <w:r>
              <w:rPr>
                <w:rFonts w:ascii="宋体" w:hAnsi="宋体" w:cs="宋体"/>
                <w:kern w:val="0"/>
                <w:szCs w:val="21"/>
              </w:rPr>
              <w:t>二、行业类重大事故隐患</w:t>
            </w:r>
          </w:p>
          <w:p>
            <w:pPr>
              <w:widowControl/>
              <w:adjustRightInd w:val="0"/>
              <w:snapToGrid w:val="0"/>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五</w:t>
            </w:r>
            <w:r>
              <w:rPr>
                <w:rFonts w:ascii="宋体" w:hAnsi="宋体" w:cs="宋体"/>
                <w:kern w:val="0"/>
                <w:szCs w:val="21"/>
              </w:rPr>
              <w:t>）</w:t>
            </w:r>
            <w:r>
              <w:rPr>
                <w:rFonts w:hint="eastAsia" w:ascii="宋体" w:hAnsi="宋体" w:cs="宋体"/>
                <w:kern w:val="0"/>
                <w:szCs w:val="21"/>
              </w:rPr>
              <w:t>轻工</w:t>
            </w:r>
            <w:r>
              <w:rPr>
                <w:rFonts w:ascii="宋体" w:hAnsi="宋体" w:cs="宋体"/>
                <w:kern w:val="0"/>
                <w:szCs w:val="21"/>
              </w:rPr>
              <w:t>行业。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2.白酒储存、勾兑场所未规范设置乙醇浓度检测报警装置。</w:t>
            </w:r>
          </w:p>
        </w:tc>
        <w:tc>
          <w:tcPr>
            <w:tcW w:w="3545" w:type="dxa"/>
            <w:vAlign w:val="center"/>
          </w:tcPr>
          <w:p>
            <w:pPr>
              <w:widowControl/>
              <w:adjustRightInd w:val="0"/>
              <w:snapToGrid w:val="0"/>
              <w:ind w:firstLine="420" w:firstLineChars="200"/>
            </w:pPr>
            <w:r>
              <w:rPr>
                <w:rFonts w:hint="eastAsia"/>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pPr>
            <w:r>
              <w:rPr>
                <w:rFonts w:hint="eastAsia"/>
              </w:rPr>
              <w:t>……</w:t>
            </w:r>
          </w:p>
          <w:p>
            <w:pPr>
              <w:widowControl/>
              <w:adjustRightInd w:val="0"/>
              <w:snapToGrid w:val="0"/>
              <w:ind w:firstLine="420" w:firstLineChars="200"/>
            </w:pPr>
            <w:r>
              <w:rPr>
                <w:rFonts w:hint="eastAsia"/>
              </w:rPr>
              <w:t>（二）安全设备的安装、使用、检测、改造和报废不符合国家标准或者行业标准的；</w:t>
            </w:r>
          </w:p>
          <w:p>
            <w:pPr>
              <w:widowControl/>
              <w:adjustRightInd w:val="0"/>
              <w:snapToGrid w:val="0"/>
              <w:ind w:firstLine="420" w:firstLineChars="200"/>
            </w:pPr>
            <w:r>
              <w:rPr>
                <w:rFonts w:hint="eastAsia"/>
              </w:rPr>
              <w:t>（三）未对安全设备进行经常性维护、保养和定期检测的；</w:t>
            </w:r>
          </w:p>
          <w:p>
            <w:pPr>
              <w:widowControl/>
              <w:adjustRightInd w:val="0"/>
              <w:snapToGrid w:val="0"/>
              <w:ind w:firstLine="420" w:firstLineChars="200"/>
              <w:rPr>
                <w:rFonts w:ascii="宋体" w:hAnsi="宋体" w:cs="宋体"/>
                <w:kern w:val="0"/>
                <w:szCs w:val="21"/>
              </w:rPr>
            </w:pPr>
            <w:r>
              <w:rPr>
                <w:rFonts w:hint="eastAsia"/>
              </w:rPr>
              <w:t>……</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804"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widowControl/>
              <w:adjustRightInd w:val="0"/>
              <w:snapToGrid w:val="0"/>
              <w:rPr>
                <w:rFonts w:ascii="宋体" w:hAnsi="宋体" w:cs="宋体"/>
                <w:kern w:val="0"/>
                <w:szCs w:val="21"/>
              </w:rPr>
            </w:pPr>
          </w:p>
        </w:tc>
        <w:tc>
          <w:tcPr>
            <w:tcW w:w="2266"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2.2 日用玻璃、陶瓷制造企业燃气窑炉应设置燃气低压警报器和快速切断阀，易燃易爆气体聚集区域应设置监测报警装置</w:t>
            </w:r>
          </w:p>
        </w:tc>
        <w:tc>
          <w:tcPr>
            <w:tcW w:w="4535"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《安全生产法》第三十三条  安全设备的设计、制造、安装、使用、检测、维修、改造和报废，应当符合国家标准或者行业标准。生产经营单位必须对安全设备进行经常性维护、保养，并定期检测，保证正常运转。维护、保养、检测应当作好记录，并由有关人员签字。</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《工业企业煤气安全规程》（GB 6222-2005）</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4.10  煤气危险区（如地下室、加压站、热风炉及各种煤气发生设施附近）的一氧化碳浓度应定期测定，在关键部位应设置一氧化碳监测装置，</w:t>
            </w:r>
            <w:r>
              <w:rPr>
                <w:rFonts w:hint="eastAsia" w:ascii="宋体" w:hAnsi="宋体" w:cs="宋体"/>
                <w:spacing w:val="-6"/>
                <w:kern w:val="0"/>
                <w:szCs w:val="21"/>
              </w:rPr>
              <w:t>作业环境一氧化碳最高允许浓度为</w:t>
            </w:r>
            <w:r>
              <w:rPr>
                <w:rFonts w:ascii="宋体" w:hAnsi="宋体" w:cs="宋体"/>
                <w:spacing w:val="-6"/>
                <w:kern w:val="0"/>
                <w:szCs w:val="21"/>
              </w:rPr>
              <w:t>30mg／m³(24ppm)</w:t>
            </w: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ascii="宋体" w:hAnsi="宋体" w:cs="宋体"/>
                <w:kern w:val="0"/>
                <w:szCs w:val="21"/>
                <w:highlight w:val="none"/>
              </w:rPr>
              <w:t>《工贸行业重大生产安全事故隐患判定标准（2017版）》（</w:t>
            </w:r>
            <w:r>
              <w:rPr>
                <w:rFonts w:ascii="宋体" w:hAnsi="宋体" w:cs="宋体"/>
                <w:kern w:val="0"/>
                <w:szCs w:val="21"/>
              </w:rPr>
              <w:t>安监总管四〔2017〕129号）</w:t>
            </w:r>
          </w:p>
          <w:p>
            <w:pPr>
              <w:widowControl/>
              <w:adjustRightInd w:val="0"/>
              <w:snapToGrid w:val="0"/>
              <w:ind w:firstLine="420" w:firstLineChars="200"/>
              <w:rPr>
                <w:rFonts w:ascii="宋体" w:hAnsi="宋体" w:cs="宋体"/>
                <w:kern w:val="0"/>
                <w:szCs w:val="21"/>
              </w:rPr>
            </w:pPr>
            <w:r>
              <w:rPr>
                <w:rFonts w:ascii="宋体" w:hAnsi="宋体" w:cs="宋体"/>
                <w:kern w:val="0"/>
                <w:szCs w:val="21"/>
              </w:rPr>
              <w:t>二、行业类重大事故隐患</w:t>
            </w:r>
          </w:p>
          <w:p>
            <w:pPr>
              <w:widowControl/>
              <w:adjustRightInd w:val="0"/>
              <w:snapToGrid w:val="0"/>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五</w:t>
            </w:r>
            <w:r>
              <w:rPr>
                <w:rFonts w:ascii="宋体" w:hAnsi="宋体" w:cs="宋体"/>
                <w:kern w:val="0"/>
                <w:szCs w:val="21"/>
              </w:rPr>
              <w:t>）</w:t>
            </w:r>
            <w:r>
              <w:rPr>
                <w:rFonts w:hint="eastAsia" w:ascii="宋体" w:hAnsi="宋体" w:cs="宋体"/>
                <w:kern w:val="0"/>
                <w:szCs w:val="21"/>
              </w:rPr>
              <w:t>轻工</w:t>
            </w:r>
            <w:r>
              <w:rPr>
                <w:rFonts w:ascii="宋体" w:hAnsi="宋体" w:cs="宋体"/>
                <w:kern w:val="0"/>
                <w:szCs w:val="21"/>
              </w:rPr>
              <w:t>行业。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4.日用玻璃、陶瓷制造企业燃气窑炉未设燃气低压警报器和快速切断阀，或易燃易爆气体聚集区域未设置监测报警装置。</w:t>
            </w:r>
          </w:p>
        </w:tc>
        <w:tc>
          <w:tcPr>
            <w:tcW w:w="3545" w:type="dxa"/>
            <w:vAlign w:val="center"/>
          </w:tcPr>
          <w:p>
            <w:pPr>
              <w:widowControl/>
              <w:adjustRightInd w:val="0"/>
              <w:snapToGrid w:val="0"/>
              <w:ind w:firstLine="420" w:firstLineChars="200"/>
            </w:pPr>
            <w:r>
              <w:rPr>
                <w:rFonts w:hint="eastAsia"/>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pPr>
            <w:r>
              <w:rPr>
                <w:rFonts w:hint="eastAsia"/>
              </w:rPr>
              <w:t>……</w:t>
            </w:r>
          </w:p>
          <w:p>
            <w:pPr>
              <w:widowControl/>
              <w:adjustRightInd w:val="0"/>
              <w:snapToGrid w:val="0"/>
              <w:ind w:firstLine="420"/>
            </w:pPr>
            <w:r>
              <w:rPr>
                <w:rFonts w:hint="eastAsia"/>
              </w:rPr>
              <w:t>（二）安全设备的安装、使用、检测、改造和报废不符合国家标准或者行业标准的；</w:t>
            </w:r>
          </w:p>
          <w:p>
            <w:pPr>
              <w:widowControl/>
              <w:adjustRightInd w:val="0"/>
              <w:snapToGrid w:val="0"/>
              <w:ind w:firstLine="420"/>
            </w:pPr>
            <w:r>
              <w:rPr>
                <w:rFonts w:hint="eastAsia"/>
              </w:rPr>
              <w:t>（三）未对安全设备进行经常性维护、保养和定期检测的；</w:t>
            </w:r>
          </w:p>
          <w:p>
            <w:pPr>
              <w:widowControl/>
              <w:adjustRightInd w:val="0"/>
              <w:snapToGrid w:val="0"/>
              <w:ind w:firstLine="420" w:firstLineChars="200"/>
              <w:rPr>
                <w:rFonts w:ascii="宋体" w:hAnsi="宋体" w:cs="宋体"/>
                <w:kern w:val="0"/>
                <w:szCs w:val="21"/>
              </w:rPr>
            </w:pPr>
            <w:r>
              <w:rPr>
                <w:rFonts w:hint="eastAsia"/>
              </w:rPr>
              <w:t>……</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widowControl/>
              <w:adjustRightInd w:val="0"/>
              <w:snapToGrid w:val="0"/>
              <w:rPr>
                <w:rFonts w:ascii="宋体" w:hAnsi="宋体" w:cs="宋体"/>
                <w:kern w:val="0"/>
                <w:szCs w:val="21"/>
              </w:rPr>
            </w:pPr>
          </w:p>
        </w:tc>
        <w:tc>
          <w:tcPr>
            <w:tcW w:w="2266"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2.3 喷涂车间、调漆间应规范设置通风装置和防爆电气设备设施</w:t>
            </w:r>
          </w:p>
        </w:tc>
        <w:tc>
          <w:tcPr>
            <w:tcW w:w="4535"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《安全生产法》第三十三条  安全设备的设计、制造、安装、使用、检测、维修、改造和报废，应当符合国家标准或者行业标准。生产经营单位必须对安全设备进行经常性维护、保养，并定期检测，保证正常运转。维护、保养、检测应当作好记录，并由有关人员签字。</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《涂装作业安全规程 喷漆室安全技术规定》（GB 14444-2006）</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5.3  喷漆室应设置安全通风装置和去除漆雾装置”；第6.1.1条规定：“喷漆区为1区爆炸危险区域”；第6.2条规定：“喷漆区的电气设施—喷漆区的电气接线和设备应符合爆炸危险场所1区的规定”。</w:t>
            </w:r>
          </w:p>
          <w:p>
            <w:pPr>
              <w:widowControl/>
              <w:adjustRightInd w:val="0"/>
              <w:snapToGrid w:val="0"/>
              <w:ind w:firstLine="420" w:firstLineChars="200"/>
              <w:rPr>
                <w:rFonts w:ascii="宋体" w:hAnsi="宋体" w:cs="宋体"/>
                <w:kern w:val="0"/>
                <w:szCs w:val="21"/>
              </w:rPr>
            </w:pPr>
            <w:r>
              <w:rPr>
                <w:rFonts w:ascii="宋体" w:hAnsi="宋体" w:cs="宋体"/>
                <w:kern w:val="0"/>
                <w:szCs w:val="21"/>
                <w:highlight w:val="none"/>
              </w:rPr>
              <w:t>《工贸行业重大生产安全事故隐患判定标准（2017版）》</w:t>
            </w:r>
            <w:r>
              <w:rPr>
                <w:rFonts w:ascii="宋体" w:hAnsi="宋体" w:cs="宋体"/>
                <w:kern w:val="0"/>
                <w:szCs w:val="21"/>
              </w:rPr>
              <w:t>（安监总管四〔2017〕129号）</w:t>
            </w:r>
          </w:p>
          <w:p>
            <w:pPr>
              <w:widowControl/>
              <w:adjustRightInd w:val="0"/>
              <w:snapToGrid w:val="0"/>
              <w:ind w:firstLine="420" w:firstLineChars="200"/>
              <w:rPr>
                <w:rFonts w:ascii="宋体" w:hAnsi="宋体" w:cs="宋体"/>
                <w:kern w:val="0"/>
                <w:szCs w:val="21"/>
              </w:rPr>
            </w:pPr>
            <w:r>
              <w:rPr>
                <w:rFonts w:ascii="宋体" w:hAnsi="宋体" w:cs="宋体"/>
                <w:kern w:val="0"/>
                <w:szCs w:val="21"/>
              </w:rPr>
              <w:t>二、行业类重大事故隐患</w:t>
            </w:r>
          </w:p>
          <w:p>
            <w:pPr>
              <w:widowControl/>
              <w:adjustRightInd w:val="0"/>
              <w:snapToGrid w:val="0"/>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五</w:t>
            </w:r>
            <w:r>
              <w:rPr>
                <w:rFonts w:ascii="宋体" w:hAnsi="宋体" w:cs="宋体"/>
                <w:kern w:val="0"/>
                <w:szCs w:val="21"/>
              </w:rPr>
              <w:t>）</w:t>
            </w:r>
            <w:r>
              <w:rPr>
                <w:rFonts w:hint="eastAsia" w:ascii="宋体" w:hAnsi="宋体" w:cs="宋体"/>
                <w:kern w:val="0"/>
                <w:szCs w:val="21"/>
              </w:rPr>
              <w:t>轻工</w:t>
            </w:r>
            <w:r>
              <w:rPr>
                <w:rFonts w:ascii="宋体" w:hAnsi="宋体" w:cs="宋体"/>
                <w:kern w:val="0"/>
                <w:szCs w:val="21"/>
              </w:rPr>
              <w:t>行业。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6.喷涂车间、调漆间未规范设置通风装置和防爆电气设备设施。</w:t>
            </w:r>
          </w:p>
        </w:tc>
        <w:tc>
          <w:tcPr>
            <w:tcW w:w="3545" w:type="dxa"/>
            <w:vAlign w:val="center"/>
          </w:tcPr>
          <w:p>
            <w:pPr>
              <w:widowControl/>
              <w:adjustRightInd w:val="0"/>
              <w:snapToGrid w:val="0"/>
              <w:ind w:firstLine="420"/>
            </w:pPr>
            <w:r>
              <w:rPr>
                <w:rFonts w:hint="eastAsia"/>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pPr>
            <w:r>
              <w:rPr>
                <w:rFonts w:hint="eastAsia"/>
              </w:rPr>
              <w:t>……</w:t>
            </w:r>
          </w:p>
          <w:p>
            <w:pPr>
              <w:widowControl/>
              <w:adjustRightInd w:val="0"/>
              <w:snapToGrid w:val="0"/>
              <w:ind w:firstLine="420"/>
            </w:pPr>
            <w:r>
              <w:rPr>
                <w:rFonts w:hint="eastAsia"/>
              </w:rPr>
              <w:t>（二）安全设备的安装、使用、检测、改造和报废不符合国家标准或者行业标准的；</w:t>
            </w:r>
          </w:p>
          <w:p>
            <w:pPr>
              <w:widowControl/>
              <w:adjustRightInd w:val="0"/>
              <w:snapToGrid w:val="0"/>
              <w:ind w:firstLine="420"/>
            </w:pPr>
            <w:r>
              <w:rPr>
                <w:rFonts w:hint="eastAsia"/>
              </w:rPr>
              <w:t>（三）未对安全设备进行经常性维护、保养和定期检测的；</w:t>
            </w:r>
          </w:p>
          <w:p>
            <w:pPr>
              <w:widowControl/>
              <w:adjustRightInd w:val="0"/>
              <w:snapToGrid w:val="0"/>
              <w:ind w:firstLine="420" w:firstLineChars="200"/>
              <w:rPr>
                <w:rFonts w:ascii="宋体" w:hAnsi="宋体" w:cs="宋体"/>
                <w:kern w:val="0"/>
                <w:szCs w:val="21"/>
              </w:rPr>
            </w:pPr>
            <w:r>
              <w:rPr>
                <w:rFonts w:hint="eastAsia"/>
              </w:rPr>
              <w:t>……</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jc w:val="center"/>
              <w:rPr>
                <w:rFonts w:ascii="宋体" w:hAnsi="宋体"/>
                <w:szCs w:val="21"/>
              </w:rPr>
            </w:pPr>
            <w:r>
              <w:rPr>
                <w:rFonts w:hint="eastAsia" w:ascii="宋体" w:hAnsi="宋体"/>
                <w:szCs w:val="21"/>
              </w:rPr>
              <w:t>3</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日用玻璃制造企业炉、窑类设备安全防护情况</w:t>
            </w:r>
          </w:p>
        </w:tc>
        <w:tc>
          <w:tcPr>
            <w:tcW w:w="2266"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日用玻璃制造企业炉、窑类设备本体及附属设施严禁出现开裂、腐蚀、破损、衬砖损坏、壳体发红及明显弯曲变形</w:t>
            </w:r>
          </w:p>
        </w:tc>
        <w:tc>
          <w:tcPr>
            <w:tcW w:w="4535"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ascii="宋体" w:hAnsi="宋体" w:cs="宋体"/>
                <w:kern w:val="0"/>
                <w:szCs w:val="21"/>
                <w:highlight w:val="none"/>
              </w:rPr>
              <w:t>《工贸行业重大生产安全事故隐患判定标准（2017版）》</w:t>
            </w:r>
            <w:r>
              <w:rPr>
                <w:rFonts w:ascii="宋体" w:hAnsi="宋体" w:cs="宋体"/>
                <w:kern w:val="0"/>
                <w:szCs w:val="21"/>
              </w:rPr>
              <w:t>（安监总管四〔2017〕129号）</w:t>
            </w:r>
          </w:p>
          <w:p>
            <w:pPr>
              <w:widowControl/>
              <w:adjustRightInd w:val="0"/>
              <w:snapToGrid w:val="0"/>
              <w:ind w:firstLine="420" w:firstLineChars="200"/>
              <w:rPr>
                <w:rFonts w:ascii="宋体" w:hAnsi="宋体" w:cs="宋体"/>
                <w:kern w:val="0"/>
                <w:szCs w:val="21"/>
              </w:rPr>
            </w:pPr>
            <w:r>
              <w:rPr>
                <w:rFonts w:ascii="宋体" w:hAnsi="宋体" w:cs="宋体"/>
                <w:kern w:val="0"/>
                <w:szCs w:val="21"/>
              </w:rPr>
              <w:t>二、行业类重大事故隐患</w:t>
            </w:r>
          </w:p>
          <w:p>
            <w:pPr>
              <w:widowControl/>
              <w:adjustRightInd w:val="0"/>
              <w:snapToGrid w:val="0"/>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五</w:t>
            </w:r>
            <w:r>
              <w:rPr>
                <w:rFonts w:ascii="宋体" w:hAnsi="宋体" w:cs="宋体"/>
                <w:kern w:val="0"/>
                <w:szCs w:val="21"/>
              </w:rPr>
              <w:t>）</w:t>
            </w:r>
            <w:r>
              <w:rPr>
                <w:rFonts w:hint="eastAsia" w:ascii="宋体" w:hAnsi="宋体" w:cs="宋体"/>
                <w:kern w:val="0"/>
                <w:szCs w:val="21"/>
              </w:rPr>
              <w:t>轻工</w:t>
            </w:r>
            <w:r>
              <w:rPr>
                <w:rFonts w:ascii="宋体" w:hAnsi="宋体" w:cs="宋体"/>
                <w:kern w:val="0"/>
                <w:szCs w:val="21"/>
              </w:rPr>
              <w:t>行业。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5.日用玻璃制造企业炉、窑类设备本体及附属设施出现开裂、腐蚀、破损、衬砖损坏、壳体发红及明显弯曲变形。</w:t>
            </w:r>
          </w:p>
        </w:tc>
        <w:tc>
          <w:tcPr>
            <w:tcW w:w="3545"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jc w:val="center"/>
              <w:rPr>
                <w:rFonts w:ascii="宋体" w:hAnsi="宋体"/>
                <w:szCs w:val="21"/>
              </w:rPr>
            </w:pPr>
            <w:r>
              <w:rPr>
                <w:rFonts w:hint="eastAsia" w:ascii="宋体" w:hAnsi="宋体"/>
                <w:szCs w:val="21"/>
              </w:rPr>
              <w:t>4</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纸浆制造、造纸企业液氯使用安全</w:t>
            </w:r>
          </w:p>
        </w:tc>
        <w:tc>
          <w:tcPr>
            <w:tcW w:w="2266"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纸浆制造、造纸企业严禁使用水蒸气或明火直接加热钢瓶汽化液氯</w:t>
            </w:r>
          </w:p>
        </w:tc>
        <w:tc>
          <w:tcPr>
            <w:tcW w:w="4535"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《氯气安全规程》（GB 11984-2008）</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6.1.5不应使用蒸汽、明火直接加热气瓶。可采用40℃以下的温水加热。</w:t>
            </w:r>
          </w:p>
          <w:p>
            <w:pPr>
              <w:widowControl/>
              <w:adjustRightInd w:val="0"/>
              <w:snapToGrid w:val="0"/>
              <w:ind w:firstLine="420" w:firstLineChars="200"/>
              <w:rPr>
                <w:rFonts w:ascii="宋体" w:hAnsi="宋体" w:cs="宋体"/>
                <w:kern w:val="0"/>
                <w:szCs w:val="21"/>
              </w:rPr>
            </w:pPr>
            <w:r>
              <w:rPr>
                <w:rFonts w:ascii="宋体" w:hAnsi="宋体" w:cs="宋体"/>
                <w:kern w:val="0"/>
                <w:szCs w:val="21"/>
                <w:highlight w:val="none"/>
              </w:rPr>
              <w:t>《工贸行业重大生产安全事故隐患判定标准（2017版）</w:t>
            </w:r>
            <w:r>
              <w:rPr>
                <w:rFonts w:ascii="宋体" w:hAnsi="宋体" w:cs="宋体"/>
                <w:kern w:val="0"/>
                <w:szCs w:val="21"/>
              </w:rPr>
              <w:t>》（安监总管四〔2017〕129号）</w:t>
            </w:r>
          </w:p>
          <w:p>
            <w:pPr>
              <w:widowControl/>
              <w:adjustRightInd w:val="0"/>
              <w:snapToGrid w:val="0"/>
              <w:ind w:firstLine="420" w:firstLineChars="200"/>
              <w:rPr>
                <w:rFonts w:ascii="宋体" w:hAnsi="宋体" w:cs="宋体"/>
                <w:kern w:val="0"/>
                <w:szCs w:val="21"/>
              </w:rPr>
            </w:pPr>
            <w:r>
              <w:rPr>
                <w:rFonts w:ascii="宋体" w:hAnsi="宋体" w:cs="宋体"/>
                <w:kern w:val="0"/>
                <w:szCs w:val="21"/>
              </w:rPr>
              <w:t>二、行业类重大事故隐患</w:t>
            </w:r>
          </w:p>
          <w:p>
            <w:pPr>
              <w:widowControl/>
              <w:adjustRightInd w:val="0"/>
              <w:snapToGrid w:val="0"/>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五</w:t>
            </w:r>
            <w:r>
              <w:rPr>
                <w:rFonts w:ascii="宋体" w:hAnsi="宋体" w:cs="宋体"/>
                <w:kern w:val="0"/>
                <w:szCs w:val="21"/>
              </w:rPr>
              <w:t>）</w:t>
            </w:r>
            <w:r>
              <w:rPr>
                <w:rFonts w:hint="eastAsia" w:ascii="宋体" w:hAnsi="宋体" w:cs="宋体"/>
                <w:kern w:val="0"/>
                <w:szCs w:val="21"/>
              </w:rPr>
              <w:t>轻工</w:t>
            </w:r>
            <w:r>
              <w:rPr>
                <w:rFonts w:ascii="宋体" w:hAnsi="宋体" w:cs="宋体"/>
                <w:kern w:val="0"/>
                <w:szCs w:val="21"/>
              </w:rPr>
              <w:t>行业。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3.纸浆制造、造纸企业使用水蒸气或明火直接加热钢瓶汽化液氯。</w:t>
            </w:r>
          </w:p>
        </w:tc>
        <w:tc>
          <w:tcPr>
            <w:tcW w:w="3545"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1013" w:type="dxa"/>
            <w:vAlign w:val="center"/>
          </w:tcPr>
          <w:p>
            <w:pPr>
              <w:widowControl/>
              <w:adjustRightInd w:val="0"/>
              <w:snapToGrid w:val="0"/>
              <w:rPr>
                <w:rFonts w:ascii="宋体" w:hAnsi="宋体" w:cs="宋体"/>
                <w:kern w:val="0"/>
                <w:szCs w:val="21"/>
              </w:rPr>
            </w:pPr>
          </w:p>
        </w:tc>
      </w:tr>
    </w:tbl>
    <w:p>
      <w:pPr>
        <w:pStyle w:val="4"/>
        <w:keepNext w:val="0"/>
        <w:keepLines w:val="0"/>
        <w:pageBreakBefore/>
        <w:spacing w:line="240" w:lineRule="auto"/>
        <w:rPr>
          <w:rFonts w:ascii="黑体" w:hAnsi="黑体" w:eastAsia="黑体"/>
          <w:b w:val="0"/>
        </w:rPr>
      </w:pPr>
      <w:r>
        <w:rPr>
          <w:rFonts w:hint="eastAsia" w:ascii="黑体" w:hAnsi="黑体" w:eastAsia="黑体"/>
          <w:b w:val="0"/>
        </w:rPr>
        <w:t>表5-6  纺织企业</w:t>
      </w:r>
    </w:p>
    <w:tbl>
      <w:tblPr>
        <w:tblStyle w:val="19"/>
        <w:tblW w:w="13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816"/>
        <w:gridCol w:w="1704"/>
        <w:gridCol w:w="2551"/>
        <w:gridCol w:w="4250"/>
        <w:gridCol w:w="354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50" w:hRule="atLeast"/>
          <w:tblHeader/>
          <w:jc w:val="center"/>
        </w:trPr>
        <w:tc>
          <w:tcPr>
            <w:tcW w:w="816"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序号</w:t>
            </w:r>
          </w:p>
        </w:tc>
        <w:tc>
          <w:tcPr>
            <w:tcW w:w="1704"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检查事项</w:t>
            </w:r>
          </w:p>
        </w:tc>
        <w:tc>
          <w:tcPr>
            <w:tcW w:w="2551"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检查内容</w:t>
            </w:r>
          </w:p>
        </w:tc>
        <w:tc>
          <w:tcPr>
            <w:tcW w:w="4250"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检查依据指引</w:t>
            </w:r>
          </w:p>
        </w:tc>
        <w:tc>
          <w:tcPr>
            <w:tcW w:w="3545"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法律责任指引</w:t>
            </w:r>
          </w:p>
        </w:tc>
        <w:tc>
          <w:tcPr>
            <w:tcW w:w="1013"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jc w:val="center"/>
              <w:rPr>
                <w:rFonts w:ascii="宋体" w:hAnsi="宋体"/>
                <w:szCs w:val="21"/>
              </w:rPr>
            </w:pPr>
            <w:r>
              <w:rPr>
                <w:rFonts w:hint="eastAsia" w:ascii="宋体" w:hAnsi="宋体"/>
                <w:szCs w:val="21"/>
              </w:rPr>
              <w:t>1</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汽化室、燃气贮罐、储油罐、热媒炉设置和布局情况</w:t>
            </w: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纱、线、织物加工的烧毛、开幅、烘干等热定型工艺使用煤气、石油液化气、天然气和汽油等汽化气烧毛的燃气分配室、储气罐、储油罐、汽油汽化器、热媒炉等设备、装置，必须与生产加工、人员密集场所明确分开，单独设置</w:t>
            </w:r>
          </w:p>
        </w:tc>
        <w:tc>
          <w:tcPr>
            <w:tcW w:w="425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《纺织工业企业安全管理规范》(AQ 7002-2007)</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11.2.10.2  使用煤气、石油液化气、天然气和汽油等汽化气烧毛的燃气分配室、储气罐、储油罐、汽油汽化器、热媒炉等设备、装置，必须与生产加工、人员密集场所明确分开，单独设置，保持安全距离。……</w:t>
            </w:r>
          </w:p>
          <w:p>
            <w:pPr>
              <w:widowControl/>
              <w:adjustRightInd w:val="0"/>
              <w:snapToGrid w:val="0"/>
              <w:ind w:firstLine="420" w:firstLineChars="200"/>
              <w:rPr>
                <w:rFonts w:ascii="宋体" w:hAnsi="宋体" w:cs="宋体"/>
                <w:kern w:val="0"/>
                <w:szCs w:val="21"/>
              </w:rPr>
            </w:pPr>
            <w:r>
              <w:rPr>
                <w:rFonts w:ascii="宋体" w:hAnsi="宋体" w:cs="宋体"/>
                <w:kern w:val="0"/>
                <w:szCs w:val="21"/>
                <w:highlight w:val="none"/>
              </w:rPr>
              <w:t>《工贸行业重大生产安全事故隐患判定标准（2017版）》</w:t>
            </w:r>
            <w:r>
              <w:rPr>
                <w:rFonts w:ascii="宋体" w:hAnsi="宋体" w:cs="宋体"/>
                <w:kern w:val="0"/>
                <w:szCs w:val="21"/>
              </w:rPr>
              <w:t>（安监总管四〔2017〕129号）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二、行业类重大事故隐患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（六）纺织行业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1.纱、线、织物加工的烧毛、开幅、烘干等热定型工艺的汽化室、燃气贮罐、储油罐、热媒炉等未与生产加工、人员密集场所明确分开或单独设置。</w:t>
            </w:r>
          </w:p>
        </w:tc>
        <w:tc>
          <w:tcPr>
            <w:tcW w:w="3545" w:type="dxa"/>
            <w:vAlign w:val="center"/>
          </w:tcPr>
          <w:p>
            <w:pPr>
              <w:widowControl/>
              <w:adjustRightInd w:val="0"/>
              <w:snapToGrid w:val="0"/>
              <w:ind w:firstLine="420" w:firstLineChars="200"/>
            </w:pPr>
            <w:r>
              <w:rPr>
                <w:rFonts w:hint="eastAsia" w:ascii="宋体" w:hAnsi="宋体" w:cs="宋体"/>
                <w:kern w:val="0"/>
                <w:szCs w:val="21"/>
              </w:rPr>
              <w:t>《安全生产法》</w:t>
            </w:r>
            <w:r>
              <w:rPr>
                <w:rFonts w:hint="eastAsia"/>
              </w:rPr>
              <w:t>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1013" w:type="dxa"/>
            <w:vAlign w:val="center"/>
          </w:tcPr>
          <w:p>
            <w:pPr>
              <w:widowControl/>
              <w:adjustRightInd w:val="0"/>
              <w:snapToGrid w:val="0"/>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18" w:hRule="atLeast"/>
          <w:jc w:val="center"/>
        </w:trPr>
        <w:tc>
          <w:tcPr>
            <w:tcW w:w="816" w:type="dxa"/>
            <w:vAlign w:val="center"/>
          </w:tcPr>
          <w:p>
            <w:pPr>
              <w:jc w:val="center"/>
              <w:rPr>
                <w:rFonts w:ascii="宋体" w:hAnsi="宋体"/>
                <w:szCs w:val="21"/>
              </w:rPr>
            </w:pPr>
            <w:r>
              <w:rPr>
                <w:rFonts w:hint="eastAsia" w:ascii="宋体" w:hAnsi="宋体"/>
                <w:szCs w:val="21"/>
              </w:rPr>
              <w:t>2</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危险品储存安全措施情况</w:t>
            </w: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保险粉、双氧水、亚氯酸钠、雕白粉（吊白块）等危险品严禁超存、与禁忌物料混存、露天堆放。保险粉应储存在通风良好、空气干燥的场所</w:t>
            </w:r>
          </w:p>
        </w:tc>
        <w:tc>
          <w:tcPr>
            <w:tcW w:w="4250" w:type="dxa"/>
            <w:vAlign w:val="center"/>
          </w:tcPr>
          <w:p>
            <w:pPr>
              <w:widowControl/>
              <w:adjustRightInd w:val="0"/>
              <w:snapToGrid w:val="0"/>
              <w:ind w:firstLine="420" w:firstLineChars="200"/>
            </w:pPr>
            <w:r>
              <w:rPr>
                <w:rFonts w:hint="eastAsia" w:ascii="宋体" w:hAnsi="宋体" w:cs="宋体"/>
                <w:kern w:val="0"/>
                <w:szCs w:val="21"/>
              </w:rPr>
              <w:t>《安全生产法》第三十六条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《纺织工业企业安全管理规范》(AQ 7002-2007)</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13.3.6  储存的危险化学品，特别是甲、乙类危险化学品，必须包装牢固、密封，严防跑、冒、滴、漏，并且定点存放，严禁超存、混存、露天堆放。</w:t>
            </w:r>
          </w:p>
          <w:p>
            <w:pPr>
              <w:widowControl/>
              <w:adjustRightInd w:val="0"/>
              <w:snapToGrid w:val="0"/>
              <w:ind w:firstLine="420"/>
              <w:rPr>
                <w:rFonts w:ascii="宋体" w:hAnsi="宋体" w:cs="宋体"/>
                <w:kern w:val="0"/>
                <w:szCs w:val="21"/>
              </w:rPr>
            </w:pPr>
            <w:r>
              <w:rPr>
                <w:rFonts w:hint="eastAsia" w:ascii="宋体" w:hAnsi="宋体" w:cs="宋体"/>
                <w:kern w:val="0"/>
                <w:szCs w:val="21"/>
              </w:rPr>
              <w:t>易自燃或者遇水分解的物品，必须在温度较低、通风良好和空气干燥的场所储存，做好防水、防潮、防腐蚀措施。</w:t>
            </w:r>
          </w:p>
          <w:p>
            <w:pPr>
              <w:widowControl/>
              <w:adjustRightInd w:val="0"/>
              <w:snapToGrid w:val="0"/>
              <w:ind w:firstLine="420"/>
              <w:rPr>
                <w:rFonts w:ascii="宋体" w:hAnsi="宋体" w:cs="宋体"/>
                <w:kern w:val="0"/>
                <w:szCs w:val="21"/>
              </w:rPr>
            </w:pPr>
            <w:r>
              <w:rPr>
                <w:rFonts w:hint="eastAsia" w:ascii="宋体" w:hAnsi="宋体" w:cs="宋体"/>
                <w:kern w:val="0"/>
                <w:szCs w:val="21"/>
              </w:rPr>
              <w:t xml:space="preserve">凡易相互发生化学反应或者灭火方法不同的化学物品必须分间、分库储存，并在醒目处标明储存物品的名称、性质和灭火方法。    </w:t>
            </w:r>
          </w:p>
          <w:p>
            <w:pPr>
              <w:widowControl/>
              <w:adjustRightInd w:val="0"/>
              <w:snapToGrid w:val="0"/>
              <w:ind w:firstLine="420"/>
              <w:rPr>
                <w:rFonts w:ascii="宋体" w:hAnsi="宋体" w:cs="宋体"/>
                <w:kern w:val="0"/>
                <w:szCs w:val="21"/>
              </w:rPr>
            </w:pPr>
            <w:r>
              <w:rPr>
                <w:rFonts w:ascii="宋体" w:hAnsi="宋体" w:cs="宋体"/>
                <w:kern w:val="0"/>
                <w:szCs w:val="21"/>
                <w:highlight w:val="none"/>
              </w:rPr>
              <w:t>《工贸行业重大生产安全事故隐患判定标准（2017版）》</w:t>
            </w:r>
            <w:r>
              <w:rPr>
                <w:rFonts w:ascii="宋体" w:hAnsi="宋体" w:cs="宋体"/>
                <w:kern w:val="0"/>
                <w:szCs w:val="21"/>
              </w:rPr>
              <w:t>（安监总管四〔2017〕129号）</w:t>
            </w:r>
          </w:p>
          <w:p>
            <w:pPr>
              <w:widowControl/>
              <w:adjustRightInd w:val="0"/>
              <w:snapToGrid w:val="0"/>
              <w:ind w:firstLine="420"/>
              <w:rPr>
                <w:rFonts w:ascii="宋体" w:hAnsi="宋体" w:cs="宋体"/>
                <w:kern w:val="0"/>
                <w:szCs w:val="21"/>
              </w:rPr>
            </w:pPr>
            <w:r>
              <w:rPr>
                <w:rFonts w:hint="eastAsia" w:ascii="宋体" w:hAnsi="宋体" w:cs="宋体"/>
                <w:kern w:val="0"/>
                <w:szCs w:val="21"/>
              </w:rPr>
              <w:t>二、行业类重大事故隐患</w:t>
            </w:r>
          </w:p>
          <w:p>
            <w:pPr>
              <w:widowControl/>
              <w:adjustRightInd w:val="0"/>
              <w:snapToGrid w:val="0"/>
              <w:ind w:firstLine="420"/>
              <w:rPr>
                <w:rFonts w:ascii="宋体" w:hAnsi="宋体" w:cs="宋体"/>
                <w:kern w:val="0"/>
                <w:szCs w:val="21"/>
              </w:rPr>
            </w:pPr>
            <w:r>
              <w:rPr>
                <w:rFonts w:hint="eastAsia" w:ascii="宋体" w:hAnsi="宋体" w:cs="宋体"/>
                <w:kern w:val="0"/>
                <w:szCs w:val="21"/>
              </w:rPr>
              <w:t>（六）纺织行业</w:t>
            </w:r>
          </w:p>
          <w:p>
            <w:pPr>
              <w:widowControl/>
              <w:adjustRightInd w:val="0"/>
              <w:snapToGrid w:val="0"/>
              <w:ind w:firstLine="420"/>
              <w:rPr>
                <w:rFonts w:ascii="宋体" w:hAnsi="宋体" w:cs="宋体"/>
                <w:kern w:val="0"/>
                <w:szCs w:val="21"/>
              </w:rPr>
            </w:pPr>
            <w:r>
              <w:rPr>
                <w:rFonts w:hint="eastAsia" w:ascii="宋体" w:hAnsi="宋体" w:cs="宋体"/>
                <w:kern w:val="0"/>
                <w:szCs w:val="21"/>
              </w:rPr>
              <w:t>2.保险粉、双氧水、亚氯酸钠、雕白粉（吊白块）等危险品与禁忌物料混合贮存的；保险粉露天堆放，或储存场所未采取防水、防潮等措施。</w:t>
            </w:r>
          </w:p>
        </w:tc>
        <w:tc>
          <w:tcPr>
            <w:tcW w:w="3545"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（一）生产、经营、运输、储存、使用危险物品或者处置废弃危险物品，未建立专门安全管理制度、未采取可靠的安全措施的；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1013" w:type="dxa"/>
            <w:vAlign w:val="center"/>
          </w:tcPr>
          <w:p>
            <w:pPr>
              <w:widowControl/>
              <w:adjustRightInd w:val="0"/>
              <w:snapToGrid w:val="0"/>
              <w:rPr>
                <w:rFonts w:ascii="宋体" w:hAnsi="宋体" w:cs="宋体"/>
                <w:kern w:val="0"/>
                <w:szCs w:val="21"/>
              </w:rPr>
            </w:pPr>
          </w:p>
        </w:tc>
      </w:tr>
    </w:tbl>
    <w:p>
      <w:pPr>
        <w:pStyle w:val="4"/>
        <w:keepNext w:val="0"/>
        <w:keepLines w:val="0"/>
        <w:pageBreakBefore/>
        <w:spacing w:line="240" w:lineRule="auto"/>
        <w:rPr>
          <w:rFonts w:ascii="黑体" w:hAnsi="黑体" w:eastAsia="黑体"/>
          <w:b w:val="0"/>
        </w:rPr>
      </w:pPr>
      <w:r>
        <w:rPr>
          <w:rFonts w:hint="eastAsia" w:ascii="黑体" w:hAnsi="黑体" w:eastAsia="黑体"/>
          <w:b w:val="0"/>
        </w:rPr>
        <w:t>表5-7  烟草企业</w:t>
      </w:r>
    </w:p>
    <w:tbl>
      <w:tblPr>
        <w:tblStyle w:val="19"/>
        <w:tblW w:w="13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816"/>
        <w:gridCol w:w="1704"/>
        <w:gridCol w:w="2551"/>
        <w:gridCol w:w="4250"/>
        <w:gridCol w:w="354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50" w:hRule="atLeast"/>
          <w:tblHeader/>
          <w:jc w:val="center"/>
        </w:trPr>
        <w:tc>
          <w:tcPr>
            <w:tcW w:w="816"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序号</w:t>
            </w:r>
          </w:p>
        </w:tc>
        <w:tc>
          <w:tcPr>
            <w:tcW w:w="1704"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检查事项</w:t>
            </w:r>
          </w:p>
        </w:tc>
        <w:tc>
          <w:tcPr>
            <w:tcW w:w="2551"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检查内容</w:t>
            </w:r>
          </w:p>
        </w:tc>
        <w:tc>
          <w:tcPr>
            <w:tcW w:w="4250"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检查依据指引</w:t>
            </w:r>
          </w:p>
        </w:tc>
        <w:tc>
          <w:tcPr>
            <w:tcW w:w="3545"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法律责任指引</w:t>
            </w:r>
          </w:p>
        </w:tc>
        <w:tc>
          <w:tcPr>
            <w:tcW w:w="1013"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jc w:val="center"/>
              <w:rPr>
                <w:rFonts w:ascii="宋体" w:hAnsi="宋体"/>
                <w:szCs w:val="21"/>
              </w:rPr>
            </w:pPr>
            <w:r>
              <w:rPr>
                <w:rFonts w:hint="eastAsia" w:ascii="宋体" w:hAnsi="宋体"/>
                <w:szCs w:val="21"/>
              </w:rPr>
              <w:t>1</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熏蒸杀虫作业安全防护措施情况</w:t>
            </w: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作业场所设置警戒线，安排专人值班；作业人员应配置防毒面具</w:t>
            </w:r>
          </w:p>
        </w:tc>
        <w:tc>
          <w:tcPr>
            <w:tcW w:w="4250" w:type="dxa"/>
            <w:vAlign w:val="center"/>
          </w:tcPr>
          <w:p>
            <w:pPr>
              <w:ind w:firstLine="420" w:firstLineChars="200"/>
              <w:rPr>
                <w:rFonts w:hint="eastAsia" w:ascii="宋体" w:hAnsi="宋体"/>
                <w:szCs w:val="21"/>
              </w:rPr>
            </w:pPr>
            <w:r>
              <w:rPr>
                <w:rFonts w:hint="eastAsia"/>
              </w:rPr>
              <w:t>《安全生产法》第四十二条  生产经营单位必须为从</w:t>
            </w:r>
            <w:r>
              <w:rPr>
                <w:rFonts w:hint="eastAsia" w:ascii="宋体" w:hAnsi="宋体"/>
                <w:szCs w:val="21"/>
              </w:rPr>
              <w:t>业人员提供符合国家标准或者行业标准的劳动防护用品，并监督、教育从业人员按照使用规则佩戴、使用。</w:t>
            </w:r>
          </w:p>
          <w:p>
            <w:pPr>
              <w:ind w:firstLine="420" w:firstLineChars="200"/>
              <w:rPr>
                <w:rFonts w:ascii="宋体" w:hAnsi="宋体"/>
                <w:szCs w:val="21"/>
              </w:rPr>
            </w:pPr>
            <w:r>
              <w:rPr>
                <w:rFonts w:hint="eastAsia" w:ascii="宋体" w:hAnsi="宋体"/>
                <w:szCs w:val="21"/>
              </w:rPr>
              <w:t>《储烟虫害治理磷化氢与二氧化碳混合熏蒸安全规程》(YC 301-2009)</w:t>
            </w:r>
          </w:p>
          <w:p>
            <w:pPr>
              <w:ind w:firstLine="420" w:firstLineChars="200"/>
              <w:rPr>
                <w:rFonts w:ascii="宋体" w:hAnsi="宋体"/>
                <w:szCs w:val="21"/>
              </w:rPr>
            </w:pPr>
            <w:r>
              <w:rPr>
                <w:rFonts w:hint="eastAsia" w:ascii="宋体" w:hAnsi="宋体"/>
                <w:szCs w:val="21"/>
              </w:rPr>
              <w:t>4.1.1.2  熏蒸区域、设备清洗场所及残留物处理区应设置警戒线、悬挂醒目警示标志，并应安排专人值班，人员进入警戒区前应进行许可登记。</w:t>
            </w:r>
          </w:p>
          <w:p>
            <w:pPr>
              <w:ind w:firstLine="420" w:firstLineChars="200"/>
              <w:rPr>
                <w:rFonts w:ascii="宋体" w:hAnsi="宋体"/>
                <w:szCs w:val="21"/>
              </w:rPr>
            </w:pPr>
            <w:r>
              <w:rPr>
                <w:rFonts w:hint="eastAsia" w:ascii="宋体" w:hAnsi="宋体"/>
                <w:szCs w:val="21"/>
              </w:rPr>
              <w:t>4.1.2.1  现场人员应配备专用防护用品，劳动防护用品的选择应符合GB11651的相关规定。</w:t>
            </w:r>
          </w:p>
          <w:p>
            <w:pPr>
              <w:ind w:firstLine="420" w:firstLineChars="200"/>
              <w:rPr>
                <w:rFonts w:hint="eastAsia" w:ascii="宋体" w:hAnsi="宋体"/>
                <w:szCs w:val="21"/>
              </w:rPr>
            </w:pPr>
            <w:r>
              <w:rPr>
                <w:rFonts w:hint="eastAsia" w:ascii="宋体" w:hAnsi="宋体"/>
                <w:szCs w:val="21"/>
              </w:rPr>
              <w:t>4.1.2.2  接触、使用磷化铝等熏蒸药剂和清洗仓外磷化氢发生器的作业人员佩戴的防毒面具应符合GB2890的相关规定。</w:t>
            </w:r>
          </w:p>
          <w:p>
            <w:pPr>
              <w:ind w:firstLine="420" w:firstLineChars="200"/>
              <w:rPr>
                <w:rFonts w:ascii="宋体" w:hAnsi="宋体"/>
                <w:szCs w:val="21"/>
              </w:rPr>
            </w:pPr>
            <w:r>
              <w:rPr>
                <w:rFonts w:hint="eastAsia"/>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ascii="宋体" w:hAnsi="宋体" w:cs="宋体"/>
                <w:kern w:val="0"/>
                <w:szCs w:val="21"/>
                <w:highlight w:val="none"/>
              </w:rPr>
              <w:t>《工贸行业重大生产安全事故隐患判定标准（2017版）》</w:t>
            </w:r>
            <w:r>
              <w:rPr>
                <w:rFonts w:ascii="宋体" w:hAnsi="宋体" w:cs="宋体"/>
                <w:kern w:val="0"/>
                <w:szCs w:val="21"/>
              </w:rPr>
              <w:t>（安监总管四〔2017〕129号）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二、行业类重大事故隐患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（七）烟草行业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1.熏蒸杀虫作业前，未确认无关人员全部撤离仓库，且作业人员未配置防毒面具。</w:t>
            </w:r>
          </w:p>
        </w:tc>
        <w:tc>
          <w:tcPr>
            <w:tcW w:w="3545" w:type="dxa"/>
            <w:vAlign w:val="center"/>
          </w:tcPr>
          <w:p>
            <w:pPr>
              <w:ind w:firstLine="420" w:firstLineChars="200"/>
              <w:rPr>
                <w:rFonts w:ascii="宋体" w:hAnsi="宋体" w:cs="宋体"/>
                <w:kern w:val="0"/>
                <w:szCs w:val="21"/>
                <w:highlight w:val="none"/>
              </w:rPr>
            </w:pPr>
            <w:r>
              <w:rPr>
                <w:rFonts w:hint="eastAsia" w:ascii="宋体" w:hAnsi="宋体" w:cs="宋体"/>
                <w:kern w:val="0"/>
                <w:szCs w:val="21"/>
                <w:highlight w:val="none"/>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rPr>
                <w:rFonts w:ascii="宋体" w:hAnsi="宋体" w:cs="宋体"/>
                <w:kern w:val="0"/>
                <w:szCs w:val="21"/>
                <w:highlight w:val="none"/>
              </w:rPr>
            </w:pPr>
            <w:r>
              <w:rPr>
                <w:rFonts w:hint="eastAsia" w:ascii="宋体" w:hAnsi="宋体" w:cs="宋体"/>
                <w:kern w:val="0"/>
                <w:szCs w:val="21"/>
                <w:highlight w:val="none"/>
              </w:rPr>
              <w:t xml:space="preserve">    ……</w:t>
            </w:r>
          </w:p>
          <w:p>
            <w:pPr>
              <w:ind w:firstLine="420" w:firstLineChars="200"/>
              <w:rPr>
                <w:rFonts w:ascii="宋体" w:hAnsi="宋体" w:cs="宋体"/>
                <w:kern w:val="0"/>
                <w:szCs w:val="21"/>
                <w:highlight w:val="none"/>
              </w:rPr>
            </w:pPr>
            <w:r>
              <w:rPr>
                <w:rFonts w:hint="eastAsia" w:ascii="宋体" w:hAnsi="宋体" w:cs="宋体"/>
                <w:kern w:val="0"/>
                <w:szCs w:val="21"/>
                <w:highlight w:val="none"/>
              </w:rPr>
              <w:t>（四）未为从业人员提供符合国家标准或者行业标准的劳动防护用品的；</w:t>
            </w:r>
          </w:p>
          <w:p>
            <w:pPr>
              <w:rPr>
                <w:rFonts w:ascii="宋体" w:hAnsi="宋体" w:cs="宋体"/>
                <w:kern w:val="0"/>
                <w:szCs w:val="21"/>
                <w:highlight w:val="none"/>
              </w:rPr>
            </w:pPr>
            <w:r>
              <w:rPr>
                <w:rFonts w:hint="eastAsia" w:ascii="宋体" w:hAnsi="宋体" w:cs="宋体"/>
                <w:kern w:val="0"/>
                <w:szCs w:val="21"/>
                <w:highlight w:val="none"/>
              </w:rPr>
              <w:t xml:space="preserve">    ……</w:t>
            </w:r>
          </w:p>
          <w:p>
            <w:pPr>
              <w:ind w:firstLine="420" w:firstLineChars="200"/>
              <w:rPr>
                <w:rFonts w:ascii="宋体" w:hAnsi="宋体" w:cs="宋体"/>
                <w:kern w:val="0"/>
                <w:szCs w:val="21"/>
              </w:rPr>
            </w:pPr>
            <w:r>
              <w:rPr>
                <w:rFonts w:hint="eastAsia" w:ascii="宋体" w:hAnsi="宋体" w:cs="宋体"/>
                <w:kern w:val="0"/>
                <w:szCs w:val="21"/>
                <w:highlight w:val="none"/>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1013" w:type="dxa"/>
            <w:vAlign w:val="center"/>
          </w:tcPr>
          <w:p>
            <w:pPr>
              <w:pStyle w:val="2"/>
              <w:ind w:firstLine="420"/>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00" w:hRule="atLeast"/>
          <w:jc w:val="center"/>
        </w:trPr>
        <w:tc>
          <w:tcPr>
            <w:tcW w:w="816" w:type="dxa"/>
            <w:vAlign w:val="center"/>
          </w:tcPr>
          <w:p>
            <w:pPr>
              <w:jc w:val="center"/>
              <w:rPr>
                <w:rFonts w:ascii="宋体" w:hAnsi="宋体"/>
                <w:szCs w:val="21"/>
              </w:rPr>
            </w:pPr>
            <w:r>
              <w:rPr>
                <w:rFonts w:hint="eastAsia" w:ascii="宋体" w:hAnsi="宋体"/>
                <w:szCs w:val="21"/>
              </w:rPr>
              <w:t>2</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使用液态二氧化碳的生产线和场所安全防护设备的设置情况</w:t>
            </w: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使用液态二氧化碳制造膨胀烟丝的生产线和场所，应设置二氧化碳浓度报警仪、燃气浓度报警仪、紧急联动排风装置</w:t>
            </w:r>
          </w:p>
        </w:tc>
        <w:tc>
          <w:tcPr>
            <w:tcW w:w="4250" w:type="dxa"/>
            <w:vAlign w:val="center"/>
          </w:tcPr>
          <w:p>
            <w:pPr>
              <w:ind w:firstLine="420" w:firstLineChars="200"/>
              <w:rPr>
                <w:rFonts w:ascii="宋体" w:hAnsi="宋体"/>
                <w:szCs w:val="21"/>
              </w:rPr>
            </w:pPr>
            <w:r>
              <w:rPr>
                <w:rFonts w:hint="eastAsia" w:ascii="宋体" w:hAnsi="宋体"/>
                <w:szCs w:val="21"/>
              </w:rPr>
              <w:t>《安全生产法》第三十三条  安全设备的设计、制造、安装、使用、检测、维修、改造和报废，应当符合国家标准或者行业标准。</w:t>
            </w:r>
            <w:r>
              <w:rPr>
                <w:rFonts w:ascii="宋体" w:hAnsi="宋体" w:cs="宋体"/>
                <w:kern w:val="0"/>
                <w:szCs w:val="21"/>
              </w:rPr>
              <w:t>生产经营单位必须对安全设备进行经常性维护、保养，并定期检测，保证正常运转。维护、保养、检测应当作好记录，并由有关人员签字。</w:t>
            </w:r>
          </w:p>
          <w:p>
            <w:pPr>
              <w:ind w:firstLine="420" w:firstLineChars="200"/>
              <w:rPr>
                <w:rFonts w:ascii="宋体" w:hAnsi="宋体" w:cs="宋体"/>
                <w:kern w:val="0"/>
                <w:szCs w:val="21"/>
              </w:rPr>
            </w:pPr>
            <w:r>
              <w:rPr>
                <w:rFonts w:ascii="宋体" w:hAnsi="宋体" w:cs="宋体"/>
                <w:kern w:val="0"/>
                <w:szCs w:val="21"/>
                <w:highlight w:val="none"/>
              </w:rPr>
              <w:t>《工贸行业重大生产安全事故隐患判定标准（2017版）》</w:t>
            </w:r>
            <w:r>
              <w:rPr>
                <w:rFonts w:ascii="宋体" w:hAnsi="宋体" w:cs="宋体"/>
                <w:kern w:val="0"/>
                <w:szCs w:val="21"/>
              </w:rPr>
              <w:t>（安监总管四〔2017〕129号）</w:t>
            </w:r>
          </w:p>
          <w:p>
            <w:pPr>
              <w:ind w:firstLine="420" w:firstLineChars="200"/>
              <w:rPr>
                <w:rFonts w:ascii="宋体" w:hAnsi="宋体" w:cs="宋体"/>
                <w:kern w:val="0"/>
                <w:szCs w:val="21"/>
              </w:rPr>
            </w:pPr>
            <w:r>
              <w:rPr>
                <w:rFonts w:hint="eastAsia" w:ascii="宋体" w:hAnsi="宋体" w:cs="宋体"/>
                <w:kern w:val="0"/>
                <w:szCs w:val="21"/>
              </w:rPr>
              <w:t>二、行业类重大事故隐患</w:t>
            </w:r>
          </w:p>
          <w:p>
            <w:pPr>
              <w:ind w:firstLine="420" w:firstLineChars="200"/>
              <w:rPr>
                <w:rFonts w:ascii="宋体" w:hAnsi="宋体" w:cs="宋体"/>
                <w:kern w:val="0"/>
                <w:szCs w:val="21"/>
              </w:rPr>
            </w:pPr>
            <w:r>
              <w:rPr>
                <w:rFonts w:hint="eastAsia" w:ascii="宋体" w:hAnsi="宋体" w:cs="宋体"/>
                <w:kern w:val="0"/>
                <w:szCs w:val="21"/>
              </w:rPr>
              <w:t>（七）烟草行业</w:t>
            </w:r>
          </w:p>
          <w:p>
            <w:pPr>
              <w:ind w:firstLine="420" w:firstLineChars="200"/>
              <w:rPr>
                <w:rFonts w:ascii="宋体" w:hAnsi="宋体" w:cs="宋体"/>
                <w:kern w:val="0"/>
                <w:szCs w:val="21"/>
              </w:rPr>
            </w:pPr>
            <w:r>
              <w:rPr>
                <w:rFonts w:hint="eastAsia" w:ascii="宋体" w:hAnsi="宋体"/>
                <w:szCs w:val="21"/>
              </w:rPr>
              <w:t>2.使用液态二氧化碳制造膨胀烟丝的生产线和场所，未设置二氧化碳浓度报警仪、燃气浓度报警仪、紧急联动排风装置。</w:t>
            </w:r>
          </w:p>
        </w:tc>
        <w:tc>
          <w:tcPr>
            <w:tcW w:w="3545" w:type="dxa"/>
            <w:vAlign w:val="center"/>
          </w:tcPr>
          <w:p>
            <w:pPr>
              <w:widowControl/>
              <w:adjustRightInd w:val="0"/>
              <w:snapToGrid w:val="0"/>
              <w:ind w:firstLine="420" w:firstLineChars="200"/>
            </w:pPr>
            <w:r>
              <w:rPr>
                <w:rFonts w:hint="eastAsia"/>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pPr>
            <w:r>
              <w:rPr>
                <w:rFonts w:hint="eastAsia"/>
              </w:rPr>
              <w:t>……</w:t>
            </w:r>
          </w:p>
          <w:p>
            <w:pPr>
              <w:widowControl/>
              <w:adjustRightInd w:val="0"/>
              <w:snapToGrid w:val="0"/>
              <w:ind w:firstLine="420" w:firstLineChars="200"/>
            </w:pPr>
            <w:r>
              <w:rPr>
                <w:rFonts w:hint="eastAsia"/>
              </w:rPr>
              <w:t>（二）安全设备的安装、使用、检测、改造和报废不符合国家标准或者行业标准的；</w:t>
            </w:r>
          </w:p>
          <w:p>
            <w:pPr>
              <w:widowControl/>
              <w:adjustRightInd w:val="0"/>
              <w:snapToGrid w:val="0"/>
              <w:ind w:firstLine="420" w:firstLineChars="200"/>
            </w:pPr>
            <w:r>
              <w:t>（三）未对安全设备进行经常性维护、保养和定期检测的</w:t>
            </w:r>
            <w:r>
              <w:rPr>
                <w:rFonts w:hint="eastAsia"/>
              </w:rPr>
              <w:t>；</w:t>
            </w:r>
          </w:p>
          <w:p>
            <w:pPr>
              <w:widowControl/>
              <w:adjustRightInd w:val="0"/>
              <w:snapToGrid w:val="0"/>
              <w:ind w:firstLine="420" w:firstLineChars="200"/>
            </w:pPr>
            <w:r>
              <w:rPr>
                <w:rFonts w:hint="eastAsia"/>
              </w:rPr>
              <w:t>……</w:t>
            </w:r>
          </w:p>
        </w:tc>
        <w:tc>
          <w:tcPr>
            <w:tcW w:w="1013" w:type="dxa"/>
            <w:vAlign w:val="center"/>
          </w:tcPr>
          <w:p>
            <w:pPr>
              <w:widowControl/>
              <w:adjustRightInd w:val="0"/>
              <w:snapToGrid w:val="0"/>
              <w:rPr>
                <w:rFonts w:ascii="宋体" w:hAnsi="宋体" w:cs="宋体"/>
                <w:kern w:val="0"/>
                <w:szCs w:val="21"/>
              </w:rPr>
            </w:pPr>
          </w:p>
        </w:tc>
      </w:tr>
    </w:tbl>
    <w:p>
      <w:pPr>
        <w:pStyle w:val="4"/>
        <w:keepNext w:val="0"/>
        <w:keepLines w:val="0"/>
        <w:pageBreakBefore/>
        <w:spacing w:line="240" w:lineRule="auto"/>
        <w:rPr>
          <w:rFonts w:ascii="黑体" w:hAnsi="黑体" w:eastAsia="黑体"/>
          <w:b w:val="0"/>
        </w:rPr>
      </w:pPr>
      <w:r>
        <w:rPr>
          <w:rFonts w:hint="eastAsia" w:ascii="黑体" w:hAnsi="黑体" w:eastAsia="黑体"/>
          <w:b w:val="0"/>
        </w:rPr>
        <w:t>表5-8  粉尘涉爆企业</w:t>
      </w:r>
    </w:p>
    <w:tbl>
      <w:tblPr>
        <w:tblStyle w:val="19"/>
        <w:tblW w:w="13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816"/>
        <w:gridCol w:w="1704"/>
        <w:gridCol w:w="2551"/>
        <w:gridCol w:w="4250"/>
        <w:gridCol w:w="354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50" w:hRule="atLeast"/>
          <w:tblHeader/>
          <w:jc w:val="center"/>
        </w:trPr>
        <w:tc>
          <w:tcPr>
            <w:tcW w:w="816"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序号</w:t>
            </w:r>
          </w:p>
        </w:tc>
        <w:tc>
          <w:tcPr>
            <w:tcW w:w="1704"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检查事项</w:t>
            </w:r>
          </w:p>
        </w:tc>
        <w:tc>
          <w:tcPr>
            <w:tcW w:w="2551"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检查内容</w:t>
            </w:r>
          </w:p>
        </w:tc>
        <w:tc>
          <w:tcPr>
            <w:tcW w:w="4250"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检查依据指引</w:t>
            </w:r>
          </w:p>
        </w:tc>
        <w:tc>
          <w:tcPr>
            <w:tcW w:w="3545"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法律责任指引</w:t>
            </w:r>
          </w:p>
        </w:tc>
        <w:tc>
          <w:tcPr>
            <w:tcW w:w="1013"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jc w:val="center"/>
              <w:rPr>
                <w:rFonts w:ascii="宋体" w:hAnsi="宋体"/>
                <w:szCs w:val="21"/>
              </w:rPr>
            </w:pPr>
            <w:r>
              <w:rPr>
                <w:rFonts w:hint="eastAsia" w:ascii="宋体" w:hAnsi="宋体"/>
                <w:szCs w:val="21"/>
              </w:rPr>
              <w:t>1</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粉尘爆炸危险场所的设置情况</w:t>
            </w: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粉尘爆炸危险场所严禁设置在非框架结构的多层建构筑物内，与居民区、员工宿舍、会议室等人员密集场所安全距离应符合要求</w:t>
            </w:r>
          </w:p>
        </w:tc>
        <w:tc>
          <w:tcPr>
            <w:tcW w:w="425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《粉尘防爆安全规程》（GB 15577-2018）</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5.1 存在粉尘爆炸危险的工艺设备或存在粉尘爆炸危险场所的建(构)筑物，不应设置在公共场所和居民区内，其防火间距应符合GB 50016的相关规定。存在粉尘爆炸危险场所的建筑物宜为框架结构的单层建筑，其屋顶宜用轻型结构。如为多层建应采用框架结构。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5.7粉尘爆炸危险场所应严格控制区域内作业人员数量，不得设有休息室、会议室等人员密集场所。</w:t>
            </w:r>
          </w:p>
          <w:p>
            <w:pPr>
              <w:widowControl/>
              <w:adjustRightInd w:val="0"/>
              <w:snapToGrid w:val="0"/>
              <w:ind w:firstLine="420" w:firstLineChars="200"/>
              <w:rPr>
                <w:rFonts w:ascii="宋体" w:hAnsi="宋体" w:cs="宋体"/>
                <w:kern w:val="0"/>
                <w:szCs w:val="21"/>
              </w:rPr>
            </w:pPr>
            <w:r>
              <w:rPr>
                <w:rFonts w:ascii="宋体" w:hAnsi="宋体" w:cs="宋体"/>
                <w:kern w:val="0"/>
                <w:szCs w:val="21"/>
                <w:highlight w:val="none"/>
              </w:rPr>
              <w:t>《工贸行业重大生产安全事故隐患判定标准（2017版）》</w:t>
            </w:r>
            <w:r>
              <w:rPr>
                <w:rFonts w:ascii="宋体" w:hAnsi="宋体" w:cs="宋体"/>
                <w:kern w:val="0"/>
                <w:szCs w:val="21"/>
              </w:rPr>
              <w:t>（安监总管四〔2017〕129号）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专项</w:t>
            </w:r>
            <w:r>
              <w:rPr>
                <w:rFonts w:ascii="宋体" w:hAnsi="宋体" w:cs="宋体"/>
                <w:kern w:val="0"/>
                <w:szCs w:val="21"/>
              </w:rPr>
              <w:t>类重大事故隐患</w:t>
            </w:r>
          </w:p>
          <w:p>
            <w:pPr>
              <w:widowControl/>
              <w:adjustRightInd w:val="0"/>
              <w:snapToGrid w:val="0"/>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存在粉尘爆炸危险的行业领域</w:t>
            </w:r>
            <w:r>
              <w:rPr>
                <w:rFonts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1.粉尘爆炸危险场所设置在非框架结构的多层建构筑物内，或与居民区、员工宿舍、会议室等人员密集场所安全距离不足。</w:t>
            </w:r>
          </w:p>
        </w:tc>
        <w:tc>
          <w:tcPr>
            <w:tcW w:w="3545"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restart"/>
            <w:vAlign w:val="center"/>
          </w:tcPr>
          <w:p>
            <w:pPr>
              <w:jc w:val="center"/>
              <w:rPr>
                <w:rFonts w:ascii="宋体" w:hAnsi="宋体"/>
                <w:szCs w:val="21"/>
              </w:rPr>
            </w:pPr>
            <w:r>
              <w:rPr>
                <w:rFonts w:hint="eastAsia" w:ascii="宋体" w:hAnsi="宋体"/>
                <w:szCs w:val="21"/>
              </w:rPr>
              <w:t>2</w:t>
            </w:r>
          </w:p>
        </w:tc>
        <w:tc>
          <w:tcPr>
            <w:tcW w:w="1704"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除尘系统的安全措施情况</w:t>
            </w: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2.1 不同种类可燃性粉尘、或与可燃气体等易加剧爆炸危险的介质严禁共用一套除尘系统，不同防火分区的除尘系统严禁互联互通</w:t>
            </w:r>
          </w:p>
        </w:tc>
        <w:tc>
          <w:tcPr>
            <w:tcW w:w="425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《粉尘防爆安全规程》（GB 15577-2018）</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8.1.1不同类别的可燃性粉尘不应合用同一除尘系统。</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8.1.2粉尘爆炸危险场所除尘系统不应与带有可燃气体、高温气体、或其它工业气体的风管及设备连通。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8.1.3应按工艺分片(分区域)设置相对独立的除尘系统。</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8.1.4不同防火</w:t>
            </w:r>
            <w:r>
              <w:rPr>
                <w:rFonts w:ascii="宋体" w:hAnsi="宋体" w:cs="宋体"/>
                <w:kern w:val="0"/>
                <w:szCs w:val="21"/>
              </w:rPr>
              <w:t>分区的除尘系统不应</w:t>
            </w:r>
            <w:r>
              <w:rPr>
                <w:rFonts w:hint="eastAsia" w:ascii="宋体" w:hAnsi="宋体" w:cs="宋体"/>
                <w:kern w:val="0"/>
                <w:szCs w:val="21"/>
              </w:rPr>
              <w:t>连</w:t>
            </w:r>
            <w:r>
              <w:rPr>
                <w:rFonts w:ascii="宋体" w:hAnsi="宋体" w:cs="宋体"/>
                <w:kern w:val="0"/>
                <w:szCs w:val="21"/>
              </w:rPr>
              <w:t>通</w:t>
            </w: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ascii="宋体" w:hAnsi="宋体" w:cs="宋体"/>
                <w:kern w:val="0"/>
                <w:szCs w:val="21"/>
                <w:highlight w:val="none"/>
              </w:rPr>
              <w:t>《工贸行业重大生产安全事故隐患判定标准（2017版）</w:t>
            </w:r>
            <w:r>
              <w:rPr>
                <w:rFonts w:ascii="宋体" w:hAnsi="宋体" w:cs="宋体"/>
                <w:kern w:val="0"/>
                <w:szCs w:val="21"/>
              </w:rPr>
              <w:t>》（安监总管四〔2017〕129号）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专项</w:t>
            </w:r>
            <w:r>
              <w:rPr>
                <w:rFonts w:ascii="宋体" w:hAnsi="宋体" w:cs="宋体"/>
                <w:kern w:val="0"/>
                <w:szCs w:val="21"/>
              </w:rPr>
              <w:t>类重大事故隐患</w:t>
            </w:r>
          </w:p>
          <w:p>
            <w:pPr>
              <w:widowControl/>
              <w:adjustRightInd w:val="0"/>
              <w:snapToGrid w:val="0"/>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存在粉尘爆炸危险的行业领域</w:t>
            </w:r>
            <w:r>
              <w:rPr>
                <w:rFonts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2.可燃性粉尘与可燃气体等易加剧爆炸危险的介质共用一套除尘系统，不同防火分区的除尘系统互联互通。</w:t>
            </w:r>
          </w:p>
        </w:tc>
        <w:tc>
          <w:tcPr>
            <w:tcW w:w="3545"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adjustRightInd w:val="0"/>
              <w:snapToGrid w:val="0"/>
              <w:rPr>
                <w:rFonts w:ascii="宋体" w:hAnsi="宋体" w:cs="宋体"/>
                <w:kern w:val="0"/>
                <w:szCs w:val="21"/>
              </w:rPr>
            </w:pP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2.2</w:t>
            </w:r>
            <w:r>
              <w:rPr>
                <w:rFonts w:hint="eastAsia" w:ascii="宋体" w:hAnsi="宋体" w:cs="宋体"/>
                <w:kern w:val="0"/>
                <w:szCs w:val="21"/>
                <w:lang w:val="en-US" w:eastAsia="zh-CN"/>
              </w:rPr>
              <w:t xml:space="preserve"> </w:t>
            </w:r>
            <w:r>
              <w:rPr>
                <w:rFonts w:hint="eastAsia" w:ascii="宋体" w:hAnsi="宋体" w:cs="宋体"/>
                <w:kern w:val="0"/>
                <w:szCs w:val="21"/>
              </w:rPr>
              <w:t>干式除尘系统应规范采用泄爆、隔爆、惰化、抑爆、抗爆等一种或多种控爆措施</w:t>
            </w:r>
          </w:p>
        </w:tc>
        <w:tc>
          <w:tcPr>
            <w:tcW w:w="4250" w:type="dxa"/>
            <w:vAlign w:val="center"/>
          </w:tcPr>
          <w:p>
            <w:pPr>
              <w:shd w:val="clear" w:color="auto" w:fill="FFFFFF"/>
              <w:spacing w:line="258" w:lineRule="atLeast"/>
              <w:ind w:firstLine="420" w:firstLineChars="200"/>
              <w:rPr>
                <w:rFonts w:ascii="宋体" w:hAnsi="宋体" w:cs="宋体"/>
                <w:kern w:val="0"/>
                <w:szCs w:val="21"/>
              </w:rPr>
            </w:pPr>
            <w:r>
              <w:rPr>
                <w:rFonts w:hint="eastAsia" w:ascii="宋体" w:hAnsi="宋体" w:cs="宋体"/>
                <w:kern w:val="0"/>
                <w:szCs w:val="21"/>
              </w:rPr>
              <w:t>《安全生产法》</w:t>
            </w:r>
            <w:r>
              <w:rPr>
                <w:rFonts w:ascii="宋体" w:hAnsi="宋体" w:cs="宋体"/>
                <w:kern w:val="0"/>
                <w:szCs w:val="21"/>
              </w:rPr>
              <w:t xml:space="preserve">第三十三条 </w:t>
            </w:r>
            <w:r>
              <w:rPr>
                <w:rFonts w:hint="eastAsia" w:ascii="宋体" w:hAnsi="宋体" w:cs="宋体"/>
                <w:kern w:val="0"/>
                <w:szCs w:val="21"/>
              </w:rPr>
              <w:t xml:space="preserve"> </w:t>
            </w:r>
            <w:r>
              <w:rPr>
                <w:rFonts w:ascii="宋体" w:hAnsi="宋体" w:cs="宋体"/>
                <w:kern w:val="0"/>
                <w:szCs w:val="21"/>
              </w:rPr>
              <w:t>安全设备的设计、制造、安装、使用、检测、维修、改造和报废，应当符合国家标准或者行业标准。生产经营单位必须对安全设备进行经常性维护、保养，并定期检测，保证正常运转。维护、保养、检测应当作好记录，并由有关人员签字。</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《粉尘防爆安全规程》（GB 15577-2018）</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7.1.3  存在粉尘爆炸危险的工艺设备，应采用泄爆</w:t>
            </w:r>
            <w:r>
              <w:rPr>
                <w:rFonts w:ascii="宋体" w:hAnsi="宋体" w:cs="宋体"/>
                <w:kern w:val="0"/>
                <w:szCs w:val="21"/>
              </w:rPr>
              <w:t>、</w:t>
            </w:r>
            <w:r>
              <w:rPr>
                <w:rFonts w:hint="eastAsia" w:ascii="宋体" w:hAnsi="宋体" w:cs="宋体"/>
                <w:kern w:val="0"/>
                <w:szCs w:val="21"/>
              </w:rPr>
              <w:t>抑爆和隔爆、</w:t>
            </w:r>
            <w:r>
              <w:rPr>
                <w:rFonts w:ascii="宋体" w:hAnsi="宋体" w:cs="宋体"/>
                <w:kern w:val="0"/>
                <w:szCs w:val="21"/>
              </w:rPr>
              <w:t>抗爆</w:t>
            </w:r>
            <w:r>
              <w:rPr>
                <w:rFonts w:hint="eastAsia" w:ascii="宋体" w:hAnsi="宋体" w:cs="宋体"/>
                <w:kern w:val="0"/>
                <w:szCs w:val="21"/>
              </w:rPr>
              <w:t>中的一种或多种控爆方式，但</w:t>
            </w:r>
            <w:r>
              <w:rPr>
                <w:rFonts w:ascii="宋体" w:hAnsi="宋体" w:cs="宋体"/>
                <w:kern w:val="0"/>
                <w:szCs w:val="21"/>
              </w:rPr>
              <w:t>不能单独采取</w:t>
            </w:r>
            <w:r>
              <w:rPr>
                <w:rFonts w:hint="eastAsia" w:ascii="宋体" w:hAnsi="宋体" w:cs="宋体"/>
                <w:kern w:val="0"/>
                <w:szCs w:val="21"/>
              </w:rPr>
              <w:t>隔爆</w:t>
            </w:r>
            <w:r>
              <w:rPr>
                <w:rFonts w:ascii="宋体" w:hAnsi="宋体" w:cs="宋体"/>
                <w:kern w:val="0"/>
                <w:szCs w:val="21"/>
              </w:rPr>
              <w:t>。</w:t>
            </w:r>
          </w:p>
          <w:p>
            <w:pPr>
              <w:widowControl/>
              <w:adjustRightInd w:val="0"/>
              <w:snapToGrid w:val="0"/>
              <w:spacing w:line="240" w:lineRule="exact"/>
              <w:ind w:firstLine="420" w:firstLineChars="200"/>
              <w:rPr>
                <w:rFonts w:ascii="宋体" w:hAnsi="宋体" w:cs="宋体"/>
                <w:kern w:val="0"/>
                <w:szCs w:val="21"/>
              </w:rPr>
            </w:pPr>
            <w:r>
              <w:rPr>
                <w:rFonts w:ascii="宋体" w:hAnsi="宋体" w:cs="宋体"/>
                <w:kern w:val="0"/>
                <w:szCs w:val="21"/>
              </w:rPr>
              <w:t>《</w:t>
            </w:r>
            <w:r>
              <w:rPr>
                <w:rFonts w:ascii="宋体" w:hAnsi="宋体" w:cs="宋体"/>
                <w:kern w:val="0"/>
                <w:szCs w:val="21"/>
                <w:highlight w:val="none"/>
              </w:rPr>
              <w:t>工贸行业重大生产安全事故隐患判定标准（2017版）》</w:t>
            </w:r>
            <w:r>
              <w:rPr>
                <w:rFonts w:ascii="宋体" w:hAnsi="宋体" w:cs="宋体"/>
                <w:kern w:val="0"/>
                <w:szCs w:val="21"/>
              </w:rPr>
              <w:t>（安监总管四〔2017〕129号）</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专项</w:t>
            </w:r>
            <w:r>
              <w:rPr>
                <w:rFonts w:ascii="宋体" w:hAnsi="宋体" w:cs="宋体"/>
                <w:kern w:val="0"/>
                <w:szCs w:val="21"/>
              </w:rPr>
              <w:t>类重大事故隐患</w:t>
            </w:r>
          </w:p>
          <w:p>
            <w:pPr>
              <w:widowControl/>
              <w:adjustRightInd w:val="0"/>
              <w:snapToGrid w:val="0"/>
              <w:spacing w:line="240" w:lineRule="exact"/>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存在粉尘爆炸危险的行业领域</w:t>
            </w:r>
            <w:r>
              <w:rPr>
                <w:rFonts w:ascii="宋体" w:hAnsi="宋体" w:cs="宋体"/>
                <w:kern w:val="0"/>
                <w:szCs w:val="21"/>
              </w:rPr>
              <w:t>。</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3.干式除尘系统未规范采用泄爆、隔爆、惰化、抑爆等任一种控爆措施。</w:t>
            </w:r>
          </w:p>
        </w:tc>
        <w:tc>
          <w:tcPr>
            <w:tcW w:w="3545" w:type="dxa"/>
            <w:vAlign w:val="center"/>
          </w:tcPr>
          <w:p>
            <w:pPr>
              <w:widowControl/>
              <w:adjustRightInd w:val="0"/>
              <w:snapToGrid w:val="0"/>
              <w:ind w:firstLine="420"/>
            </w:pPr>
            <w:r>
              <w:rPr>
                <w:rFonts w:hint="eastAsia"/>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pPr>
            <w:r>
              <w:rPr>
                <w:rFonts w:hint="eastAsia"/>
              </w:rPr>
              <w:t>……</w:t>
            </w:r>
          </w:p>
          <w:p>
            <w:pPr>
              <w:widowControl/>
              <w:adjustRightInd w:val="0"/>
              <w:snapToGrid w:val="0"/>
              <w:ind w:firstLine="420"/>
            </w:pPr>
            <w:r>
              <w:rPr>
                <w:rFonts w:hint="eastAsia"/>
              </w:rPr>
              <w:t>（二）安全设备的安装、使用、检测、改造和报废不符合国家标准或者行业标准的；</w:t>
            </w:r>
          </w:p>
          <w:p>
            <w:pPr>
              <w:widowControl/>
              <w:adjustRightInd w:val="0"/>
              <w:snapToGrid w:val="0"/>
              <w:ind w:firstLine="420"/>
            </w:pPr>
            <w:r>
              <w:t>（三）未对安全设备进行经常性维护、保养和定期检测的</w:t>
            </w:r>
            <w:r>
              <w:rPr>
                <w:rFonts w:hint="eastAsia"/>
              </w:rPr>
              <w:t>；</w:t>
            </w:r>
          </w:p>
          <w:p>
            <w:pPr>
              <w:widowControl/>
              <w:adjustRightInd w:val="0"/>
              <w:snapToGrid w:val="0"/>
              <w:ind w:firstLine="420" w:firstLineChars="200"/>
              <w:rPr>
                <w:rFonts w:ascii="宋体" w:hAnsi="宋体" w:cs="宋体"/>
                <w:kern w:val="0"/>
                <w:szCs w:val="21"/>
              </w:rPr>
            </w:pPr>
            <w:r>
              <w:rPr>
                <w:rFonts w:hint="eastAsia"/>
              </w:rPr>
              <w:t>……</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adjustRightInd w:val="0"/>
              <w:snapToGrid w:val="0"/>
              <w:rPr>
                <w:rFonts w:ascii="宋体" w:hAnsi="宋体" w:cs="宋体"/>
                <w:kern w:val="0"/>
                <w:szCs w:val="21"/>
              </w:rPr>
            </w:pP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2.3</w:t>
            </w:r>
            <w:r>
              <w:rPr>
                <w:rFonts w:hint="eastAsia" w:ascii="宋体" w:hAnsi="宋体" w:cs="宋体"/>
                <w:kern w:val="0"/>
                <w:szCs w:val="21"/>
                <w:lang w:val="en-US" w:eastAsia="zh-CN"/>
              </w:rPr>
              <w:t xml:space="preserve"> </w:t>
            </w:r>
            <w:r>
              <w:rPr>
                <w:rFonts w:ascii="宋体" w:hAnsi="宋体" w:cs="宋体"/>
                <w:kern w:val="0"/>
                <w:szCs w:val="21"/>
              </w:rPr>
              <w:t>铝镁等金属粉尘除尘系统</w:t>
            </w:r>
            <w:r>
              <w:rPr>
                <w:rFonts w:hint="eastAsia" w:ascii="宋体" w:hAnsi="宋体" w:cs="宋体"/>
                <w:kern w:val="0"/>
                <w:szCs w:val="21"/>
              </w:rPr>
              <w:t>应</w:t>
            </w:r>
            <w:r>
              <w:rPr>
                <w:rFonts w:ascii="宋体" w:hAnsi="宋体" w:cs="宋体"/>
                <w:kern w:val="0"/>
                <w:szCs w:val="21"/>
              </w:rPr>
              <w:t>采用负压除尘方式；其他可燃性粉尘除尘系统采用正压吹送粉尘时，</w:t>
            </w:r>
            <w:r>
              <w:rPr>
                <w:rFonts w:hint="eastAsia" w:ascii="宋体" w:hAnsi="宋体" w:cs="宋体"/>
                <w:kern w:val="0"/>
                <w:szCs w:val="21"/>
              </w:rPr>
              <w:t>应</w:t>
            </w:r>
            <w:r>
              <w:rPr>
                <w:rFonts w:ascii="宋体" w:hAnsi="宋体" w:cs="宋体"/>
                <w:kern w:val="0"/>
                <w:szCs w:val="21"/>
              </w:rPr>
              <w:t>采取可靠的防范点燃源的措施</w:t>
            </w:r>
          </w:p>
        </w:tc>
        <w:tc>
          <w:tcPr>
            <w:tcW w:w="4250" w:type="dxa"/>
            <w:vAlign w:val="center"/>
          </w:tcPr>
          <w:p>
            <w:pPr>
              <w:widowControl/>
              <w:adjustRightInd w:val="0"/>
              <w:snapToGrid w:val="0"/>
              <w:ind w:firstLine="420"/>
              <w:rPr>
                <w:rFonts w:ascii="宋体" w:hAnsi="宋体" w:cs="宋体"/>
                <w:kern w:val="0"/>
                <w:szCs w:val="21"/>
              </w:rPr>
            </w:pPr>
            <w:r>
              <w:rPr>
                <w:rFonts w:hint="eastAsia" w:ascii="宋体" w:hAnsi="宋体" w:cs="宋体"/>
                <w:kern w:val="0"/>
                <w:szCs w:val="21"/>
              </w:rPr>
              <w:t>《安全生产法》第三十三条  安全设备的设计、制造、安装、使用、检测、维修、改造和报废，应当符合国家标准或者行业标准。</w:t>
            </w:r>
            <w:r>
              <w:rPr>
                <w:rFonts w:ascii="宋体" w:hAnsi="宋体" w:cs="宋体"/>
                <w:kern w:val="0"/>
                <w:szCs w:val="21"/>
              </w:rPr>
              <w:t>生产经营单位必须对安全设备进行经常性维护、保养，并定期检测，保证正常运转。维护、保养、检测应当作好记录，并由有关人员签字。</w:t>
            </w:r>
          </w:p>
          <w:p>
            <w:pPr>
              <w:widowControl/>
              <w:adjustRightInd w:val="0"/>
              <w:snapToGrid w:val="0"/>
              <w:ind w:firstLine="420"/>
              <w:rPr>
                <w:rFonts w:ascii="宋体" w:hAnsi="宋体" w:cs="宋体"/>
                <w:kern w:val="0"/>
                <w:szCs w:val="21"/>
              </w:rPr>
            </w:pPr>
            <w:r>
              <w:rPr>
                <w:rFonts w:hint="eastAsia" w:ascii="宋体" w:hAnsi="宋体" w:cs="宋体"/>
                <w:kern w:val="0"/>
                <w:szCs w:val="21"/>
              </w:rPr>
              <w:t>第三十八条  生产经营单位应当建立健全生产安全事故隐患排查治理制度，采取技术、管理措施，及时发现并消除事故隐患。事故隐患排查治理情况应当如实记录，并向从业人员通报。</w:t>
            </w:r>
          </w:p>
          <w:p>
            <w:pPr>
              <w:pStyle w:val="2"/>
              <w:ind w:firstLine="0" w:firstLineChars="0"/>
            </w:pPr>
            <w:r>
              <w:rPr>
                <w:rFonts w:hint="eastAsia"/>
              </w:rPr>
              <w:t xml:space="preserve">    ……</w:t>
            </w:r>
          </w:p>
          <w:p>
            <w:pPr>
              <w:widowControl/>
              <w:adjustRightInd w:val="0"/>
              <w:snapToGrid w:val="0"/>
              <w:ind w:firstLine="420"/>
              <w:rPr>
                <w:rFonts w:ascii="宋体" w:hAnsi="宋体" w:cs="宋体"/>
                <w:kern w:val="0"/>
                <w:szCs w:val="21"/>
              </w:rPr>
            </w:pPr>
            <w:r>
              <w:rPr>
                <w:rFonts w:hint="eastAsia" w:ascii="宋体" w:hAnsi="宋体" w:cs="宋体"/>
                <w:kern w:val="0"/>
                <w:szCs w:val="21"/>
              </w:rPr>
              <w:t>《粉尘防爆安全规程》（GB 15577-2018）</w:t>
            </w:r>
          </w:p>
          <w:p>
            <w:pPr>
              <w:widowControl/>
              <w:adjustRightInd w:val="0"/>
              <w:snapToGrid w:val="0"/>
              <w:ind w:firstLine="420"/>
              <w:rPr>
                <w:rFonts w:ascii="宋体" w:hAnsi="宋体" w:cs="宋体"/>
                <w:kern w:val="0"/>
                <w:szCs w:val="21"/>
              </w:rPr>
            </w:pPr>
            <w:r>
              <w:rPr>
                <w:rFonts w:hint="eastAsia" w:ascii="宋体" w:hAnsi="宋体" w:cs="宋体"/>
                <w:kern w:val="0"/>
                <w:szCs w:val="21"/>
              </w:rPr>
              <w:t>8.1.7  铝镁等金属粉尘禁止采用正压吹送的除尘系统；其他可燃性粉尘除尘系统采用正压吹送时，应采取可靠的防范点燃源的措施。</w:t>
            </w:r>
          </w:p>
          <w:p>
            <w:pPr>
              <w:widowControl/>
              <w:adjustRightInd w:val="0"/>
              <w:snapToGrid w:val="0"/>
              <w:ind w:firstLine="420"/>
              <w:rPr>
                <w:rFonts w:ascii="宋体" w:hAnsi="宋体" w:cs="宋体"/>
                <w:kern w:val="0"/>
                <w:szCs w:val="21"/>
              </w:rPr>
            </w:pPr>
            <w:r>
              <w:rPr>
                <w:rFonts w:ascii="宋体" w:hAnsi="宋体" w:cs="宋体"/>
                <w:kern w:val="0"/>
                <w:szCs w:val="21"/>
                <w:highlight w:val="none"/>
              </w:rPr>
              <w:t>《工贸行业重大生产安全事故隐患判定标准（2017版）》</w:t>
            </w:r>
            <w:r>
              <w:rPr>
                <w:rFonts w:ascii="宋体" w:hAnsi="宋体" w:cs="宋体"/>
                <w:kern w:val="0"/>
                <w:szCs w:val="21"/>
              </w:rPr>
              <w:t>（安监总管四〔2017〕129号）</w:t>
            </w:r>
          </w:p>
          <w:p>
            <w:pPr>
              <w:widowControl/>
              <w:adjustRightInd w:val="0"/>
              <w:snapToGrid w:val="0"/>
              <w:ind w:firstLine="420"/>
              <w:rPr>
                <w:rFonts w:ascii="宋体" w:hAnsi="宋体" w:cs="宋体"/>
                <w:kern w:val="0"/>
                <w:szCs w:val="21"/>
              </w:rPr>
            </w:pP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专项</w:t>
            </w:r>
            <w:r>
              <w:rPr>
                <w:rFonts w:ascii="宋体" w:hAnsi="宋体" w:cs="宋体"/>
                <w:kern w:val="0"/>
                <w:szCs w:val="21"/>
              </w:rPr>
              <w:t>类重大事故隐患</w:t>
            </w:r>
          </w:p>
          <w:p>
            <w:pPr>
              <w:widowControl/>
              <w:adjustRightInd w:val="0"/>
              <w:snapToGrid w:val="0"/>
              <w:ind w:firstLine="420"/>
              <w:rPr>
                <w:rFonts w:ascii="宋体" w:hAnsi="宋体" w:cs="宋体"/>
                <w:kern w:val="0"/>
                <w:szCs w:val="21"/>
              </w:rPr>
            </w:pPr>
            <w:r>
              <w:rPr>
                <w:rFonts w:ascii="宋体" w:hAnsi="宋体" w:cs="宋体"/>
                <w:kern w:val="0"/>
                <w:szCs w:val="21"/>
              </w:rPr>
              <w:t>（</w:t>
            </w: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存在粉尘爆炸危险的行业领域</w:t>
            </w:r>
            <w:r>
              <w:rPr>
                <w:rFonts w:ascii="宋体" w:hAnsi="宋体" w:cs="宋体"/>
                <w:kern w:val="0"/>
                <w:szCs w:val="21"/>
              </w:rPr>
              <w:t>。</w:t>
            </w:r>
          </w:p>
          <w:p>
            <w:pPr>
              <w:widowControl/>
              <w:adjustRightInd w:val="0"/>
              <w:snapToGrid w:val="0"/>
              <w:ind w:firstLine="420"/>
              <w:rPr>
                <w:rFonts w:ascii="宋体" w:hAnsi="宋体" w:cs="宋体"/>
                <w:kern w:val="0"/>
                <w:szCs w:val="21"/>
              </w:rPr>
            </w:pPr>
            <w:r>
              <w:rPr>
                <w:rFonts w:hint="eastAsia" w:ascii="宋体" w:hAnsi="宋体" w:cs="宋体"/>
                <w:kern w:val="0"/>
                <w:szCs w:val="21"/>
              </w:rPr>
              <w:t>4.除尘系统采用正压吹送粉尘，且未采取可靠的防范点燃源的措施。</w:t>
            </w:r>
          </w:p>
        </w:tc>
        <w:tc>
          <w:tcPr>
            <w:tcW w:w="3545" w:type="dxa"/>
            <w:vAlign w:val="center"/>
          </w:tcPr>
          <w:p>
            <w:pPr>
              <w:widowControl/>
              <w:adjustRightInd w:val="0"/>
              <w:snapToGrid w:val="0"/>
              <w:ind w:firstLine="420"/>
            </w:pPr>
            <w:r>
              <w:rPr>
                <w:rFonts w:hint="eastAsia"/>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pPr>
            <w:r>
              <w:rPr>
                <w:rFonts w:hint="eastAsia"/>
              </w:rPr>
              <w:t>……</w:t>
            </w:r>
          </w:p>
          <w:p>
            <w:pPr>
              <w:widowControl/>
              <w:adjustRightInd w:val="0"/>
              <w:snapToGrid w:val="0"/>
              <w:ind w:firstLine="420"/>
            </w:pPr>
            <w:r>
              <w:rPr>
                <w:rFonts w:hint="eastAsia"/>
              </w:rPr>
              <w:t>（二）安全设备的安装、使用、检测、改造和报废不符合国家标准或者行业标准的；</w:t>
            </w:r>
          </w:p>
          <w:p>
            <w:pPr>
              <w:widowControl/>
              <w:adjustRightInd w:val="0"/>
              <w:snapToGrid w:val="0"/>
              <w:ind w:firstLine="420"/>
            </w:pPr>
            <w:r>
              <w:t>（三）未对安全设备进行经常性维护、保养和定期检测的</w:t>
            </w:r>
            <w:r>
              <w:rPr>
                <w:rFonts w:hint="eastAsia"/>
              </w:rPr>
              <w:t>；</w:t>
            </w:r>
          </w:p>
          <w:p>
            <w:pPr>
              <w:widowControl/>
              <w:adjustRightInd w:val="0"/>
              <w:snapToGrid w:val="0"/>
            </w:pPr>
            <w:r>
              <w:rPr>
                <w:rFonts w:hint="eastAsia"/>
              </w:rPr>
              <w:t xml:space="preserve">    ……</w:t>
            </w:r>
          </w:p>
          <w:p>
            <w:pPr>
              <w:widowControl/>
              <w:adjustRightInd w:val="0"/>
              <w:snapToGrid w:val="0"/>
              <w:rPr>
                <w:rFonts w:ascii="宋体" w:hAnsi="宋体" w:cs="宋体"/>
                <w:kern w:val="0"/>
                <w:szCs w:val="21"/>
              </w:rPr>
            </w:pPr>
            <w:r>
              <w:rPr>
                <w:rFonts w:hint="eastAsia" w:ascii="宋体" w:hAnsi="宋体" w:cs="宋体"/>
                <w:kern w:val="0"/>
                <w:szCs w:val="21"/>
              </w:rPr>
              <w:t xml:space="preserve">    《安全生产法》第九十九条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adjustRightInd w:val="0"/>
              <w:snapToGrid w:val="0"/>
              <w:rPr>
                <w:rFonts w:ascii="宋体" w:hAnsi="宋体" w:cs="宋体"/>
                <w:kern w:val="0"/>
                <w:szCs w:val="21"/>
              </w:rPr>
            </w:pP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2.4 严禁采用粉尘沉降室除尘，严禁采用干式巷道式构筑物作为除尘风道</w:t>
            </w:r>
          </w:p>
        </w:tc>
        <w:tc>
          <w:tcPr>
            <w:tcW w:w="4250" w:type="dxa"/>
            <w:vAlign w:val="center"/>
          </w:tcPr>
          <w:p>
            <w:pPr>
              <w:widowControl/>
              <w:adjustRightInd w:val="0"/>
              <w:snapToGrid w:val="0"/>
              <w:ind w:left="0" w:leftChars="0" w:firstLine="420" w:firstLineChars="200"/>
              <w:rPr>
                <w:rFonts w:ascii="宋体" w:hAnsi="宋体" w:cs="宋体"/>
                <w:kern w:val="0"/>
                <w:szCs w:val="21"/>
              </w:rPr>
            </w:pPr>
            <w:r>
              <w:rPr>
                <w:rFonts w:hint="eastAsia" w:ascii="宋体" w:hAnsi="宋体" w:cs="宋体"/>
                <w:kern w:val="0"/>
                <w:szCs w:val="21"/>
              </w:rPr>
              <w:t>《安全生产法》第三十五条</w:t>
            </w:r>
          </w:p>
          <w:p>
            <w:pPr>
              <w:pStyle w:val="2"/>
              <w:ind w:firstLine="420"/>
              <w:rPr>
                <w:rFonts w:ascii="宋体" w:hAnsi="宋体" w:eastAsia="宋体" w:cs="宋体"/>
                <w:kern w:val="0"/>
                <w:szCs w:val="21"/>
              </w:rPr>
            </w:pPr>
            <w:r>
              <w:rPr>
                <w:rFonts w:hint="eastAsia"/>
              </w:rPr>
              <w:t>……</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生产经营单位不得使用应当淘汰的危及生产安全的工艺、设备。</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《关于印发淘汰落后安全技术工艺、设备目录（2016年）的通知》（安监总科技〔2016〕137号）</w:t>
            </w:r>
          </w:p>
          <w:p>
            <w:pPr>
              <w:widowControl/>
              <w:adjustRightInd w:val="0"/>
              <w:snapToGrid w:val="0"/>
              <w:ind w:left="0" w:leftChars="0"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《粉尘防爆安全规程》（GB 15577-2018）</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8.3.2  禁止采用干式巷道式构筑物作为除尘风道。</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8.4.2</w:t>
            </w:r>
            <w:r>
              <w:rPr>
                <w:rFonts w:hint="eastAsia" w:ascii="宋体" w:hAnsi="宋体" w:cs="宋体"/>
                <w:kern w:val="0"/>
                <w:szCs w:val="21"/>
                <w:lang w:val="en-US" w:eastAsia="zh-CN"/>
              </w:rPr>
              <w:t xml:space="preserve">  </w:t>
            </w:r>
            <w:r>
              <w:rPr>
                <w:rFonts w:hint="eastAsia" w:ascii="宋体" w:hAnsi="宋体" w:cs="宋体"/>
                <w:kern w:val="0"/>
                <w:szCs w:val="21"/>
              </w:rPr>
              <w:t>禁止采用重力沉降室除尘。</w:t>
            </w:r>
          </w:p>
          <w:p>
            <w:pPr>
              <w:pStyle w:val="2"/>
              <w:widowControl/>
              <w:adjustRightInd w:val="0"/>
              <w:snapToGrid w:val="0"/>
              <w:ind w:firstLine="420"/>
            </w:pPr>
            <w:r>
              <w:rPr>
                <w:rFonts w:ascii="宋体" w:hAnsi="宋体" w:eastAsia="宋体" w:cs="宋体"/>
                <w:kern w:val="0"/>
                <w:szCs w:val="21"/>
              </w:rPr>
              <w:t xml:space="preserve">10.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金属打磨工艺的砖槽式通风道。</w:t>
            </w:r>
          </w:p>
          <w:p>
            <w:pPr>
              <w:widowControl/>
              <w:adjustRightInd w:val="0"/>
              <w:snapToGrid w:val="0"/>
              <w:ind w:firstLine="420" w:firstLineChars="200"/>
              <w:rPr>
                <w:rFonts w:ascii="宋体" w:hAnsi="宋体" w:cs="宋体"/>
                <w:kern w:val="0"/>
                <w:szCs w:val="21"/>
              </w:rPr>
            </w:pPr>
            <w:r>
              <w:rPr>
                <w:rFonts w:ascii="宋体" w:hAnsi="宋体" w:cs="宋体"/>
                <w:kern w:val="0"/>
                <w:szCs w:val="21"/>
                <w:highlight w:val="none"/>
              </w:rPr>
              <w:t>《工贸行业重大生产安全事故隐患判定标准（2017版）》</w:t>
            </w:r>
            <w:r>
              <w:rPr>
                <w:rFonts w:ascii="宋体" w:hAnsi="宋体" w:cs="宋体"/>
                <w:kern w:val="0"/>
                <w:szCs w:val="21"/>
              </w:rPr>
              <w:t>（安监总管四〔2017〕129号）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专项</w:t>
            </w:r>
            <w:r>
              <w:rPr>
                <w:rFonts w:ascii="宋体" w:hAnsi="宋体" w:cs="宋体"/>
                <w:kern w:val="0"/>
                <w:szCs w:val="21"/>
              </w:rPr>
              <w:t>类重大事故隐患</w:t>
            </w:r>
          </w:p>
          <w:p>
            <w:pPr>
              <w:widowControl/>
              <w:adjustRightInd w:val="0"/>
              <w:snapToGrid w:val="0"/>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存在粉尘爆炸危险的行业领域</w:t>
            </w:r>
            <w:r>
              <w:rPr>
                <w:rFonts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5.除尘系统采用粉尘沉降室除尘，或者采用干式巷道式构筑物作为除尘风道。</w:t>
            </w:r>
          </w:p>
        </w:tc>
        <w:tc>
          <w:tcPr>
            <w:tcW w:w="3545"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（六）使用应当淘汰的危及生产安全的工艺、设备的。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widowControl/>
              <w:adjustRightInd w:val="0"/>
              <w:snapToGrid w:val="0"/>
              <w:rPr>
                <w:rFonts w:ascii="宋体" w:hAnsi="宋体" w:cs="宋体"/>
                <w:kern w:val="0"/>
                <w:szCs w:val="21"/>
              </w:rPr>
            </w:pP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2.5 铝镁等金属粉尘及木质粉尘的干式除尘系统应规范设置锁气卸灰装置</w:t>
            </w:r>
          </w:p>
        </w:tc>
        <w:tc>
          <w:tcPr>
            <w:tcW w:w="425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 xml:space="preserve">《安全生产法》第三十三条 </w:t>
            </w:r>
            <w:r>
              <w:rPr>
                <w:rFonts w:hint="eastAsia" w:ascii="宋体" w:hAnsi="宋体" w:cs="宋体"/>
                <w:kern w:val="0"/>
                <w:szCs w:val="21"/>
                <w:lang w:val="en-US" w:eastAsia="zh-CN"/>
              </w:rPr>
              <w:t xml:space="preserve"> </w:t>
            </w:r>
            <w:r>
              <w:rPr>
                <w:rFonts w:hint="eastAsia" w:ascii="宋体" w:hAnsi="宋体" w:cs="宋体"/>
                <w:kern w:val="0"/>
                <w:szCs w:val="21"/>
              </w:rPr>
              <w:t>安全设备的设计、制造、安装、使用、检测、维修、改造和报废，应当符合国家标准或者行业标准。</w:t>
            </w:r>
            <w:r>
              <w:rPr>
                <w:rFonts w:ascii="宋体" w:hAnsi="宋体" w:cs="宋体"/>
                <w:kern w:val="0"/>
                <w:szCs w:val="21"/>
              </w:rPr>
              <w:t>生产经营单位必须对安全设备进行经常性维护、保养，并定期检测，保证正常运转。维护、保养、检测应当作好记录，并由有关人员签字。</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《粉尘防爆安全规程》（GB 15577-2018）</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8.4.6  干式除尘器应设置锁气卸灰装置，及时清卸灰仓内的积灰。</w:t>
            </w:r>
          </w:p>
          <w:p>
            <w:pPr>
              <w:widowControl/>
              <w:adjustRightInd w:val="0"/>
              <w:snapToGrid w:val="0"/>
              <w:ind w:firstLine="420" w:firstLineChars="200"/>
              <w:rPr>
                <w:rFonts w:ascii="宋体" w:hAnsi="宋体" w:cs="宋体"/>
                <w:kern w:val="0"/>
                <w:szCs w:val="21"/>
              </w:rPr>
            </w:pPr>
            <w:r>
              <w:rPr>
                <w:rFonts w:ascii="宋体" w:hAnsi="宋体" w:cs="宋体"/>
                <w:kern w:val="0"/>
                <w:szCs w:val="21"/>
                <w:highlight w:val="none"/>
              </w:rPr>
              <w:t>《工贸行业重大生产安全事故隐患判定标准（2017版）》</w:t>
            </w:r>
            <w:r>
              <w:rPr>
                <w:rFonts w:ascii="宋体" w:hAnsi="宋体" w:cs="宋体"/>
                <w:kern w:val="0"/>
                <w:szCs w:val="21"/>
              </w:rPr>
              <w:t>（安监总管四〔2017〕129号）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专项</w:t>
            </w:r>
            <w:r>
              <w:rPr>
                <w:rFonts w:ascii="宋体" w:hAnsi="宋体" w:cs="宋体"/>
                <w:kern w:val="0"/>
                <w:szCs w:val="21"/>
              </w:rPr>
              <w:t>类重大事故隐患</w:t>
            </w:r>
          </w:p>
          <w:p>
            <w:pPr>
              <w:widowControl/>
              <w:adjustRightInd w:val="0"/>
              <w:snapToGrid w:val="0"/>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存在粉尘爆炸危险的行业领域</w:t>
            </w:r>
            <w:r>
              <w:rPr>
                <w:rFonts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6.铝镁等金属粉尘及木质粉尘的干式除尘系统未规范设置锁气卸灰装置。</w:t>
            </w:r>
          </w:p>
        </w:tc>
        <w:tc>
          <w:tcPr>
            <w:tcW w:w="3545"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pPr>
            <w:r>
              <w:rPr>
                <w:rFonts w:hint="eastAsia"/>
              </w:rPr>
              <w:t>……</w:t>
            </w:r>
          </w:p>
          <w:p>
            <w:pPr>
              <w:widowControl/>
              <w:adjustRightInd w:val="0"/>
              <w:snapToGrid w:val="0"/>
              <w:ind w:firstLine="420"/>
            </w:pPr>
            <w:r>
              <w:rPr>
                <w:rFonts w:hint="eastAsia"/>
              </w:rPr>
              <w:t>（二）安全设备的安装、使用、检测、改造和报废不符合国家标准或者行业标准的；</w:t>
            </w:r>
          </w:p>
          <w:p>
            <w:pPr>
              <w:widowControl/>
              <w:adjustRightInd w:val="0"/>
              <w:snapToGrid w:val="0"/>
              <w:ind w:firstLine="420"/>
            </w:pPr>
            <w:r>
              <w:t>（三）未对安全设备进行经常性维护、保养和定期检测的</w:t>
            </w:r>
            <w:r>
              <w:rPr>
                <w:rFonts w:hint="eastAsia"/>
              </w:rPr>
              <w:t>；</w:t>
            </w:r>
          </w:p>
          <w:p>
            <w:pPr>
              <w:widowControl/>
              <w:adjustRightInd w:val="0"/>
              <w:snapToGrid w:val="0"/>
            </w:pPr>
            <w:r>
              <w:rPr>
                <w:rFonts w:hint="eastAsia"/>
              </w:rPr>
              <w:t xml:space="preserve">    ……</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restart"/>
            <w:vAlign w:val="center"/>
          </w:tcPr>
          <w:p>
            <w:pPr>
              <w:jc w:val="center"/>
              <w:rPr>
                <w:rFonts w:ascii="宋体" w:hAnsi="宋体"/>
                <w:szCs w:val="21"/>
              </w:rPr>
            </w:pPr>
            <w:r>
              <w:rPr>
                <w:rFonts w:hint="eastAsia" w:ascii="宋体" w:hAnsi="宋体"/>
                <w:szCs w:val="21"/>
              </w:rPr>
              <w:t>3</w:t>
            </w:r>
          </w:p>
        </w:tc>
        <w:tc>
          <w:tcPr>
            <w:tcW w:w="1704" w:type="dxa"/>
            <w:vMerge w:val="restart"/>
            <w:vAlign w:val="center"/>
          </w:tcPr>
          <w:p>
            <w:pPr>
              <w:widowControl/>
              <w:adjustRightInd w:val="0"/>
              <w:snapToGrid w:val="0"/>
              <w:rPr>
                <w:rFonts w:ascii="宋体" w:hAnsi="宋体" w:cs="宋体"/>
                <w:kern w:val="0"/>
                <w:szCs w:val="21"/>
              </w:rPr>
            </w:pPr>
            <w:r>
              <w:rPr>
                <w:rFonts w:hint="eastAsia" w:ascii="宋体" w:hAnsi="宋体"/>
                <w:szCs w:val="21"/>
              </w:rPr>
              <w:t>防火防爆情况</w:t>
            </w: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3.1 粉尘爆炸危险场所的20区禁止使用非防爆电气设备设施</w:t>
            </w:r>
          </w:p>
        </w:tc>
        <w:tc>
          <w:tcPr>
            <w:tcW w:w="425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《粉尘防爆安全规程》（GB 15577-2018）</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6.3.3  粉尘爆炸危险场所用电气设备应符合GB 12476.1、GB/T 3836.15的相关规定；应防止由电气设备或线路产生的过热及火花，防止可燃性粉尘进入产生电火花或高温部件的外壳内。</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6.3.3  粉尘爆炸危险场所电气设计、安装应按GB 50058的有关规定执行。</w:t>
            </w:r>
          </w:p>
          <w:p>
            <w:pPr>
              <w:widowControl/>
              <w:adjustRightInd w:val="0"/>
              <w:snapToGrid w:val="0"/>
              <w:ind w:firstLine="420" w:firstLineChars="200"/>
              <w:rPr>
                <w:rFonts w:ascii="宋体" w:hAnsi="宋体" w:cs="宋体"/>
                <w:kern w:val="0"/>
                <w:szCs w:val="21"/>
              </w:rPr>
            </w:pPr>
            <w:r>
              <w:rPr>
                <w:rFonts w:ascii="宋体" w:hAnsi="宋体" w:cs="宋体"/>
                <w:kern w:val="0"/>
                <w:szCs w:val="21"/>
              </w:rPr>
              <w:t>《</w:t>
            </w:r>
            <w:r>
              <w:rPr>
                <w:rFonts w:ascii="宋体" w:hAnsi="宋体" w:cs="宋体"/>
                <w:kern w:val="0"/>
                <w:szCs w:val="21"/>
                <w:highlight w:val="none"/>
              </w:rPr>
              <w:t>工贸行业重大生产安全事故隐患判定标准（2017版）</w:t>
            </w:r>
            <w:r>
              <w:rPr>
                <w:rFonts w:ascii="宋体" w:hAnsi="宋体" w:cs="宋体"/>
                <w:kern w:val="0"/>
                <w:szCs w:val="21"/>
              </w:rPr>
              <w:t>》（安监总管四〔2017〕129号）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专项</w:t>
            </w:r>
            <w:r>
              <w:rPr>
                <w:rFonts w:ascii="宋体" w:hAnsi="宋体" w:cs="宋体"/>
                <w:kern w:val="0"/>
                <w:szCs w:val="21"/>
              </w:rPr>
              <w:t>类重大事故隐患</w:t>
            </w:r>
          </w:p>
          <w:p>
            <w:pPr>
              <w:widowControl/>
              <w:adjustRightInd w:val="0"/>
              <w:snapToGrid w:val="0"/>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存在粉尘爆炸危险的行业领域</w:t>
            </w:r>
            <w:r>
              <w:rPr>
                <w:rFonts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7.粉尘爆炸危险场所的20区未使用防爆电气设备设施。</w:t>
            </w:r>
          </w:p>
        </w:tc>
        <w:tc>
          <w:tcPr>
            <w:tcW w:w="3545"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1013" w:type="dxa"/>
            <w:vAlign w:val="center"/>
          </w:tcPr>
          <w:p>
            <w:pPr>
              <w:widowControl/>
              <w:adjustRightInd w:val="0"/>
              <w:snapToGrid w:val="0"/>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widowControl/>
              <w:adjustRightInd w:val="0"/>
              <w:snapToGrid w:val="0"/>
              <w:rPr>
                <w:rFonts w:ascii="宋体" w:hAnsi="宋体"/>
                <w:szCs w:val="21"/>
              </w:rPr>
            </w:pP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ascii="宋体" w:hAnsi="宋体" w:cs="宋体"/>
                <w:kern w:val="0"/>
                <w:szCs w:val="21"/>
              </w:rPr>
              <w:t>3.2</w:t>
            </w:r>
            <w:r>
              <w:rPr>
                <w:rFonts w:hint="eastAsia" w:ascii="宋体" w:hAnsi="宋体" w:cs="宋体"/>
                <w:kern w:val="0"/>
                <w:szCs w:val="21"/>
              </w:rPr>
              <w:t xml:space="preserve"> 在粉碎、研磨、造粒等易于产生机械点火源的工艺设备前，应规范设置去除铁、石等异物的装置</w:t>
            </w:r>
          </w:p>
        </w:tc>
        <w:tc>
          <w:tcPr>
            <w:tcW w:w="4250" w:type="dxa"/>
            <w:vAlign w:val="center"/>
          </w:tcPr>
          <w:p>
            <w:pPr>
              <w:pStyle w:val="2"/>
              <w:ind w:firstLine="420"/>
              <w:rPr>
                <w:rFonts w:eastAsia="宋体"/>
              </w:rPr>
            </w:pPr>
            <w:r>
              <w:rPr>
                <w:rFonts w:hint="eastAsia" w:eastAsia="宋体"/>
              </w:rPr>
              <w:t>《安全生产法》第三十三条  安全设备的设计、制造、安装、使用、检测、维修、改造和报废，应当符合国家标准或者行业标准。</w:t>
            </w:r>
            <w:r>
              <w:rPr>
                <w:rFonts w:eastAsia="宋体"/>
              </w:rPr>
              <w:t>生产经营单位必须对安全设备进行经常性维护、保养，并定期检测，保证正常运转。维护、保养、检测应当作好记录，并由有关人员签字。</w:t>
            </w:r>
          </w:p>
          <w:p>
            <w:pPr>
              <w:widowControl/>
              <w:adjustRightInd w:val="0"/>
              <w:snapToGrid w:val="0"/>
              <w:spacing w:line="240" w:lineRule="exact"/>
              <w:ind w:firstLine="420" w:firstLineChars="200"/>
              <w:rPr>
                <w:rFonts w:ascii="宋体" w:hAnsi="宋体" w:cs="宋体"/>
                <w:kern w:val="0"/>
                <w:szCs w:val="21"/>
                <w:highlight w:val="none"/>
              </w:rPr>
            </w:pPr>
            <w:r>
              <w:rPr>
                <w:rFonts w:hint="eastAsia" w:ascii="宋体" w:hAnsi="宋体" w:cs="宋体"/>
                <w:kern w:val="0"/>
                <w:szCs w:val="21"/>
                <w:highlight w:val="none"/>
              </w:rPr>
              <w:t>《粉尘防爆安全规程》（GB 15577-2018）</w:t>
            </w:r>
          </w:p>
          <w:p>
            <w:pPr>
              <w:widowControl/>
              <w:adjustRightInd w:val="0"/>
              <w:snapToGrid w:val="0"/>
              <w:spacing w:line="240" w:lineRule="exact"/>
              <w:ind w:firstLine="525" w:firstLineChars="250"/>
              <w:rPr>
                <w:rFonts w:ascii="宋体" w:hAnsi="宋体" w:cs="宋体"/>
                <w:kern w:val="0"/>
                <w:szCs w:val="21"/>
              </w:rPr>
            </w:pPr>
            <w:r>
              <w:rPr>
                <w:rFonts w:ascii="宋体" w:hAnsi="宋体" w:cs="宋体"/>
                <w:kern w:val="0"/>
                <w:szCs w:val="21"/>
              </w:rPr>
              <w:t>6.4.2</w:t>
            </w:r>
            <w:r>
              <w:rPr>
                <w:rFonts w:hint="eastAsia" w:ascii="宋体" w:hAnsi="宋体" w:cs="宋体"/>
                <w:kern w:val="0"/>
                <w:szCs w:val="21"/>
              </w:rPr>
              <w:t xml:space="preserve">  </w:t>
            </w:r>
            <w:r>
              <w:rPr>
                <w:rFonts w:ascii="宋体" w:hAnsi="宋体" w:cs="宋体"/>
                <w:kern w:val="0"/>
                <w:szCs w:val="21"/>
              </w:rPr>
              <w:t>在工艺流程的进料处，</w:t>
            </w:r>
            <w:r>
              <w:rPr>
                <w:rFonts w:hint="eastAsia" w:ascii="宋体" w:hAnsi="宋体" w:cs="宋体"/>
                <w:kern w:val="0"/>
                <w:szCs w:val="21"/>
              </w:rPr>
              <w:t>应</w:t>
            </w:r>
            <w:r>
              <w:rPr>
                <w:rFonts w:ascii="宋体" w:hAnsi="宋体" w:cs="宋体"/>
                <w:kern w:val="0"/>
                <w:szCs w:val="21"/>
              </w:rPr>
              <w:t>安装能除去混入料中杂物的磁铁、气动分离器或筛子，防止杂物与设备碰撞</w:t>
            </w:r>
            <w:r>
              <w:rPr>
                <w:rFonts w:hint="eastAsia" w:ascii="宋体" w:hAnsi="宋体" w:cs="宋体"/>
                <w:kern w:val="0"/>
                <w:szCs w:val="21"/>
              </w:rPr>
              <w:t>。</w:t>
            </w:r>
          </w:p>
          <w:p>
            <w:pPr>
              <w:widowControl/>
              <w:adjustRightInd w:val="0"/>
              <w:snapToGrid w:val="0"/>
              <w:spacing w:line="240" w:lineRule="exact"/>
              <w:ind w:firstLine="525" w:firstLineChars="250"/>
              <w:rPr>
                <w:rFonts w:ascii="宋体" w:hAnsi="宋体" w:cs="宋体"/>
                <w:kern w:val="0"/>
                <w:szCs w:val="21"/>
              </w:rPr>
            </w:pPr>
            <w:r>
              <w:rPr>
                <w:rFonts w:ascii="宋体" w:hAnsi="宋体" w:cs="宋体"/>
                <w:kern w:val="0"/>
                <w:szCs w:val="21"/>
                <w:highlight w:val="none"/>
              </w:rPr>
              <w:t>《工贸行业重大生产安全事故隐患判定标准（2017版）》</w:t>
            </w:r>
            <w:r>
              <w:rPr>
                <w:rFonts w:ascii="宋体" w:hAnsi="宋体" w:cs="宋体"/>
                <w:kern w:val="0"/>
                <w:szCs w:val="21"/>
              </w:rPr>
              <w:t>（安监总管四〔2017〕129号）</w:t>
            </w:r>
          </w:p>
          <w:p>
            <w:pPr>
              <w:widowControl/>
              <w:adjustRightInd w:val="0"/>
              <w:snapToGrid w:val="0"/>
              <w:spacing w:line="240" w:lineRule="exact"/>
              <w:ind w:firstLine="525" w:firstLineChars="250"/>
              <w:rPr>
                <w:rFonts w:ascii="宋体" w:hAnsi="宋体" w:cs="宋体"/>
                <w:kern w:val="0"/>
                <w:szCs w:val="21"/>
              </w:rPr>
            </w:pP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专项</w:t>
            </w:r>
            <w:r>
              <w:rPr>
                <w:rFonts w:ascii="宋体" w:hAnsi="宋体" w:cs="宋体"/>
                <w:kern w:val="0"/>
                <w:szCs w:val="21"/>
              </w:rPr>
              <w:t>类重大事故隐患</w:t>
            </w:r>
          </w:p>
          <w:p>
            <w:pPr>
              <w:widowControl/>
              <w:adjustRightInd w:val="0"/>
              <w:snapToGrid w:val="0"/>
              <w:spacing w:line="240" w:lineRule="exact"/>
              <w:ind w:firstLine="525" w:firstLineChars="250"/>
              <w:rPr>
                <w:rFonts w:ascii="宋体" w:hAnsi="宋体" w:cs="宋体"/>
                <w:kern w:val="0"/>
                <w:szCs w:val="21"/>
              </w:rPr>
            </w:pPr>
            <w:r>
              <w:rPr>
                <w:rFonts w:ascii="宋体" w:hAnsi="宋体" w:cs="宋体"/>
                <w:kern w:val="0"/>
                <w:szCs w:val="21"/>
              </w:rPr>
              <w:t>（</w:t>
            </w: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存在粉尘爆炸危险的行业领域</w:t>
            </w:r>
            <w:r>
              <w:rPr>
                <w:rFonts w:ascii="宋体" w:hAnsi="宋体" w:cs="宋体"/>
                <w:kern w:val="0"/>
                <w:szCs w:val="21"/>
              </w:rPr>
              <w:t>。</w:t>
            </w:r>
          </w:p>
          <w:p>
            <w:pPr>
              <w:widowControl/>
              <w:adjustRightInd w:val="0"/>
              <w:snapToGrid w:val="0"/>
              <w:spacing w:line="240" w:lineRule="exact"/>
              <w:ind w:firstLine="525" w:firstLineChars="250"/>
              <w:rPr>
                <w:rFonts w:ascii="宋体" w:hAnsi="宋体" w:cs="宋体"/>
                <w:kern w:val="0"/>
                <w:szCs w:val="21"/>
              </w:rPr>
            </w:pPr>
            <w:r>
              <w:rPr>
                <w:rFonts w:hint="eastAsia" w:ascii="宋体" w:hAnsi="宋体" w:cs="宋体"/>
                <w:kern w:val="0"/>
                <w:szCs w:val="21"/>
              </w:rPr>
              <w:t>8.在粉碎、研磨、造粒等易于产生机械点火源的工艺设备前，未按规范设置去除铁、石等异物的装置。</w:t>
            </w:r>
          </w:p>
        </w:tc>
        <w:tc>
          <w:tcPr>
            <w:tcW w:w="3545" w:type="dxa"/>
            <w:vAlign w:val="center"/>
          </w:tcPr>
          <w:p>
            <w:pPr>
              <w:widowControl/>
              <w:adjustRightInd w:val="0"/>
              <w:snapToGrid w:val="0"/>
              <w:ind w:firstLine="420"/>
            </w:pPr>
            <w:r>
              <w:rPr>
                <w:rFonts w:hint="eastAsia"/>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pPr>
            <w:r>
              <w:rPr>
                <w:rFonts w:hint="eastAsia"/>
              </w:rPr>
              <w:t>……</w:t>
            </w:r>
          </w:p>
          <w:p>
            <w:pPr>
              <w:widowControl/>
              <w:adjustRightInd w:val="0"/>
              <w:snapToGrid w:val="0"/>
              <w:ind w:firstLine="420"/>
            </w:pPr>
            <w:r>
              <w:rPr>
                <w:rFonts w:hint="eastAsia"/>
              </w:rPr>
              <w:t>（二）安全设备的安装、使用、检测、改造和报废不符合国家标准或者行业标准的；</w:t>
            </w:r>
          </w:p>
          <w:p>
            <w:pPr>
              <w:widowControl/>
              <w:adjustRightInd w:val="0"/>
              <w:snapToGrid w:val="0"/>
              <w:ind w:firstLine="420"/>
            </w:pPr>
            <w:r>
              <w:t>（三）未对安全设备进行经常性维护、保养和定期检测的</w:t>
            </w:r>
            <w:r>
              <w:rPr>
                <w:rFonts w:hint="eastAsia"/>
              </w:rPr>
              <w:t>；</w:t>
            </w:r>
          </w:p>
          <w:p>
            <w:pPr>
              <w:widowControl/>
              <w:adjustRightInd w:val="0"/>
              <w:snapToGrid w:val="0"/>
              <w:rPr>
                <w:rFonts w:ascii="宋体" w:hAnsi="宋体" w:cs="宋体"/>
                <w:kern w:val="0"/>
                <w:szCs w:val="21"/>
              </w:rPr>
            </w:pPr>
            <w:r>
              <w:rPr>
                <w:rFonts w:hint="eastAsia"/>
              </w:rPr>
              <w:t xml:space="preserve">    ……</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continue"/>
            <w:vAlign w:val="center"/>
          </w:tcPr>
          <w:p>
            <w:pPr>
              <w:jc w:val="center"/>
              <w:rPr>
                <w:rFonts w:ascii="宋体" w:hAnsi="宋体"/>
                <w:szCs w:val="21"/>
              </w:rPr>
            </w:pPr>
          </w:p>
        </w:tc>
        <w:tc>
          <w:tcPr>
            <w:tcW w:w="1704" w:type="dxa"/>
            <w:vMerge w:val="continue"/>
            <w:vAlign w:val="center"/>
          </w:tcPr>
          <w:p>
            <w:pPr>
              <w:widowControl/>
              <w:adjustRightInd w:val="0"/>
              <w:snapToGrid w:val="0"/>
              <w:rPr>
                <w:rFonts w:ascii="宋体" w:hAnsi="宋体"/>
                <w:szCs w:val="21"/>
              </w:rPr>
            </w:pP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ascii="宋体" w:hAnsi="宋体" w:cs="宋体"/>
                <w:kern w:val="0"/>
                <w:szCs w:val="21"/>
              </w:rPr>
              <w:t>3.3</w:t>
            </w:r>
            <w:r>
              <w:rPr>
                <w:rFonts w:hint="eastAsia" w:ascii="宋体" w:hAnsi="宋体" w:cs="宋体"/>
                <w:kern w:val="0"/>
                <w:szCs w:val="21"/>
              </w:rPr>
              <w:t xml:space="preserve"> 木制品加工企业，与砂光机连接的风管应设置火花探测报警装置</w:t>
            </w:r>
          </w:p>
        </w:tc>
        <w:tc>
          <w:tcPr>
            <w:tcW w:w="4250" w:type="dxa"/>
            <w:vAlign w:val="center"/>
          </w:tcPr>
          <w:p>
            <w:pPr>
              <w:widowControl/>
              <w:adjustRightInd w:val="0"/>
              <w:snapToGrid w:val="0"/>
              <w:spacing w:line="240" w:lineRule="exact"/>
              <w:ind w:firstLine="525" w:firstLineChars="250"/>
              <w:rPr>
                <w:rFonts w:ascii="宋体" w:hAnsi="宋体" w:cs="宋体"/>
                <w:kern w:val="0"/>
                <w:szCs w:val="21"/>
              </w:rPr>
            </w:pPr>
            <w:r>
              <w:rPr>
                <w:rFonts w:hint="eastAsia" w:ascii="宋体" w:hAnsi="宋体" w:cs="宋体"/>
                <w:kern w:val="0"/>
                <w:szCs w:val="21"/>
              </w:rPr>
              <w:t>《安全生产法》第三十三条  安全设备的设计、制造、安装、使用、检测、维修、改造和报废，应当符合国家标准或者行业标准。</w:t>
            </w:r>
            <w:r>
              <w:rPr>
                <w:rFonts w:ascii="宋体" w:hAnsi="宋体" w:cs="宋体"/>
                <w:kern w:val="0"/>
                <w:szCs w:val="21"/>
              </w:rPr>
              <w:t>生产经营单位必须对安全设备进行经常性维护、保养，并定期检测，保证正常运转。维护、保养、检测应当作好记录，并由有关人员签字。</w:t>
            </w:r>
          </w:p>
          <w:p>
            <w:pPr>
              <w:widowControl/>
              <w:adjustRightInd w:val="0"/>
              <w:snapToGrid w:val="0"/>
              <w:spacing w:line="240" w:lineRule="exact"/>
              <w:ind w:firstLine="420" w:firstLineChars="200"/>
              <w:rPr>
                <w:rFonts w:ascii="宋体" w:hAnsi="宋体" w:cs="宋体"/>
                <w:kern w:val="0"/>
                <w:szCs w:val="21"/>
                <w:highlight w:val="none"/>
              </w:rPr>
            </w:pPr>
            <w:r>
              <w:rPr>
                <w:rFonts w:hint="eastAsia" w:ascii="宋体" w:hAnsi="宋体" w:cs="宋体"/>
                <w:kern w:val="0"/>
                <w:szCs w:val="21"/>
                <w:highlight w:val="none"/>
              </w:rPr>
              <w:t>《粉尘防爆安全规程》（</w:t>
            </w:r>
            <w:r>
              <w:rPr>
                <w:rFonts w:ascii="宋体" w:hAnsi="宋体" w:cs="宋体"/>
                <w:kern w:val="0"/>
                <w:szCs w:val="21"/>
                <w:highlight w:val="none"/>
              </w:rPr>
              <w:t>GB 15577-20</w:t>
            </w:r>
            <w:r>
              <w:rPr>
                <w:rFonts w:hint="eastAsia" w:ascii="宋体" w:hAnsi="宋体" w:cs="宋体"/>
                <w:kern w:val="0"/>
                <w:szCs w:val="21"/>
                <w:highlight w:val="none"/>
              </w:rPr>
              <w:t>18</w:t>
            </w:r>
            <w:r>
              <w:rPr>
                <w:rFonts w:ascii="宋体" w:hAnsi="宋体" w:cs="宋体"/>
                <w:kern w:val="0"/>
                <w:szCs w:val="21"/>
                <w:highlight w:val="none"/>
              </w:rPr>
              <w:t>）</w:t>
            </w:r>
          </w:p>
          <w:p>
            <w:pPr>
              <w:widowControl/>
              <w:adjustRightInd w:val="0"/>
              <w:snapToGrid w:val="0"/>
              <w:spacing w:line="240" w:lineRule="exact"/>
              <w:ind w:firstLine="525" w:firstLineChars="250"/>
              <w:rPr>
                <w:rFonts w:ascii="宋体" w:hAnsi="宋体" w:cs="宋体"/>
                <w:kern w:val="0"/>
                <w:szCs w:val="21"/>
              </w:rPr>
            </w:pPr>
            <w:r>
              <w:rPr>
                <w:rFonts w:hint="eastAsia" w:ascii="宋体" w:hAnsi="宋体" w:cs="宋体"/>
                <w:kern w:val="0"/>
                <w:szCs w:val="21"/>
              </w:rPr>
              <w:t>6.4.5  粉尘</w:t>
            </w:r>
            <w:r>
              <w:rPr>
                <w:rFonts w:ascii="宋体" w:hAnsi="宋体" w:cs="宋体"/>
                <w:kern w:val="0"/>
                <w:szCs w:val="21"/>
              </w:rPr>
              <w:t>输送管道中</w:t>
            </w:r>
            <w:r>
              <w:rPr>
                <w:rFonts w:hint="eastAsia" w:ascii="宋体" w:hAnsi="宋体" w:cs="宋体"/>
                <w:kern w:val="0"/>
                <w:szCs w:val="21"/>
              </w:rPr>
              <w:t>存在火花等</w:t>
            </w:r>
            <w:r>
              <w:rPr>
                <w:rFonts w:ascii="宋体" w:hAnsi="宋体" w:cs="宋体"/>
                <w:kern w:val="0"/>
                <w:szCs w:val="21"/>
              </w:rPr>
              <w:t>点火源</w:t>
            </w:r>
            <w:r>
              <w:rPr>
                <w:rFonts w:hint="eastAsia" w:ascii="宋体" w:hAnsi="宋体" w:cs="宋体"/>
                <w:kern w:val="0"/>
                <w:szCs w:val="21"/>
              </w:rPr>
              <w:t>时</w:t>
            </w:r>
            <w:r>
              <w:rPr>
                <w:rFonts w:ascii="宋体" w:hAnsi="宋体" w:cs="宋体"/>
                <w:kern w:val="0"/>
                <w:szCs w:val="21"/>
              </w:rPr>
              <w:t>，</w:t>
            </w:r>
            <w:r>
              <w:rPr>
                <w:rFonts w:hint="eastAsia" w:ascii="宋体" w:hAnsi="宋体" w:cs="宋体"/>
                <w:kern w:val="0"/>
                <w:szCs w:val="21"/>
              </w:rPr>
              <w:t>如</w:t>
            </w:r>
            <w:r>
              <w:rPr>
                <w:rFonts w:ascii="宋体" w:hAnsi="宋体" w:cs="宋体"/>
                <w:kern w:val="0"/>
                <w:szCs w:val="21"/>
              </w:rPr>
              <w:t>与</w:t>
            </w:r>
            <w:r>
              <w:rPr>
                <w:rFonts w:hint="eastAsia" w:ascii="宋体" w:hAnsi="宋体" w:cs="宋体"/>
                <w:kern w:val="0"/>
                <w:szCs w:val="21"/>
              </w:rPr>
              <w:t>木质板材加工用</w:t>
            </w:r>
            <w:r>
              <w:rPr>
                <w:rFonts w:ascii="宋体" w:hAnsi="宋体" w:cs="宋体"/>
                <w:kern w:val="0"/>
                <w:szCs w:val="21"/>
              </w:rPr>
              <w:t>砂光</w:t>
            </w:r>
            <w:r>
              <w:rPr>
                <w:rFonts w:hint="eastAsia" w:ascii="宋体" w:hAnsi="宋体" w:cs="宋体"/>
                <w:kern w:val="0"/>
                <w:szCs w:val="21"/>
              </w:rPr>
              <w:t>机</w:t>
            </w:r>
            <w:r>
              <w:rPr>
                <w:rFonts w:ascii="宋体" w:hAnsi="宋体" w:cs="宋体"/>
                <w:kern w:val="0"/>
                <w:szCs w:val="21"/>
              </w:rPr>
              <w:t>连接的除尘风管、</w:t>
            </w:r>
            <w:r>
              <w:rPr>
                <w:rFonts w:hint="eastAsia" w:ascii="宋体" w:hAnsi="宋体" w:cs="宋体"/>
                <w:kern w:val="0"/>
                <w:szCs w:val="21"/>
              </w:rPr>
              <w:t>纺织</w:t>
            </w:r>
            <w:r>
              <w:rPr>
                <w:rFonts w:ascii="宋体" w:hAnsi="宋体" w:cs="宋体"/>
                <w:kern w:val="0"/>
                <w:szCs w:val="21"/>
              </w:rPr>
              <w:t>梳棉</w:t>
            </w:r>
            <w:r>
              <w:rPr>
                <w:rFonts w:hint="eastAsia" w:ascii="宋体" w:hAnsi="宋体" w:cs="宋体"/>
                <w:kern w:val="0"/>
                <w:szCs w:val="21"/>
              </w:rPr>
              <w:t>（麻）设备</w:t>
            </w:r>
            <w:r>
              <w:rPr>
                <w:rFonts w:ascii="宋体" w:hAnsi="宋体" w:cs="宋体"/>
                <w:kern w:val="0"/>
                <w:szCs w:val="21"/>
              </w:rPr>
              <w:t>除尘</w:t>
            </w:r>
            <w:r>
              <w:rPr>
                <w:rFonts w:hint="eastAsia" w:ascii="宋体" w:hAnsi="宋体" w:cs="宋体"/>
                <w:kern w:val="0"/>
                <w:szCs w:val="21"/>
              </w:rPr>
              <w:t>风管</w:t>
            </w:r>
            <w:r>
              <w:rPr>
                <w:rFonts w:ascii="宋体" w:hAnsi="宋体" w:cs="宋体"/>
                <w:kern w:val="0"/>
                <w:szCs w:val="21"/>
              </w:rPr>
              <w:t>等</w:t>
            </w:r>
            <w:r>
              <w:rPr>
                <w:rFonts w:hint="eastAsia" w:ascii="宋体" w:hAnsi="宋体" w:cs="宋体"/>
                <w:kern w:val="0"/>
                <w:szCs w:val="21"/>
              </w:rPr>
              <w:t>，</w:t>
            </w:r>
            <w:r>
              <w:rPr>
                <w:rFonts w:ascii="宋体" w:hAnsi="宋体" w:cs="宋体"/>
                <w:kern w:val="0"/>
                <w:szCs w:val="21"/>
              </w:rPr>
              <w:t>应设置火花探测</w:t>
            </w:r>
            <w:r>
              <w:rPr>
                <w:rFonts w:hint="eastAsia" w:ascii="宋体" w:hAnsi="宋体" w:cs="宋体"/>
                <w:kern w:val="0"/>
                <w:szCs w:val="21"/>
              </w:rPr>
              <w:t>与</w:t>
            </w:r>
            <w:r>
              <w:rPr>
                <w:rFonts w:ascii="宋体" w:hAnsi="宋体" w:cs="宋体"/>
                <w:kern w:val="0"/>
                <w:szCs w:val="21"/>
              </w:rPr>
              <w:t>消除</w:t>
            </w:r>
            <w:r>
              <w:rPr>
                <w:rFonts w:hint="eastAsia" w:ascii="宋体" w:hAnsi="宋体" w:cs="宋体"/>
                <w:kern w:val="0"/>
                <w:szCs w:val="21"/>
              </w:rPr>
              <w:t>火花</w:t>
            </w:r>
            <w:r>
              <w:rPr>
                <w:rFonts w:ascii="宋体" w:hAnsi="宋体" w:cs="宋体"/>
                <w:kern w:val="0"/>
                <w:szCs w:val="21"/>
              </w:rPr>
              <w:t>的</w:t>
            </w:r>
            <w:r>
              <w:rPr>
                <w:rFonts w:hint="eastAsia" w:ascii="宋体" w:hAnsi="宋体" w:cs="宋体"/>
                <w:kern w:val="0"/>
                <w:szCs w:val="21"/>
              </w:rPr>
              <w:t>装置</w:t>
            </w:r>
            <w:r>
              <w:rPr>
                <w:rFonts w:ascii="宋体" w:hAnsi="宋体" w:cs="宋体"/>
                <w:kern w:val="0"/>
                <w:szCs w:val="21"/>
              </w:rPr>
              <w:t>。</w:t>
            </w:r>
          </w:p>
          <w:p>
            <w:pPr>
              <w:widowControl/>
              <w:adjustRightInd w:val="0"/>
              <w:snapToGrid w:val="0"/>
              <w:spacing w:line="240" w:lineRule="exact"/>
              <w:ind w:firstLine="420" w:firstLineChars="200"/>
              <w:rPr>
                <w:rFonts w:ascii="宋体" w:hAnsi="宋体" w:cs="宋体"/>
                <w:kern w:val="0"/>
                <w:szCs w:val="21"/>
              </w:rPr>
            </w:pPr>
            <w:r>
              <w:rPr>
                <w:rFonts w:ascii="宋体" w:hAnsi="宋体" w:cs="宋体"/>
                <w:kern w:val="0"/>
                <w:szCs w:val="21"/>
                <w:highlight w:val="none"/>
              </w:rPr>
              <w:t>《工贸行业重大生产安全事故隐患判定标准（2017版）》</w:t>
            </w:r>
            <w:r>
              <w:rPr>
                <w:rFonts w:ascii="宋体" w:hAnsi="宋体" w:cs="宋体"/>
                <w:kern w:val="0"/>
                <w:szCs w:val="21"/>
              </w:rPr>
              <w:t>（安监总管四〔2017〕129号）</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专项</w:t>
            </w:r>
            <w:r>
              <w:rPr>
                <w:rFonts w:ascii="宋体" w:hAnsi="宋体" w:cs="宋体"/>
                <w:kern w:val="0"/>
                <w:szCs w:val="21"/>
              </w:rPr>
              <w:t>类重大事故隐患</w:t>
            </w:r>
          </w:p>
          <w:p>
            <w:pPr>
              <w:widowControl/>
              <w:adjustRightInd w:val="0"/>
              <w:snapToGrid w:val="0"/>
              <w:spacing w:line="240" w:lineRule="exact"/>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存在粉尘爆炸危险的行业领域</w:t>
            </w:r>
            <w:r>
              <w:rPr>
                <w:rFonts w:ascii="宋体" w:hAnsi="宋体" w:cs="宋体"/>
                <w:kern w:val="0"/>
                <w:szCs w:val="21"/>
              </w:rPr>
              <w:t>。</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9.木制品加工企业，与砂光机连接的风管未规范设置火花探测报警装置。</w:t>
            </w:r>
          </w:p>
        </w:tc>
        <w:tc>
          <w:tcPr>
            <w:tcW w:w="3545" w:type="dxa"/>
            <w:vAlign w:val="center"/>
          </w:tcPr>
          <w:p>
            <w:pPr>
              <w:widowControl/>
              <w:adjustRightInd w:val="0"/>
              <w:snapToGrid w:val="0"/>
              <w:ind w:firstLine="420"/>
            </w:pPr>
            <w:r>
              <w:rPr>
                <w:rFonts w:hint="eastAsia"/>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pPr>
            <w:r>
              <w:rPr>
                <w:rFonts w:hint="eastAsia"/>
              </w:rPr>
              <w:t>……</w:t>
            </w:r>
          </w:p>
          <w:p>
            <w:pPr>
              <w:widowControl/>
              <w:adjustRightInd w:val="0"/>
              <w:snapToGrid w:val="0"/>
              <w:ind w:firstLine="420"/>
            </w:pPr>
            <w:r>
              <w:rPr>
                <w:rFonts w:hint="eastAsia"/>
              </w:rPr>
              <w:t>（二）安全设备的安装、使用、检测、改造和报废不符合国家标准或者行业标准的；</w:t>
            </w:r>
          </w:p>
          <w:p>
            <w:pPr>
              <w:widowControl/>
              <w:adjustRightInd w:val="0"/>
              <w:snapToGrid w:val="0"/>
              <w:ind w:firstLine="420"/>
            </w:pPr>
            <w:r>
              <w:t>（三）未对安全设备进行经常性维护、保养和定期检测的</w:t>
            </w:r>
            <w:r>
              <w:rPr>
                <w:rFonts w:hint="eastAsia"/>
              </w:rPr>
              <w:t>；</w:t>
            </w:r>
          </w:p>
          <w:p>
            <w:pPr>
              <w:widowControl/>
              <w:adjustRightInd w:val="0"/>
              <w:snapToGrid w:val="0"/>
              <w:rPr>
                <w:rFonts w:ascii="宋体" w:hAnsi="宋体" w:cs="宋体"/>
                <w:kern w:val="0"/>
                <w:szCs w:val="21"/>
              </w:rPr>
            </w:pPr>
            <w:r>
              <w:rPr>
                <w:rFonts w:hint="eastAsia"/>
              </w:rPr>
              <w:t xml:space="preserve">    ……</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jc w:val="center"/>
              <w:rPr>
                <w:rFonts w:ascii="宋体" w:hAnsi="宋体"/>
                <w:szCs w:val="21"/>
              </w:rPr>
            </w:pPr>
            <w:r>
              <w:rPr>
                <w:rFonts w:hint="eastAsia" w:ascii="宋体" w:hAnsi="宋体"/>
                <w:szCs w:val="21"/>
              </w:rPr>
              <w:t>4</w:t>
            </w:r>
          </w:p>
        </w:tc>
        <w:tc>
          <w:tcPr>
            <w:tcW w:w="1704" w:type="dxa"/>
            <w:vAlign w:val="center"/>
          </w:tcPr>
          <w:p>
            <w:pPr>
              <w:widowControl/>
              <w:adjustRightInd w:val="0"/>
              <w:snapToGrid w:val="0"/>
              <w:rPr>
                <w:rFonts w:ascii="宋体" w:hAnsi="宋体"/>
                <w:szCs w:val="21"/>
              </w:rPr>
            </w:pPr>
            <w:r>
              <w:rPr>
                <w:rFonts w:hint="eastAsia" w:ascii="宋体" w:hAnsi="宋体" w:cs="宋体"/>
                <w:kern w:val="0"/>
                <w:szCs w:val="21"/>
              </w:rPr>
              <w:t>粉尘清扫情况</w:t>
            </w: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制定粉尘清扫制度，作业现场积尘应及时规范清扫，铝镁等遇湿自然粉尘收集、贮存应落实防水防潮措施</w:t>
            </w:r>
          </w:p>
        </w:tc>
        <w:tc>
          <w:tcPr>
            <w:tcW w:w="4250" w:type="dxa"/>
            <w:vAlign w:val="center"/>
          </w:tcPr>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w:t>
            </w:r>
          </w:p>
          <w:p>
            <w:pPr>
              <w:pStyle w:val="39"/>
              <w:numPr>
                <w:ilvl w:val="0"/>
                <w:numId w:val="0"/>
              </w:numPr>
              <w:ind w:firstLine="420"/>
              <w:rPr>
                <w:rFonts w:ascii="宋体" w:hAnsi="宋体" w:eastAsia="宋体" w:cs="宋体"/>
                <w:szCs w:val="21"/>
              </w:rPr>
            </w:pPr>
            <w:r>
              <w:rPr>
                <w:rFonts w:hint="eastAsia" w:ascii="宋体" w:hAnsi="宋体" w:eastAsia="宋体" w:cs="宋体"/>
                <w:szCs w:val="21"/>
              </w:rPr>
              <w:t>《粉尘防爆安全规程》（</w:t>
            </w:r>
            <w:r>
              <w:rPr>
                <w:rFonts w:ascii="宋体" w:hAnsi="宋体" w:eastAsia="宋体" w:cs="宋体"/>
                <w:szCs w:val="21"/>
              </w:rPr>
              <w:t>GB 15577-20</w:t>
            </w:r>
            <w:r>
              <w:rPr>
                <w:rFonts w:hint="eastAsia" w:ascii="宋体" w:hAnsi="宋体" w:eastAsia="宋体" w:cs="宋体"/>
                <w:szCs w:val="21"/>
              </w:rPr>
              <w:t>18</w:t>
            </w:r>
            <w:r>
              <w:rPr>
                <w:rFonts w:ascii="宋体" w:hAnsi="宋体" w:eastAsia="宋体" w:cs="宋体"/>
                <w:szCs w:val="21"/>
              </w:rPr>
              <w:t>）</w:t>
            </w:r>
          </w:p>
          <w:p>
            <w:pPr>
              <w:pStyle w:val="39"/>
              <w:numPr>
                <w:ilvl w:val="0"/>
                <w:numId w:val="0"/>
              </w:numPr>
              <w:ind w:firstLine="420"/>
              <w:rPr>
                <w:rFonts w:ascii="宋体" w:hAnsi="宋体" w:eastAsia="宋体" w:cs="宋体"/>
                <w:szCs w:val="21"/>
              </w:rPr>
            </w:pPr>
            <w:r>
              <w:rPr>
                <w:rFonts w:hint="eastAsia" w:ascii="宋体" w:hAnsi="宋体" w:eastAsia="宋体" w:cs="宋体"/>
                <w:szCs w:val="21"/>
              </w:rPr>
              <w:t>6.1.3  对遇湿自燃的金属粉尘，其收集、堆放与贮存时应采取防水防潮措施。</w:t>
            </w:r>
          </w:p>
          <w:p>
            <w:pPr>
              <w:pStyle w:val="39"/>
              <w:numPr>
                <w:ilvl w:val="0"/>
                <w:numId w:val="0"/>
              </w:numPr>
              <w:ind w:firstLine="420"/>
              <w:rPr>
                <w:rFonts w:ascii="宋体" w:hAnsi="宋体" w:eastAsia="宋体" w:cs="宋体"/>
                <w:szCs w:val="21"/>
              </w:rPr>
            </w:pPr>
            <w:r>
              <w:rPr>
                <w:rFonts w:hint="eastAsia" w:ascii="宋体" w:hAnsi="宋体" w:eastAsia="宋体" w:cs="宋体"/>
                <w:szCs w:val="21"/>
              </w:rPr>
              <w:t>9.1  企业对粉尘爆炸危险场所应制定包括清扫范围、清扫方式、清扫周期等内容的粉尘清洁制度。</w:t>
            </w:r>
          </w:p>
          <w:p>
            <w:pPr>
              <w:pStyle w:val="39"/>
              <w:numPr>
                <w:ilvl w:val="0"/>
                <w:numId w:val="0"/>
              </w:numPr>
              <w:ind w:firstLine="420"/>
              <w:rPr>
                <w:rFonts w:ascii="宋体" w:hAnsi="宋体" w:eastAsia="宋体" w:cs="宋体"/>
                <w:szCs w:val="21"/>
              </w:rPr>
            </w:pPr>
            <w:r>
              <w:rPr>
                <w:rFonts w:hint="eastAsia" w:ascii="宋体" w:hAnsi="宋体" w:eastAsia="宋体" w:cs="宋体"/>
                <w:szCs w:val="21"/>
              </w:rPr>
              <w:t>9.4  所有可能沉积粉尘的区域(包括粉料贮存间)及设备设施的所有部位应进行及时全面规范清扫。</w:t>
            </w:r>
          </w:p>
          <w:p>
            <w:pPr>
              <w:pStyle w:val="39"/>
              <w:numPr>
                <w:ilvl w:val="0"/>
                <w:numId w:val="0"/>
              </w:numPr>
              <w:ind w:firstLine="420"/>
              <w:rPr>
                <w:rFonts w:ascii="宋体" w:hAnsi="宋体" w:eastAsia="宋体" w:cs="宋体"/>
                <w:szCs w:val="21"/>
              </w:rPr>
            </w:pPr>
            <w:r>
              <w:rPr>
                <w:rFonts w:hint="eastAsia" w:ascii="宋体" w:hAnsi="宋体" w:eastAsia="宋体" w:cs="宋体"/>
                <w:szCs w:val="21"/>
              </w:rPr>
              <w:t>9.5  应根据粉尘特性采用不产生扬尘的清扫方法，不应使用压缩空气进行吹扫，宜采用负压吸尘方式清洁。</w:t>
            </w:r>
          </w:p>
          <w:p>
            <w:pPr>
              <w:widowControl/>
              <w:adjustRightInd w:val="0"/>
              <w:snapToGrid w:val="0"/>
              <w:spacing w:line="240" w:lineRule="exact"/>
              <w:ind w:firstLine="420" w:firstLineChars="200"/>
              <w:rPr>
                <w:rFonts w:ascii="宋体" w:hAnsi="宋体" w:cs="宋体"/>
                <w:kern w:val="0"/>
                <w:szCs w:val="21"/>
              </w:rPr>
            </w:pPr>
            <w:r>
              <w:rPr>
                <w:rFonts w:ascii="宋体" w:hAnsi="宋体" w:cs="宋体"/>
                <w:kern w:val="0"/>
                <w:szCs w:val="21"/>
                <w:highlight w:val="none"/>
              </w:rPr>
              <w:t>《工贸行业重大生产安全事故隐患判定标准（2017版）</w:t>
            </w:r>
            <w:r>
              <w:rPr>
                <w:rFonts w:ascii="宋体" w:hAnsi="宋体" w:cs="宋体"/>
                <w:kern w:val="0"/>
                <w:szCs w:val="21"/>
              </w:rPr>
              <w:t>》（安监总管四〔2017〕129号）</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专项</w:t>
            </w:r>
            <w:r>
              <w:rPr>
                <w:rFonts w:ascii="宋体" w:hAnsi="宋体" w:cs="宋体"/>
                <w:kern w:val="0"/>
                <w:szCs w:val="21"/>
              </w:rPr>
              <w:t>类重大事故隐患</w:t>
            </w:r>
          </w:p>
          <w:p>
            <w:pPr>
              <w:widowControl/>
              <w:adjustRightInd w:val="0"/>
              <w:snapToGrid w:val="0"/>
              <w:spacing w:line="240" w:lineRule="exact"/>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存在粉尘爆炸危险的行业领域</w:t>
            </w:r>
            <w:r>
              <w:rPr>
                <w:rFonts w:ascii="宋体" w:hAnsi="宋体" w:cs="宋体"/>
                <w:kern w:val="0"/>
                <w:szCs w:val="21"/>
              </w:rPr>
              <w:t>。</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10.未制定粉尘清扫制度，作业现场积尘未及时规范清理。</w:t>
            </w:r>
          </w:p>
        </w:tc>
        <w:tc>
          <w:tcPr>
            <w:tcW w:w="3545"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1013" w:type="dxa"/>
            <w:vAlign w:val="center"/>
          </w:tcPr>
          <w:p>
            <w:pPr>
              <w:widowControl/>
              <w:adjustRightInd w:val="0"/>
              <w:snapToGrid w:val="0"/>
              <w:rPr>
                <w:rFonts w:ascii="宋体" w:hAnsi="宋体" w:cs="宋体"/>
                <w:kern w:val="0"/>
                <w:szCs w:val="21"/>
              </w:rPr>
            </w:pPr>
          </w:p>
        </w:tc>
      </w:tr>
    </w:tbl>
    <w:p>
      <w:pPr>
        <w:pStyle w:val="4"/>
        <w:keepNext w:val="0"/>
        <w:keepLines w:val="0"/>
        <w:pageBreakBefore/>
        <w:spacing w:line="240" w:lineRule="auto"/>
        <w:rPr>
          <w:rFonts w:ascii="黑体" w:hAnsi="黑体" w:eastAsia="黑体"/>
          <w:b w:val="0"/>
        </w:rPr>
      </w:pPr>
      <w:r>
        <w:rPr>
          <w:rFonts w:hint="eastAsia" w:ascii="黑体" w:hAnsi="黑体" w:eastAsia="黑体"/>
          <w:b w:val="0"/>
        </w:rPr>
        <w:t>表5-9  液氨制冷企业</w:t>
      </w:r>
    </w:p>
    <w:tbl>
      <w:tblPr>
        <w:tblStyle w:val="19"/>
        <w:tblW w:w="13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816"/>
        <w:gridCol w:w="1704"/>
        <w:gridCol w:w="2551"/>
        <w:gridCol w:w="4250"/>
        <w:gridCol w:w="354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50" w:hRule="atLeast"/>
          <w:tblHeader/>
          <w:jc w:val="center"/>
        </w:trPr>
        <w:tc>
          <w:tcPr>
            <w:tcW w:w="816"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序号</w:t>
            </w:r>
          </w:p>
        </w:tc>
        <w:tc>
          <w:tcPr>
            <w:tcW w:w="1704"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检查事项</w:t>
            </w:r>
          </w:p>
        </w:tc>
        <w:tc>
          <w:tcPr>
            <w:tcW w:w="2551"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检查内容</w:t>
            </w:r>
          </w:p>
        </w:tc>
        <w:tc>
          <w:tcPr>
            <w:tcW w:w="4250"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检查依据指引</w:t>
            </w:r>
          </w:p>
        </w:tc>
        <w:tc>
          <w:tcPr>
            <w:tcW w:w="3545"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法律责任指引</w:t>
            </w:r>
          </w:p>
        </w:tc>
        <w:tc>
          <w:tcPr>
            <w:tcW w:w="1013"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jc w:val="center"/>
              <w:rPr>
                <w:rFonts w:ascii="宋体" w:hAnsi="宋体"/>
                <w:szCs w:val="21"/>
              </w:rPr>
            </w:pPr>
            <w:r>
              <w:rPr>
                <w:rFonts w:hint="eastAsia" w:ascii="宋体" w:hAnsi="宋体"/>
                <w:szCs w:val="21"/>
              </w:rPr>
              <w:t>1</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包装间、分割间、产品整理间等人员较多场所空调系统的制冷方式</w:t>
            </w: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包装间、分割间、产品整理间等人员较多场所空调系统严禁采用氨直接蒸发制冷系统</w:t>
            </w:r>
          </w:p>
        </w:tc>
        <w:tc>
          <w:tcPr>
            <w:tcW w:w="425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pPr>
            <w:r>
              <w:rPr>
                <w:rFonts w:hint="eastAsia" w:ascii="宋体" w:hAnsi="宋体" w:cs="宋体"/>
                <w:kern w:val="0"/>
                <w:szCs w:val="21"/>
              </w:rPr>
              <w:t>……</w:t>
            </w:r>
          </w:p>
          <w:p>
            <w:pPr>
              <w:widowControl/>
              <w:adjustRightInd w:val="0"/>
              <w:snapToGrid w:val="0"/>
              <w:ind w:firstLine="420" w:firstLineChars="200"/>
              <w:jc w:val="left"/>
              <w:rPr>
                <w:rFonts w:ascii="宋体" w:hAnsi="宋体" w:cs="宋体"/>
                <w:kern w:val="0"/>
                <w:szCs w:val="21"/>
                <w:highlight w:val="none"/>
              </w:rPr>
            </w:pPr>
            <w:r>
              <w:rPr>
                <w:rFonts w:hint="eastAsia" w:ascii="宋体" w:hAnsi="宋体" w:cs="宋体"/>
                <w:kern w:val="0"/>
                <w:szCs w:val="21"/>
                <w:highlight w:val="none"/>
              </w:rPr>
              <w:t>《冷库设计规范》(GB 50072-2010)</w:t>
            </w:r>
          </w:p>
          <w:p>
            <w:pPr>
              <w:widowControl/>
              <w:adjustRightInd w:val="0"/>
              <w:snapToGrid w:val="0"/>
              <w:ind w:firstLine="420" w:firstLineChars="200"/>
              <w:jc w:val="left"/>
              <w:rPr>
                <w:rFonts w:ascii="宋体" w:hAnsi="宋体" w:cs="宋体"/>
                <w:kern w:val="0"/>
                <w:szCs w:val="21"/>
                <w:highlight w:val="none"/>
              </w:rPr>
            </w:pPr>
            <w:r>
              <w:rPr>
                <w:rFonts w:hint="eastAsia" w:ascii="宋体" w:hAnsi="宋体" w:cs="宋体"/>
                <w:kern w:val="0"/>
                <w:szCs w:val="21"/>
                <w:highlight w:val="none"/>
              </w:rPr>
              <w:t>6.2.7  包装间、分割间、产品整理间等人员较多房间的空调系统严禁采用氨直接蒸发制冷系统。</w:t>
            </w:r>
          </w:p>
          <w:p>
            <w:pPr>
              <w:widowControl/>
              <w:adjustRightInd w:val="0"/>
              <w:snapToGrid w:val="0"/>
              <w:ind w:right="-107" w:rightChars="-51" w:firstLine="420" w:firstLineChars="200"/>
              <w:jc w:val="left"/>
              <w:rPr>
                <w:rFonts w:ascii="宋体" w:hAnsi="宋体" w:cs="宋体"/>
                <w:kern w:val="0"/>
                <w:szCs w:val="21"/>
                <w:highlight w:val="none"/>
              </w:rPr>
            </w:pPr>
            <w:r>
              <w:rPr>
                <w:rFonts w:hint="eastAsia" w:ascii="宋体" w:hAnsi="宋体" w:cs="宋体"/>
                <w:kern w:val="0"/>
                <w:szCs w:val="21"/>
                <w:highlight w:val="none"/>
              </w:rPr>
              <w:t>《氨制冷企业安全规范》（AQ 7015-2018</w:t>
            </w:r>
            <w:r>
              <w:rPr>
                <w:rFonts w:ascii="宋体" w:hAnsi="宋体" w:cs="宋体"/>
                <w:kern w:val="0"/>
                <w:szCs w:val="21"/>
                <w:highlight w:val="none"/>
              </w:rPr>
              <w:t>）</w:t>
            </w:r>
          </w:p>
          <w:p>
            <w:pPr>
              <w:widowControl/>
              <w:adjustRightInd w:val="0"/>
              <w:snapToGrid w:val="0"/>
              <w:ind w:firstLine="420" w:firstLineChars="200"/>
              <w:jc w:val="left"/>
              <w:rPr>
                <w:rFonts w:ascii="宋体" w:hAnsi="宋体" w:cs="宋体"/>
                <w:kern w:val="0"/>
                <w:szCs w:val="21"/>
                <w:highlight w:val="none"/>
              </w:rPr>
            </w:pPr>
            <w:r>
              <w:rPr>
                <w:rFonts w:hint="eastAsia" w:ascii="宋体" w:hAnsi="宋体" w:cs="宋体"/>
                <w:kern w:val="0"/>
                <w:szCs w:val="21"/>
                <w:highlight w:val="none"/>
              </w:rPr>
              <w:t>5.8包装间、分割间、产品整理间等人员较多的生产场所的空调系统不应采用氨直接蒸发制冷系统。</w:t>
            </w:r>
          </w:p>
          <w:p>
            <w:pPr>
              <w:widowControl/>
              <w:adjustRightInd w:val="0"/>
              <w:snapToGrid w:val="0"/>
              <w:ind w:firstLine="420" w:firstLineChars="200"/>
              <w:jc w:val="left"/>
              <w:rPr>
                <w:rFonts w:ascii="宋体" w:hAnsi="宋体" w:cs="宋体"/>
                <w:kern w:val="0"/>
                <w:szCs w:val="21"/>
                <w:highlight w:val="none"/>
              </w:rPr>
            </w:pPr>
            <w:r>
              <w:rPr>
                <w:rFonts w:ascii="宋体" w:hAnsi="宋体" w:cs="宋体"/>
                <w:kern w:val="0"/>
                <w:szCs w:val="21"/>
                <w:highlight w:val="none"/>
              </w:rPr>
              <w:t>《工贸行业重大生产安全事故隐患判定标准（2017版）》（安监总管四〔2017〕129号）</w:t>
            </w:r>
          </w:p>
          <w:p>
            <w:pPr>
              <w:widowControl/>
              <w:adjustRightInd w:val="0"/>
              <w:snapToGrid w:val="0"/>
              <w:ind w:firstLine="420" w:firstLineChars="200"/>
              <w:jc w:val="left"/>
              <w:rPr>
                <w:rFonts w:ascii="宋体" w:hAnsi="宋体" w:cs="宋体"/>
                <w:kern w:val="0"/>
                <w:szCs w:val="21"/>
              </w:rPr>
            </w:pP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专项</w:t>
            </w:r>
            <w:r>
              <w:rPr>
                <w:rFonts w:ascii="宋体" w:hAnsi="宋体" w:cs="宋体"/>
                <w:kern w:val="0"/>
                <w:szCs w:val="21"/>
              </w:rPr>
              <w:t>类重大事故隐患</w:t>
            </w:r>
          </w:p>
          <w:p>
            <w:pPr>
              <w:widowControl/>
              <w:adjustRightInd w:val="0"/>
              <w:snapToGrid w:val="0"/>
              <w:ind w:firstLine="420" w:firstLineChars="200"/>
              <w:jc w:val="left"/>
              <w:rPr>
                <w:rFonts w:ascii="宋体" w:hAnsi="宋体" w:cs="宋体"/>
                <w:kern w:val="0"/>
                <w:szCs w:val="21"/>
              </w:rPr>
            </w:pPr>
            <w:r>
              <w:rPr>
                <w:rFonts w:hint="eastAsia" w:ascii="宋体" w:hAnsi="宋体" w:cs="宋体"/>
                <w:kern w:val="0"/>
                <w:szCs w:val="21"/>
              </w:rPr>
              <w:t>（二）使用液氨制冷的行业领域</w:t>
            </w:r>
          </w:p>
          <w:p>
            <w:pPr>
              <w:widowControl/>
              <w:adjustRightInd w:val="0"/>
              <w:snapToGrid w:val="0"/>
              <w:ind w:firstLine="420" w:firstLineChars="200"/>
              <w:jc w:val="left"/>
              <w:rPr>
                <w:rFonts w:ascii="宋体" w:hAnsi="宋体" w:cs="宋体"/>
                <w:kern w:val="0"/>
                <w:szCs w:val="21"/>
              </w:rPr>
            </w:pPr>
            <w:r>
              <w:rPr>
                <w:rFonts w:hint="eastAsia" w:ascii="宋体" w:hAnsi="宋体" w:cs="宋体"/>
                <w:kern w:val="0"/>
                <w:szCs w:val="21"/>
              </w:rPr>
              <w:t>1.包装间、分割间、产品整理间等人员较多生产场所的空调系统采用氨直接蒸发制冷系统。</w:t>
            </w:r>
          </w:p>
        </w:tc>
        <w:tc>
          <w:tcPr>
            <w:tcW w:w="3545"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1013" w:type="dxa"/>
            <w:vAlign w:val="center"/>
          </w:tcPr>
          <w:p>
            <w:pPr>
              <w:widowControl/>
              <w:adjustRightInd w:val="0"/>
              <w:snapToGrid w:val="0"/>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jc w:val="center"/>
              <w:rPr>
                <w:rFonts w:ascii="宋体" w:hAnsi="宋体"/>
                <w:szCs w:val="21"/>
              </w:rPr>
            </w:pPr>
            <w:r>
              <w:rPr>
                <w:rFonts w:hint="eastAsia" w:ascii="宋体" w:hAnsi="宋体"/>
                <w:szCs w:val="21"/>
              </w:rPr>
              <w:t>2</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人员较多的生产场所使用快速冻结装置的防护情况</w:t>
            </w:r>
          </w:p>
        </w:tc>
        <w:tc>
          <w:tcPr>
            <w:tcW w:w="2551" w:type="dxa"/>
            <w:vAlign w:val="center"/>
          </w:tcPr>
          <w:p>
            <w:pPr>
              <w:widowControl/>
              <w:adjustRightInd w:val="0"/>
              <w:snapToGrid w:val="0"/>
              <w:rPr>
                <w:rFonts w:ascii="宋体" w:hAnsi="宋体" w:cs="宋体"/>
                <w:kern w:val="0"/>
                <w:szCs w:val="21"/>
              </w:rPr>
            </w:pPr>
            <w:r>
              <w:rPr>
                <w:rFonts w:hint="eastAsia" w:ascii="思源黑体 CN" w:hAnsi="思源黑体 CN" w:eastAsia="思源黑体 CN" w:cs="思源黑体 CN"/>
                <w:szCs w:val="21"/>
              </w:rPr>
              <w:t>★</w:t>
            </w:r>
            <w:r>
              <w:rPr>
                <w:rFonts w:hint="eastAsia" w:ascii="宋体" w:hAnsi="宋体" w:cs="宋体"/>
                <w:kern w:val="0"/>
                <w:szCs w:val="21"/>
              </w:rPr>
              <w:t>快速冻结装置必须设置在单独的作业间内，且作业间内作业人员不得超过9人</w:t>
            </w:r>
          </w:p>
        </w:tc>
        <w:tc>
          <w:tcPr>
            <w:tcW w:w="425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right="-107" w:rightChars="-51" w:firstLine="420" w:firstLineChars="200"/>
              <w:rPr>
                <w:rFonts w:ascii="宋体" w:hAnsi="宋体" w:cs="宋体"/>
                <w:kern w:val="0"/>
                <w:szCs w:val="21"/>
                <w:highlight w:val="none"/>
              </w:rPr>
            </w:pPr>
            <w:r>
              <w:rPr>
                <w:rFonts w:hint="eastAsia" w:ascii="宋体" w:hAnsi="宋体" w:cs="宋体"/>
                <w:kern w:val="0"/>
                <w:szCs w:val="21"/>
                <w:highlight w:val="none"/>
              </w:rPr>
              <w:t>《氨制冷企业安全规范》（AQ 7015-2018</w:t>
            </w:r>
            <w:r>
              <w:rPr>
                <w:rFonts w:ascii="宋体" w:hAnsi="宋体" w:cs="宋体"/>
                <w:kern w:val="0"/>
                <w:szCs w:val="21"/>
                <w:highlight w:val="none"/>
              </w:rPr>
              <w:t>）</w:t>
            </w:r>
            <w:r>
              <w:rPr>
                <w:rFonts w:hint="eastAsia" w:ascii="宋体" w:hAnsi="宋体" w:cs="宋体"/>
                <w:kern w:val="0"/>
                <w:szCs w:val="21"/>
                <w:highlight w:val="none"/>
              </w:rPr>
              <w:t xml:space="preserve"> </w:t>
            </w:r>
          </w:p>
          <w:p>
            <w:pPr>
              <w:widowControl/>
              <w:adjustRightInd w:val="0"/>
              <w:snapToGrid w:val="0"/>
              <w:ind w:firstLine="420" w:firstLineChars="200"/>
              <w:rPr>
                <w:rFonts w:ascii="宋体" w:hAnsi="宋体" w:cs="宋体"/>
                <w:kern w:val="0"/>
                <w:szCs w:val="21"/>
                <w:highlight w:val="none"/>
              </w:rPr>
            </w:pPr>
            <w:r>
              <w:rPr>
                <w:rFonts w:hint="eastAsia" w:ascii="宋体" w:hAnsi="宋体" w:cs="宋体"/>
                <w:kern w:val="0"/>
                <w:szCs w:val="21"/>
                <w:highlight w:val="none"/>
              </w:rPr>
              <w:t>5.9快速冻结装置应设置在单独的作业间内，作业间内应结构完整，且作业间内同一时间作业人数不超过9人。</w:t>
            </w:r>
          </w:p>
          <w:p>
            <w:pPr>
              <w:widowControl/>
              <w:adjustRightInd w:val="0"/>
              <w:snapToGrid w:val="0"/>
              <w:ind w:firstLine="420" w:firstLineChars="200"/>
              <w:rPr>
                <w:rFonts w:ascii="宋体" w:hAnsi="宋体" w:cs="宋体"/>
                <w:kern w:val="0"/>
                <w:szCs w:val="21"/>
              </w:rPr>
            </w:pPr>
            <w:r>
              <w:rPr>
                <w:rFonts w:ascii="宋体" w:hAnsi="宋体" w:cs="宋体"/>
                <w:kern w:val="0"/>
                <w:szCs w:val="21"/>
                <w:highlight w:val="none"/>
              </w:rPr>
              <w:t>《工贸行业重大生产安全事故隐患判定标准（2017版）</w:t>
            </w:r>
            <w:r>
              <w:rPr>
                <w:rFonts w:ascii="宋体" w:hAnsi="宋体" w:cs="宋体"/>
                <w:kern w:val="0"/>
                <w:szCs w:val="21"/>
              </w:rPr>
              <w:t>》（安监总管四〔2017〕129号）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专项</w:t>
            </w:r>
            <w:r>
              <w:rPr>
                <w:rFonts w:ascii="宋体" w:hAnsi="宋体" w:cs="宋体"/>
                <w:kern w:val="0"/>
                <w:szCs w:val="21"/>
              </w:rPr>
              <w:t>类重大事故隐患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（二）使用液氨制冷的行业领域</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2.快速冻结装置未设置在单独的作业间内，且作业间内作业人员数量超过9人。</w:t>
            </w:r>
          </w:p>
        </w:tc>
        <w:tc>
          <w:tcPr>
            <w:tcW w:w="3545"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1013" w:type="dxa"/>
            <w:vAlign w:val="center"/>
          </w:tcPr>
          <w:p>
            <w:pPr>
              <w:widowControl/>
              <w:adjustRightInd w:val="0"/>
              <w:snapToGrid w:val="0"/>
              <w:rPr>
                <w:rFonts w:ascii="宋体" w:hAnsi="宋体" w:cs="宋体"/>
                <w:b/>
                <w:kern w:val="0"/>
                <w:szCs w:val="21"/>
              </w:rPr>
            </w:pPr>
          </w:p>
        </w:tc>
      </w:tr>
    </w:tbl>
    <w:p>
      <w:pPr>
        <w:pStyle w:val="4"/>
        <w:keepNext w:val="0"/>
        <w:keepLines w:val="0"/>
        <w:pageBreakBefore/>
        <w:spacing w:line="240" w:lineRule="auto"/>
        <w:rPr>
          <w:rFonts w:ascii="黑体" w:hAnsi="黑体" w:eastAsia="黑体"/>
          <w:b w:val="0"/>
        </w:rPr>
      </w:pPr>
      <w:r>
        <w:rPr>
          <w:rFonts w:hint="eastAsia" w:ascii="黑体" w:hAnsi="黑体" w:eastAsia="黑体"/>
          <w:b w:val="0"/>
        </w:rPr>
        <w:t>表5-10  存在有限空间作业企业</w:t>
      </w:r>
    </w:p>
    <w:tbl>
      <w:tblPr>
        <w:tblStyle w:val="19"/>
        <w:tblW w:w="13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816"/>
        <w:gridCol w:w="1704"/>
        <w:gridCol w:w="2551"/>
        <w:gridCol w:w="4250"/>
        <w:gridCol w:w="354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50" w:hRule="atLeast"/>
          <w:tblHeader/>
          <w:jc w:val="center"/>
        </w:trPr>
        <w:tc>
          <w:tcPr>
            <w:tcW w:w="816"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序号</w:t>
            </w:r>
          </w:p>
        </w:tc>
        <w:tc>
          <w:tcPr>
            <w:tcW w:w="1704"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检查事项</w:t>
            </w:r>
          </w:p>
        </w:tc>
        <w:tc>
          <w:tcPr>
            <w:tcW w:w="2551"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检查内容</w:t>
            </w:r>
          </w:p>
        </w:tc>
        <w:tc>
          <w:tcPr>
            <w:tcW w:w="4250"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检查依据指引</w:t>
            </w:r>
          </w:p>
        </w:tc>
        <w:tc>
          <w:tcPr>
            <w:tcW w:w="3545"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法律责任指引</w:t>
            </w:r>
          </w:p>
        </w:tc>
        <w:tc>
          <w:tcPr>
            <w:tcW w:w="1013"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jc w:val="center"/>
              <w:rPr>
                <w:rFonts w:ascii="宋体" w:hAnsi="宋体"/>
                <w:szCs w:val="21"/>
              </w:rPr>
            </w:pPr>
            <w:r>
              <w:rPr>
                <w:rFonts w:hint="eastAsia" w:ascii="宋体" w:hAnsi="宋体"/>
                <w:szCs w:val="21"/>
              </w:rPr>
              <w:t>1</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作业场所安全警示标志设置情况</w:t>
            </w:r>
          </w:p>
        </w:tc>
        <w:tc>
          <w:tcPr>
            <w:tcW w:w="2551" w:type="dxa"/>
            <w:vAlign w:val="center"/>
          </w:tcPr>
          <w:p>
            <w:pPr>
              <w:widowControl/>
              <w:adjustRightInd w:val="0"/>
              <w:snapToGrid w:val="0"/>
              <w:rPr>
                <w:rFonts w:ascii="宋体" w:hAnsi="宋体"/>
                <w:bCs/>
                <w:szCs w:val="21"/>
              </w:rPr>
            </w:pPr>
            <w:r>
              <w:rPr>
                <w:rFonts w:hint="eastAsia" w:ascii="思源黑体 CN" w:hAnsi="思源黑体 CN" w:eastAsia="思源黑体 CN" w:cs="思源黑体 CN"/>
                <w:szCs w:val="21"/>
              </w:rPr>
              <w:t>★</w:t>
            </w:r>
            <w:r>
              <w:rPr>
                <w:rFonts w:hint="eastAsia"/>
              </w:rPr>
              <w:t>工贸企业有限空间作业场所应设置明显的安全警示标志和警示说明</w:t>
            </w:r>
          </w:p>
        </w:tc>
        <w:tc>
          <w:tcPr>
            <w:tcW w:w="4250" w:type="dxa"/>
            <w:vAlign w:val="center"/>
          </w:tcPr>
          <w:p>
            <w:pPr>
              <w:widowControl/>
              <w:adjustRightInd w:val="0"/>
              <w:snapToGrid w:val="0"/>
              <w:ind w:firstLine="420" w:firstLineChars="200"/>
              <w:rPr>
                <w:rFonts w:ascii="宋体" w:hAnsi="宋体"/>
                <w:bCs/>
                <w:szCs w:val="21"/>
                <w:highlight w:val="none"/>
              </w:rPr>
            </w:pPr>
            <w:r>
              <w:rPr>
                <w:rFonts w:hint="eastAsia" w:ascii="宋体" w:hAnsi="宋体"/>
                <w:bCs/>
                <w:szCs w:val="21"/>
              </w:rPr>
              <w:t>《安全生产法》第三</w:t>
            </w:r>
            <w:r>
              <w:rPr>
                <w:rFonts w:hint="eastAsia" w:ascii="宋体" w:hAnsi="宋体"/>
                <w:bCs/>
                <w:szCs w:val="21"/>
                <w:highlight w:val="none"/>
              </w:rPr>
              <w:t>十二条  生产经营单位应当在有较大危险因素的生产经营场所和有关设施、设备上，设置明显的安全警示标志。</w:t>
            </w:r>
          </w:p>
          <w:p>
            <w:pPr>
              <w:widowControl/>
              <w:adjustRightInd w:val="0"/>
              <w:snapToGrid w:val="0"/>
              <w:ind w:firstLine="420" w:firstLineChars="200"/>
              <w:rPr>
                <w:rFonts w:ascii="宋体" w:hAnsi="宋体" w:cs="宋体"/>
                <w:kern w:val="0"/>
                <w:szCs w:val="21"/>
                <w:highlight w:val="none"/>
              </w:rPr>
            </w:pPr>
            <w:r>
              <w:rPr>
                <w:rFonts w:ascii="宋体" w:hAnsi="宋体" w:cs="宋体"/>
                <w:kern w:val="0"/>
                <w:szCs w:val="21"/>
                <w:highlight w:val="none"/>
              </w:rPr>
              <w:t>《工贸行业重大生产安全事故隐患判定标准（2017版）》（安监总管四〔2017〕129号）</w:t>
            </w:r>
          </w:p>
          <w:p>
            <w:pPr>
              <w:widowControl/>
              <w:adjustRightInd w:val="0"/>
              <w:snapToGrid w:val="0"/>
              <w:ind w:firstLine="420" w:firstLineChars="200"/>
              <w:rPr>
                <w:rFonts w:ascii="宋体" w:hAnsi="宋体" w:cs="宋体"/>
                <w:kern w:val="0"/>
                <w:szCs w:val="21"/>
                <w:highlight w:val="none"/>
              </w:rPr>
            </w:pPr>
            <w:r>
              <w:rPr>
                <w:rFonts w:hint="eastAsia" w:ascii="宋体" w:hAnsi="宋体" w:cs="宋体"/>
                <w:kern w:val="0"/>
                <w:szCs w:val="21"/>
                <w:highlight w:val="none"/>
              </w:rPr>
              <w:t>一</w:t>
            </w:r>
            <w:r>
              <w:rPr>
                <w:rFonts w:ascii="宋体" w:hAnsi="宋体" w:cs="宋体"/>
                <w:kern w:val="0"/>
                <w:szCs w:val="21"/>
                <w:highlight w:val="none"/>
              </w:rPr>
              <w:t>、</w:t>
            </w:r>
            <w:r>
              <w:rPr>
                <w:rFonts w:hint="eastAsia" w:ascii="宋体" w:hAnsi="宋体" w:cs="宋体"/>
                <w:kern w:val="0"/>
                <w:szCs w:val="21"/>
                <w:highlight w:val="none"/>
              </w:rPr>
              <w:t>专项</w:t>
            </w:r>
            <w:r>
              <w:rPr>
                <w:rFonts w:ascii="宋体" w:hAnsi="宋体" w:cs="宋体"/>
                <w:kern w:val="0"/>
                <w:szCs w:val="21"/>
                <w:highlight w:val="none"/>
              </w:rPr>
              <w:t>类重大事故隐患</w:t>
            </w:r>
          </w:p>
          <w:p>
            <w:pPr>
              <w:widowControl/>
              <w:adjustRightInd w:val="0"/>
              <w:snapToGrid w:val="0"/>
              <w:ind w:firstLine="420" w:firstLineChars="200"/>
              <w:rPr>
                <w:rFonts w:ascii="Verdana" w:hAnsi="Verdana"/>
                <w:highlight w:val="none"/>
                <w:shd w:val="clear" w:color="auto" w:fill="FFFFFF"/>
              </w:rPr>
            </w:pPr>
            <w:r>
              <w:rPr>
                <w:rFonts w:ascii="Verdana" w:hAnsi="Verdana"/>
                <w:color w:val="000000"/>
                <w:highlight w:val="none"/>
                <w:shd w:val="clear" w:color="auto" w:fill="FFFFFF"/>
              </w:rPr>
              <w:t>（三）有限空间作业相关</w:t>
            </w:r>
            <w:r>
              <w:rPr>
                <w:rFonts w:ascii="Verdana" w:hAnsi="Verdana"/>
                <w:highlight w:val="none"/>
                <w:shd w:val="clear" w:color="auto" w:fill="FFFFFF"/>
              </w:rPr>
              <w:t>的行业领域。</w:t>
            </w:r>
          </w:p>
          <w:p>
            <w:pPr>
              <w:widowControl/>
              <w:adjustRightInd w:val="0"/>
              <w:snapToGrid w:val="0"/>
              <w:ind w:firstLine="420" w:firstLineChars="200"/>
              <w:rPr>
                <w:rFonts w:ascii="Verdana" w:hAnsi="Verdana"/>
                <w:color w:val="000000"/>
                <w:shd w:val="clear" w:color="auto" w:fill="FFFFFF"/>
              </w:rPr>
            </w:pPr>
            <w:r>
              <w:rPr>
                <w:rFonts w:asciiTheme="minorEastAsia" w:hAnsiTheme="minorEastAsia" w:eastAsiaTheme="minorEastAsia"/>
                <w:highlight w:val="none"/>
                <w:shd w:val="clear" w:color="auto" w:fill="FFFFFF"/>
              </w:rPr>
              <w:t>1.未</w:t>
            </w:r>
            <w:r>
              <w:rPr>
                <w:rFonts w:ascii="Verdana" w:hAnsi="Verdana"/>
                <w:highlight w:val="none"/>
                <w:shd w:val="clear" w:color="auto" w:fill="FFFFFF"/>
              </w:rPr>
              <w:t>对</w:t>
            </w:r>
            <w:r>
              <w:rPr>
                <w:rFonts w:ascii="Verdana" w:hAnsi="Verdana"/>
                <w:shd w:val="clear" w:color="auto" w:fill="FFFFFF"/>
              </w:rPr>
              <w:t>有限空间作业场所进行辨识，并设置明显安全警示</w:t>
            </w:r>
            <w:r>
              <w:rPr>
                <w:rFonts w:ascii="Verdana" w:hAnsi="Verdana"/>
                <w:color w:val="000000"/>
                <w:shd w:val="clear" w:color="auto" w:fill="FFFFFF"/>
              </w:rPr>
              <w:t>标志。</w:t>
            </w:r>
          </w:p>
          <w:p>
            <w:pPr>
              <w:widowControl/>
              <w:adjustRightInd w:val="0"/>
              <w:snapToGrid w:val="0"/>
              <w:ind w:firstLine="420" w:firstLineChars="200"/>
              <w:rPr>
                <w:rFonts w:ascii="宋体" w:hAnsi="宋体" w:cs="宋体"/>
                <w:kern w:val="0"/>
                <w:szCs w:val="21"/>
                <w:highlight w:val="none"/>
              </w:rPr>
            </w:pPr>
            <w:r>
              <w:rPr>
                <w:rFonts w:hint="eastAsia" w:ascii="宋体" w:hAnsi="宋体"/>
                <w:bCs/>
                <w:szCs w:val="21"/>
                <w:highlight w:val="none"/>
              </w:rPr>
              <w:t>《工贸企业有限空间作业安全管理与监督暂行规定》</w:t>
            </w:r>
            <w:r>
              <w:rPr>
                <w:rFonts w:hint="eastAsia" w:ascii="宋体" w:hAnsi="宋体" w:cs="宋体"/>
                <w:kern w:val="0"/>
                <w:szCs w:val="21"/>
                <w:highlight w:val="none"/>
              </w:rPr>
              <w:t>第十九条  工贸企业有限空间作业还应当符合下列要求：</w:t>
            </w:r>
          </w:p>
          <w:p>
            <w:pPr>
              <w:widowControl/>
              <w:adjustRightInd w:val="0"/>
              <w:snapToGrid w:val="0"/>
              <w:ind w:firstLine="420" w:firstLineChars="200"/>
              <w:rPr>
                <w:rFonts w:ascii="宋体" w:hAnsi="宋体" w:cs="宋体"/>
                <w:kern w:val="0"/>
                <w:szCs w:val="21"/>
                <w:highlight w:val="none"/>
              </w:rPr>
            </w:pPr>
            <w:r>
              <w:rPr>
                <w:rFonts w:hint="eastAsia" w:ascii="宋体" w:hAnsi="宋体" w:cs="宋体"/>
                <w:kern w:val="0"/>
                <w:szCs w:val="21"/>
                <w:highlight w:val="none"/>
              </w:rPr>
              <w:t>……</w:t>
            </w:r>
          </w:p>
          <w:p>
            <w:pPr>
              <w:widowControl/>
              <w:adjustRightInd w:val="0"/>
              <w:snapToGrid w:val="0"/>
              <w:ind w:firstLine="420" w:firstLineChars="200"/>
              <w:rPr>
                <w:rFonts w:ascii="宋体" w:hAnsi="宋体" w:cs="宋体"/>
                <w:kern w:val="0"/>
                <w:szCs w:val="21"/>
                <w:highlight w:val="none"/>
              </w:rPr>
            </w:pPr>
            <w:r>
              <w:rPr>
                <w:rFonts w:hint="eastAsia" w:ascii="宋体" w:hAnsi="宋体" w:cs="宋体"/>
                <w:kern w:val="0"/>
                <w:szCs w:val="21"/>
                <w:highlight w:val="none"/>
              </w:rPr>
              <w:t>（二）设置明显的安全警示标志和警示说明；</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highlight w:val="none"/>
              </w:rPr>
              <w:t>……</w:t>
            </w:r>
          </w:p>
        </w:tc>
        <w:tc>
          <w:tcPr>
            <w:tcW w:w="3545" w:type="dxa"/>
            <w:vAlign w:val="center"/>
          </w:tcPr>
          <w:p>
            <w:pPr>
              <w:ind w:firstLine="420"/>
              <w:rPr>
                <w:rFonts w:ascii="宋体" w:hAnsi="宋体"/>
                <w:bCs/>
                <w:szCs w:val="21"/>
              </w:rPr>
            </w:pPr>
            <w:r>
              <w:rPr>
                <w:rFonts w:hint="eastAsia" w:ascii="宋体" w:hAnsi="宋体"/>
                <w:bCs/>
                <w:szCs w:val="21"/>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ind w:firstLine="420"/>
              <w:rPr>
                <w:rFonts w:ascii="宋体" w:hAnsi="宋体"/>
                <w:bCs/>
                <w:szCs w:val="21"/>
              </w:rPr>
            </w:pPr>
            <w:r>
              <w:rPr>
                <w:rFonts w:hint="eastAsia" w:ascii="宋体" w:hAnsi="宋体"/>
                <w:bCs/>
                <w:szCs w:val="21"/>
              </w:rPr>
              <w:t>（一）未在有较大危险因素的生产经营场所和有关设施、设备上设置明显的安全警示标志的；</w:t>
            </w:r>
          </w:p>
          <w:p>
            <w:pPr>
              <w:widowControl/>
              <w:adjustRightInd w:val="0"/>
              <w:snapToGrid w:val="0"/>
              <w:ind w:firstLine="525" w:firstLineChars="250"/>
            </w:pPr>
            <w:r>
              <w:rPr>
                <w:rFonts w:hint="eastAsia" w:ascii="宋体" w:hAnsi="宋体" w:cs="宋体"/>
                <w:kern w:val="0"/>
                <w:szCs w:val="21"/>
              </w:rPr>
              <w:t>……</w:t>
            </w:r>
          </w:p>
          <w:p>
            <w:pPr>
              <w:ind w:firstLine="420"/>
              <w:rPr>
                <w:rFonts w:ascii="宋体" w:hAnsi="宋体" w:cs="宋体"/>
                <w:kern w:val="0"/>
                <w:szCs w:val="21"/>
              </w:rPr>
            </w:pPr>
            <w:r>
              <w:rPr>
                <w:rFonts w:hint="eastAsia" w:ascii="宋体" w:hAnsi="宋体"/>
                <w:bCs/>
                <w:szCs w:val="21"/>
              </w:rPr>
              <w:t>《工贸企业有限空间作业安全管理与监督暂行规定》</w:t>
            </w:r>
            <w:r>
              <w:rPr>
                <w:rFonts w:hint="eastAsia" w:ascii="宋体" w:hAnsi="宋体" w:cs="宋体"/>
                <w:kern w:val="0"/>
                <w:szCs w:val="21"/>
              </w:rPr>
              <w:t>第二十八条  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w:t>
            </w:r>
          </w:p>
          <w:p>
            <w:pPr>
              <w:ind w:firstLine="420"/>
              <w:rPr>
                <w:rFonts w:ascii="宋体" w:hAnsi="宋体" w:cs="宋体"/>
                <w:kern w:val="0"/>
                <w:szCs w:val="21"/>
              </w:rPr>
            </w:pPr>
            <w:r>
              <w:rPr>
                <w:rFonts w:hint="eastAsia" w:ascii="宋体" w:hAnsi="宋体" w:cs="宋体"/>
                <w:kern w:val="0"/>
                <w:szCs w:val="21"/>
              </w:rPr>
              <w:t>（一）未在有限空间作业场所设置明显的安全警示标志的；</w:t>
            </w:r>
          </w:p>
          <w:p>
            <w:pPr>
              <w:ind w:firstLine="525" w:firstLineChars="250"/>
              <w:rPr>
                <w:kern w:val="0"/>
              </w:rPr>
            </w:pPr>
            <w:r>
              <w:rPr>
                <w:rFonts w:hint="eastAsia"/>
                <w:kern w:val="0"/>
              </w:rPr>
              <w:t>……</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jc w:val="center"/>
              <w:rPr>
                <w:rFonts w:ascii="宋体" w:hAnsi="宋体"/>
                <w:szCs w:val="21"/>
              </w:rPr>
            </w:pPr>
            <w:r>
              <w:rPr>
                <w:rFonts w:hint="eastAsia" w:ascii="宋体" w:hAnsi="宋体"/>
                <w:szCs w:val="21"/>
              </w:rPr>
              <w:t>2</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作业审批制度的落实情况</w:t>
            </w:r>
          </w:p>
        </w:tc>
        <w:tc>
          <w:tcPr>
            <w:tcW w:w="2551" w:type="dxa"/>
            <w:vAlign w:val="center"/>
          </w:tcPr>
          <w:p>
            <w:pPr>
              <w:widowControl/>
              <w:adjustRightInd w:val="0"/>
              <w:snapToGrid w:val="0"/>
              <w:rPr>
                <w:rFonts w:ascii="宋体" w:hAnsi="宋体"/>
                <w:bCs/>
                <w:szCs w:val="21"/>
              </w:rPr>
            </w:pPr>
            <w:r>
              <w:rPr>
                <w:rFonts w:hint="eastAsia" w:ascii="思源黑体 CN" w:hAnsi="思源黑体 CN" w:eastAsia="思源黑体 CN" w:cs="思源黑体 CN"/>
                <w:szCs w:val="21"/>
              </w:rPr>
              <w:t>★</w:t>
            </w:r>
            <w:r>
              <w:rPr>
                <w:rFonts w:hint="eastAsia"/>
              </w:rPr>
              <w:t>制定有限空间作业方案并经审核、批准</w:t>
            </w:r>
          </w:p>
        </w:tc>
        <w:tc>
          <w:tcPr>
            <w:tcW w:w="4250" w:type="dxa"/>
            <w:vAlign w:val="center"/>
          </w:tcPr>
          <w:p>
            <w:pPr>
              <w:widowControl/>
              <w:adjustRightInd w:val="0"/>
              <w:snapToGrid w:val="0"/>
              <w:spacing w:line="240" w:lineRule="auto"/>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rPr>
                <w:rFonts w:hint="eastAsia" w:ascii="宋体" w:hAnsi="宋体" w:cs="宋体"/>
                <w:kern w:val="0"/>
                <w:szCs w:val="21"/>
              </w:rPr>
            </w:pPr>
            <w:r>
              <w:rPr>
                <w:rFonts w:hint="eastAsia" w:ascii="宋体" w:hAnsi="宋体" w:cs="宋体"/>
                <w:kern w:val="0"/>
                <w:szCs w:val="21"/>
              </w:rPr>
              <w:t>……</w:t>
            </w:r>
          </w:p>
          <w:p>
            <w:pPr>
              <w:widowControl/>
              <w:adjustRightInd w:val="0"/>
              <w:snapToGrid w:val="0"/>
              <w:ind w:firstLine="420"/>
              <w:rPr>
                <w:rFonts w:ascii="宋体" w:hAnsi="宋体" w:cs="宋体"/>
                <w:kern w:val="0"/>
                <w:szCs w:val="21"/>
              </w:rPr>
            </w:pPr>
            <w:r>
              <w:rPr>
                <w:rFonts w:ascii="宋体" w:hAnsi="宋体" w:cs="宋体"/>
                <w:kern w:val="0"/>
                <w:szCs w:val="21"/>
                <w:highlight w:val="none"/>
              </w:rPr>
              <w:t>《工贸行业重大生产安全事故隐患判定标准（2017版）》</w:t>
            </w:r>
            <w:r>
              <w:rPr>
                <w:rFonts w:ascii="宋体" w:hAnsi="宋体" w:cs="宋体"/>
                <w:kern w:val="0"/>
                <w:szCs w:val="21"/>
              </w:rPr>
              <w:t>（安监总管四〔2017〕129号）</w:t>
            </w:r>
          </w:p>
          <w:p>
            <w:pPr>
              <w:widowControl/>
              <w:adjustRightInd w:val="0"/>
              <w:snapToGrid w:val="0"/>
              <w:ind w:firstLine="420"/>
              <w:rPr>
                <w:rFonts w:ascii="宋体" w:hAnsi="宋体" w:cs="宋体"/>
                <w:kern w:val="0"/>
                <w:szCs w:val="21"/>
              </w:rPr>
            </w:pPr>
            <w:r>
              <w:rPr>
                <w:rFonts w:hint="eastAsia" w:ascii="宋体" w:hAnsi="宋体" w:cs="宋体"/>
                <w:kern w:val="0"/>
                <w:szCs w:val="21"/>
              </w:rPr>
              <w:t>一</w:t>
            </w:r>
            <w:r>
              <w:rPr>
                <w:rFonts w:ascii="宋体" w:hAnsi="宋体" w:cs="宋体"/>
                <w:kern w:val="0"/>
                <w:szCs w:val="21"/>
              </w:rPr>
              <w:t>、</w:t>
            </w:r>
            <w:r>
              <w:rPr>
                <w:rFonts w:hint="eastAsia" w:ascii="宋体" w:hAnsi="宋体" w:cs="宋体"/>
                <w:kern w:val="0"/>
                <w:szCs w:val="21"/>
              </w:rPr>
              <w:t>专项</w:t>
            </w:r>
            <w:r>
              <w:rPr>
                <w:rFonts w:ascii="宋体" w:hAnsi="宋体" w:cs="宋体"/>
                <w:kern w:val="0"/>
                <w:szCs w:val="21"/>
              </w:rPr>
              <w:t>类重大事故隐患</w:t>
            </w:r>
          </w:p>
          <w:p>
            <w:pPr>
              <w:widowControl/>
              <w:adjustRightInd w:val="0"/>
              <w:snapToGrid w:val="0"/>
              <w:ind w:firstLine="420"/>
              <w:rPr>
                <w:rFonts w:ascii="Verdana" w:hAnsi="Verdana"/>
                <w:shd w:val="clear" w:color="auto" w:fill="FFFFFF"/>
              </w:rPr>
            </w:pPr>
            <w:r>
              <w:rPr>
                <w:rFonts w:ascii="Verdana" w:hAnsi="Verdana"/>
                <w:shd w:val="clear" w:color="auto" w:fill="FFFFFF"/>
              </w:rPr>
              <w:t>（三）有限空间作业相关的行业领域。</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2.未落实作业审批制度，擅自进入有限空间作业。</w:t>
            </w:r>
          </w:p>
          <w:p>
            <w:pPr>
              <w:widowControl/>
              <w:adjustRightInd w:val="0"/>
              <w:snapToGrid w:val="0"/>
              <w:ind w:firstLine="420" w:firstLineChars="200"/>
              <w:rPr>
                <w:rFonts w:ascii="宋体" w:hAnsi="宋体" w:cs="宋体"/>
                <w:kern w:val="0"/>
                <w:szCs w:val="21"/>
              </w:rPr>
            </w:pPr>
            <w:r>
              <w:rPr>
                <w:rFonts w:hint="eastAsia" w:ascii="宋体" w:hAnsi="宋体"/>
                <w:bCs/>
                <w:szCs w:val="21"/>
              </w:rPr>
              <w:t>《工贸企业有限空间作业安全管理与监督暂行规定》第八条  工贸企业实施有限空间作业前，应当对作业环境进行评估，分析存在的危险有害因素，提出消除、控制危害的措施，制定有限空间作业方案，并经本企业</w:t>
            </w:r>
            <w:r>
              <w:rPr>
                <w:rFonts w:hint="eastAsia" w:ascii="宋体" w:hAnsi="宋体"/>
                <w:bCs/>
                <w:szCs w:val="21"/>
                <w:highlight w:val="none"/>
              </w:rPr>
              <w:t>安全生产管理人员审核，负责人批准。</w:t>
            </w:r>
          </w:p>
        </w:tc>
        <w:tc>
          <w:tcPr>
            <w:tcW w:w="3545" w:type="dxa"/>
            <w:vAlign w:val="center"/>
          </w:tcPr>
          <w:p>
            <w:pPr>
              <w:widowControl/>
              <w:adjustRightInd w:val="0"/>
              <w:snapToGrid w:val="0"/>
              <w:ind w:firstLine="525" w:firstLineChars="250"/>
              <w:rPr>
                <w:rFonts w:hint="eastAsia" w:ascii="宋体" w:hAnsi="宋体"/>
                <w:szCs w:val="21"/>
              </w:rPr>
            </w:pPr>
            <w:r>
              <w:rPr>
                <w:rFonts w:hint="eastAsia" w:ascii="宋体" w:hAnsi="宋体"/>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widowControl/>
              <w:adjustRightInd w:val="0"/>
              <w:snapToGrid w:val="0"/>
              <w:ind w:firstLine="525" w:firstLineChars="250"/>
              <w:rPr>
                <w:rFonts w:ascii="宋体" w:hAnsi="宋体"/>
                <w:szCs w:val="21"/>
              </w:rPr>
            </w:pPr>
            <w:r>
              <w:rPr>
                <w:rFonts w:hint="eastAsia" w:ascii="宋体" w:hAnsi="宋体"/>
                <w:szCs w:val="21"/>
              </w:rPr>
              <w:t>《工贸企业有限空间作业安全管理与监督暂行规定》第三十条  工贸企业有下列情形之一的，由县级以上安全生产监督管理部门责令限期改正，可以处3万元以下的罚款，对其直接负责的主管人员和其他直接责任人员处1万元以下的罚款：</w:t>
            </w:r>
          </w:p>
          <w:p>
            <w:pPr>
              <w:widowControl/>
              <w:adjustRightInd w:val="0"/>
              <w:snapToGrid w:val="0"/>
              <w:ind w:firstLine="525" w:firstLineChars="250"/>
              <w:rPr>
                <w:rFonts w:ascii="宋体" w:hAnsi="宋体"/>
                <w:szCs w:val="21"/>
              </w:rPr>
            </w:pPr>
            <w:r>
              <w:rPr>
                <w:rFonts w:hint="eastAsia" w:ascii="宋体" w:hAnsi="宋体"/>
                <w:szCs w:val="21"/>
              </w:rPr>
              <w:t>……</w:t>
            </w:r>
          </w:p>
          <w:p>
            <w:pPr>
              <w:widowControl/>
              <w:adjustRightInd w:val="0"/>
              <w:snapToGrid w:val="0"/>
              <w:ind w:firstLine="525" w:firstLineChars="250"/>
              <w:rPr>
                <w:rFonts w:ascii="宋体" w:hAnsi="宋体"/>
                <w:szCs w:val="21"/>
              </w:rPr>
            </w:pPr>
            <w:r>
              <w:rPr>
                <w:rFonts w:hint="eastAsia" w:ascii="宋体" w:hAnsi="宋体"/>
                <w:szCs w:val="21"/>
              </w:rPr>
              <w:t>（二）未按照本规定对有限空间作业制定作业方案或者方案未经审批擅自作业的；</w:t>
            </w:r>
          </w:p>
          <w:p>
            <w:pPr>
              <w:widowControl/>
              <w:adjustRightInd w:val="0"/>
              <w:snapToGrid w:val="0"/>
              <w:ind w:firstLine="525" w:firstLineChars="250"/>
              <w:rPr>
                <w:rFonts w:hint="eastAsia" w:eastAsia="宋体"/>
                <w:lang w:val="en-US" w:eastAsia="zh-CN"/>
              </w:rPr>
            </w:pPr>
            <w:r>
              <w:rPr>
                <w:rFonts w:hint="eastAsia"/>
              </w:rPr>
              <w:t>……</w:t>
            </w:r>
          </w:p>
        </w:tc>
        <w:tc>
          <w:tcPr>
            <w:tcW w:w="1013"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Align w:val="center"/>
          </w:tcPr>
          <w:p>
            <w:pPr>
              <w:jc w:val="center"/>
              <w:rPr>
                <w:rFonts w:ascii="宋体" w:hAnsi="宋体"/>
                <w:szCs w:val="21"/>
              </w:rPr>
            </w:pPr>
            <w:r>
              <w:rPr>
                <w:rFonts w:hint="eastAsia" w:ascii="宋体" w:hAnsi="宋体"/>
                <w:szCs w:val="21"/>
              </w:rPr>
              <w:t>3</w:t>
            </w:r>
          </w:p>
        </w:tc>
        <w:tc>
          <w:tcPr>
            <w:tcW w:w="1704" w:type="dxa"/>
            <w:vAlign w:val="center"/>
          </w:tcPr>
          <w:p>
            <w:pPr>
              <w:widowControl/>
              <w:adjustRightInd w:val="0"/>
              <w:snapToGrid w:val="0"/>
              <w:rPr>
                <w:rFonts w:ascii="宋体" w:hAnsi="宋体" w:cs="宋体"/>
                <w:kern w:val="0"/>
                <w:szCs w:val="21"/>
              </w:rPr>
            </w:pPr>
            <w:r>
              <w:rPr>
                <w:rFonts w:hint="eastAsia" w:ascii="宋体" w:hAnsi="宋体" w:cs="宋体"/>
                <w:kern w:val="0"/>
                <w:szCs w:val="21"/>
              </w:rPr>
              <w:t>作业现场安全管理情况</w:t>
            </w:r>
          </w:p>
        </w:tc>
        <w:tc>
          <w:tcPr>
            <w:tcW w:w="2551" w:type="dxa"/>
            <w:vAlign w:val="center"/>
          </w:tcPr>
          <w:p>
            <w:pPr>
              <w:widowControl/>
              <w:adjustRightInd w:val="0"/>
              <w:snapToGrid w:val="0"/>
              <w:rPr>
                <w:rFonts w:ascii="宋体" w:hAnsi="宋体"/>
                <w:bCs/>
                <w:szCs w:val="21"/>
              </w:rPr>
            </w:pPr>
            <w:r>
              <w:rPr>
                <w:rFonts w:hint="eastAsia" w:ascii="宋体" w:hAnsi="宋体"/>
                <w:bCs/>
                <w:szCs w:val="21"/>
              </w:rPr>
              <w:t>进行危险有害因素检测或者监测并实行现场专人监护</w:t>
            </w:r>
          </w:p>
        </w:tc>
        <w:tc>
          <w:tcPr>
            <w:tcW w:w="4250" w:type="dxa"/>
            <w:vAlign w:val="center"/>
          </w:tcPr>
          <w:p>
            <w:pPr>
              <w:adjustRightInd w:val="0"/>
              <w:snapToGrid w:val="0"/>
              <w:ind w:firstLine="420" w:firstLineChars="200"/>
              <w:rPr>
                <w:rFonts w:ascii="Verdana" w:hAnsi="Verdana"/>
                <w:shd w:val="clear" w:color="auto" w:fill="FFFFFF"/>
              </w:rPr>
            </w:pPr>
            <w:r>
              <w:rPr>
                <w:rFonts w:hint="eastAsia" w:ascii="宋体" w:hAnsi="宋体"/>
                <w:bCs/>
                <w:szCs w:val="21"/>
              </w:rPr>
              <w:t>《工贸企业有限空间作业安全管理与监督暂行规定》</w:t>
            </w:r>
            <w:r>
              <w:rPr>
                <w:rFonts w:ascii="Verdana" w:hAnsi="Verdana"/>
                <w:shd w:val="clear" w:color="auto" w:fill="FFFFFF"/>
              </w:rPr>
              <w:t>第九条</w:t>
            </w:r>
            <w:r>
              <w:rPr>
                <w:rFonts w:hint="eastAsia" w:ascii="Verdana" w:hAnsi="Verdana"/>
                <w:shd w:val="clear" w:color="auto" w:fill="FFFFFF"/>
              </w:rPr>
              <w:t xml:space="preserve">  </w:t>
            </w:r>
            <w:r>
              <w:rPr>
                <w:rFonts w:ascii="Verdana" w:hAnsi="Verdana"/>
                <w:shd w:val="clear" w:color="auto" w:fill="FFFFFF"/>
              </w:rPr>
              <w:t>工贸企业应当按照有限空间作业方案，明确作业现场负责人、监护人员、作业人员及其安全职责。</w:t>
            </w:r>
          </w:p>
          <w:p>
            <w:pPr>
              <w:adjustRightInd w:val="0"/>
              <w:snapToGrid w:val="0"/>
              <w:ind w:firstLine="420" w:firstLineChars="200"/>
              <w:rPr>
                <w:rFonts w:ascii="宋体" w:hAnsi="宋体"/>
                <w:bCs/>
                <w:szCs w:val="21"/>
              </w:rPr>
            </w:pPr>
            <w:r>
              <w:rPr>
                <w:rFonts w:hint="eastAsia" w:ascii="宋体" w:hAnsi="宋体"/>
                <w:bCs/>
                <w:szCs w:val="21"/>
              </w:rPr>
              <w:t>第十六条  在有限空间作业过程中，工贸企业应当对作业场所中的危险有害因素进行定时检测或者连续监测。</w:t>
            </w:r>
          </w:p>
          <w:p>
            <w:pPr>
              <w:adjustRightInd w:val="0"/>
              <w:snapToGrid w:val="0"/>
              <w:ind w:firstLine="420"/>
            </w:pPr>
            <w:r>
              <w:rPr>
                <w:rFonts w:hint="eastAsia" w:ascii="宋体" w:hAnsi="宋体"/>
                <w:bCs/>
                <w:szCs w:val="21"/>
              </w:rPr>
              <w:t>作业中断超过30分钟，作业人员再次进入有限空间作业前，应当重新通风、检测合格后方可进入。</w:t>
            </w:r>
          </w:p>
          <w:p>
            <w:pPr>
              <w:adjustRightInd w:val="0"/>
              <w:snapToGrid w:val="0"/>
              <w:ind w:firstLine="420" w:firstLineChars="200"/>
              <w:rPr>
                <w:rFonts w:ascii="Verdana" w:hAnsi="Verdana"/>
                <w:shd w:val="clear" w:color="auto" w:fill="FFFFFF"/>
              </w:rPr>
            </w:pPr>
            <w:r>
              <w:rPr>
                <w:rFonts w:ascii="Verdana" w:hAnsi="Verdana"/>
                <w:shd w:val="clear" w:color="auto" w:fill="FFFFFF"/>
              </w:rPr>
              <w:t>第十九条</w:t>
            </w:r>
            <w:r>
              <w:rPr>
                <w:rFonts w:hint="eastAsia" w:ascii="Verdana" w:hAnsi="Verdana"/>
                <w:shd w:val="clear" w:color="auto" w:fill="FFFFFF"/>
              </w:rPr>
              <w:t xml:space="preserve">  </w:t>
            </w:r>
            <w:r>
              <w:rPr>
                <w:rFonts w:ascii="Verdana" w:hAnsi="Verdana"/>
                <w:shd w:val="clear" w:color="auto" w:fill="FFFFFF"/>
              </w:rPr>
              <w:t>工贸企业有限空间作业还应当符合下列要求：</w:t>
            </w:r>
          </w:p>
          <w:p>
            <w:pPr>
              <w:adjustRightInd w:val="0"/>
              <w:snapToGrid w:val="0"/>
              <w:ind w:firstLine="420" w:firstLineChars="200"/>
              <w:rPr>
                <w:rFonts w:ascii="Verdana" w:hAnsi="Verdana"/>
                <w:shd w:val="clear" w:color="auto" w:fill="FFFFFF"/>
              </w:rPr>
            </w:pPr>
            <w:r>
              <w:rPr>
                <w:rFonts w:hint="eastAsia" w:ascii="Verdana" w:hAnsi="Verdana"/>
                <w:shd w:val="clear" w:color="auto" w:fill="FFFFFF"/>
              </w:rPr>
              <w:t>……</w:t>
            </w:r>
          </w:p>
          <w:p>
            <w:pPr>
              <w:adjustRightInd w:val="0"/>
              <w:snapToGrid w:val="0"/>
              <w:ind w:firstLine="420" w:firstLineChars="200"/>
              <w:rPr>
                <w:rFonts w:ascii="Verdana" w:hAnsi="Verdana"/>
                <w:shd w:val="clear" w:color="auto" w:fill="FFFFFF"/>
              </w:rPr>
            </w:pPr>
            <w:r>
              <w:rPr>
                <w:rFonts w:ascii="Verdana" w:hAnsi="Verdana"/>
                <w:shd w:val="clear" w:color="auto" w:fill="FFFFFF"/>
              </w:rPr>
              <w:t>（五）监护人员不得离开作业现场，并与作业人员保持联系</w:t>
            </w:r>
            <w:r>
              <w:rPr>
                <w:rFonts w:hint="eastAsia" w:ascii="Verdana" w:hAnsi="Verdana"/>
                <w:shd w:val="clear" w:color="auto" w:fill="FFFFFF"/>
              </w:rPr>
              <w:t>；</w:t>
            </w:r>
          </w:p>
          <w:p>
            <w:pPr>
              <w:adjustRightInd w:val="0"/>
              <w:snapToGrid w:val="0"/>
              <w:ind w:firstLine="420" w:firstLineChars="200"/>
              <w:rPr>
                <w:rFonts w:ascii="宋体" w:hAnsi="宋体"/>
                <w:bCs/>
                <w:szCs w:val="21"/>
              </w:rPr>
            </w:pPr>
            <w:r>
              <w:rPr>
                <w:rFonts w:hint="eastAsia" w:ascii="Verdana" w:hAnsi="Verdana"/>
                <w:shd w:val="clear" w:color="auto" w:fill="FFFFFF"/>
              </w:rPr>
              <w:t>……</w:t>
            </w:r>
          </w:p>
        </w:tc>
        <w:tc>
          <w:tcPr>
            <w:tcW w:w="3545" w:type="dxa"/>
            <w:vAlign w:val="center"/>
          </w:tcPr>
          <w:p>
            <w:pPr>
              <w:adjustRightInd w:val="0"/>
              <w:snapToGrid w:val="0"/>
              <w:ind w:firstLine="420" w:firstLineChars="200"/>
              <w:rPr>
                <w:rFonts w:ascii="宋体" w:hAnsi="宋体"/>
                <w:bCs/>
                <w:szCs w:val="21"/>
              </w:rPr>
            </w:pPr>
            <w:r>
              <w:rPr>
                <w:rFonts w:hint="eastAsia" w:ascii="宋体" w:hAnsi="宋体"/>
                <w:bCs/>
                <w:szCs w:val="21"/>
              </w:rPr>
              <w:t>《工贸企业有限空间作业安全管理与监督暂行规定》第三十条  工贸企业有下列情形之一的，由县级以上安全生产监督管理部门责令限期改正，可以处3万元以下的罚款，对其直接负责的主管人员和其他直接责任人员处1万元以下的罚款：</w:t>
            </w:r>
          </w:p>
          <w:p>
            <w:pPr>
              <w:adjustRightInd w:val="0"/>
              <w:snapToGrid w:val="0"/>
              <w:ind w:firstLine="420" w:firstLineChars="200"/>
              <w:rPr>
                <w:rFonts w:ascii="宋体" w:hAnsi="宋体"/>
                <w:bCs/>
                <w:szCs w:val="21"/>
              </w:rPr>
            </w:pPr>
            <w:r>
              <w:rPr>
                <w:rFonts w:hint="eastAsia" w:ascii="宋体" w:hAnsi="宋体"/>
                <w:bCs/>
                <w:szCs w:val="21"/>
              </w:rPr>
              <w:t>……</w:t>
            </w:r>
          </w:p>
          <w:p>
            <w:pPr>
              <w:adjustRightInd w:val="0"/>
              <w:snapToGrid w:val="0"/>
              <w:ind w:firstLine="420" w:firstLineChars="200"/>
              <w:rPr>
                <w:rFonts w:ascii="宋体" w:hAnsi="宋体"/>
                <w:bCs/>
                <w:szCs w:val="21"/>
              </w:rPr>
            </w:pPr>
            <w:r>
              <w:rPr>
                <w:rFonts w:hint="eastAsia" w:ascii="宋体" w:hAnsi="宋体"/>
                <w:bCs/>
                <w:szCs w:val="21"/>
              </w:rPr>
              <w:t>（三）有限空间作业未按照本规定进行危险有害因素检测或者监测，并实行专人监护作业的。</w:t>
            </w:r>
          </w:p>
        </w:tc>
        <w:tc>
          <w:tcPr>
            <w:tcW w:w="1013" w:type="dxa"/>
            <w:vAlign w:val="center"/>
          </w:tcPr>
          <w:p>
            <w:pPr>
              <w:widowControl/>
              <w:adjustRightInd w:val="0"/>
              <w:snapToGrid w:val="0"/>
              <w:spacing w:line="240" w:lineRule="exact"/>
              <w:ind w:firstLine="420" w:firstLineChars="200"/>
              <w:rPr>
                <w:rFonts w:ascii="宋体" w:hAnsi="宋体"/>
                <w:bCs/>
                <w:szCs w:val="21"/>
              </w:rPr>
            </w:pPr>
          </w:p>
        </w:tc>
      </w:tr>
    </w:tbl>
    <w:p>
      <w:pPr>
        <w:topLinePunct/>
        <w:adjustRightInd w:val="0"/>
        <w:snapToGrid w:val="0"/>
        <w:rPr>
          <w:rFonts w:ascii="黑体" w:hAnsi="黑体" w:eastAsia="黑体"/>
          <w:bCs/>
          <w:sz w:val="32"/>
        </w:rPr>
      </w:pPr>
    </w:p>
    <w:p/>
    <w:p/>
    <w:p/>
    <w:bookmarkEnd w:id="25"/>
    <w:bookmarkEnd w:id="26"/>
    <w:bookmarkEnd w:id="27"/>
    <w:p>
      <w:pPr>
        <w:pStyle w:val="4"/>
        <w:keepNext w:val="0"/>
        <w:keepLines w:val="0"/>
        <w:pageBreakBefore/>
        <w:spacing w:line="240" w:lineRule="auto"/>
      </w:pPr>
      <w:bookmarkStart w:id="28" w:name="_Toc499799344"/>
      <w:r>
        <w:rPr>
          <w:rFonts w:hint="eastAsia" w:ascii="黑体" w:hAnsi="黑体" w:eastAsia="黑体"/>
          <w:b w:val="0"/>
        </w:rPr>
        <w:t>表6  安全评价机构和检测检验机构监督检查重点事项</w:t>
      </w:r>
      <w:bookmarkEnd w:id="28"/>
    </w:p>
    <w:tbl>
      <w:tblPr>
        <w:tblStyle w:val="19"/>
        <w:tblW w:w="13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816"/>
        <w:gridCol w:w="1277"/>
        <w:gridCol w:w="1843"/>
        <w:gridCol w:w="5385"/>
        <w:gridCol w:w="3686"/>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50" w:hRule="atLeast"/>
          <w:tblHeader/>
          <w:jc w:val="center"/>
        </w:trPr>
        <w:tc>
          <w:tcPr>
            <w:tcW w:w="816" w:type="dxa"/>
            <w:vAlign w:val="center"/>
          </w:tcPr>
          <w:p>
            <w:pPr>
              <w:widowControl/>
              <w:adjustRightInd w:val="0"/>
              <w:snapToGrid w:val="0"/>
              <w:jc w:val="center"/>
              <w:rPr>
                <w:rFonts w:ascii="宋体" w:cs="宋体"/>
                <w:b/>
                <w:kern w:val="0"/>
                <w:szCs w:val="21"/>
              </w:rPr>
            </w:pPr>
            <w:r>
              <w:rPr>
                <w:rFonts w:hint="eastAsia" w:ascii="宋体" w:hAnsi="宋体" w:cs="宋体"/>
                <w:b/>
                <w:kern w:val="0"/>
                <w:szCs w:val="21"/>
              </w:rPr>
              <w:t>序号</w:t>
            </w:r>
          </w:p>
        </w:tc>
        <w:tc>
          <w:tcPr>
            <w:tcW w:w="1277" w:type="dxa"/>
            <w:vAlign w:val="center"/>
          </w:tcPr>
          <w:p>
            <w:pPr>
              <w:widowControl/>
              <w:adjustRightInd w:val="0"/>
              <w:snapToGrid w:val="0"/>
              <w:jc w:val="center"/>
              <w:rPr>
                <w:rFonts w:ascii="宋体" w:cs="宋体"/>
                <w:b/>
                <w:kern w:val="0"/>
                <w:szCs w:val="21"/>
              </w:rPr>
            </w:pPr>
            <w:r>
              <w:rPr>
                <w:rFonts w:hint="eastAsia" w:ascii="宋体" w:hAnsi="宋体" w:cs="宋体"/>
                <w:b/>
                <w:kern w:val="0"/>
                <w:szCs w:val="21"/>
              </w:rPr>
              <w:t>检查事项</w:t>
            </w:r>
          </w:p>
        </w:tc>
        <w:tc>
          <w:tcPr>
            <w:tcW w:w="1843" w:type="dxa"/>
            <w:vAlign w:val="center"/>
          </w:tcPr>
          <w:p>
            <w:pPr>
              <w:widowControl/>
              <w:adjustRightInd w:val="0"/>
              <w:snapToGrid w:val="0"/>
              <w:jc w:val="center"/>
              <w:rPr>
                <w:rFonts w:ascii="宋体" w:cs="宋体"/>
                <w:b/>
                <w:kern w:val="0"/>
                <w:szCs w:val="21"/>
              </w:rPr>
            </w:pPr>
            <w:r>
              <w:rPr>
                <w:rFonts w:hint="eastAsia" w:ascii="宋体" w:hAnsi="宋体" w:cs="宋体"/>
                <w:b/>
                <w:kern w:val="0"/>
                <w:szCs w:val="21"/>
              </w:rPr>
              <w:t>检查内容</w:t>
            </w:r>
          </w:p>
        </w:tc>
        <w:tc>
          <w:tcPr>
            <w:tcW w:w="5385" w:type="dxa"/>
            <w:vAlign w:val="center"/>
          </w:tcPr>
          <w:p>
            <w:pPr>
              <w:widowControl/>
              <w:adjustRightInd w:val="0"/>
              <w:snapToGrid w:val="0"/>
              <w:jc w:val="center"/>
              <w:rPr>
                <w:rFonts w:ascii="宋体" w:cs="宋体"/>
                <w:b/>
                <w:kern w:val="0"/>
                <w:szCs w:val="21"/>
              </w:rPr>
            </w:pPr>
            <w:r>
              <w:rPr>
                <w:rFonts w:hint="eastAsia" w:ascii="宋体" w:hAnsi="宋体" w:cs="宋体"/>
                <w:b/>
                <w:kern w:val="0"/>
                <w:szCs w:val="21"/>
              </w:rPr>
              <w:t>检查依据指引</w:t>
            </w:r>
          </w:p>
        </w:tc>
        <w:tc>
          <w:tcPr>
            <w:tcW w:w="3686" w:type="dxa"/>
            <w:vAlign w:val="center"/>
          </w:tcPr>
          <w:p>
            <w:pPr>
              <w:widowControl/>
              <w:adjustRightInd w:val="0"/>
              <w:snapToGrid w:val="0"/>
              <w:jc w:val="center"/>
              <w:rPr>
                <w:rFonts w:ascii="宋体" w:cs="宋体"/>
                <w:b/>
                <w:kern w:val="0"/>
                <w:szCs w:val="21"/>
              </w:rPr>
            </w:pPr>
            <w:r>
              <w:rPr>
                <w:rFonts w:hint="eastAsia" w:ascii="宋体" w:hAnsi="宋体" w:cs="宋体"/>
                <w:b/>
                <w:kern w:val="0"/>
                <w:szCs w:val="21"/>
              </w:rPr>
              <w:t>法律责任指引</w:t>
            </w:r>
          </w:p>
        </w:tc>
        <w:tc>
          <w:tcPr>
            <w:tcW w:w="872" w:type="dxa"/>
            <w:vAlign w:val="center"/>
          </w:tcPr>
          <w:p>
            <w:pPr>
              <w:widowControl/>
              <w:adjustRightInd w:val="0"/>
              <w:snapToGrid w:val="0"/>
              <w:jc w:val="center"/>
              <w:rPr>
                <w:rFonts w:asci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16" w:type="dxa"/>
            <w:vMerge w:val="restart"/>
            <w:vAlign w:val="center"/>
          </w:tcPr>
          <w:p>
            <w:pPr>
              <w:jc w:val="center"/>
              <w:rPr>
                <w:rFonts w:ascii="宋体"/>
                <w:szCs w:val="21"/>
              </w:rPr>
            </w:pPr>
            <w:r>
              <w:rPr>
                <w:rFonts w:ascii="宋体" w:hAnsi="宋体"/>
                <w:szCs w:val="21"/>
              </w:rPr>
              <w:t>1</w:t>
            </w:r>
          </w:p>
        </w:tc>
        <w:tc>
          <w:tcPr>
            <w:tcW w:w="1277" w:type="dxa"/>
            <w:vMerge w:val="restart"/>
            <w:vAlign w:val="center"/>
          </w:tcPr>
          <w:p>
            <w:pPr>
              <w:widowControl/>
              <w:adjustRightInd w:val="0"/>
              <w:snapToGrid w:val="0"/>
            </w:pPr>
            <w:r>
              <w:rPr>
                <w:rFonts w:hint="eastAsia"/>
              </w:rPr>
              <w:t>安全评价检测检验机构资质条件保持及从业情况</w:t>
            </w:r>
          </w:p>
        </w:tc>
        <w:tc>
          <w:tcPr>
            <w:tcW w:w="1843" w:type="dxa"/>
            <w:vAlign w:val="center"/>
          </w:tcPr>
          <w:p>
            <w:pPr>
              <w:widowControl/>
              <w:adjustRightInd w:val="0"/>
              <w:snapToGrid w:val="0"/>
              <w:rPr>
                <w:rFonts w:asciiTheme="minorEastAsia" w:hAnsiTheme="minorEastAsia" w:eastAsiaTheme="minorEastAsia"/>
                <w:bCs/>
                <w:szCs w:val="21"/>
              </w:rPr>
            </w:pPr>
            <w:r>
              <w:rPr>
                <w:rFonts w:hint="eastAsia" w:asciiTheme="minorEastAsia" w:hAnsiTheme="minorEastAsia" w:eastAsiaTheme="minorEastAsia"/>
                <w:bCs/>
                <w:szCs w:val="21"/>
              </w:rPr>
              <w:t>1.1 固定资产</w:t>
            </w:r>
          </w:p>
        </w:tc>
        <w:tc>
          <w:tcPr>
            <w:tcW w:w="5385" w:type="dxa"/>
            <w:shd w:val="clear" w:color="auto" w:fill="auto"/>
            <w:vAlign w:val="center"/>
          </w:tcPr>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《安全评价检测检验机构管理办法》第六条  申请安全评价机构资质应当具备下列条件：</w:t>
            </w:r>
          </w:p>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（一）独立法人资格，固定资产不少于八百万元；</w:t>
            </w:r>
          </w:p>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第七条  申请安全生产检测检验机构资质应当具备下列条件：</w:t>
            </w:r>
          </w:p>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（一）独立法人资格，固定资产不少于一千万元；</w:t>
            </w:r>
          </w:p>
          <w:p>
            <w:pPr>
              <w:widowControl/>
              <w:adjustRightInd w:val="0"/>
              <w:snapToGrid w:val="0"/>
              <w:ind w:firstLine="420" w:firstLineChars="200"/>
              <w:rPr>
                <w:rFonts w:cs="宋体" w:asciiTheme="minorEastAsia" w:hAnsiTheme="minorEastAsia" w:eastAsiaTheme="minorEastAsia"/>
                <w:kern w:val="0"/>
                <w:szCs w:val="21"/>
                <w:bdr w:val="single" w:color="auto" w:sz="4" w:space="0"/>
                <w:shd w:val="pct10" w:color="auto" w:fill="FFFFFF"/>
              </w:rPr>
            </w:pPr>
            <w:r>
              <w:rPr>
                <w:rFonts w:hint="eastAsia" w:cs="宋体" w:asciiTheme="minorEastAsia" w:hAnsiTheme="minorEastAsia" w:eastAsiaTheme="minorEastAsia"/>
                <w:kern w:val="0"/>
                <w:szCs w:val="21"/>
              </w:rPr>
              <w:t>……</w:t>
            </w:r>
          </w:p>
        </w:tc>
        <w:tc>
          <w:tcPr>
            <w:tcW w:w="3686" w:type="dxa"/>
            <w:vAlign w:val="center"/>
          </w:tcPr>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《安全评价检测检验机构管理办法》第二十八条  申请人以欺骗、贿赂等不正当手段取得资质（包括资质延续、资质变更、增加业务范围等）的，应当予以撤销。该申请人在三年内不得再次申请；构成犯罪的，依法追究刑事责任。</w:t>
            </w:r>
          </w:p>
        </w:tc>
        <w:tc>
          <w:tcPr>
            <w:tcW w:w="872" w:type="dxa"/>
            <w:vAlign w:val="center"/>
          </w:tcPr>
          <w:p>
            <w:pPr>
              <w:widowControl/>
              <w:adjustRightInd w:val="0"/>
              <w:snapToGrid w:val="0"/>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17" w:hRule="atLeast"/>
          <w:jc w:val="center"/>
        </w:trPr>
        <w:tc>
          <w:tcPr>
            <w:tcW w:w="816" w:type="dxa"/>
            <w:vMerge w:val="continue"/>
            <w:vAlign w:val="center"/>
          </w:tcPr>
          <w:p>
            <w:pPr>
              <w:jc w:val="center"/>
              <w:rPr>
                <w:rFonts w:asciiTheme="minorEastAsia" w:hAnsiTheme="minorEastAsia" w:eastAsiaTheme="minorEastAsia"/>
                <w:szCs w:val="21"/>
              </w:rPr>
            </w:pPr>
          </w:p>
        </w:tc>
        <w:tc>
          <w:tcPr>
            <w:tcW w:w="1277" w:type="dxa"/>
            <w:vMerge w:val="continue"/>
            <w:vAlign w:val="center"/>
          </w:tcPr>
          <w:p>
            <w:pPr>
              <w:widowControl/>
              <w:adjustRightInd w:val="0"/>
              <w:snapToGrid w:val="0"/>
              <w:rPr>
                <w:rFonts w:asciiTheme="minorEastAsia" w:hAnsiTheme="minorEastAsia" w:eastAsiaTheme="minorEastAsia"/>
                <w:szCs w:val="21"/>
              </w:rPr>
            </w:pPr>
          </w:p>
        </w:tc>
        <w:tc>
          <w:tcPr>
            <w:tcW w:w="1843" w:type="dxa"/>
            <w:vAlign w:val="center"/>
          </w:tcPr>
          <w:p>
            <w:pPr>
              <w:widowControl/>
              <w:adjustRightInd w:val="0"/>
              <w:snapToGrid w:val="0"/>
              <w:rPr>
                <w:rFonts w:asciiTheme="minorEastAsia" w:hAnsiTheme="minorEastAsia" w:eastAsiaTheme="minorEastAsia"/>
                <w:bCs/>
                <w:szCs w:val="21"/>
              </w:rPr>
            </w:pPr>
            <w:r>
              <w:rPr>
                <w:rFonts w:hint="eastAsia" w:asciiTheme="minorEastAsia" w:hAnsiTheme="minorEastAsia" w:eastAsiaTheme="minorEastAsia"/>
                <w:bCs/>
                <w:szCs w:val="21"/>
              </w:rPr>
              <w:t>1.2 办公场所及设施、设备</w:t>
            </w:r>
          </w:p>
        </w:tc>
        <w:tc>
          <w:tcPr>
            <w:tcW w:w="5385" w:type="dxa"/>
            <w:shd w:val="clear" w:color="auto" w:fill="auto"/>
            <w:vAlign w:val="center"/>
          </w:tcPr>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《安全评价检测检验机构管理办法》第六条  申请安全评价机构资质应当具备下列条件：</w:t>
            </w:r>
          </w:p>
          <w:p>
            <w:pPr>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p>
            <w:pPr>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（二）工作场所建筑面积不少于一千平方米，其中档案室不少于一百平方米，设施、设备、软件等技术支撑条件满足工作需求；</w:t>
            </w:r>
          </w:p>
          <w:p>
            <w:pPr>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p>
            <w:pPr>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第七条  申请安全生产检测检验机构资质应当具备下列条件：</w:t>
            </w:r>
          </w:p>
          <w:p>
            <w:pPr>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p>
            <w:pPr>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（二）工作场所建筑面积不少于一千平方米，有与从事安全生产检测检验相适应的设施、设备和环境，检测检验设施、设备原值不少于八百万元；</w:t>
            </w:r>
          </w:p>
          <w:p>
            <w:pPr>
              <w:adjustRightInd w:val="0"/>
              <w:snapToGrid w:val="0"/>
              <w:ind w:firstLine="420" w:firstLineChars="200"/>
              <w:rPr>
                <w:rFonts w:cs="宋体" w:asciiTheme="minorEastAsia" w:hAnsiTheme="minorEastAsia" w:eastAsiaTheme="minorEastAsia"/>
                <w:kern w:val="0"/>
                <w:szCs w:val="21"/>
                <w:bdr w:val="single" w:color="auto" w:sz="4" w:space="0"/>
                <w:shd w:val="pct10" w:color="auto" w:fill="FFFFFF"/>
              </w:rPr>
            </w:pPr>
            <w:r>
              <w:rPr>
                <w:rFonts w:hint="eastAsia" w:cs="宋体" w:asciiTheme="minorEastAsia" w:hAnsiTheme="minorEastAsia" w:eastAsiaTheme="minorEastAsia"/>
                <w:kern w:val="0"/>
                <w:szCs w:val="21"/>
              </w:rPr>
              <w:t>……</w:t>
            </w:r>
          </w:p>
        </w:tc>
        <w:tc>
          <w:tcPr>
            <w:tcW w:w="3686" w:type="dxa"/>
            <w:vAlign w:val="center"/>
          </w:tcPr>
          <w:p>
            <w:pPr>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《安全评价检测检验机构管理办法》第二十八条  申请人以欺骗、贿赂等不正当手段取得资质（包括资质延续、资质变更、增加业务范围等）的，应当予以撤销。该申请人在三年内不得再次申请；构成犯罪的，依法追究刑事责任。</w:t>
            </w:r>
          </w:p>
        </w:tc>
        <w:tc>
          <w:tcPr>
            <w:tcW w:w="872" w:type="dxa"/>
            <w:vAlign w:val="center"/>
          </w:tcPr>
          <w:p>
            <w:pPr>
              <w:widowControl/>
              <w:adjustRightInd w:val="0"/>
              <w:snapToGrid w:val="0"/>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571" w:hRule="atLeast"/>
          <w:jc w:val="center"/>
        </w:trPr>
        <w:tc>
          <w:tcPr>
            <w:tcW w:w="816" w:type="dxa"/>
            <w:vMerge w:val="continue"/>
            <w:vAlign w:val="center"/>
          </w:tcPr>
          <w:p>
            <w:pPr>
              <w:jc w:val="center"/>
              <w:rPr>
                <w:rFonts w:asciiTheme="minorEastAsia" w:hAnsiTheme="minorEastAsia" w:eastAsiaTheme="minorEastAsia"/>
                <w:szCs w:val="21"/>
              </w:rPr>
            </w:pPr>
          </w:p>
        </w:tc>
        <w:tc>
          <w:tcPr>
            <w:tcW w:w="1277" w:type="dxa"/>
            <w:vMerge w:val="continue"/>
            <w:vAlign w:val="center"/>
          </w:tcPr>
          <w:p>
            <w:pPr>
              <w:widowControl/>
              <w:adjustRightInd w:val="0"/>
              <w:snapToGrid w:val="0"/>
              <w:rPr>
                <w:rFonts w:asciiTheme="minorEastAsia" w:hAnsiTheme="minorEastAsia" w:eastAsiaTheme="minorEastAsia"/>
                <w:szCs w:val="21"/>
              </w:rPr>
            </w:pPr>
          </w:p>
        </w:tc>
        <w:tc>
          <w:tcPr>
            <w:tcW w:w="1843" w:type="dxa"/>
            <w:vAlign w:val="center"/>
          </w:tcPr>
          <w:p>
            <w:pPr>
              <w:widowControl/>
              <w:adjustRightInd w:val="0"/>
              <w:snapToGrid w:val="0"/>
              <w:rPr>
                <w:rFonts w:asciiTheme="minorEastAsia" w:hAnsiTheme="minorEastAsia" w:eastAsiaTheme="minorEastAsia"/>
                <w:bCs/>
                <w:szCs w:val="21"/>
              </w:rPr>
            </w:pPr>
            <w:r>
              <w:rPr>
                <w:rFonts w:hint="eastAsia" w:asciiTheme="minorEastAsia" w:hAnsiTheme="minorEastAsia" w:eastAsiaTheme="minorEastAsia"/>
                <w:bCs/>
                <w:szCs w:val="21"/>
              </w:rPr>
              <w:t>1.3 专职技术人员及注册安全工程师</w:t>
            </w:r>
          </w:p>
        </w:tc>
        <w:tc>
          <w:tcPr>
            <w:tcW w:w="5385" w:type="dxa"/>
            <w:shd w:val="clear" w:color="auto" w:fill="auto"/>
            <w:vAlign w:val="center"/>
          </w:tcPr>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《安全评价检测检验机构管理办法》第六条  申请安全评价机构资质应当具备下列条件：</w:t>
            </w:r>
          </w:p>
          <w:p>
            <w:pPr>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w:t>
            </w:r>
          </w:p>
          <w:p>
            <w:pPr>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（三）承担矿山、金属冶炼、危险化学品生产和储存、烟花爆竹等业务范围安全评价的机构，其专职安全评价师不低于本办法规定的配备标准（附件1）；</w:t>
            </w:r>
          </w:p>
          <w:p>
            <w:pPr>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承担单一业务范围的安全评价机构，其专职安全评价师不少于二十五人；每增加一个行业（领域），按照专业配备标准至少增加五名专职安全评价师；专职安全评价师中，一级安全评价师比例不低于百分之二十，一级和二级安全评价师的总数比例不低于百分之五十，且中级及以上注册安全工程师比例不低于百分之三十；</w:t>
            </w:r>
          </w:p>
          <w:p>
            <w:pPr>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p>
            <w:pPr>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第七条  申请安全生产检测检验</w:t>
            </w:r>
            <w:r>
              <w:rPr>
                <w:rFonts w:hint="eastAsia" w:cs="宋体" w:asciiTheme="minorEastAsia" w:hAnsiTheme="minorEastAsia" w:eastAsiaTheme="minorEastAsia"/>
                <w:kern w:val="0"/>
                <w:szCs w:val="21"/>
                <w:lang w:eastAsia="zh-CN"/>
              </w:rPr>
              <w:t>机构</w:t>
            </w:r>
            <w:r>
              <w:rPr>
                <w:rFonts w:hint="eastAsia" w:cs="宋体" w:asciiTheme="minorEastAsia" w:hAnsiTheme="minorEastAsia" w:eastAsiaTheme="minorEastAsia"/>
                <w:kern w:val="0"/>
                <w:szCs w:val="21"/>
              </w:rPr>
              <w:t>资质应当具备下列条件：</w:t>
            </w:r>
          </w:p>
          <w:p>
            <w:pPr>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p>
            <w:pPr>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承担单一业务范围的安全生产检测检验机构，其专业技术人员不少于二十五人；每增加一个行业（领域），至少增加五名专业技术人员；专业技术人员中，中级及以上注册安全工程师比例不低于百分之三十，中级及以上技术职称比例不低于百分之五十，且高级技术职称人员比例不低于百分之二十五；</w:t>
            </w:r>
          </w:p>
          <w:p>
            <w:pPr>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（四）专业技术人员具有与承担安全生产检测检验相适应的专业技能，以及在本行业领域工作两年以上；</w:t>
            </w:r>
          </w:p>
          <w:p>
            <w:pPr>
              <w:adjustRightInd w:val="0"/>
              <w:snapToGrid w:val="0"/>
              <w:ind w:firstLine="420" w:firstLineChars="200"/>
              <w:rPr>
                <w:rFonts w:cs="宋体" w:asciiTheme="minorEastAsia" w:hAnsiTheme="minorEastAsia" w:eastAsiaTheme="minorEastAsia"/>
                <w:kern w:val="0"/>
                <w:szCs w:val="21"/>
                <w:bdr w:val="single" w:color="auto" w:sz="4" w:space="0"/>
                <w:shd w:val="pct10" w:color="auto" w:fill="FFFFFF"/>
              </w:rPr>
            </w:pPr>
            <w:r>
              <w:rPr>
                <w:rFonts w:hint="eastAsia" w:cs="宋体" w:asciiTheme="minorEastAsia" w:hAnsiTheme="minorEastAsia" w:eastAsiaTheme="minorEastAsia"/>
                <w:kern w:val="0"/>
                <w:szCs w:val="21"/>
              </w:rPr>
              <w:t>……</w:t>
            </w:r>
          </w:p>
        </w:tc>
        <w:tc>
          <w:tcPr>
            <w:tcW w:w="3686" w:type="dxa"/>
            <w:vAlign w:val="center"/>
          </w:tcPr>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《安全评价检测检验机构管理办法》第二十八条  申请人以欺骗、贿赂等不正当手段取得资质（包括资质延续、资质变更、增加业务范围等）的，应当予以撤销。该申请人在三年内不得再次申请；构成犯罪的，依法追究刑事责任。</w:t>
            </w:r>
          </w:p>
        </w:tc>
        <w:tc>
          <w:tcPr>
            <w:tcW w:w="872" w:type="dxa"/>
            <w:vAlign w:val="center"/>
          </w:tcPr>
          <w:p>
            <w:pPr>
              <w:widowControl/>
              <w:adjustRightInd w:val="0"/>
              <w:snapToGrid w:val="0"/>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146" w:hRule="atLeast"/>
          <w:jc w:val="center"/>
        </w:trPr>
        <w:tc>
          <w:tcPr>
            <w:tcW w:w="816" w:type="dxa"/>
            <w:vMerge w:val="continue"/>
            <w:vAlign w:val="center"/>
          </w:tcPr>
          <w:p>
            <w:pPr>
              <w:jc w:val="center"/>
              <w:rPr>
                <w:rFonts w:asciiTheme="minorEastAsia" w:hAnsiTheme="minorEastAsia" w:eastAsiaTheme="minorEastAsia"/>
                <w:szCs w:val="21"/>
              </w:rPr>
            </w:pPr>
          </w:p>
        </w:tc>
        <w:tc>
          <w:tcPr>
            <w:tcW w:w="1277" w:type="dxa"/>
            <w:vMerge w:val="continue"/>
            <w:vAlign w:val="center"/>
          </w:tcPr>
          <w:p>
            <w:pPr>
              <w:widowControl/>
              <w:adjustRightInd w:val="0"/>
              <w:snapToGrid w:val="0"/>
              <w:rPr>
                <w:rFonts w:asciiTheme="minorEastAsia" w:hAnsiTheme="minorEastAsia" w:eastAsiaTheme="minorEastAsia"/>
                <w:szCs w:val="21"/>
              </w:rPr>
            </w:pPr>
          </w:p>
        </w:tc>
        <w:tc>
          <w:tcPr>
            <w:tcW w:w="1843" w:type="dxa"/>
            <w:vAlign w:val="center"/>
          </w:tcPr>
          <w:p>
            <w:pPr>
              <w:adjustRightInd w:val="0"/>
              <w:snapToGrid w:val="0"/>
              <w:rPr>
                <w:rFonts w:asciiTheme="minorEastAsia" w:hAnsiTheme="minorEastAsia" w:eastAsiaTheme="minorEastAsia"/>
                <w:bCs/>
                <w:szCs w:val="21"/>
              </w:rPr>
            </w:pPr>
            <w:r>
              <w:rPr>
                <w:rFonts w:hint="eastAsia" w:asciiTheme="minorEastAsia" w:hAnsiTheme="minorEastAsia" w:eastAsiaTheme="minorEastAsia"/>
                <w:szCs w:val="21"/>
              </w:rPr>
              <w:t xml:space="preserve">1.4 </w:t>
            </w:r>
            <w:r>
              <w:rPr>
                <w:rFonts w:hint="eastAsia" w:asciiTheme="minorEastAsia" w:hAnsiTheme="minorEastAsia" w:eastAsiaTheme="minorEastAsia"/>
                <w:bCs/>
                <w:szCs w:val="21"/>
              </w:rPr>
              <w:t>专职技术负责人和过程控制负责人（主持工作负责人、技术负责人、质量负责人）</w:t>
            </w:r>
          </w:p>
        </w:tc>
        <w:tc>
          <w:tcPr>
            <w:tcW w:w="5385" w:type="dxa"/>
            <w:shd w:val="clear" w:color="auto" w:fill="auto"/>
            <w:vAlign w:val="center"/>
          </w:tcPr>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《安全评价检测检验机构管理办法》第六条  申请安全评价机构资质应当具备下列条件：</w:t>
            </w:r>
          </w:p>
          <w:p>
            <w:pPr>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p>
            <w:pPr>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七）配备专职技术负责人和过程控制负责人；专职技术负责人具有一级安全评价师职业资格，并具有与所开展业务相匹配的高级专业技术职称，在本行业领域工作八年以上；专职过程控制负责人具有安全评价师职业资格；</w:t>
            </w:r>
          </w:p>
          <w:p>
            <w:pPr>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p>
            <w:pPr>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第七条  申请安全生产检测检验机构资质应当具备下列条件：</w:t>
            </w:r>
          </w:p>
          <w:p>
            <w:pPr>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p>
            <w:pPr>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（六）主持安全生产检测检验工作的负责人、技术负责人、质量负责人具有高级技术职称，在本行业领域工作八年以上；</w:t>
            </w:r>
          </w:p>
          <w:p>
            <w:pPr>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3686" w:type="dxa"/>
            <w:vAlign w:val="center"/>
          </w:tcPr>
          <w:p>
            <w:pPr>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《安全评价检测检验机构管理办法》第二十八条  申请人以欺骗、贿赂等不正当手段取得资质（包括资质延续、资质变更、增加业务范围等）的，应当予以撤销。该申请人在三年内不得再次申请；构成犯罪的，依法追究刑事责任。</w:t>
            </w:r>
          </w:p>
        </w:tc>
        <w:tc>
          <w:tcPr>
            <w:tcW w:w="872" w:type="dxa"/>
            <w:vAlign w:val="center"/>
          </w:tcPr>
          <w:p>
            <w:pPr>
              <w:widowControl/>
              <w:adjustRightInd w:val="0"/>
              <w:snapToGrid w:val="0"/>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878" w:hRule="atLeast"/>
          <w:jc w:val="center"/>
        </w:trPr>
        <w:tc>
          <w:tcPr>
            <w:tcW w:w="816" w:type="dxa"/>
            <w:vMerge w:val="continue"/>
            <w:vAlign w:val="center"/>
          </w:tcPr>
          <w:p>
            <w:pPr>
              <w:jc w:val="center"/>
              <w:rPr>
                <w:rFonts w:asciiTheme="minorEastAsia" w:hAnsiTheme="minorEastAsia" w:eastAsiaTheme="minorEastAsia"/>
                <w:szCs w:val="21"/>
              </w:rPr>
            </w:pPr>
          </w:p>
        </w:tc>
        <w:tc>
          <w:tcPr>
            <w:tcW w:w="1277" w:type="dxa"/>
            <w:vMerge w:val="continue"/>
            <w:vAlign w:val="center"/>
          </w:tcPr>
          <w:p>
            <w:pPr>
              <w:widowControl/>
              <w:adjustRightInd w:val="0"/>
              <w:snapToGrid w:val="0"/>
              <w:rPr>
                <w:rFonts w:asciiTheme="minorEastAsia" w:hAnsiTheme="minorEastAsia" w:eastAsiaTheme="minorEastAsia"/>
                <w:szCs w:val="21"/>
              </w:rPr>
            </w:pPr>
          </w:p>
        </w:tc>
        <w:tc>
          <w:tcPr>
            <w:tcW w:w="1843" w:type="dxa"/>
            <w:vAlign w:val="center"/>
          </w:tcPr>
          <w:p>
            <w:pPr>
              <w:adjustRightInd w:val="0"/>
              <w:snapToGrid w:val="0"/>
              <w:rPr>
                <w:rFonts w:asciiTheme="minorEastAsia" w:hAnsiTheme="minorEastAsia" w:eastAsiaTheme="minorEastAsia"/>
                <w:bCs/>
                <w:szCs w:val="21"/>
              </w:rPr>
            </w:pPr>
            <w:r>
              <w:rPr>
                <w:rFonts w:hint="eastAsia" w:asciiTheme="minorEastAsia" w:hAnsiTheme="minorEastAsia" w:eastAsiaTheme="minorEastAsia"/>
                <w:szCs w:val="21"/>
              </w:rPr>
              <w:t xml:space="preserve">1.5 </w:t>
            </w:r>
            <w:r>
              <w:rPr>
                <w:rFonts w:hint="eastAsia" w:asciiTheme="minorEastAsia" w:hAnsiTheme="minorEastAsia" w:eastAsiaTheme="minorEastAsia"/>
                <w:bCs/>
                <w:szCs w:val="21"/>
              </w:rPr>
              <w:t>内部管理制度（文件化管理体系）和安全评价过程控制体系</w:t>
            </w:r>
          </w:p>
        </w:tc>
        <w:tc>
          <w:tcPr>
            <w:tcW w:w="5385" w:type="dxa"/>
            <w:shd w:val="clear" w:color="auto" w:fill="auto"/>
            <w:vAlign w:val="center"/>
          </w:tcPr>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《安全评价检测检验机构管理办法》第六条  申请安全评价机构资质应当具备下列条件：</w:t>
            </w:r>
          </w:p>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（五）健全的内部管理制度和安全评价过程控制体系；</w:t>
            </w:r>
          </w:p>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第七条  申请安全生产检测检验资质资质应当具备下列条件：</w:t>
            </w:r>
          </w:p>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（七）符合安全生产检测检验机构能力通用要求等相关标准和规范性文件规定的文件化管理体系；</w:t>
            </w:r>
          </w:p>
          <w:p>
            <w:pPr>
              <w:adjustRightInd w:val="0"/>
              <w:snapToGrid w:val="0"/>
              <w:ind w:firstLine="420" w:firstLineChars="200"/>
              <w:rPr>
                <w:rFonts w:cs="宋体" w:asciiTheme="minorEastAsia" w:hAnsiTheme="minorEastAsia" w:eastAsiaTheme="minorEastAsia"/>
                <w:kern w:val="0"/>
                <w:szCs w:val="21"/>
                <w:bdr w:val="single" w:color="auto" w:sz="4" w:space="0"/>
                <w:shd w:val="pct10" w:color="auto" w:fill="FFFFFF"/>
              </w:rPr>
            </w:pPr>
            <w:r>
              <w:rPr>
                <w:rFonts w:hint="eastAsia" w:cs="宋体" w:asciiTheme="minorEastAsia" w:hAnsiTheme="minorEastAsia" w:eastAsiaTheme="minorEastAsia"/>
                <w:kern w:val="0"/>
                <w:szCs w:val="21"/>
              </w:rPr>
              <w:t>……</w:t>
            </w:r>
          </w:p>
        </w:tc>
        <w:tc>
          <w:tcPr>
            <w:tcW w:w="3686" w:type="dxa"/>
            <w:vAlign w:val="center"/>
          </w:tcPr>
          <w:p>
            <w:pPr>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《安全评价检测检验机构管理办法》第二十八条  申请人以欺骗、贿赂等不正当手段取得资质（包括资质延续、资质变更、增加业务范围等）的，应当予以撤销。该申请人在三年内不得再次申请；构成犯罪的，依法追究刑事责任。</w:t>
            </w:r>
          </w:p>
        </w:tc>
        <w:tc>
          <w:tcPr>
            <w:tcW w:w="872" w:type="dxa"/>
            <w:vAlign w:val="center"/>
          </w:tcPr>
          <w:p>
            <w:pPr>
              <w:widowControl/>
              <w:adjustRightInd w:val="0"/>
              <w:snapToGrid w:val="0"/>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511" w:hRule="atLeast"/>
          <w:jc w:val="center"/>
        </w:trPr>
        <w:tc>
          <w:tcPr>
            <w:tcW w:w="816" w:type="dxa"/>
            <w:vMerge w:val="continue"/>
            <w:vAlign w:val="center"/>
          </w:tcPr>
          <w:p>
            <w:pPr>
              <w:jc w:val="center"/>
              <w:rPr>
                <w:rFonts w:asciiTheme="minorEastAsia" w:hAnsiTheme="minorEastAsia" w:eastAsiaTheme="minorEastAsia"/>
                <w:szCs w:val="21"/>
              </w:rPr>
            </w:pPr>
          </w:p>
        </w:tc>
        <w:tc>
          <w:tcPr>
            <w:tcW w:w="1277" w:type="dxa"/>
            <w:vMerge w:val="continue"/>
            <w:vAlign w:val="center"/>
          </w:tcPr>
          <w:p>
            <w:pPr>
              <w:widowControl/>
              <w:adjustRightInd w:val="0"/>
              <w:snapToGrid w:val="0"/>
              <w:rPr>
                <w:rFonts w:asciiTheme="minorEastAsia" w:hAnsiTheme="minorEastAsia" w:eastAsiaTheme="minorEastAsia"/>
                <w:szCs w:val="21"/>
              </w:rPr>
            </w:pPr>
          </w:p>
        </w:tc>
        <w:tc>
          <w:tcPr>
            <w:tcW w:w="1843" w:type="dxa"/>
            <w:vAlign w:val="center"/>
          </w:tcPr>
          <w:p>
            <w:pPr>
              <w:widowControl/>
              <w:adjustRightInd w:val="0"/>
              <w:snapToGrid w:val="0"/>
              <w:rPr>
                <w:rFonts w:asciiTheme="minorEastAsia" w:hAnsiTheme="minorEastAsia" w:eastAsiaTheme="minorEastAsia"/>
                <w:szCs w:val="21"/>
              </w:rPr>
            </w:pPr>
            <w:r>
              <w:rPr>
                <w:rFonts w:hint="eastAsia" w:asciiTheme="minorEastAsia" w:hAnsiTheme="minorEastAsia" w:eastAsiaTheme="minorEastAsia"/>
                <w:bCs/>
                <w:szCs w:val="21"/>
              </w:rPr>
              <w:t>1.6 按照核准资质范围评价检测检验</w:t>
            </w:r>
          </w:p>
        </w:tc>
        <w:tc>
          <w:tcPr>
            <w:tcW w:w="5385" w:type="dxa"/>
            <w:shd w:val="clear" w:color="auto" w:fill="auto"/>
            <w:vAlign w:val="center"/>
          </w:tcPr>
          <w:p>
            <w:pPr>
              <w:adjustRightInd w:val="0"/>
              <w:snapToGrid w:val="0"/>
              <w:spacing w:line="24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《安全评价检测检验机构管理办法》第二十二条  安全评价检测检验机构及其从业人员不得有下列行为：</w:t>
            </w:r>
          </w:p>
          <w:p>
            <w:pPr>
              <w:spacing w:line="24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p>
            <w:pPr>
              <w:spacing w:line="24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（二）不再具备资质条件或者资质过期从事安全评价、检测检验的；</w:t>
            </w:r>
          </w:p>
          <w:p>
            <w:pPr>
              <w:spacing w:line="24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（三）超出资质认可业务范围，从事法定的安全评价、检测检验的；</w:t>
            </w:r>
          </w:p>
          <w:p>
            <w:pPr>
              <w:spacing w:line="240" w:lineRule="exact"/>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p>
          <w:p>
            <w:pPr>
              <w:adjustRightInd w:val="0"/>
              <w:snapToGrid w:val="0"/>
              <w:spacing w:line="240" w:lineRule="exact"/>
              <w:ind w:firstLine="420" w:firstLineChars="200"/>
            </w:pPr>
            <w:r>
              <w:rPr>
                <w:rFonts w:hint="eastAsia" w:cs="宋体" w:asciiTheme="minorEastAsia" w:hAnsiTheme="minorEastAsia" w:eastAsiaTheme="minorEastAsia"/>
                <w:kern w:val="0"/>
                <w:szCs w:val="21"/>
              </w:rPr>
              <w:t>（十）冒用他人名义或者允许他人冒用本人名义在安全评价、检测检验报告和原始记录中签名的；</w:t>
            </w:r>
          </w:p>
          <w:p>
            <w:pPr>
              <w:adjustRightInd w:val="0"/>
              <w:snapToGrid w:val="0"/>
              <w:spacing w:line="24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3686" w:type="dxa"/>
            <w:vAlign w:val="center"/>
          </w:tcPr>
          <w:p>
            <w:pPr>
              <w:widowControl/>
              <w:adjustRightInd w:val="0"/>
              <w:snapToGrid w:val="0"/>
              <w:spacing w:line="2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《安全评价检测检验机构管理办法》第二十九条  未取得资质的机构及其有关人员擅自从事安全评价、检测检验服务的，责令立即停止违法行为，依照下列规定给予处罚：</w:t>
            </w:r>
          </w:p>
          <w:p>
            <w:pPr>
              <w:widowControl/>
              <w:adjustRightInd w:val="0"/>
              <w:snapToGrid w:val="0"/>
              <w:spacing w:line="2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（一）机构有违法所得的，没收其违法所得，并处违法所得一倍以上三倍以下的罚款，但最高不得超过三万元；没有违法所得的，处五千元以上一万元以下的罚款；</w:t>
            </w:r>
          </w:p>
          <w:p>
            <w:pPr>
              <w:widowControl/>
              <w:adjustRightInd w:val="0"/>
              <w:snapToGrid w:val="0"/>
              <w:spacing w:line="2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（二）有关人员处五千元以上一万元以下的罚款。</w:t>
            </w:r>
          </w:p>
          <w:p>
            <w:pPr>
              <w:widowControl/>
              <w:adjustRightInd w:val="0"/>
              <w:snapToGrid w:val="0"/>
              <w:spacing w:line="240" w:lineRule="exact"/>
              <w:ind w:firstLine="420" w:firstLineChars="200"/>
              <w:rPr>
                <w:rFonts w:cs="宋体" w:asciiTheme="minorEastAsia" w:hAnsiTheme="minorEastAsia" w:eastAsiaTheme="minorEastAsia"/>
                <w:kern w:val="0"/>
                <w:szCs w:val="21"/>
              </w:rPr>
            </w:pPr>
            <w:r>
              <w:rPr>
                <w:rFonts w:hint="eastAsia" w:asciiTheme="minorEastAsia" w:hAnsiTheme="minorEastAsia" w:eastAsiaTheme="minorEastAsia"/>
                <w:bCs/>
                <w:szCs w:val="21"/>
              </w:rPr>
              <w:t>对有前款违法行为的机构及其人员，由资质认可机关记入有关机构和人员的信用记录，并依照有关规定予以公告。</w:t>
            </w:r>
          </w:p>
        </w:tc>
        <w:tc>
          <w:tcPr>
            <w:tcW w:w="872" w:type="dxa"/>
            <w:vAlign w:val="center"/>
          </w:tcPr>
          <w:p>
            <w:pPr>
              <w:widowControl/>
              <w:adjustRightInd w:val="0"/>
              <w:snapToGrid w:val="0"/>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631" w:hRule="atLeast"/>
          <w:jc w:val="center"/>
        </w:trPr>
        <w:tc>
          <w:tcPr>
            <w:tcW w:w="816" w:type="dxa"/>
            <w:vAlign w:val="center"/>
          </w:tcPr>
          <w:p>
            <w:pPr>
              <w:jc w:val="center"/>
              <w:rPr>
                <w:rFonts w:asciiTheme="minorEastAsia" w:hAnsiTheme="minorEastAsia" w:eastAsiaTheme="minorEastAsia"/>
                <w:szCs w:val="21"/>
              </w:rPr>
            </w:pPr>
          </w:p>
        </w:tc>
        <w:tc>
          <w:tcPr>
            <w:tcW w:w="1277" w:type="dxa"/>
            <w:vAlign w:val="center"/>
          </w:tcPr>
          <w:p>
            <w:pPr>
              <w:widowControl/>
              <w:adjustRightInd w:val="0"/>
              <w:snapToGrid w:val="0"/>
              <w:rPr>
                <w:rFonts w:asciiTheme="minorEastAsia" w:hAnsiTheme="minorEastAsia" w:eastAsiaTheme="minorEastAsia"/>
                <w:szCs w:val="21"/>
              </w:rPr>
            </w:pPr>
          </w:p>
        </w:tc>
        <w:tc>
          <w:tcPr>
            <w:tcW w:w="1843" w:type="dxa"/>
            <w:vAlign w:val="center"/>
          </w:tcPr>
          <w:p>
            <w:pPr>
              <w:widowControl/>
              <w:adjustRightInd w:val="0"/>
              <w:snapToGrid w:val="0"/>
              <w:rPr>
                <w:rFonts w:asciiTheme="minorEastAsia" w:hAnsiTheme="minorEastAsia" w:eastAsiaTheme="minorEastAsia"/>
                <w:szCs w:val="21"/>
              </w:rPr>
            </w:pPr>
            <w:r>
              <w:rPr>
                <w:rFonts w:hint="eastAsia" w:asciiTheme="minorEastAsia" w:hAnsiTheme="minorEastAsia" w:eastAsiaTheme="minorEastAsia"/>
                <w:bCs/>
                <w:szCs w:val="21"/>
              </w:rPr>
              <w:t xml:space="preserve">1.7 </w:t>
            </w:r>
            <w:r>
              <w:rPr>
                <w:rFonts w:hint="eastAsia" w:cs="宋体" w:asciiTheme="minorEastAsia" w:hAnsiTheme="minorEastAsia" w:eastAsiaTheme="minorEastAsia"/>
                <w:kern w:val="0"/>
                <w:szCs w:val="21"/>
              </w:rPr>
              <w:t>资质变更</w:t>
            </w:r>
          </w:p>
        </w:tc>
        <w:tc>
          <w:tcPr>
            <w:tcW w:w="5385" w:type="dxa"/>
            <w:shd w:val="clear" w:color="auto" w:fill="auto"/>
            <w:vAlign w:val="center"/>
          </w:tcPr>
          <w:p>
            <w:pPr>
              <w:widowControl/>
              <w:adjustRightInd w:val="0"/>
              <w:snapToGrid w:val="0"/>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《安全评价检测检验机构管理办法》第十二条  安全评价检测检验机构的名称、注册地址、实验室条件、法定代表人、专职技术负责人、授权签字人发生变化的，应当自发生变化之日起三十日内向原资质认可机关提出书面变更申请。资质认可机关经审查后符合条件的，在本部门网站予以公告，并及时更新安全评价检测检验机构信息查询系统相关信息。</w:t>
            </w:r>
          </w:p>
          <w:p>
            <w:pPr>
              <w:adjustRightInd w:val="0"/>
              <w:snapToGrid w:val="0"/>
              <w:spacing w:line="240" w:lineRule="exact"/>
              <w:ind w:firstLine="420" w:firstLineChars="200"/>
              <w:rPr>
                <w:rFonts w:cs="宋体" w:asciiTheme="minorEastAsia" w:hAnsiTheme="minorEastAsia" w:eastAsiaTheme="minorEastAsia"/>
                <w:kern w:val="0"/>
                <w:szCs w:val="21"/>
              </w:rPr>
            </w:pPr>
            <w:r>
              <w:rPr>
                <w:rFonts w:hint="eastAsia" w:asciiTheme="minorEastAsia" w:hAnsiTheme="minorEastAsia" w:eastAsiaTheme="minorEastAsia"/>
                <w:bCs/>
                <w:szCs w:val="21"/>
              </w:rPr>
              <w:t>……</w:t>
            </w:r>
          </w:p>
        </w:tc>
        <w:tc>
          <w:tcPr>
            <w:tcW w:w="3686" w:type="dxa"/>
            <w:vAlign w:val="center"/>
          </w:tcPr>
          <w:p>
            <w:pPr>
              <w:widowControl/>
              <w:adjustRightInd w:val="0"/>
              <w:snapToGrid w:val="0"/>
              <w:spacing w:line="2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widowControl/>
              <w:adjustRightInd w:val="0"/>
              <w:snapToGrid w:val="0"/>
              <w:spacing w:line="2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w:t>
            </w:r>
          </w:p>
          <w:p>
            <w:pPr>
              <w:widowControl/>
              <w:adjustRightInd w:val="0"/>
              <w:snapToGrid w:val="0"/>
              <w:spacing w:line="2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（五）机构名称、注册地址、实验室条件、法定代表人、专职技术负责人、授权签字人发生变化之日起三十日内未向原资质认可机关提出变更申请的；</w:t>
            </w:r>
          </w:p>
          <w:p>
            <w:pPr>
              <w:widowControl/>
              <w:adjustRightInd w:val="0"/>
              <w:snapToGrid w:val="0"/>
              <w:spacing w:line="240" w:lineRule="exact"/>
              <w:ind w:firstLine="420" w:firstLineChars="200"/>
              <w:rPr>
                <w:rFonts w:cs="宋体" w:asciiTheme="minorEastAsia" w:hAnsiTheme="minorEastAsia" w:eastAsiaTheme="minorEastAsia"/>
                <w:kern w:val="0"/>
                <w:szCs w:val="21"/>
              </w:rPr>
            </w:pPr>
            <w:r>
              <w:rPr>
                <w:rFonts w:hint="eastAsia" w:asciiTheme="minorEastAsia" w:hAnsiTheme="minorEastAsia" w:eastAsiaTheme="minorEastAsia"/>
                <w:bCs/>
                <w:szCs w:val="21"/>
              </w:rPr>
              <w:t>……</w:t>
            </w:r>
          </w:p>
        </w:tc>
        <w:tc>
          <w:tcPr>
            <w:tcW w:w="872" w:type="dxa"/>
            <w:vAlign w:val="center"/>
          </w:tcPr>
          <w:p>
            <w:pPr>
              <w:widowControl/>
              <w:adjustRightInd w:val="0"/>
              <w:snapToGrid w:val="0"/>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136" w:hRule="atLeast"/>
          <w:jc w:val="center"/>
        </w:trPr>
        <w:tc>
          <w:tcPr>
            <w:tcW w:w="816" w:type="dxa"/>
            <w:vAlign w:val="center"/>
          </w:tcPr>
          <w:p>
            <w:pPr>
              <w:jc w:val="center"/>
              <w:rPr>
                <w:rFonts w:asciiTheme="minorEastAsia" w:hAnsiTheme="minorEastAsia" w:eastAsiaTheme="minorEastAsia"/>
                <w:szCs w:val="21"/>
              </w:rPr>
            </w:pPr>
          </w:p>
        </w:tc>
        <w:tc>
          <w:tcPr>
            <w:tcW w:w="1277" w:type="dxa"/>
            <w:vAlign w:val="center"/>
          </w:tcPr>
          <w:p>
            <w:pPr>
              <w:widowControl/>
              <w:adjustRightInd w:val="0"/>
              <w:snapToGrid w:val="0"/>
              <w:rPr>
                <w:rFonts w:asciiTheme="minorEastAsia" w:hAnsiTheme="minorEastAsia" w:eastAsiaTheme="minorEastAsia"/>
                <w:szCs w:val="21"/>
              </w:rPr>
            </w:pPr>
          </w:p>
        </w:tc>
        <w:tc>
          <w:tcPr>
            <w:tcW w:w="1843" w:type="dxa"/>
            <w:vAlign w:val="center"/>
          </w:tcPr>
          <w:p>
            <w:pPr>
              <w:widowControl/>
              <w:adjustRightInd w:val="0"/>
              <w:snapToGrid w:val="0"/>
              <w:rPr>
                <w:rFonts w:asciiTheme="minorEastAsia" w:hAnsiTheme="minorEastAsia" w:eastAsiaTheme="minorEastAsia"/>
                <w:bCs/>
                <w:szCs w:val="21"/>
              </w:rPr>
            </w:pPr>
            <w:r>
              <w:rPr>
                <w:rFonts w:hint="eastAsia" w:asciiTheme="minorEastAsia" w:hAnsiTheme="minorEastAsia" w:eastAsiaTheme="minorEastAsia"/>
                <w:bCs/>
                <w:szCs w:val="21"/>
              </w:rPr>
              <w:t xml:space="preserve">1.8 </w:t>
            </w:r>
            <w:r>
              <w:rPr>
                <w:rFonts w:hint="eastAsia" w:cs="宋体" w:asciiTheme="minorEastAsia" w:hAnsiTheme="minorEastAsia" w:eastAsiaTheme="minorEastAsia"/>
                <w:kern w:val="0"/>
                <w:szCs w:val="21"/>
              </w:rPr>
              <w:t>资质延期</w:t>
            </w:r>
          </w:p>
        </w:tc>
        <w:tc>
          <w:tcPr>
            <w:tcW w:w="5385" w:type="dxa"/>
            <w:shd w:val="clear" w:color="auto" w:fill="auto"/>
            <w:vAlign w:val="center"/>
          </w:tcPr>
          <w:p>
            <w:pPr>
              <w:widowControl/>
              <w:adjustRightInd w:val="0"/>
              <w:snapToGrid w:val="0"/>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《安全评价检测检验机构管理办法》第十三条  安全评价检测检验机构资质证书有效期五年。资质证书有效期届满需要延续的，应当在有效期届满三个月前向原资质认可机关提出申请。原资质认可机关应当按照本办法第九条至第十一条的规定办理。</w:t>
            </w:r>
          </w:p>
        </w:tc>
        <w:tc>
          <w:tcPr>
            <w:tcW w:w="3686" w:type="dxa"/>
            <w:vAlign w:val="center"/>
          </w:tcPr>
          <w:p>
            <w:pPr>
              <w:widowControl/>
              <w:adjustRightInd w:val="0"/>
              <w:snapToGrid w:val="0"/>
              <w:spacing w:line="2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《安全评价检测检验机构管理办法》第二十九条  未取得资质的机构及其有关人员擅自从事安全评价、检测检验服务的，责令立即停止违法行为，依照下列规定给予处罚：</w:t>
            </w:r>
          </w:p>
          <w:p>
            <w:pPr>
              <w:widowControl/>
              <w:adjustRightInd w:val="0"/>
              <w:snapToGrid w:val="0"/>
              <w:spacing w:line="2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（一）机构有违法所得的，没收其违法所得，并处违法所得一倍以上三倍以下的罚款，但最高不得超过三万元；没有违法所得的，处五千元以上一万元以下的罚款；</w:t>
            </w:r>
          </w:p>
          <w:p>
            <w:pPr>
              <w:widowControl/>
              <w:adjustRightInd w:val="0"/>
              <w:snapToGrid w:val="0"/>
              <w:spacing w:line="2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（二）有关人员处五千元以上一万元以下的罚款。</w:t>
            </w:r>
          </w:p>
          <w:p>
            <w:pPr>
              <w:widowControl/>
              <w:adjustRightInd w:val="0"/>
              <w:snapToGrid w:val="0"/>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对有前款违法行为的机构及其人员，由资质认可机关记入有关机构和人员的信用记录，并依照有关规定予以公告。</w:t>
            </w:r>
          </w:p>
        </w:tc>
        <w:tc>
          <w:tcPr>
            <w:tcW w:w="872" w:type="dxa"/>
            <w:vAlign w:val="center"/>
          </w:tcPr>
          <w:p>
            <w:pPr>
              <w:widowControl/>
              <w:adjustRightInd w:val="0"/>
              <w:snapToGrid w:val="0"/>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766" w:hRule="atLeast"/>
          <w:jc w:val="center"/>
        </w:trPr>
        <w:tc>
          <w:tcPr>
            <w:tcW w:w="816" w:type="dxa"/>
            <w:vAlign w:val="center"/>
          </w:tcPr>
          <w:p>
            <w:pPr>
              <w:jc w:val="center"/>
              <w:rPr>
                <w:rFonts w:asciiTheme="minorEastAsia" w:hAnsiTheme="minorEastAsia" w:eastAsiaTheme="minorEastAsia"/>
                <w:szCs w:val="21"/>
              </w:rPr>
            </w:pPr>
          </w:p>
        </w:tc>
        <w:tc>
          <w:tcPr>
            <w:tcW w:w="1277" w:type="dxa"/>
            <w:vAlign w:val="center"/>
          </w:tcPr>
          <w:p>
            <w:pPr>
              <w:widowControl/>
              <w:adjustRightInd w:val="0"/>
              <w:snapToGrid w:val="0"/>
              <w:rPr>
                <w:rFonts w:asciiTheme="minorEastAsia" w:hAnsiTheme="minorEastAsia" w:eastAsiaTheme="minorEastAsia"/>
                <w:szCs w:val="21"/>
              </w:rPr>
            </w:pPr>
          </w:p>
        </w:tc>
        <w:tc>
          <w:tcPr>
            <w:tcW w:w="1843" w:type="dxa"/>
            <w:vAlign w:val="center"/>
          </w:tcPr>
          <w:p>
            <w:pPr>
              <w:widowControl/>
              <w:adjustRightInd w:val="0"/>
              <w:snapToGrid w:val="0"/>
              <w:rPr>
                <w:rFonts w:asciiTheme="minorEastAsia" w:hAnsiTheme="minorEastAsia" w:eastAsiaTheme="minorEastAsia"/>
                <w:bCs/>
                <w:szCs w:val="21"/>
              </w:rPr>
            </w:pPr>
            <w:r>
              <w:rPr>
                <w:rFonts w:hint="eastAsia" w:cs="宋体" w:asciiTheme="minorEastAsia" w:hAnsiTheme="minorEastAsia" w:eastAsiaTheme="minorEastAsia"/>
                <w:kern w:val="0"/>
                <w:szCs w:val="21"/>
              </w:rPr>
              <w:t>1.9 出租</w:t>
            </w:r>
            <w:r>
              <w:rPr>
                <w:rFonts w:cs="宋体" w:asciiTheme="minorEastAsia" w:hAnsiTheme="minorEastAsia" w:eastAsiaTheme="minorEastAsia"/>
                <w:kern w:val="0"/>
                <w:szCs w:val="21"/>
              </w:rPr>
              <w:t>或者出借资质证书</w:t>
            </w:r>
          </w:p>
        </w:tc>
        <w:tc>
          <w:tcPr>
            <w:tcW w:w="5385" w:type="dxa"/>
            <w:shd w:val="clear" w:color="auto" w:fill="auto"/>
            <w:vAlign w:val="center"/>
          </w:tcPr>
          <w:p>
            <w:pPr>
              <w:widowControl/>
              <w:ind w:firstLine="420" w:firstLineChars="200"/>
              <w:rPr>
                <w:rFonts w:cs="宋体" w:asciiTheme="minorEastAsia" w:hAnsiTheme="minorEastAsia" w:eastAsiaTheme="minorEastAsia"/>
                <w:kern w:val="0"/>
                <w:szCs w:val="21"/>
              </w:rPr>
            </w:pPr>
            <w:r>
              <w:rPr>
                <w:rFonts w:hint="eastAsia" w:asciiTheme="minorEastAsia" w:hAnsiTheme="minorEastAsia" w:eastAsiaTheme="minorEastAsia"/>
                <w:bCs/>
                <w:szCs w:val="21"/>
              </w:rPr>
              <w:t>《安全评价检测检验机构管理办法》</w:t>
            </w:r>
            <w:r>
              <w:rPr>
                <w:rFonts w:cs="宋体" w:asciiTheme="minorEastAsia" w:hAnsiTheme="minorEastAsia" w:eastAsiaTheme="minorEastAsia"/>
                <w:bCs/>
                <w:kern w:val="0"/>
                <w:szCs w:val="21"/>
              </w:rPr>
              <w:t>第</w:t>
            </w:r>
            <w:r>
              <w:rPr>
                <w:rFonts w:hint="eastAsia" w:cs="宋体" w:asciiTheme="minorEastAsia" w:hAnsiTheme="minorEastAsia" w:eastAsiaTheme="minorEastAsia"/>
                <w:bCs/>
                <w:kern w:val="0"/>
                <w:szCs w:val="21"/>
              </w:rPr>
              <w:t>二十二</w:t>
            </w:r>
            <w:r>
              <w:rPr>
                <w:rFonts w:cs="宋体" w:asciiTheme="minorEastAsia" w:hAnsiTheme="minorEastAsia" w:eastAsiaTheme="minorEastAsia"/>
                <w:bCs/>
                <w:kern w:val="0"/>
                <w:szCs w:val="21"/>
              </w:rPr>
              <w:t>条</w:t>
            </w:r>
            <w:r>
              <w:rPr>
                <w:rFonts w:hint="eastAsia" w:cs="宋体" w:asciiTheme="minorEastAsia" w:hAnsiTheme="minorEastAsia" w:eastAsiaTheme="minorEastAsia"/>
                <w:bCs/>
                <w:kern w:val="0"/>
                <w:szCs w:val="21"/>
              </w:rPr>
              <w:t xml:space="preserve">  </w:t>
            </w:r>
            <w:r>
              <w:rPr>
                <w:rFonts w:hint="eastAsia" w:cs="宋体" w:asciiTheme="minorEastAsia" w:hAnsiTheme="minorEastAsia" w:eastAsiaTheme="minorEastAsia"/>
                <w:kern w:val="0"/>
                <w:szCs w:val="21"/>
              </w:rPr>
              <w:t>安全评价检测检验机构及其从业人员不得有下列行为：</w:t>
            </w:r>
          </w:p>
          <w:p>
            <w:pPr>
              <w:widowControl/>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p>
            <w:pPr>
              <w:widowControl/>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（四）出租、出借安全评价检测检验资质证书的；</w:t>
            </w:r>
          </w:p>
          <w:p>
            <w:pPr>
              <w:widowControl/>
              <w:adjustRightInd w:val="0"/>
              <w:snapToGrid w:val="0"/>
              <w:ind w:firstLine="420" w:firstLineChars="200"/>
              <w:rPr>
                <w:rFonts w:asciiTheme="minorEastAsia" w:hAnsiTheme="minorEastAsia" w:eastAsiaTheme="minorEastAsia"/>
                <w:bCs/>
                <w:szCs w:val="21"/>
              </w:rPr>
            </w:pPr>
            <w:r>
              <w:rPr>
                <w:rFonts w:hint="eastAsia" w:cs="宋体" w:asciiTheme="minorEastAsia" w:hAnsiTheme="minorEastAsia" w:eastAsiaTheme="minorEastAsia"/>
                <w:kern w:val="0"/>
                <w:szCs w:val="21"/>
              </w:rPr>
              <w:t>……</w:t>
            </w:r>
          </w:p>
        </w:tc>
        <w:tc>
          <w:tcPr>
            <w:tcW w:w="3686" w:type="dxa"/>
            <w:vAlign w:val="center"/>
          </w:tcPr>
          <w:p>
            <w:pPr>
              <w:widowControl/>
              <w:adjustRightInd w:val="0"/>
              <w:snapToGrid w:val="0"/>
              <w:spacing w:line="260" w:lineRule="exact"/>
              <w:ind w:firstLine="420" w:firstLineChars="200"/>
              <w:rPr>
                <w:rFonts w:cs="宋体" w:asciiTheme="minorEastAsia" w:hAnsiTheme="minorEastAsia" w:eastAsiaTheme="minorEastAsia"/>
                <w:kern w:val="0"/>
                <w:szCs w:val="21"/>
              </w:rPr>
            </w:pPr>
            <w:r>
              <w:rPr>
                <w:rFonts w:hint="eastAsia" w:asciiTheme="minorEastAsia" w:hAnsiTheme="minorEastAsia" w:eastAsiaTheme="minorEastAsia"/>
                <w:bCs/>
                <w:szCs w:val="21"/>
              </w:rPr>
              <w:t>《安全评价检测检验机构管理办法》</w:t>
            </w:r>
            <w:r>
              <w:rPr>
                <w:rFonts w:hint="eastAsia" w:cs="宋体" w:asciiTheme="minorEastAsia" w:hAnsiTheme="minorEastAsia" w:eastAsiaTheme="minorEastAsia"/>
                <w:kern w:val="0"/>
                <w:szCs w:val="21"/>
              </w:rPr>
              <w:t>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widowControl/>
              <w:adjustRightInd w:val="0"/>
              <w:snapToGrid w:val="0"/>
              <w:spacing w:line="26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p>
            <w:pPr>
              <w:widowControl/>
              <w:adjustRightInd w:val="0"/>
              <w:snapToGrid w:val="0"/>
              <w:spacing w:line="26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（七）出租、出借安全评价检测检验资质证书的；</w:t>
            </w:r>
          </w:p>
          <w:p>
            <w:pPr>
              <w:widowControl/>
              <w:adjustRightInd w:val="0"/>
              <w:snapToGrid w:val="0"/>
              <w:ind w:firstLine="420" w:firstLineChars="200"/>
              <w:rPr>
                <w:rFonts w:asciiTheme="minorEastAsia" w:hAnsiTheme="minorEastAsia" w:eastAsiaTheme="minorEastAsia"/>
                <w:bCs/>
                <w:szCs w:val="21"/>
              </w:rPr>
            </w:pPr>
            <w:r>
              <w:rPr>
                <w:rFonts w:hint="eastAsia" w:cs="宋体" w:asciiTheme="minorEastAsia" w:hAnsiTheme="minorEastAsia" w:eastAsiaTheme="minorEastAsia"/>
                <w:kern w:val="0"/>
                <w:szCs w:val="21"/>
              </w:rPr>
              <w:t>……</w:t>
            </w:r>
          </w:p>
        </w:tc>
        <w:tc>
          <w:tcPr>
            <w:tcW w:w="872" w:type="dxa"/>
            <w:vAlign w:val="center"/>
          </w:tcPr>
          <w:p>
            <w:pPr>
              <w:widowControl/>
              <w:adjustRightInd w:val="0"/>
              <w:snapToGrid w:val="0"/>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7831" w:hRule="atLeast"/>
          <w:jc w:val="center"/>
        </w:trPr>
        <w:tc>
          <w:tcPr>
            <w:tcW w:w="816" w:type="dxa"/>
            <w:vAlign w:val="center"/>
          </w:tcPr>
          <w:p>
            <w:pPr>
              <w:jc w:val="center"/>
              <w:rPr>
                <w:rFonts w:asciiTheme="minorEastAsia" w:hAnsiTheme="minorEastAsia" w:eastAsiaTheme="minorEastAsia"/>
                <w:szCs w:val="21"/>
              </w:rPr>
            </w:pPr>
          </w:p>
        </w:tc>
        <w:tc>
          <w:tcPr>
            <w:tcW w:w="1277" w:type="dxa"/>
            <w:vAlign w:val="center"/>
          </w:tcPr>
          <w:p>
            <w:pPr>
              <w:widowControl/>
              <w:adjustRightInd w:val="0"/>
              <w:snapToGrid w:val="0"/>
              <w:rPr>
                <w:rFonts w:asciiTheme="minorEastAsia" w:hAnsiTheme="minorEastAsia" w:eastAsiaTheme="minorEastAsia"/>
                <w:szCs w:val="21"/>
              </w:rPr>
            </w:pPr>
          </w:p>
        </w:tc>
        <w:tc>
          <w:tcPr>
            <w:tcW w:w="1843" w:type="dxa"/>
            <w:vAlign w:val="center"/>
          </w:tcPr>
          <w:p>
            <w:pPr>
              <w:widowControl/>
              <w:adjustRightInd w:val="0"/>
              <w:snapToGrid w:val="0"/>
              <w:rPr>
                <w:rFonts w:asciiTheme="minorEastAsia" w:hAnsiTheme="minorEastAsia" w:eastAsiaTheme="minorEastAsia"/>
                <w:bCs/>
                <w:szCs w:val="21"/>
              </w:rPr>
            </w:pPr>
            <w:r>
              <w:rPr>
                <w:rFonts w:hint="eastAsia" w:asciiTheme="minorEastAsia" w:hAnsiTheme="minorEastAsia" w:eastAsiaTheme="minorEastAsia"/>
                <w:szCs w:val="21"/>
              </w:rPr>
              <w:t xml:space="preserve">1.10 </w:t>
            </w:r>
            <w:r>
              <w:rPr>
                <w:rFonts w:hint="eastAsia" w:asciiTheme="minorEastAsia" w:hAnsiTheme="minorEastAsia" w:eastAsiaTheme="minorEastAsia"/>
                <w:bCs/>
                <w:szCs w:val="21"/>
              </w:rPr>
              <w:t>安全评价检测检验技术服务行为</w:t>
            </w:r>
          </w:p>
        </w:tc>
        <w:tc>
          <w:tcPr>
            <w:tcW w:w="5385" w:type="dxa"/>
            <w:shd w:val="clear" w:color="auto" w:fill="auto"/>
            <w:vAlign w:val="center"/>
          </w:tcPr>
          <w:p>
            <w:pPr>
              <w:adjustRightInd w:val="0"/>
              <w:snapToGrid w:val="0"/>
              <w:spacing w:line="24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《安全评价检测检验机构管理办法》第十六条  生产经营单位委托安全评价检测检验机构开展技术服务时，应当签订委托技术服务合同，明确服务对象、范围、权利、义务和责任。</w:t>
            </w:r>
          </w:p>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第十八条  ……</w:t>
            </w:r>
          </w:p>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安全评价检测检验机构应当按照有关规定在网上公开安全评价报告、安全生产检测检验报告相关信息及现场勘验图像影像。</w:t>
            </w:r>
          </w:p>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第十九条  安全评价检测检验机构应当在开展现场技术服务前七个工作日内，书面告知（附件4）项目实施地资质认可机关，接受资质认可机关及其下级部门的监督抽查。</w:t>
            </w:r>
          </w:p>
          <w:p>
            <w:pPr>
              <w:adjustRightInd w:val="0"/>
              <w:snapToGrid w:val="0"/>
              <w:spacing w:line="24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第二十二条  安全评价检测检验机构及其从业人员不得有下列行为：</w:t>
            </w:r>
          </w:p>
          <w:p>
            <w:pPr>
              <w:spacing w:line="24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（一）违反法规标准的规定开展安全评价、检测检验的；</w:t>
            </w:r>
          </w:p>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p>
            <w:pPr>
              <w:spacing w:line="24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（六）违反有关法规标准规定，更改或者简化安全评价、检测检验程序和相关内容的；</w:t>
            </w:r>
          </w:p>
          <w:p>
            <w:pPr>
              <w:spacing w:line="24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（七）专职安全评价师、专业技术人员同时在两个以上安全评价检测检验机构从业的；</w:t>
            </w:r>
          </w:p>
          <w:p>
            <w:pPr>
              <w:spacing w:line="24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（八）安全评价项目组组长及负责勘验人员不到现场实际地点开展勘验等有关工作的；</w:t>
            </w:r>
          </w:p>
          <w:p>
            <w:pPr>
              <w:spacing w:line="24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（九）</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承担现场检测检验的人员不到现场实际地点开展设备检测检验等有关工作的；</w:t>
            </w:r>
          </w:p>
          <w:p>
            <w:pPr>
              <w:widowControl/>
              <w:adjustRightInd w:val="0"/>
              <w:snapToGrid w:val="0"/>
              <w:ind w:firstLine="420" w:firstLineChars="200"/>
              <w:rPr>
                <w:rFonts w:asciiTheme="minorEastAsia" w:hAnsiTheme="minorEastAsia" w:eastAsiaTheme="minorEastAsia"/>
                <w:bCs/>
                <w:szCs w:val="21"/>
              </w:rPr>
            </w:pPr>
            <w:r>
              <w:rPr>
                <w:rFonts w:hint="eastAsia" w:cs="宋体" w:asciiTheme="minorEastAsia" w:hAnsiTheme="minorEastAsia" w:eastAsiaTheme="minorEastAsia"/>
                <w:kern w:val="0"/>
                <w:szCs w:val="21"/>
              </w:rPr>
              <w:t>……</w:t>
            </w:r>
          </w:p>
        </w:tc>
        <w:tc>
          <w:tcPr>
            <w:tcW w:w="3686" w:type="dxa"/>
            <w:vAlign w:val="center"/>
          </w:tcPr>
          <w:p>
            <w:pPr>
              <w:widowControl/>
              <w:adjustRightInd w:val="0"/>
              <w:snapToGrid w:val="0"/>
              <w:spacing w:line="24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widowControl/>
              <w:adjustRightInd w:val="0"/>
              <w:snapToGrid w:val="0"/>
              <w:spacing w:line="24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（一）未依法与委托方签订技术服务合同的；</w:t>
            </w:r>
          </w:p>
          <w:p>
            <w:pPr>
              <w:widowControl/>
              <w:adjustRightInd w:val="0"/>
              <w:snapToGrid w:val="0"/>
              <w:spacing w:line="24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（二）违反法规标准规定更改或者简化安全评价、检测检验程序和相关内容的；</w:t>
            </w:r>
          </w:p>
          <w:p>
            <w:pPr>
              <w:widowControl/>
              <w:adjustRightInd w:val="0"/>
              <w:snapToGrid w:val="0"/>
              <w:spacing w:line="24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（三）未按规定公开安全评价报告、安全生产检测检验报告相关信息及现场勘验图像影像资料的；</w:t>
            </w:r>
          </w:p>
          <w:p>
            <w:pPr>
              <w:widowControl/>
              <w:adjustRightInd w:val="0"/>
              <w:snapToGrid w:val="0"/>
              <w:spacing w:line="24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（四）未在开展现场技术服务前七个工作日内，书面告知项目实施地资质认可机关的；</w:t>
            </w:r>
          </w:p>
          <w:p>
            <w:pPr>
              <w:widowControl/>
              <w:adjustRightInd w:val="0"/>
              <w:snapToGrid w:val="0"/>
              <w:spacing w:line="24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p>
            <w:pPr>
              <w:widowControl/>
              <w:adjustRightInd w:val="0"/>
              <w:snapToGrid w:val="0"/>
              <w:spacing w:line="24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（六）未按照有关法规标准的强制性规定从事安全评价、检测检验活动的；</w:t>
            </w:r>
          </w:p>
          <w:p>
            <w:pPr>
              <w:widowControl/>
              <w:adjustRightInd w:val="0"/>
              <w:snapToGrid w:val="0"/>
              <w:spacing w:line="24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p>
            <w:pPr>
              <w:widowControl/>
              <w:adjustRightInd w:val="0"/>
              <w:snapToGrid w:val="0"/>
              <w:spacing w:line="24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（八）安全评价项目组组长及负责勘验人员不到现场实际地点开展勘验等有关工作的；</w:t>
            </w:r>
          </w:p>
          <w:p>
            <w:pPr>
              <w:widowControl/>
              <w:adjustRightInd w:val="0"/>
              <w:snapToGrid w:val="0"/>
              <w:spacing w:line="24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（九）承担现场检测检验的人员不到现场实际地点开展设备检测检验等有关工作的；</w:t>
            </w:r>
          </w:p>
          <w:p>
            <w:pPr>
              <w:widowControl/>
              <w:adjustRightInd w:val="0"/>
              <w:snapToGrid w:val="0"/>
              <w:ind w:firstLine="420" w:firstLineChars="200"/>
              <w:rPr>
                <w:rFonts w:asciiTheme="minorEastAsia" w:hAnsiTheme="minorEastAsia" w:eastAsiaTheme="minorEastAsia"/>
                <w:bCs/>
                <w:szCs w:val="21"/>
              </w:rPr>
            </w:pPr>
            <w:r>
              <w:rPr>
                <w:rFonts w:hint="eastAsia" w:cs="宋体" w:asciiTheme="minorEastAsia" w:hAnsiTheme="minorEastAsia" w:eastAsiaTheme="minorEastAsia"/>
                <w:kern w:val="0"/>
                <w:szCs w:val="21"/>
              </w:rPr>
              <w:t>……</w:t>
            </w:r>
          </w:p>
        </w:tc>
        <w:tc>
          <w:tcPr>
            <w:tcW w:w="872" w:type="dxa"/>
            <w:vAlign w:val="center"/>
          </w:tcPr>
          <w:p>
            <w:pPr>
              <w:widowControl/>
              <w:adjustRightInd w:val="0"/>
              <w:snapToGrid w:val="0"/>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396" w:hRule="atLeast"/>
          <w:jc w:val="center"/>
        </w:trPr>
        <w:tc>
          <w:tcPr>
            <w:tcW w:w="816" w:type="dxa"/>
            <w:vAlign w:val="center"/>
          </w:tcPr>
          <w:p>
            <w:pPr>
              <w:jc w:val="center"/>
              <w:rPr>
                <w:rFonts w:asciiTheme="minorEastAsia" w:hAnsiTheme="minorEastAsia" w:eastAsiaTheme="minorEastAsia"/>
                <w:szCs w:val="21"/>
              </w:rPr>
            </w:pPr>
          </w:p>
        </w:tc>
        <w:tc>
          <w:tcPr>
            <w:tcW w:w="1277" w:type="dxa"/>
            <w:vAlign w:val="center"/>
          </w:tcPr>
          <w:p>
            <w:pPr>
              <w:widowControl/>
              <w:adjustRightInd w:val="0"/>
              <w:snapToGrid w:val="0"/>
              <w:rPr>
                <w:rFonts w:asciiTheme="minorEastAsia" w:hAnsiTheme="minorEastAsia" w:eastAsiaTheme="minorEastAsia"/>
                <w:szCs w:val="21"/>
              </w:rPr>
            </w:pPr>
          </w:p>
        </w:tc>
        <w:tc>
          <w:tcPr>
            <w:tcW w:w="1843" w:type="dxa"/>
            <w:vAlign w:val="center"/>
          </w:tcPr>
          <w:p>
            <w:pPr>
              <w:widowControl/>
              <w:adjustRightInd w:val="0"/>
              <w:snapToGrid w:val="0"/>
              <w:rPr>
                <w:rFonts w:asciiTheme="minorEastAsia" w:hAnsiTheme="minorEastAsia" w:eastAsiaTheme="minorEastAsia"/>
                <w:szCs w:val="21"/>
              </w:rPr>
            </w:pPr>
            <w:r>
              <w:rPr>
                <w:rFonts w:hint="eastAsia" w:asciiTheme="minorEastAsia" w:hAnsiTheme="minorEastAsia" w:eastAsiaTheme="minorEastAsia"/>
                <w:bCs/>
                <w:szCs w:val="21"/>
              </w:rPr>
              <w:t xml:space="preserve">1.11 </w:t>
            </w:r>
            <w:r>
              <w:rPr>
                <w:rFonts w:hint="eastAsia" w:cs="宋体" w:asciiTheme="minorEastAsia" w:hAnsiTheme="minorEastAsia" w:eastAsiaTheme="minorEastAsia"/>
                <w:kern w:val="0"/>
                <w:szCs w:val="21"/>
              </w:rPr>
              <w:t>出具虚假或者重大疏漏的安全评价、检测检验报告</w:t>
            </w:r>
          </w:p>
        </w:tc>
        <w:tc>
          <w:tcPr>
            <w:tcW w:w="5385" w:type="dxa"/>
            <w:shd w:val="clear" w:color="auto" w:fill="auto"/>
            <w:vAlign w:val="center"/>
          </w:tcPr>
          <w:p>
            <w:pPr>
              <w:adjustRightInd w:val="0"/>
              <w:snapToGrid w:val="0"/>
              <w:spacing w:line="240" w:lineRule="exact"/>
              <w:ind w:firstLine="420" w:firstLineChars="200"/>
              <w:rPr>
                <w:rFonts w:cs="宋体" w:asciiTheme="minorEastAsia" w:hAnsiTheme="minorEastAsia" w:eastAsiaTheme="minorEastAsia"/>
                <w:kern w:val="0"/>
                <w:szCs w:val="21"/>
              </w:rPr>
            </w:pPr>
            <w:r>
              <w:rPr>
                <w:rFonts w:hint="eastAsia" w:asciiTheme="minorEastAsia" w:hAnsiTheme="minorEastAsia" w:eastAsiaTheme="minorEastAsia"/>
                <w:bCs/>
                <w:szCs w:val="21"/>
              </w:rPr>
              <w:t>《安全评价检测检验机构管理办法》</w:t>
            </w:r>
            <w:r>
              <w:rPr>
                <w:rFonts w:hint="eastAsia" w:cs="宋体" w:asciiTheme="minorEastAsia" w:hAnsiTheme="minorEastAsia" w:eastAsiaTheme="minorEastAsia"/>
                <w:kern w:val="0"/>
                <w:szCs w:val="21"/>
              </w:rPr>
              <w:t>第二十二条  安全评价检测检验机构及其从业人员不得有下列行为：</w:t>
            </w:r>
          </w:p>
          <w:p>
            <w:pPr>
              <w:widowControl/>
              <w:adjustRightInd w:val="0"/>
              <w:snapToGrid w:val="0"/>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p>
            <w:pPr>
              <w:spacing w:line="24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（五）出具虚假或者重大疏漏的安全评价、检测检验报告的；</w:t>
            </w:r>
          </w:p>
          <w:p>
            <w:pPr>
              <w:adjustRightInd w:val="0"/>
              <w:snapToGrid w:val="0"/>
              <w:spacing w:line="24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3686" w:type="dxa"/>
            <w:vAlign w:val="center"/>
          </w:tcPr>
          <w:p>
            <w:pPr>
              <w:widowControl/>
              <w:adjustRightInd w:val="0"/>
              <w:snapToGrid w:val="0"/>
              <w:spacing w:line="24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widowControl/>
              <w:adjustRightInd w:val="0"/>
              <w:snapToGrid w:val="0"/>
              <w:spacing w:line="24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p>
            <w:pPr>
              <w:widowControl/>
              <w:adjustRightInd w:val="0"/>
              <w:snapToGrid w:val="0"/>
              <w:spacing w:line="24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（十）安全评价报告存在法规标准引用错误、关键危险有害因素漏项、重大危险源辨识错误、对策措施建议与存在问题严重不符等重大疏漏，但尚未造成重大损失的；</w:t>
            </w:r>
          </w:p>
          <w:p>
            <w:pPr>
              <w:widowControl/>
              <w:adjustRightInd w:val="0"/>
              <w:snapToGrid w:val="0"/>
              <w:spacing w:line="24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（十一）安全生产检测检验报告存在法规标准引用错误、关键项目漏检、结论不明确等重大疏漏，但尚未造成重大损失的。</w:t>
            </w:r>
          </w:p>
          <w:p>
            <w:pPr>
              <w:widowControl/>
              <w:adjustRightInd w:val="0"/>
              <w:snapToGrid w:val="0"/>
              <w:spacing w:line="24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第三十一条  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pPr>
              <w:widowControl/>
              <w:adjustRightInd w:val="0"/>
              <w:snapToGrid w:val="0"/>
              <w:spacing w:line="24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bCs/>
                <w:kern w:val="0"/>
                <w:szCs w:val="21"/>
              </w:rPr>
              <w:t>对有前款违法行为的机构，由资质认可机关吊销其相应资质，向社会公告，按照国家有关规定对相关机构及其责任人员实行行业禁入，纳入不良记录“黑名单”管理，以及安全评价检测检验机构信息查询系统。</w:t>
            </w:r>
          </w:p>
        </w:tc>
        <w:tc>
          <w:tcPr>
            <w:tcW w:w="872" w:type="dxa"/>
            <w:vAlign w:val="center"/>
          </w:tcPr>
          <w:p>
            <w:pPr>
              <w:widowControl/>
              <w:adjustRightInd w:val="0"/>
              <w:snapToGrid w:val="0"/>
              <w:rPr>
                <w:rFonts w:cs="宋体" w:asciiTheme="minorEastAsia" w:hAnsiTheme="minorEastAsia" w:eastAsiaTheme="minorEastAsia"/>
                <w:kern w:val="0"/>
                <w:szCs w:val="21"/>
              </w:rPr>
            </w:pPr>
          </w:p>
        </w:tc>
      </w:tr>
    </w:tbl>
    <w:p>
      <w:pPr>
        <w:pStyle w:val="4"/>
        <w:keepNext w:val="0"/>
        <w:keepLines w:val="0"/>
        <w:pageBreakBefore/>
        <w:spacing w:line="240" w:lineRule="auto"/>
        <w:rPr>
          <w:rFonts w:ascii="黑体" w:hAnsi="黑体" w:eastAsia="黑体"/>
          <w:b w:val="0"/>
        </w:rPr>
      </w:pPr>
      <w:r>
        <w:rPr>
          <w:rFonts w:hint="eastAsia" w:ascii="黑体" w:hAnsi="黑体" w:eastAsia="黑体"/>
          <w:b w:val="0"/>
        </w:rPr>
        <w:t>表7 重大生产安全事故隐患检查</w:t>
      </w:r>
    </w:p>
    <w:p>
      <w:pPr>
        <w:pStyle w:val="4"/>
        <w:spacing w:line="240" w:lineRule="auto"/>
        <w:rPr>
          <w:rFonts w:ascii="黑体" w:hAnsi="黑体" w:eastAsia="黑体"/>
          <w:b w:val="0"/>
        </w:rPr>
      </w:pPr>
      <w:r>
        <w:rPr>
          <w:rFonts w:hint="eastAsia" w:ascii="黑体" w:hAnsi="黑体" w:eastAsia="黑体"/>
          <w:b w:val="0"/>
        </w:rPr>
        <w:t>表7-1  金属非金属矿山重大生产安全事故隐患</w:t>
      </w:r>
    </w:p>
    <w:tbl>
      <w:tblPr>
        <w:tblStyle w:val="19"/>
        <w:tblW w:w="13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862"/>
        <w:gridCol w:w="1777"/>
        <w:gridCol w:w="1863"/>
        <w:gridCol w:w="5110"/>
        <w:gridCol w:w="3448"/>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tblHeader/>
          <w:jc w:val="center"/>
        </w:trPr>
        <w:tc>
          <w:tcPr>
            <w:tcW w:w="862"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序号</w:t>
            </w:r>
          </w:p>
        </w:tc>
        <w:tc>
          <w:tcPr>
            <w:tcW w:w="1777"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检查事项</w:t>
            </w:r>
          </w:p>
        </w:tc>
        <w:tc>
          <w:tcPr>
            <w:tcW w:w="1863"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检查内容</w:t>
            </w:r>
          </w:p>
        </w:tc>
        <w:tc>
          <w:tcPr>
            <w:tcW w:w="5110"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检查依据指引</w:t>
            </w:r>
          </w:p>
        </w:tc>
        <w:tc>
          <w:tcPr>
            <w:tcW w:w="3448"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法律责任指引</w:t>
            </w:r>
          </w:p>
        </w:tc>
        <w:tc>
          <w:tcPr>
            <w:tcW w:w="819"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restart"/>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1</w:t>
            </w:r>
          </w:p>
        </w:tc>
        <w:tc>
          <w:tcPr>
            <w:tcW w:w="1777" w:type="dxa"/>
            <w:vMerge w:val="restart"/>
            <w:vAlign w:val="center"/>
          </w:tcPr>
          <w:p>
            <w:pPr>
              <w:widowControl/>
              <w:adjustRightInd w:val="0"/>
              <w:snapToGrid w:val="0"/>
              <w:rPr>
                <w:rFonts w:ascii="宋体" w:hAnsi="宋体" w:cs="宋体"/>
                <w:bCs/>
                <w:kern w:val="0"/>
                <w:szCs w:val="21"/>
              </w:rPr>
            </w:pPr>
            <w:r>
              <w:rPr>
                <w:rFonts w:hint="eastAsia" w:ascii="宋体" w:hAnsi="宋体" w:cs="宋体"/>
                <w:bCs/>
                <w:szCs w:val="21"/>
              </w:rPr>
              <w:t>金属非金属地下矿山重大生产安全事故隐患情况</w:t>
            </w: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szCs w:val="21"/>
              </w:rPr>
              <w:t>1.1 安全出口应符合国家标准、行业标准或设计要求</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一、金属非金属地下矿山重大生产安全事故隐患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（一）安全出口不符合国家标准、行业标准或设计要求</w:t>
            </w:r>
            <w:r>
              <w:rPr>
                <w:rFonts w:hint="eastAsia" w:ascii="宋体" w:hAnsi="宋体" w:cs="宋体"/>
                <w:kern w:val="0"/>
                <w:szCs w:val="21"/>
                <w:lang w:eastAsia="zh-CN"/>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《金属非金属矿山安全规程》</w:t>
            </w:r>
            <w:r>
              <w:rPr>
                <w:rFonts w:hint="eastAsia" w:ascii="宋体" w:hAnsi="宋体" w:cs="宋体"/>
                <w:kern w:val="0"/>
                <w:szCs w:val="21"/>
                <w:highlight w:val="none"/>
              </w:rPr>
              <w:t>（GB 16423-2006</w:t>
            </w: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6.1.1.3每个矿井至少应有两个独立的直达地面的安全出口，安全出口的间距应不小于30m。</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大型矿井，矿床地质条件复杂，走向长度一翼超过1000m的，应在矿体端部的下盘增设安全出口。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每个生产水平(中段)，均应至少有两个便于行人的安全出口，并应同通往地面的安全出口相通。</w:t>
            </w:r>
          </w:p>
          <w:p>
            <w:pPr>
              <w:widowControl/>
              <w:adjustRightInd w:val="0"/>
              <w:snapToGrid w:val="0"/>
              <w:ind w:firstLine="420" w:firstLineChars="200"/>
              <w:rPr>
                <w:rFonts w:hint="eastAsia" w:ascii="宋体" w:hAnsi="宋体" w:eastAsia="宋体" w:cs="宋体"/>
                <w:kern w:val="0"/>
                <w:szCs w:val="21"/>
                <w:lang w:eastAsia="zh-CN"/>
              </w:rPr>
            </w:pPr>
            <w:r>
              <w:rPr>
                <w:rFonts w:hint="eastAsia" w:ascii="宋体" w:hAnsi="宋体" w:cs="宋体"/>
                <w:kern w:val="0"/>
                <w:szCs w:val="21"/>
              </w:rPr>
              <w:t>井巷的分道口应有路标，注明其所在地点及通往地面出口的方向。所有井下作业人员，均应熟悉安全出口。</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1.2 使用的设备、材料和工艺应符合国家规定</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《安全生产法》第三十五条  国家对严重危及生产安全的工艺、设备实行淘汰制度，具体目录由国务院安全生产监督管理部门会同国务院有关部门制定并公布。法律、行政法规对目录的制定另有规定的，适用其规定。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生产经营单位不得使用应当淘汰的危及生产安全的工艺、设备。</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一、金属非金属地下矿山重大生产安全事故隐患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（二）使用国家明令禁止使用的设备、材料和工艺</w:t>
            </w:r>
          </w:p>
        </w:tc>
        <w:tc>
          <w:tcPr>
            <w:tcW w:w="3448" w:type="dxa"/>
            <w:vAlign w:val="center"/>
          </w:tcPr>
          <w:p>
            <w:pPr>
              <w:widowControl/>
              <w:adjustRightInd w:val="0"/>
              <w:snapToGrid w:val="0"/>
              <w:ind w:firstLine="420" w:firstLineChars="200"/>
            </w:pPr>
            <w:r>
              <w:rPr>
                <w:rFonts w:hint="eastAsia"/>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pPr>
            <w:r>
              <w:rPr>
                <w:rFonts w:hint="eastAsia"/>
              </w:rPr>
              <w:t>……</w:t>
            </w:r>
          </w:p>
          <w:p>
            <w:pPr>
              <w:widowControl/>
              <w:adjustRightInd w:val="0"/>
              <w:snapToGrid w:val="0"/>
              <w:ind w:firstLine="420" w:firstLineChars="200"/>
            </w:pPr>
            <w:r>
              <w:rPr>
                <w:rFonts w:hint="eastAsia"/>
              </w:rPr>
              <w:t>（六）使用应当淘汰的危及生产安全的工艺、设备的；</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1.3 相邻矿山井巷应相互贯通</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一、金属非金属地下矿山重大生产安全事故隐患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（三）相邻矿山井巷互联互通。</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1.4 及时填绘图，现状图与实际应当相符</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一、金属非金属地下矿山重大生产安全事故隐患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（四）没有及时填绘图，现状图与实际严重不符。</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1.5 露天转地下开采，地表与井下形成贯通，应按照设计要求采取相应措施</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一、金属非金属地下矿山重大生产安全事故隐患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（五）露天转地下开采，地表与井下形成贯通，未按照设计要求采取相应措施。</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1.6 地表水系穿过矿区，应按照设计要求采取防治水措施</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一、金属非金属地下矿山重大生产安全事故隐患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（六）地表水系穿过矿区，未按照设计要求采取防治水措施。</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《金属非金属矿山安全规程》</w:t>
            </w:r>
            <w:r>
              <w:rPr>
                <w:rFonts w:hint="eastAsia" w:ascii="宋体" w:hAnsi="宋体" w:cs="宋体"/>
                <w:kern w:val="0"/>
                <w:szCs w:val="21"/>
                <w:highlight w:val="none"/>
              </w:rPr>
              <w:t>（GB 16423-2006）</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6.6.2.5  矿区及其附近的积水或雨水有可能侵入井下时，应根据具体情况，采取下列措施：</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 容易积水的地点，应修筑泄水沟；泄水沟应避开矿层露头、裂缝和透水岩层；不能修筑沟渠时，可用泥土填平压实；范围太大无法填平时，可安装水泵排水；</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 矿区受河流、洪水威胁时，应修筑防水堤坝；河流穿过矿区的，应采用留保安矿柱或充填法采矿的方法保护河床不塌陷，或将河流改道至开采影响范围以外；</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 漏水的沟渠和河流，应及时防水、堵水或改道；</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 排到地面的井下水及地表集中排水，应引出矿区；</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 雨季应设专人检查矿区防洪情况；</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 地面塌陷、裂缝区的周围，应设截水沟或挡水围堤；</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 不应往塌陷区引水；</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 有用的钻孔，应妥善封盖。报废的竖井、斜井、探矿井、钻孔和平硐等，应封闭，并在周围挖掘排水沟，防止地表水进入地下采区；</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 影响矿区安全的落水洞、岩溶漏斗、溶洞等，均应严密封闭。</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1.7 排水系统应与设计要求相符</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一、金属非金属地下矿山重大生产安全事故隐患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（七）排水系统与设计要求不符，导致排水能力降低。</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1.8 井口标高在当地历史最高洪水位1米以下，应采取相应防护措施</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一、金属非金属地下矿山重大生产安全事故隐患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（八）井口标高在当地历史最高洪水位1米以下，未采取相应防护措施。</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《金属非金属矿山安全规程》</w:t>
            </w:r>
            <w:r>
              <w:rPr>
                <w:rFonts w:hint="eastAsia" w:ascii="宋体" w:hAnsi="宋体" w:cs="宋体"/>
                <w:kern w:val="0"/>
                <w:szCs w:val="21"/>
                <w:highlight w:val="none"/>
              </w:rPr>
              <w:t>（GB 16423-2006）</w:t>
            </w:r>
            <w:r>
              <w:rPr>
                <w:rFonts w:hint="eastAsia" w:ascii="宋体" w:hAnsi="宋体" w:cs="宋体"/>
                <w:kern w:val="0"/>
                <w:szCs w:val="21"/>
              </w:rPr>
              <w:t xml:space="preserve">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6.6.2.3矿井(竖井、斜井、平硐等)井口的标高，应高于当地历史最高洪水位1m以上。工业场地的地面标高，应高于当地历史最高洪水位。特殊情况下达不到要求的，应以历史最高洪水位为防护标准修筑防洪堤，井口应筑人工岛，使井口高于最高洪水位1m以上。</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1.9 水文地质类型为中等及复杂的矿井应设立专门防治水机构、配备探放水作业队伍，配齐专用探放水设备</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一、金属非金属地下矿山重大生产安全事故隐患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（九）水文地质类型为中等及复杂的矿井没有设立专门防治水机构、配备探放水作业队伍或配齐专用探放水设备。</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《金属非金属矿山安全规程》</w:t>
            </w:r>
            <w:r>
              <w:rPr>
                <w:rFonts w:hint="eastAsia" w:ascii="宋体" w:hAnsi="宋体" w:cs="宋体"/>
                <w:kern w:val="0"/>
                <w:szCs w:val="21"/>
                <w:highlight w:val="none"/>
              </w:rPr>
              <w:t>（GB 16423-2006）</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6.6.3.4  对接近水体的地带或可能与水体有联系的地段，应坚持“有疑必探，先探后掘"的原则，编制探水设计。探水孔的位置、方向、数目、孔径、每次钻进的深度和超前距离，应根据水头高低、岩石结构与硬度等条件在设计中规定。</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1.10 水文地质类型复杂的矿山关键巷道防水门设置应与设计要求相符</w:t>
            </w:r>
          </w:p>
        </w:tc>
        <w:tc>
          <w:tcPr>
            <w:tcW w:w="5110" w:type="dxa"/>
            <w:vAlign w:val="center"/>
          </w:tcPr>
          <w:p>
            <w:pPr>
              <w:pStyle w:val="2"/>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《安全生产法》第三十三条  安全设备的设计、制造、安装、使用、检测、维修、改造和报废，应当符合国家标准或者行业标准。</w:t>
            </w:r>
          </w:p>
          <w:p>
            <w:pPr>
              <w:pStyle w:val="2"/>
              <w:rPr>
                <w:rFonts w:hint="eastAsia"/>
                <w:lang w:val="en-US" w:eastAsia="zh-CN"/>
              </w:rPr>
            </w:pPr>
            <w:r>
              <w:rPr>
                <w:rFonts w:hint="eastAsia" w:ascii="宋体" w:hAnsi="宋体" w:eastAsia="宋体" w:cs="宋体"/>
                <w:kern w:val="0"/>
                <w:sz w:val="21"/>
                <w:szCs w:val="21"/>
                <w:lang w:val="en-US" w:eastAsia="zh-CN" w:bidi="ar-SA"/>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一、金属非金属地下矿山重大生产安全事故隐患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（十）水文地质类型复杂的矿山关键巷道防水门设置与设计要求不符。</w:t>
            </w:r>
          </w:p>
        </w:tc>
        <w:tc>
          <w:tcPr>
            <w:tcW w:w="3448" w:type="dxa"/>
            <w:vAlign w:val="center"/>
          </w:tcPr>
          <w:p>
            <w:pPr>
              <w:widowControl/>
              <w:adjustRightInd w:val="0"/>
              <w:snapToGrid w:val="0"/>
              <w:ind w:firstLine="420" w:firstLineChars="200"/>
              <w:rPr>
                <w:rFonts w:hint="eastAsia"/>
              </w:rPr>
            </w:pPr>
            <w:r>
              <w:rPr>
                <w:rFonts w:hint="eastAsia"/>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rPr>
                <w:rFonts w:hint="eastAsia"/>
              </w:rPr>
            </w:pPr>
            <w:r>
              <w:rPr>
                <w:rFonts w:hint="eastAsia"/>
              </w:rPr>
              <w:t>……</w:t>
            </w:r>
          </w:p>
          <w:p>
            <w:pPr>
              <w:widowControl/>
              <w:adjustRightInd w:val="0"/>
              <w:snapToGrid w:val="0"/>
              <w:ind w:firstLine="420" w:firstLineChars="200"/>
              <w:rPr>
                <w:rFonts w:hint="eastAsia"/>
              </w:rPr>
            </w:pPr>
            <w:r>
              <w:rPr>
                <w:rFonts w:hint="eastAsia"/>
              </w:rPr>
              <w:t>（二）安全设备的安装、使用、检测、改造和报废不符合国家标准或者行业标准的；</w:t>
            </w:r>
          </w:p>
          <w:p>
            <w:pPr>
              <w:widowControl/>
              <w:adjustRightInd w:val="0"/>
              <w:snapToGrid w:val="0"/>
              <w:ind w:firstLine="420" w:firstLineChars="200"/>
            </w:pPr>
            <w:r>
              <w:rPr>
                <w:rFonts w:hint="eastAsia"/>
              </w:rPr>
              <w:t>……</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76"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1.11 有自燃发火危险的矿山，应按照国家标准、行业标准或设计采取防火措施</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一、金属非金属地下矿山重大生产安全事故隐患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（十一）有自燃发火危险的矿山，未按照国家标准、行业标准或设计采取防火措施。</w:t>
            </w:r>
          </w:p>
          <w:p>
            <w:pPr>
              <w:widowControl/>
              <w:adjustRightInd w:val="0"/>
              <w:snapToGrid w:val="0"/>
              <w:ind w:firstLine="420" w:firstLineChars="200"/>
              <w:rPr>
                <w:rFonts w:ascii="宋体" w:hAnsi="宋体" w:cs="宋体"/>
                <w:kern w:val="0"/>
                <w:szCs w:val="21"/>
                <w:highlight w:val="none"/>
              </w:rPr>
            </w:pPr>
            <w:r>
              <w:rPr>
                <w:rFonts w:hint="eastAsia" w:ascii="宋体" w:hAnsi="宋体" w:cs="宋体"/>
                <w:kern w:val="0"/>
                <w:szCs w:val="21"/>
              </w:rPr>
              <w:t>《金属非金属矿山安全规程》</w:t>
            </w:r>
            <w:r>
              <w:rPr>
                <w:rFonts w:hint="eastAsia" w:ascii="宋体" w:hAnsi="宋体" w:cs="宋体"/>
                <w:kern w:val="0"/>
                <w:szCs w:val="21"/>
                <w:highlight w:val="none"/>
              </w:rPr>
              <w:t>（GB 16423-2006）</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6.7.2.2  开采有自燃发火危险的矿床，应采取以下防火措施：</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——主要运输巷道和总回风道，应布置在无自然发火危险的围岩中，并采取预防性灌浆或者其他有效的防止自燃发火的措施；</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正确选择采矿方法，合理划分矿块，并采用后退式回采顺序。根据采取防火措施后矿床最短的发火期，确定采区开采期限。充填法采矿时，应采用惰性充填材料。采用其他采矿方法时，应确保在矿岩发火之前完成回采与放矿工作，以免矿岩自燃；</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——采用黄泥灌浆灭火时，钻孔网度、泥浆浓度和灌浆系数(指浆中固体体积占采空区体积的百分比)，应在设计中规定；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——尽可能提高矿石回收率，坑内不留或少留碎块矿石，工作面不应留存坑木等易燃物；</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——及时充填需要充填的采空区；</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——严密封闭采空区的所有透气部位；</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——防止上部中段的水泄漏到采矿场，并防止水管在采场漏水。</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1.12 在突水威胁区域或可疑区域进行采掘作业，应进行探放水</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一、金属非金属地下矿山重大生产安全事故隐患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（十二）在突水威胁区域或可疑区域进行采掘作业，未进行探放水。</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1.13 受地表水倒灌威胁的矿井在强降雨天气或其来水上游发生洪水期间，应实施停产撤人</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w:t>
            </w:r>
            <w:r>
              <w:rPr>
                <w:rFonts w:hint="eastAsia" w:ascii="宋体" w:hAnsi="宋体" w:cs="宋体"/>
                <w:kern w:val="0"/>
                <w:szCs w:val="21"/>
                <w:highlight w:val="none"/>
              </w:rPr>
              <w:t>生产法》第三十</w:t>
            </w:r>
            <w:r>
              <w:rPr>
                <w:rFonts w:hint="eastAsia" w:ascii="宋体" w:hAnsi="宋体" w:cs="宋体"/>
                <w:kern w:val="0"/>
                <w:szCs w:val="21"/>
              </w:rPr>
              <w:t>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一、金属非金属地下矿山重大生产安全事故隐患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（十三）受地表水倒灌威胁的矿井在强降雨天气或其来水上游发生洪水期间，不实施停产撤人。</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1.14 相邻矿山开采错动线重叠，应按照设计要求采取相应措施</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w:t>
            </w:r>
            <w:r>
              <w:rPr>
                <w:rFonts w:hint="eastAsia" w:ascii="宋体" w:hAnsi="宋体" w:cs="宋体"/>
                <w:kern w:val="0"/>
                <w:szCs w:val="21"/>
                <w:highlight w:val="none"/>
              </w:rPr>
              <w:t>》第三十八条  生产经营单位应当建立健全生产安全事故隐患</w:t>
            </w:r>
            <w:r>
              <w:rPr>
                <w:rFonts w:hint="eastAsia" w:ascii="宋体" w:hAnsi="宋体" w:cs="宋体"/>
                <w:kern w:val="0"/>
                <w:szCs w:val="21"/>
              </w:rPr>
              <w:t>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一、金属非金属地下矿山重大生产安全事故隐患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（十四）相邻矿山开采错动线重叠，未按照设计要求采取相应措施。</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1.15 开采错动线以内存在居民村庄，或存在重要设备设施时应按照设计要求采取相应措施</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一、金属非金属地下矿山重大生产安全事故隐患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（十五）开采错动线以内存在居民村庄，或存在重要设备设施时未按照设计要求采取相应措施。</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1.16 擅自开采各种保安矿柱或其形式及参数应符合设计值</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一、金属非金属地下矿山重大生产安全事故隐患</w:t>
            </w:r>
          </w:p>
          <w:p>
            <w:pPr>
              <w:widowControl/>
              <w:adjustRightInd w:val="0"/>
              <w:snapToGrid w:val="0"/>
              <w:ind w:firstLine="420" w:firstLineChars="200"/>
              <w:rPr>
                <w:rFonts w:hint="eastAsia" w:ascii="宋体" w:hAnsi="宋体" w:eastAsia="宋体" w:cs="宋体"/>
                <w:kern w:val="0"/>
                <w:szCs w:val="21"/>
                <w:lang w:eastAsia="zh-CN"/>
              </w:rPr>
            </w:pPr>
            <w:r>
              <w:rPr>
                <w:rFonts w:hint="eastAsia" w:ascii="宋体" w:hAnsi="宋体" w:cs="宋体"/>
                <w:kern w:val="0"/>
                <w:szCs w:val="21"/>
              </w:rPr>
              <w:t>（十六）擅自开采各种保安矿柱或其形式及参数劣于设计值</w:t>
            </w:r>
            <w:r>
              <w:rPr>
                <w:rFonts w:hint="eastAsia" w:ascii="宋体" w:hAnsi="宋体" w:cs="宋体"/>
                <w:kern w:val="0"/>
                <w:szCs w:val="21"/>
                <w:lang w:eastAsia="zh-CN"/>
              </w:rPr>
              <w:t>。</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1.17 对生产形成的采空区进行处理应符合设计要求</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一、金属非金属地下矿山重大生产安全事故隐患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（十七）未按照设计要求对生产形成的采空区进行处理。</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1.18 具有严重地压条件，应采取预防地压灾害措施</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一、金属非金属地下矿山重大生产安全事故隐患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（十八）具有严重地压条件，未采取预防地压灾害措施。</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37"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1.19 巷道或者采场顶板应按照设计要求采取支护措施</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一、金属非金属地下矿山重大生产安全事故隐患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（十九）巷道或者采场顶板未按照设计要求采取支护措施。</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1.20 矿井应按照设计要求建立机械通风系统，风速、风量、风质应符合国家标准或行业标准的要求</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一、金属非金属地下矿山重大生产安全事故隐患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（二十）矿井未按照设计要求建立机械通风系统，或风速、风量、风质不符合国家标准或行业标准的要求。</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1.21 具有矿用产品安全标志的便携式气体检测报警仪和自救器应配齐</w:t>
            </w:r>
          </w:p>
        </w:tc>
        <w:tc>
          <w:tcPr>
            <w:tcW w:w="5110" w:type="dxa"/>
            <w:vAlign w:val="center"/>
          </w:tcPr>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《安全生产法》第三十三条</w:t>
            </w:r>
            <w:r>
              <w:rPr>
                <w:rFonts w:hint="eastAsia" w:ascii="宋体" w:hAnsi="宋体" w:cs="宋体"/>
                <w:kern w:val="0"/>
                <w:szCs w:val="21"/>
                <w:lang w:val="en-US" w:eastAsia="zh-CN"/>
              </w:rPr>
              <w:t xml:space="preserve">  </w:t>
            </w:r>
            <w:r>
              <w:rPr>
                <w:rFonts w:hint="eastAsia" w:ascii="宋体" w:hAnsi="宋体" w:cs="宋体"/>
                <w:kern w:val="0"/>
                <w:szCs w:val="21"/>
              </w:rPr>
              <w:t>安全设备的设计、制造、安装、使用、检测、维修、改造和报废，应当符合国家标准或者行业标准。</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一、金属非金属地下矿山重大生产安全事故隐患</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（二十一）未配齐具有矿用产品安全标志的便携式气体检测报警仪和自救器。</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《金属非金属地下矿山监测监控系统建设规范》（AQ 2031-2011）</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4.4  应为入井人员配备额定防护时间不少于30min的自救器，并按入井总人数的10%配备备用自救器。</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5.1  地下矿山应配置足够的便携式气体检测报警仪。便携式气体检测报警仪应能测量一氧化碳、氧气、二氧化氮浓度，并具有报警参数设置和声光报警功能。</w:t>
            </w:r>
          </w:p>
        </w:tc>
        <w:tc>
          <w:tcPr>
            <w:tcW w:w="3448" w:type="dxa"/>
            <w:vAlign w:val="center"/>
          </w:tcPr>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（二）安全设备的安装、使用、检测、改造和报废不符合国家标准或者行业标准的；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1.22 提升系统的防坠器、阻车器等安全保护装置或信号闭锁措施应保持有效；定期试验或检测检验</w:t>
            </w:r>
          </w:p>
        </w:tc>
        <w:tc>
          <w:tcPr>
            <w:tcW w:w="5110" w:type="dxa"/>
            <w:vAlign w:val="center"/>
          </w:tcPr>
          <w:p>
            <w:pPr>
              <w:widowControl/>
              <w:adjustRightInd w:val="0"/>
              <w:snapToGrid w:val="0"/>
              <w:ind w:firstLine="420" w:firstLineChars="200"/>
              <w:rPr>
                <w:rFonts w:hint="eastAsia"/>
              </w:rPr>
            </w:pPr>
            <w:r>
              <w:rPr>
                <w:rFonts w:hint="eastAsia"/>
              </w:rPr>
              <w:t>《安全生产法》第三十三条……</w:t>
            </w:r>
          </w:p>
          <w:p>
            <w:pPr>
              <w:widowControl/>
              <w:adjustRightInd w:val="0"/>
              <w:snapToGrid w:val="0"/>
              <w:ind w:firstLine="420" w:firstLineChars="200"/>
              <w:rPr>
                <w:rFonts w:hint="eastAsia"/>
              </w:rPr>
            </w:pPr>
            <w:r>
              <w:rPr>
                <w:rFonts w:hint="eastAsia"/>
              </w:rPr>
              <w:t>生产经营单位必须对安全设备进行经常性维护、保养，并定期检测，保证正常运转。维护、保养、检测应当作好记录，并由有关人员签字。</w:t>
            </w:r>
          </w:p>
          <w:p>
            <w:pPr>
              <w:widowControl/>
              <w:adjustRightInd w:val="0"/>
              <w:snapToGrid w:val="0"/>
              <w:ind w:firstLine="420" w:firstLineChars="200"/>
              <w:rPr>
                <w:rFonts w:hint="eastAsia" w:asciiTheme="minorEastAsia" w:hAnsiTheme="minorEastAsia" w:eastAsiaTheme="minorEastAsia" w:cstheme="minorEastAsia"/>
              </w:rPr>
            </w:pPr>
            <w:r>
              <w:rPr>
                <w:rFonts w:hint="eastAsia"/>
              </w:rPr>
              <w:t>《国家安全监管总局关于印发〈金属非金属矿山重大生产安全事故隐患判定标准（试行）〉的通知》(安监总管一</w:t>
            </w:r>
            <w:r>
              <w:rPr>
                <w:rFonts w:hint="eastAsia" w:asciiTheme="minorEastAsia" w:hAnsiTheme="minorEastAsia" w:eastAsiaTheme="minorEastAsia" w:cstheme="minorEastAsia"/>
              </w:rPr>
              <w:t>〔2017〕98号)</w:t>
            </w:r>
          </w:p>
          <w:p>
            <w:pPr>
              <w:widowControl/>
              <w:adjustRightInd w:val="0"/>
              <w:snapToGrid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一、金属非金属地下矿山重大生产安全事故隐患</w:t>
            </w:r>
          </w:p>
          <w:p>
            <w:pPr>
              <w:widowControl/>
              <w:adjustRightInd w:val="0"/>
              <w:snapToGrid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（二十二）提升系统的防坠器、阻车器等安全保护装置或信号闭锁措施失效；未定期试验或检测检验。</w:t>
            </w:r>
          </w:p>
          <w:p>
            <w:pPr>
              <w:widowControl/>
              <w:adjustRightInd w:val="0"/>
              <w:snapToGrid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《金属非金属矿山安全规程》（GB 16423-2006）</w:t>
            </w:r>
          </w:p>
          <w:p>
            <w:pPr>
              <w:widowControl/>
              <w:adjustRightInd w:val="0"/>
              <w:snapToGrid w:val="0"/>
              <w:ind w:firstLine="420" w:firstLineChars="200"/>
            </w:pPr>
            <w:r>
              <w:rPr>
                <w:rFonts w:hint="eastAsia" w:asciiTheme="minorEastAsia" w:hAnsiTheme="minorEastAsia" w:eastAsiaTheme="minorEastAsia" w:cstheme="minorEastAsia"/>
              </w:rPr>
              <w:t>6.3.3.23  提升系统的各部分，包括提升容器、连接装置、防坠器、罐耳、罐道、阻车器、罐座、摇台(或托台)、装卸矿</w:t>
            </w:r>
            <w:r>
              <w:rPr>
                <w:rFonts w:hint="eastAsia"/>
              </w:rPr>
              <w:t>设施、天轮和钢丝绳，以及提升机的各部分，包括卷筒、制动装置、深度指示器、防过卷装置、限速器、调绳装置、传动装置、电动机和控制设备以及各种保护装置和闭锁装置等，每天应由专职人员检查一次，每月应由矿机电部门组织有关人员检查一次；发现问题应立即处理，并将检查结果和处理情况记录存档。</w:t>
            </w:r>
          </w:p>
        </w:tc>
        <w:tc>
          <w:tcPr>
            <w:tcW w:w="3448" w:type="dxa"/>
            <w:vAlign w:val="center"/>
          </w:tcPr>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（三）未对安全设备进行经常性维护、保养和定期检测的；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1.23 一级负荷应采用双回路或双电源供电；单一电源应满足全部一级负荷需要</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一、金属非金属地下矿山重大生产安全事故隐患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（二十三）一级负荷没有采用双回路或双电源供电，或单一电源不能满足全部一级负荷需要。</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1.24 地面向井下供电的变压器或井下使用的普通变压器应避免采用中性接地</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一、金属非金属地下矿山重大生产安全事故隐患</w:t>
            </w:r>
          </w:p>
          <w:p>
            <w:pPr>
              <w:widowControl/>
              <w:adjustRightInd w:val="0"/>
              <w:snapToGrid w:val="0"/>
              <w:ind w:firstLine="420" w:firstLineChars="200"/>
              <w:rPr>
                <w:rFonts w:hint="eastAsia" w:ascii="宋体" w:hAnsi="宋体" w:eastAsia="宋体" w:cs="宋体"/>
                <w:kern w:val="0"/>
                <w:szCs w:val="21"/>
                <w:lang w:eastAsia="zh-CN"/>
              </w:rPr>
            </w:pPr>
            <w:r>
              <w:rPr>
                <w:rFonts w:hint="eastAsia" w:ascii="宋体" w:hAnsi="宋体" w:cs="宋体"/>
                <w:kern w:val="0"/>
                <w:szCs w:val="21"/>
              </w:rPr>
              <w:t>（二十四）地面向井下供电的变压器或井下使用的普通变压器采用中性接地</w:t>
            </w:r>
            <w:r>
              <w:rPr>
                <w:rFonts w:hint="eastAsia" w:ascii="宋体" w:hAnsi="宋体" w:cs="宋体"/>
                <w:kern w:val="0"/>
                <w:szCs w:val="21"/>
                <w:lang w:eastAsia="zh-CN"/>
              </w:rPr>
              <w:t>。</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restart"/>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2</w:t>
            </w:r>
          </w:p>
        </w:tc>
        <w:tc>
          <w:tcPr>
            <w:tcW w:w="1777" w:type="dxa"/>
            <w:vMerge w:val="restart"/>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金属非金属露天矿山重大生产安全事故隐患</w:t>
            </w: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2.1 地下转露天开采，应探明采空区并对采空区实施专项安全技术措施</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r>
              <w:rPr>
                <w:rFonts w:hint="eastAsia" w:ascii="宋体" w:hAnsi="宋体" w:cs="宋体"/>
                <w:kern w:val="0"/>
                <w:szCs w:val="21"/>
                <w:highlight w:val="none"/>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二、金属非金属露天矿山重大生产安全事故隐患</w:t>
            </w:r>
          </w:p>
          <w:p>
            <w:pPr>
              <w:widowControl/>
              <w:adjustRightInd w:val="0"/>
              <w:snapToGrid w:val="0"/>
              <w:ind w:firstLine="420" w:firstLineChars="200"/>
              <w:rPr>
                <w:rFonts w:hint="eastAsia" w:ascii="宋体" w:hAnsi="宋体" w:eastAsia="宋体" w:cs="宋体"/>
                <w:kern w:val="0"/>
                <w:szCs w:val="21"/>
                <w:lang w:eastAsia="zh-CN"/>
              </w:rPr>
            </w:pPr>
            <w:r>
              <w:rPr>
                <w:rFonts w:hint="eastAsia" w:ascii="宋体" w:hAnsi="宋体" w:cs="宋体"/>
                <w:kern w:val="0"/>
                <w:szCs w:val="21"/>
              </w:rPr>
              <w:t>（一）地下转露天开采，未探明采空区或未对采空区实施专项安全技术措施</w:t>
            </w:r>
            <w:r>
              <w:rPr>
                <w:rFonts w:hint="eastAsia" w:ascii="宋体" w:hAnsi="宋体" w:cs="宋体"/>
                <w:kern w:val="0"/>
                <w:szCs w:val="21"/>
                <w:lang w:eastAsia="zh-CN"/>
              </w:rPr>
              <w:t>。</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2.2 使用符合国家规定的设备、材料和工艺</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《安全生产法》第三十五条  国家对严重危及生产安全的工艺、设备实行淘汰制度，具体目录由国务院安全生产监督管理部门会同国务院有关部门制定并公布。法律、行政法规对目录的制定另有规定的，适用其规定。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生产经营单位不得使用应当淘汰的危及生产安全的工艺、设备。</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二、金属非金属露天矿山重大生产安全事故隐患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（二）使用国家明令禁止使用的设备、材料和工艺。</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（六）使用应当淘汰的危及生产安全的工艺、设备的。</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2.3 采用自上而下、分台阶或分层的方式进行开采</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二、金属非金属露天矿山重大生产安全事故隐患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（三）未采用自上而下、分台阶或分层的方式进行开采。</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2.4 工作帮坡角应符合设计工作帮坡角；台阶（分层）高度应符合设计高度</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二、金属非金属露天矿山重大生产安全事故隐患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（四）工作帮坡角大于设计工作帮坡角，或台阶（分层）高度超过设计高度。</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2.5 开采矿柱、岩柱和挂帮矿体的应符合国家规定程序，保留矿柱、岩柱和挂帮矿体的应符合设计规定</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二、金属非金属露天矿山重大生产安全事故隐患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（五）擅自开采或破坏设计规定保留的矿柱、岩柱和挂帮矿体。</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2.6 对采场边坡、排土场稳定性进行评估应按照国家标准或行业标准进行</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二、金属非金属露天矿山重大生产安全事故隐患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（六）未按国家标准或行业标准对采场边坡、排土场稳定性进行评估。</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2.7 高度200米及以上的边坡或排土场应进行在线监测</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二、金属非金属露天矿山重大生产安全事故隐患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（七）高度200米及以上的边坡或排土场未进行在线监测。</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2.8 边坡应避免存在滑移现象</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二、金属非金属露天矿山重大生产安全事故隐患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（八）边坡存在滑移现象。</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2.9 上山道路坡度应符合设计坡度</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二、金属非金属露天矿山重大生产安全事故隐患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（九）上山道路坡度大于设计坡度10%以上。</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2.10 封闭圈深度30米及以上的凹陷露天矿山，应按照设计要求建设防洪、排洪设施</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二、金属非金属露天矿山重大生产安全事故隐患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（十）封闭圈深度30米及以上的凹陷露天矿山，未按照设计要求建设防洪、排洪设施。</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2.11 雷雨天气应避免实施爆破作业</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w:t>
            </w:r>
            <w:r>
              <w:rPr>
                <w:rFonts w:hint="eastAsia" w:ascii="宋体" w:hAnsi="宋体" w:cs="宋体"/>
                <w:kern w:val="0"/>
                <w:szCs w:val="21"/>
                <w:highlight w:val="none"/>
              </w:rPr>
              <w:t>》第</w:t>
            </w:r>
            <w:r>
              <w:rPr>
                <w:rFonts w:hint="eastAsia" w:ascii="宋体" w:hAnsi="宋体" w:cs="宋体"/>
                <w:kern w:val="0"/>
                <w:szCs w:val="21"/>
              </w:rPr>
              <w:t>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二、金属非金属露天矿山重大生产安全事故隐患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（十一）雷雨天气实施爆破作业。</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2.12 排土场的危险级应符合规定</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二、金属非金属露天矿山重大生产安全事故隐患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（十二）危险级排土场。</w:t>
            </w:r>
          </w:p>
          <w:p>
            <w:pPr>
              <w:widowControl/>
              <w:adjustRightInd w:val="0"/>
              <w:snapToGrid w:val="0"/>
              <w:ind w:firstLine="420" w:firstLineChars="200"/>
              <w:rPr>
                <w:rFonts w:ascii="宋体" w:hAnsi="宋体" w:cs="宋体"/>
                <w:kern w:val="0"/>
                <w:szCs w:val="21"/>
                <w:highlight w:val="none"/>
              </w:rPr>
            </w:pPr>
            <w:r>
              <w:rPr>
                <w:rFonts w:hint="eastAsia" w:ascii="宋体" w:hAnsi="宋体" w:cs="宋体"/>
                <w:kern w:val="0"/>
                <w:szCs w:val="21"/>
              </w:rPr>
              <w:t>《金属非金属矿山排土场安全生产规则</w:t>
            </w:r>
            <w:r>
              <w:rPr>
                <w:rFonts w:hint="eastAsia" w:ascii="宋体" w:hAnsi="宋体" w:cs="宋体"/>
                <w:kern w:val="0"/>
                <w:szCs w:val="21"/>
                <w:highlight w:val="none"/>
              </w:rPr>
              <w:t>》(AQ 2005-2005)</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10.2  非正常级排土场的处理：</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10.2.1  对于危险级排土场，企业应停产整治，并采取以下措施：1）处理不良地基或调整排土参数。2）采取措施防止泥石流发生，建立泥石流拦挡设施。3）处理排土场重大危险源。4）疏通、加固或修复排水沟。</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10.2.2  对于“病级”排土场，企业应采取以下措施限期消除隐患：1）采取措施控制不良地基的影响。2）将各排土参数修复到排土场作业管理要求的参数或规定的范围内。</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10.2.3  企业对非正常级排土场的检查周期：“危险级”排土场每周不少于1次，“病级”排土场每月不少于1次。</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restart"/>
            <w:vAlign w:val="center"/>
          </w:tcPr>
          <w:p>
            <w:pPr>
              <w:ind w:firstLine="420" w:firstLineChars="200"/>
              <w:rPr>
                <w:rFonts w:ascii="宋体" w:hAnsi="宋体"/>
                <w:szCs w:val="21"/>
              </w:rPr>
            </w:pPr>
            <w:r>
              <w:rPr>
                <w:rFonts w:hint="eastAsia" w:ascii="宋体" w:hAnsi="宋体"/>
                <w:szCs w:val="21"/>
              </w:rPr>
              <w:t>3</w:t>
            </w:r>
          </w:p>
        </w:tc>
        <w:tc>
          <w:tcPr>
            <w:tcW w:w="1777" w:type="dxa"/>
            <w:vMerge w:val="restart"/>
            <w:vAlign w:val="center"/>
          </w:tcPr>
          <w:p>
            <w:pPr>
              <w:rPr>
                <w:rFonts w:ascii="宋体" w:hAnsi="宋体"/>
                <w:szCs w:val="21"/>
              </w:rPr>
            </w:pPr>
            <w:r>
              <w:rPr>
                <w:rFonts w:hint="eastAsia" w:ascii="宋体" w:hAnsi="宋体"/>
                <w:szCs w:val="21"/>
              </w:rPr>
              <w:t>尾矿库重大生产安全事故隐患</w:t>
            </w:r>
          </w:p>
        </w:tc>
        <w:tc>
          <w:tcPr>
            <w:tcW w:w="1863" w:type="dxa"/>
            <w:vAlign w:val="center"/>
          </w:tcPr>
          <w:p>
            <w:pPr>
              <w:rPr>
                <w:rFonts w:ascii="宋体" w:hAnsi="宋体"/>
                <w:szCs w:val="21"/>
              </w:rPr>
            </w:pPr>
            <w:r>
              <w:rPr>
                <w:rFonts w:hint="eastAsia" w:ascii="宋体" w:hAnsi="宋体"/>
                <w:szCs w:val="21"/>
              </w:rPr>
              <w:t>3.1 库区和尾矿坝上进行开采、挖掘、爆破等活动应按批准的设计方案进行</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w:t>
            </w:r>
            <w:r>
              <w:rPr>
                <w:rFonts w:hint="eastAsia" w:ascii="宋体" w:hAnsi="宋体" w:cs="宋体"/>
                <w:bCs/>
                <w:kern w:val="0"/>
                <w:szCs w:val="21"/>
              </w:rPr>
              <w:t>尾矿库重大生产安全事故隐患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（一）库区和尾矿坝上存在未按批准的设计方案进行开采、挖掘、爆破等活动。</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ind w:firstLine="420" w:firstLineChars="200"/>
              <w:rPr>
                <w:rFonts w:ascii="宋体" w:hAnsi="宋体"/>
                <w:szCs w:val="21"/>
              </w:rPr>
            </w:pPr>
          </w:p>
        </w:tc>
        <w:tc>
          <w:tcPr>
            <w:tcW w:w="1777" w:type="dxa"/>
            <w:vMerge w:val="continue"/>
            <w:vAlign w:val="center"/>
          </w:tcPr>
          <w:p>
            <w:pPr>
              <w:ind w:firstLine="420" w:firstLineChars="200"/>
              <w:rPr>
                <w:rFonts w:ascii="宋体" w:hAnsi="宋体"/>
                <w:szCs w:val="21"/>
              </w:rPr>
            </w:pPr>
          </w:p>
        </w:tc>
        <w:tc>
          <w:tcPr>
            <w:tcW w:w="1863" w:type="dxa"/>
            <w:vAlign w:val="center"/>
          </w:tcPr>
          <w:p>
            <w:pPr>
              <w:rPr>
                <w:rFonts w:ascii="宋体" w:hAnsi="宋体"/>
                <w:szCs w:val="21"/>
              </w:rPr>
            </w:pPr>
            <w:r>
              <w:rPr>
                <w:rFonts w:hint="eastAsia" w:ascii="宋体" w:hAnsi="宋体"/>
                <w:szCs w:val="21"/>
              </w:rPr>
              <w:t>3.2 坝体裂缝、管涌、流土变形、及滑动迹象情况</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w:t>
            </w:r>
            <w:r>
              <w:rPr>
                <w:rFonts w:hint="eastAsia" w:ascii="宋体" w:hAnsi="宋体" w:cs="宋体"/>
                <w:bCs/>
                <w:kern w:val="0"/>
                <w:szCs w:val="21"/>
              </w:rPr>
              <w:t>尾矿库重大生产安全事故隐患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（二）坝体出现贯穿性横向裂缝，且出现较大范围管涌、流土变形，坝体出现深层滑动迹象。</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24" w:hRule="atLeast"/>
          <w:jc w:val="center"/>
        </w:trPr>
        <w:tc>
          <w:tcPr>
            <w:tcW w:w="862" w:type="dxa"/>
            <w:vMerge w:val="continue"/>
            <w:vAlign w:val="center"/>
          </w:tcPr>
          <w:p>
            <w:pPr>
              <w:ind w:firstLine="420" w:firstLineChars="200"/>
              <w:rPr>
                <w:rFonts w:ascii="宋体" w:hAnsi="宋体"/>
                <w:szCs w:val="21"/>
              </w:rPr>
            </w:pPr>
          </w:p>
        </w:tc>
        <w:tc>
          <w:tcPr>
            <w:tcW w:w="1777" w:type="dxa"/>
            <w:vMerge w:val="continue"/>
            <w:vAlign w:val="center"/>
          </w:tcPr>
          <w:p>
            <w:pPr>
              <w:ind w:firstLine="420" w:firstLineChars="200"/>
              <w:rPr>
                <w:rFonts w:ascii="宋体" w:hAnsi="宋体"/>
                <w:szCs w:val="21"/>
              </w:rPr>
            </w:pPr>
          </w:p>
        </w:tc>
        <w:tc>
          <w:tcPr>
            <w:tcW w:w="1863" w:type="dxa"/>
            <w:vAlign w:val="center"/>
          </w:tcPr>
          <w:p>
            <w:pPr>
              <w:rPr>
                <w:rFonts w:ascii="宋体" w:hAnsi="宋体"/>
                <w:szCs w:val="21"/>
              </w:rPr>
            </w:pPr>
            <w:r>
              <w:rPr>
                <w:rFonts w:hint="eastAsia" w:ascii="宋体" w:hAnsi="宋体"/>
                <w:szCs w:val="21"/>
              </w:rPr>
              <w:t>3.3 坝外坡坡比应符合设计坡比</w:t>
            </w:r>
          </w:p>
        </w:tc>
        <w:tc>
          <w:tcPr>
            <w:tcW w:w="5110" w:type="dxa"/>
            <w:vAlign w:val="center"/>
          </w:tcPr>
          <w:p>
            <w:pPr>
              <w:widowControl/>
              <w:adjustRightInd w:val="0"/>
              <w:snapToGrid w:val="0"/>
              <w:ind w:firstLine="420" w:firstLineChars="200"/>
            </w:pPr>
            <w:r>
              <w:rPr>
                <w:rFonts w:hint="eastAsia"/>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pPr>
            <w:r>
              <w:rPr>
                <w:rFonts w:hint="eastAsia"/>
              </w:rPr>
              <w:t>……</w:t>
            </w:r>
          </w:p>
          <w:p>
            <w:pPr>
              <w:widowControl/>
              <w:adjustRightInd w:val="0"/>
              <w:snapToGrid w:val="0"/>
              <w:ind w:firstLine="420" w:firstLineChars="200"/>
              <w:rPr>
                <w:rFonts w:hint="eastAsia" w:asciiTheme="minorEastAsia" w:hAnsiTheme="minorEastAsia" w:eastAsiaTheme="minorEastAsia" w:cstheme="minorEastAsia"/>
              </w:rPr>
            </w:pPr>
            <w:r>
              <w:rPr>
                <w:rFonts w:hint="eastAsia"/>
              </w:rPr>
              <w:t>《国家安全监管总局关于印发〈金属非金属矿山重大生产安全事故隐患判定标准（试行）〉的通知》(安监总管一</w:t>
            </w:r>
            <w:r>
              <w:rPr>
                <w:rFonts w:hint="eastAsia" w:asciiTheme="minorEastAsia" w:hAnsiTheme="minorEastAsia" w:eastAsiaTheme="minorEastAsia" w:cstheme="minorEastAsia"/>
              </w:rPr>
              <w:t>〔2017〕98号)</w:t>
            </w:r>
          </w:p>
          <w:p>
            <w:pPr>
              <w:widowControl/>
              <w:adjustRightInd w:val="0"/>
              <w:snapToGrid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三、尾矿库重大生产安全事故隐患</w:t>
            </w:r>
          </w:p>
          <w:p>
            <w:pPr>
              <w:widowControl/>
              <w:adjustRightInd w:val="0"/>
              <w:snapToGrid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（三）坝外坡坡比陡于设计坡比。</w:t>
            </w:r>
          </w:p>
          <w:p>
            <w:pPr>
              <w:widowControl/>
              <w:adjustRightInd w:val="0"/>
              <w:snapToGrid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《尾矿库安全技术规程》(AQ 2006-2005)</w:t>
            </w:r>
          </w:p>
          <w:p>
            <w:pPr>
              <w:widowControl/>
              <w:adjustRightInd w:val="0"/>
              <w:snapToGrid w:val="0"/>
              <w:ind w:firstLine="420" w:firstLineChars="200"/>
            </w:pPr>
            <w:r>
              <w:rPr>
                <w:rFonts w:hint="eastAsia" w:asciiTheme="minorEastAsia" w:hAnsiTheme="minorEastAsia" w:eastAsiaTheme="minorEastAsia" w:cstheme="minorEastAsia"/>
              </w:rPr>
              <w:t xml:space="preserve">6.3.2  </w:t>
            </w:r>
            <w:r>
              <w:rPr>
                <w:rFonts w:hint="eastAsia"/>
              </w:rPr>
              <w:t>尾矿坝滩顶高程必须满足生产、防汛、冬季冰下放矿和回水要求。尾矿坝堆积坡比不得陡于设计规定。</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ind w:firstLine="420" w:firstLineChars="200"/>
              <w:rPr>
                <w:rFonts w:ascii="宋体" w:hAnsi="宋体"/>
                <w:szCs w:val="21"/>
              </w:rPr>
            </w:pPr>
          </w:p>
        </w:tc>
        <w:tc>
          <w:tcPr>
            <w:tcW w:w="1777" w:type="dxa"/>
            <w:vMerge w:val="continue"/>
            <w:vAlign w:val="center"/>
          </w:tcPr>
          <w:p>
            <w:pPr>
              <w:ind w:firstLine="420" w:firstLineChars="200"/>
              <w:rPr>
                <w:rFonts w:ascii="宋体" w:hAnsi="宋体"/>
                <w:szCs w:val="21"/>
              </w:rPr>
            </w:pPr>
          </w:p>
        </w:tc>
        <w:tc>
          <w:tcPr>
            <w:tcW w:w="1863" w:type="dxa"/>
            <w:vAlign w:val="center"/>
          </w:tcPr>
          <w:p>
            <w:pPr>
              <w:rPr>
                <w:rFonts w:ascii="宋体" w:hAnsi="宋体"/>
                <w:szCs w:val="21"/>
              </w:rPr>
            </w:pPr>
            <w:r>
              <w:rPr>
                <w:rFonts w:hint="eastAsia" w:ascii="宋体" w:hAnsi="宋体"/>
                <w:szCs w:val="21"/>
              </w:rPr>
              <w:t>3.4 坝体高度、尾矿储存库容应符合设计</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《尾矿库安全监督管理规定》(原国家安全监管总局令第38号)第十八条  对生产运行的尾矿库，未经技术论证和安全生产监督管理部门的批准，任何单位和个人不得对下列事项进行变更：</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(四)坝型、坝外坡坡比、最终堆积标高和最终坝轴线的位置；</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w:t>
            </w:r>
            <w:r>
              <w:rPr>
                <w:rFonts w:hint="eastAsia" w:ascii="宋体" w:hAnsi="宋体" w:cs="宋体"/>
                <w:bCs/>
                <w:kern w:val="0"/>
                <w:szCs w:val="21"/>
              </w:rPr>
              <w:t>尾矿库重大生产安全事故隐患</w:t>
            </w:r>
          </w:p>
          <w:p>
            <w:pPr>
              <w:widowControl/>
              <w:adjustRightInd w:val="0"/>
              <w:snapToGrid w:val="0"/>
              <w:ind w:right="-101" w:rightChars="-48" w:firstLine="420" w:firstLineChars="200"/>
              <w:rPr>
                <w:rFonts w:ascii="宋体" w:hAnsi="宋体" w:cs="宋体"/>
                <w:kern w:val="0"/>
                <w:szCs w:val="21"/>
              </w:rPr>
            </w:pPr>
            <w:r>
              <w:rPr>
                <w:rFonts w:hint="eastAsia" w:ascii="宋体" w:hAnsi="宋体" w:cs="宋体"/>
                <w:kern w:val="0"/>
                <w:szCs w:val="21"/>
              </w:rPr>
              <w:t>（四）坝体超过设计坝高，或超设计库容储存尾矿。</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ind w:firstLine="420" w:firstLineChars="200"/>
              <w:rPr>
                <w:rFonts w:ascii="宋体" w:hAnsi="宋体"/>
                <w:szCs w:val="21"/>
              </w:rPr>
            </w:pPr>
          </w:p>
        </w:tc>
        <w:tc>
          <w:tcPr>
            <w:tcW w:w="1777" w:type="dxa"/>
            <w:vMerge w:val="continue"/>
            <w:vAlign w:val="center"/>
          </w:tcPr>
          <w:p>
            <w:pPr>
              <w:ind w:firstLine="420" w:firstLineChars="200"/>
              <w:rPr>
                <w:rFonts w:ascii="宋体" w:hAnsi="宋体"/>
                <w:szCs w:val="21"/>
              </w:rPr>
            </w:pPr>
          </w:p>
        </w:tc>
        <w:tc>
          <w:tcPr>
            <w:tcW w:w="1863" w:type="dxa"/>
            <w:vAlign w:val="center"/>
          </w:tcPr>
          <w:p>
            <w:pPr>
              <w:rPr>
                <w:rFonts w:ascii="宋体" w:hAnsi="宋体"/>
                <w:szCs w:val="21"/>
              </w:rPr>
            </w:pPr>
            <w:r>
              <w:rPr>
                <w:rFonts w:hint="eastAsia" w:ascii="宋体" w:hAnsi="宋体"/>
                <w:szCs w:val="21"/>
              </w:rPr>
              <w:t>3.5 尾矿堆积坝上升速率应符合设计堆积上升速率</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w:t>
            </w:r>
            <w:r>
              <w:rPr>
                <w:rFonts w:hint="eastAsia" w:ascii="宋体" w:hAnsi="宋体" w:cs="宋体"/>
                <w:bCs/>
                <w:kern w:val="0"/>
                <w:szCs w:val="21"/>
              </w:rPr>
              <w:t>尾矿库重大生产安全事故隐患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（五）尾矿堆积坝上升速率大于设计堆积上升速率。</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ind w:firstLine="420" w:firstLineChars="200"/>
              <w:rPr>
                <w:rFonts w:ascii="宋体" w:hAnsi="宋体"/>
                <w:szCs w:val="21"/>
              </w:rPr>
            </w:pPr>
          </w:p>
        </w:tc>
        <w:tc>
          <w:tcPr>
            <w:tcW w:w="1777" w:type="dxa"/>
            <w:vMerge w:val="continue"/>
            <w:vAlign w:val="center"/>
          </w:tcPr>
          <w:p>
            <w:pPr>
              <w:ind w:firstLine="420" w:firstLineChars="200"/>
              <w:rPr>
                <w:rFonts w:ascii="宋体" w:hAnsi="宋体"/>
                <w:szCs w:val="21"/>
              </w:rPr>
            </w:pPr>
          </w:p>
        </w:tc>
        <w:tc>
          <w:tcPr>
            <w:tcW w:w="1863" w:type="dxa"/>
            <w:vAlign w:val="center"/>
          </w:tcPr>
          <w:p>
            <w:pPr>
              <w:rPr>
                <w:rFonts w:ascii="宋体" w:hAnsi="宋体"/>
                <w:szCs w:val="21"/>
              </w:rPr>
            </w:pPr>
            <w:r>
              <w:rPr>
                <w:rFonts w:hint="eastAsia" w:ascii="宋体" w:hAnsi="宋体"/>
                <w:szCs w:val="21"/>
              </w:rPr>
              <w:t>3.6 按照法规、国家标准或行业标准对坝体稳定性进行评估情况</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cs="宋体" w:asciiTheme="minorEastAsia" w:hAnsiTheme="minorEastAsia" w:eastAsiaTheme="minorEastAsia"/>
                <w:kern w:val="0"/>
                <w:szCs w:val="21"/>
              </w:rPr>
              <w:t>三、</w:t>
            </w:r>
            <w:r>
              <w:rPr>
                <w:rFonts w:hint="eastAsia" w:cs="宋体" w:asciiTheme="minorEastAsia" w:hAnsiTheme="minorEastAsia" w:eastAsiaTheme="minorEastAsia"/>
                <w:bCs/>
                <w:kern w:val="0"/>
                <w:szCs w:val="21"/>
              </w:rPr>
              <w:t>尾矿库</w:t>
            </w:r>
            <w:r>
              <w:rPr>
                <w:rFonts w:hint="eastAsia" w:ascii="宋体" w:hAnsi="宋体" w:cs="宋体"/>
                <w:bCs/>
                <w:kern w:val="0"/>
                <w:szCs w:val="21"/>
              </w:rPr>
              <w:t>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（六）未按法规、国家标准或行业标准对坝体稳定性进行评估。</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ind w:firstLine="420" w:firstLineChars="200"/>
              <w:rPr>
                <w:rFonts w:ascii="宋体" w:hAnsi="宋体"/>
                <w:szCs w:val="21"/>
              </w:rPr>
            </w:pPr>
          </w:p>
        </w:tc>
        <w:tc>
          <w:tcPr>
            <w:tcW w:w="1777" w:type="dxa"/>
            <w:vMerge w:val="continue"/>
            <w:vAlign w:val="center"/>
          </w:tcPr>
          <w:p>
            <w:pPr>
              <w:ind w:firstLine="420" w:firstLineChars="200"/>
              <w:rPr>
                <w:rFonts w:ascii="宋体" w:hAnsi="宋体"/>
                <w:szCs w:val="21"/>
              </w:rPr>
            </w:pPr>
          </w:p>
        </w:tc>
        <w:tc>
          <w:tcPr>
            <w:tcW w:w="1863" w:type="dxa"/>
            <w:vAlign w:val="center"/>
          </w:tcPr>
          <w:p>
            <w:pPr>
              <w:rPr>
                <w:rFonts w:ascii="宋体" w:hAnsi="宋体"/>
                <w:szCs w:val="21"/>
              </w:rPr>
            </w:pPr>
            <w:r>
              <w:rPr>
                <w:rFonts w:hint="eastAsia" w:ascii="宋体" w:hAnsi="宋体"/>
                <w:szCs w:val="21"/>
              </w:rPr>
              <w:t>3.7 浸润线埋深应避免小于控制浸润线埋深</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hint="eastAsia" w:ascii="宋体" w:hAnsi="宋体" w:eastAsia="宋体" w:cs="宋体"/>
                <w:kern w:val="0"/>
                <w:szCs w:val="21"/>
                <w:lang w:eastAsia="zh-CN"/>
              </w:rPr>
            </w:pPr>
            <w:r>
              <w:rPr>
                <w:rFonts w:hint="eastAsia" w:ascii="宋体" w:hAnsi="宋体" w:cs="宋体"/>
                <w:kern w:val="0"/>
                <w:szCs w:val="21"/>
              </w:rPr>
              <w:t>三、</w:t>
            </w:r>
            <w:r>
              <w:rPr>
                <w:rFonts w:hint="eastAsia" w:ascii="宋体" w:hAnsi="宋体" w:cs="宋体"/>
                <w:bCs/>
                <w:kern w:val="0"/>
                <w:szCs w:val="21"/>
              </w:rPr>
              <w:t>尾矿库重大生产安全事故隐患</w:t>
            </w:r>
            <w:r>
              <w:rPr>
                <w:rFonts w:hint="eastAsia" w:ascii="宋体" w:hAnsi="宋体" w:cs="宋体"/>
                <w:bCs/>
                <w:kern w:val="0"/>
                <w:szCs w:val="21"/>
                <w:lang w:eastAsia="zh-CN"/>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（七）浸润线埋深小于控制浸润线埋深。</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《尾矿库安全技术规程》(AQ 2006-2005)</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4.3.5  尾矿坝的渗流控制措施必须确保浸润线低于控制浸润线。</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6.5.2  在尾矿库运行过程中，如坝体浸润线超过控制线，应经安全技术论证增设或更新排渗设施。</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ind w:firstLine="420" w:firstLineChars="200"/>
              <w:rPr>
                <w:rFonts w:ascii="宋体" w:hAnsi="宋体"/>
                <w:szCs w:val="21"/>
              </w:rPr>
            </w:pPr>
          </w:p>
        </w:tc>
        <w:tc>
          <w:tcPr>
            <w:tcW w:w="1777" w:type="dxa"/>
            <w:vMerge w:val="continue"/>
            <w:vAlign w:val="center"/>
          </w:tcPr>
          <w:p>
            <w:pPr>
              <w:ind w:firstLine="420" w:firstLineChars="200"/>
              <w:rPr>
                <w:rFonts w:ascii="宋体" w:hAnsi="宋体"/>
                <w:szCs w:val="21"/>
              </w:rPr>
            </w:pPr>
          </w:p>
        </w:tc>
        <w:tc>
          <w:tcPr>
            <w:tcW w:w="1863" w:type="dxa"/>
            <w:vAlign w:val="center"/>
          </w:tcPr>
          <w:p>
            <w:pPr>
              <w:rPr>
                <w:rFonts w:ascii="宋体" w:hAnsi="宋体"/>
                <w:szCs w:val="21"/>
              </w:rPr>
            </w:pPr>
            <w:r>
              <w:rPr>
                <w:rFonts w:hint="eastAsia" w:ascii="宋体" w:hAnsi="宋体"/>
                <w:szCs w:val="21"/>
              </w:rPr>
              <w:t>3.8 安全超高和干滩长度应符合设计规定</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 xml:space="preserve">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w:t>
            </w:r>
            <w:r>
              <w:rPr>
                <w:rFonts w:hint="eastAsia" w:ascii="宋体" w:hAnsi="宋体" w:cs="宋体"/>
                <w:bCs/>
                <w:kern w:val="0"/>
                <w:szCs w:val="21"/>
              </w:rPr>
              <w:t>尾矿库重大生产安全事故隐患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highlight w:val="none"/>
              </w:rPr>
              <w:t>（八）安</w:t>
            </w:r>
            <w:r>
              <w:rPr>
                <w:rFonts w:hint="eastAsia" w:ascii="宋体" w:hAnsi="宋体" w:cs="宋体"/>
                <w:kern w:val="0"/>
                <w:szCs w:val="21"/>
              </w:rPr>
              <w:t>全超高和干滩长度小于设计规定。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《尾矿库安全技术规程》(AQ 2006-2005)</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5.3.9  上游式尾矿坝沉积滩顶至设计洪水位的高差不得小于表3的最小安全超高值，同时，滩顶至设计洪水位边线距离不得小于表3的最小滩长值。</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5.3.10  下游式和中线式尾矿坝坝顶外缘至设计洪水位水边线的距离不宜小于表4的最小滩长值。</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当坝体采取防渗余（心）墙时，坝顶至设计洪水位的高差亦不得小于表3的最小安全超高值</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5.3.11  尾矿库挡水坝在设计洪水位时安全超高不得小于表3的最小安全超高值、最大风壅水面高度和最大风浪爬高三者之和。</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5.3.12  地震区尾矿坝应符合下列规定：上游式尾矿坝沉积滩顶至正常高水位的高差不得小于表3最小安全超高值与地震壅浪高度之和，滩顶至正常高水位水边线的距离不得小于表3的最小滩长值与地震壅浪高度对应滩长之和。</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下游式与中线式尾矿坝坝顶外边缘至正常高水位水边线的距离不宜小于表4的最小滩长值与地震壅浪高度对应滩长之和。</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尾矿库挡水坝坝顶至正常高水位的高差不得小于表3最小安全超高值与地震壅浪高度之和。</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地震壅浪高度可根据抗震设防烈度和水深确定，可采用0.5-1.5m。</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ind w:firstLine="420" w:firstLineChars="200"/>
              <w:rPr>
                <w:rFonts w:ascii="宋体" w:hAnsi="宋体"/>
                <w:szCs w:val="21"/>
              </w:rPr>
            </w:pPr>
          </w:p>
        </w:tc>
        <w:tc>
          <w:tcPr>
            <w:tcW w:w="1777" w:type="dxa"/>
            <w:vMerge w:val="continue"/>
            <w:vAlign w:val="center"/>
          </w:tcPr>
          <w:p>
            <w:pPr>
              <w:ind w:firstLine="420" w:firstLineChars="200"/>
              <w:rPr>
                <w:rFonts w:ascii="宋体" w:hAnsi="宋体"/>
                <w:szCs w:val="21"/>
              </w:rPr>
            </w:pPr>
          </w:p>
        </w:tc>
        <w:tc>
          <w:tcPr>
            <w:tcW w:w="1863" w:type="dxa"/>
            <w:vAlign w:val="center"/>
          </w:tcPr>
          <w:p>
            <w:pPr>
              <w:rPr>
                <w:rFonts w:ascii="宋体" w:hAnsi="宋体"/>
                <w:szCs w:val="21"/>
              </w:rPr>
            </w:pPr>
            <w:r>
              <w:rPr>
                <w:rFonts w:hint="eastAsia" w:ascii="宋体" w:hAnsi="宋体"/>
                <w:szCs w:val="21"/>
              </w:rPr>
              <w:t>3.9 排洪系统构筑物应避免堵塞或坍塌</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w:t>
            </w:r>
            <w:r>
              <w:rPr>
                <w:rFonts w:hint="eastAsia" w:ascii="宋体" w:hAnsi="宋体" w:cs="宋体"/>
                <w:kern w:val="0"/>
                <w:szCs w:val="21"/>
                <w:highlight w:val="none"/>
              </w:rPr>
              <w:t>法》第三十</w:t>
            </w:r>
            <w:r>
              <w:rPr>
                <w:rFonts w:hint="eastAsia" w:ascii="宋体" w:hAnsi="宋体" w:cs="宋体"/>
                <w:kern w:val="0"/>
                <w:szCs w:val="21"/>
              </w:rPr>
              <w:t>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w:t>
            </w:r>
            <w:r>
              <w:rPr>
                <w:rFonts w:hint="eastAsia" w:ascii="宋体" w:hAnsi="宋体" w:cs="宋体"/>
                <w:bCs/>
                <w:kern w:val="0"/>
                <w:szCs w:val="21"/>
              </w:rPr>
              <w:t>尾矿库重大生产安全事故隐患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（九）排洪系统构筑物严重堵塞或坍塌，导致排水能力急剧下降。</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ind w:firstLine="420" w:firstLineChars="200"/>
              <w:rPr>
                <w:rFonts w:ascii="宋体" w:hAnsi="宋体"/>
                <w:szCs w:val="21"/>
              </w:rPr>
            </w:pPr>
          </w:p>
        </w:tc>
        <w:tc>
          <w:tcPr>
            <w:tcW w:w="1777" w:type="dxa"/>
            <w:vMerge w:val="continue"/>
            <w:vAlign w:val="center"/>
          </w:tcPr>
          <w:p>
            <w:pPr>
              <w:ind w:firstLine="420" w:firstLineChars="200"/>
              <w:rPr>
                <w:rFonts w:ascii="宋体" w:hAnsi="宋体"/>
                <w:szCs w:val="21"/>
              </w:rPr>
            </w:pPr>
          </w:p>
        </w:tc>
        <w:tc>
          <w:tcPr>
            <w:tcW w:w="1863" w:type="dxa"/>
            <w:vAlign w:val="center"/>
          </w:tcPr>
          <w:p>
            <w:pPr>
              <w:rPr>
                <w:rFonts w:ascii="宋体" w:hAnsi="宋体"/>
                <w:szCs w:val="21"/>
              </w:rPr>
            </w:pPr>
            <w:r>
              <w:rPr>
                <w:rFonts w:hint="eastAsia" w:ascii="宋体" w:hAnsi="宋体"/>
                <w:szCs w:val="21"/>
              </w:rPr>
              <w:t>3.10 设计以外的尾矿、废料或者废水应避免进库</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w:t>
            </w:r>
            <w:r>
              <w:rPr>
                <w:rFonts w:hint="eastAsia" w:ascii="宋体" w:hAnsi="宋体" w:cs="宋体"/>
                <w:kern w:val="0"/>
                <w:szCs w:val="21"/>
                <w:highlight w:val="none"/>
              </w:rPr>
              <w:t>法》第</w:t>
            </w:r>
            <w:r>
              <w:rPr>
                <w:rFonts w:hint="eastAsia" w:ascii="宋体" w:hAnsi="宋体" w:cs="宋体"/>
                <w:kern w:val="0"/>
                <w:szCs w:val="21"/>
              </w:rPr>
              <w:t>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w:t>
            </w:r>
            <w:r>
              <w:rPr>
                <w:rFonts w:hint="eastAsia" w:ascii="宋体" w:hAnsi="宋体" w:cs="宋体"/>
                <w:bCs/>
                <w:kern w:val="0"/>
                <w:szCs w:val="21"/>
              </w:rPr>
              <w:t>尾矿库重大生产安全事故隐患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（十）设计以外的尾矿、废料或者废水进库。</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ind w:firstLine="420" w:firstLineChars="200"/>
              <w:rPr>
                <w:rFonts w:ascii="宋体" w:hAnsi="宋体"/>
                <w:szCs w:val="21"/>
              </w:rPr>
            </w:pPr>
          </w:p>
        </w:tc>
        <w:tc>
          <w:tcPr>
            <w:tcW w:w="1777" w:type="dxa"/>
            <w:vMerge w:val="continue"/>
            <w:vAlign w:val="center"/>
          </w:tcPr>
          <w:p>
            <w:pPr>
              <w:ind w:firstLine="420" w:firstLineChars="200"/>
              <w:rPr>
                <w:rFonts w:ascii="宋体" w:hAnsi="宋体"/>
                <w:szCs w:val="21"/>
              </w:rPr>
            </w:pPr>
          </w:p>
        </w:tc>
        <w:tc>
          <w:tcPr>
            <w:tcW w:w="1863" w:type="dxa"/>
            <w:vAlign w:val="center"/>
          </w:tcPr>
          <w:p>
            <w:pPr>
              <w:rPr>
                <w:rFonts w:ascii="宋体" w:hAnsi="宋体"/>
                <w:szCs w:val="21"/>
              </w:rPr>
            </w:pPr>
            <w:r>
              <w:rPr>
                <w:rFonts w:hint="eastAsia" w:ascii="宋体" w:hAnsi="宋体"/>
                <w:szCs w:val="21"/>
              </w:rPr>
              <w:t>3.11 多种矿石性质不同的尾砂混合排放时，应按设计要求进行</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w:t>
            </w:r>
            <w:r>
              <w:rPr>
                <w:rFonts w:hint="eastAsia" w:ascii="宋体" w:hAnsi="宋体" w:cs="宋体"/>
                <w:bCs/>
                <w:kern w:val="0"/>
                <w:szCs w:val="21"/>
              </w:rPr>
              <w:t>尾矿库重大生产安全事故隐患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（十一）多种矿石性质不同的尾砂混合排放时，未按设计要求进行排放。</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5" w:hRule="atLeast"/>
          <w:jc w:val="center"/>
        </w:trPr>
        <w:tc>
          <w:tcPr>
            <w:tcW w:w="862" w:type="dxa"/>
            <w:vMerge w:val="continue"/>
            <w:vAlign w:val="center"/>
          </w:tcPr>
          <w:p>
            <w:pPr>
              <w:ind w:firstLine="420" w:firstLineChars="200"/>
              <w:rPr>
                <w:rFonts w:ascii="宋体" w:hAnsi="宋体"/>
                <w:szCs w:val="21"/>
              </w:rPr>
            </w:pPr>
          </w:p>
        </w:tc>
        <w:tc>
          <w:tcPr>
            <w:tcW w:w="1777" w:type="dxa"/>
            <w:vMerge w:val="continue"/>
            <w:vAlign w:val="center"/>
          </w:tcPr>
          <w:p>
            <w:pPr>
              <w:ind w:firstLine="420" w:firstLineChars="200"/>
              <w:rPr>
                <w:rFonts w:ascii="宋体" w:hAnsi="宋体"/>
                <w:szCs w:val="21"/>
              </w:rPr>
            </w:pPr>
          </w:p>
        </w:tc>
        <w:tc>
          <w:tcPr>
            <w:tcW w:w="1863" w:type="dxa"/>
            <w:vAlign w:val="center"/>
          </w:tcPr>
          <w:p>
            <w:pPr>
              <w:rPr>
                <w:rFonts w:ascii="宋体" w:hAnsi="宋体"/>
                <w:szCs w:val="21"/>
              </w:rPr>
            </w:pPr>
            <w:r>
              <w:rPr>
                <w:rFonts w:hint="eastAsia" w:ascii="宋体" w:hAnsi="宋体"/>
                <w:szCs w:val="21"/>
              </w:rPr>
              <w:t>3.12 冬季采用冰下放矿作业应按照设计要求进行</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《国家安全监管总局关于印发〈金属非金属矿山重大生产安全事故隐患判定标准（试行）〉的通知》(安监总管一〔2017〕98号)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w:t>
            </w:r>
            <w:r>
              <w:rPr>
                <w:rFonts w:hint="eastAsia" w:ascii="宋体" w:hAnsi="宋体" w:cs="宋体"/>
                <w:bCs/>
                <w:kern w:val="0"/>
                <w:szCs w:val="21"/>
              </w:rPr>
              <w:t>尾矿库重大生产安全事故隐患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（十二）冬季未按照设计要求采用冰下放矿作业。</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ind w:firstLine="420" w:firstLineChars="200"/>
              <w:rPr>
                <w:rFonts w:ascii="宋体" w:hAnsi="宋体"/>
                <w:szCs w:val="21"/>
              </w:rPr>
            </w:pPr>
          </w:p>
        </w:tc>
      </w:tr>
    </w:tbl>
    <w:p/>
    <w:p/>
    <w:p>
      <w:pPr>
        <w:pStyle w:val="2"/>
        <w:ind w:firstLine="420"/>
      </w:pPr>
    </w:p>
    <w:p/>
    <w:p>
      <w:pPr>
        <w:pStyle w:val="2"/>
        <w:ind w:firstLine="420"/>
      </w:pPr>
    </w:p>
    <w:p/>
    <w:p>
      <w:pPr>
        <w:pStyle w:val="2"/>
      </w:pPr>
    </w:p>
    <w:p/>
    <w:p>
      <w:pPr>
        <w:pStyle w:val="2"/>
      </w:pPr>
    </w:p>
    <w:p/>
    <w:p>
      <w:pPr>
        <w:pStyle w:val="2"/>
      </w:pPr>
    </w:p>
    <w:p/>
    <w:p>
      <w:pPr>
        <w:pStyle w:val="2"/>
      </w:pPr>
    </w:p>
    <w:p/>
    <w:p>
      <w:pPr>
        <w:pStyle w:val="4"/>
      </w:pPr>
      <w:r>
        <w:rPr>
          <w:rFonts w:hint="eastAsia" w:ascii="黑体" w:hAnsi="黑体" w:eastAsia="黑体"/>
          <w:b w:val="0"/>
        </w:rPr>
        <w:t>表</w:t>
      </w:r>
      <w:r>
        <w:rPr>
          <w:rFonts w:ascii="黑体" w:hAnsi="黑体" w:eastAsia="黑体"/>
          <w:b w:val="0"/>
        </w:rPr>
        <w:t>7-2  化工和危险化学品生产经营单位重大生产安全事故</w:t>
      </w:r>
      <w:r>
        <w:rPr>
          <w:rFonts w:hint="eastAsia" w:ascii="黑体" w:hAnsi="黑体" w:eastAsia="黑体"/>
          <w:b w:val="0"/>
        </w:rPr>
        <w:t>隐患</w:t>
      </w:r>
    </w:p>
    <w:tbl>
      <w:tblPr>
        <w:tblStyle w:val="19"/>
        <w:tblW w:w="13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862"/>
        <w:gridCol w:w="1777"/>
        <w:gridCol w:w="1863"/>
        <w:gridCol w:w="5110"/>
        <w:gridCol w:w="3448"/>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tblHeader/>
          <w:jc w:val="center"/>
        </w:trPr>
        <w:tc>
          <w:tcPr>
            <w:tcW w:w="862"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序号</w:t>
            </w:r>
          </w:p>
        </w:tc>
        <w:tc>
          <w:tcPr>
            <w:tcW w:w="1777"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检查事项</w:t>
            </w:r>
          </w:p>
        </w:tc>
        <w:tc>
          <w:tcPr>
            <w:tcW w:w="1863"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检查内容</w:t>
            </w:r>
          </w:p>
        </w:tc>
        <w:tc>
          <w:tcPr>
            <w:tcW w:w="5110"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检查依据指引</w:t>
            </w:r>
          </w:p>
        </w:tc>
        <w:tc>
          <w:tcPr>
            <w:tcW w:w="3448"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法律责任指引</w:t>
            </w:r>
          </w:p>
        </w:tc>
        <w:tc>
          <w:tcPr>
            <w:tcW w:w="819"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restart"/>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1</w:t>
            </w:r>
          </w:p>
        </w:tc>
        <w:tc>
          <w:tcPr>
            <w:tcW w:w="1777" w:type="dxa"/>
            <w:vMerge w:val="restart"/>
            <w:vAlign w:val="center"/>
          </w:tcPr>
          <w:p>
            <w:pPr>
              <w:widowControl/>
              <w:adjustRightInd w:val="0"/>
              <w:snapToGrid w:val="0"/>
              <w:rPr>
                <w:rFonts w:ascii="宋体" w:hAnsi="宋体" w:cs="宋体"/>
                <w:bCs/>
                <w:kern w:val="0"/>
                <w:szCs w:val="21"/>
              </w:rPr>
            </w:pPr>
            <w:r>
              <w:rPr>
                <w:rFonts w:hint="eastAsia" w:ascii="宋体" w:hAnsi="宋体" w:cs="宋体"/>
                <w:kern w:val="0"/>
                <w:szCs w:val="21"/>
              </w:rPr>
              <w:t>化工和危险化学品生产经营单位重大生产安全事故隐患</w:t>
            </w:r>
          </w:p>
        </w:tc>
        <w:tc>
          <w:tcPr>
            <w:tcW w:w="1863" w:type="dxa"/>
            <w:vAlign w:val="center"/>
          </w:tcPr>
          <w:p>
            <w:pPr>
              <w:widowControl/>
              <w:adjustRightInd w:val="0"/>
              <w:snapToGrid w:val="0"/>
              <w:rPr>
                <w:rFonts w:ascii="宋体" w:hAnsi="宋体" w:cs="宋体"/>
                <w:bCs/>
                <w:kern w:val="0"/>
                <w:szCs w:val="21"/>
              </w:rPr>
            </w:pPr>
            <w:r>
              <w:rPr>
                <w:rFonts w:hint="eastAsia" w:ascii="宋体" w:hAnsi="宋体" w:cs="宋体"/>
                <w:kern w:val="0"/>
                <w:szCs w:val="21"/>
              </w:rPr>
              <w:t xml:space="preserve">1.1 危险化学品生产、经营单位主要负责人和安全生产管理人员应依法考核合格 </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《安全生产法》第二十四条  生产经营单位的主要负责人和安全生产管理人员必须具备与本单位所从事的生产经营活动相应的安全生产知识和管理能力。</w:t>
            </w:r>
            <w:r>
              <w:rPr>
                <w:rFonts w:hint="eastAsia" w:ascii="宋体" w:hAnsi="宋体" w:cs="宋体"/>
                <w:kern w:val="0"/>
                <w:szCs w:val="21"/>
              </w:rPr>
              <w:br w:type="textWrapping"/>
            </w:r>
            <w:r>
              <w:rPr>
                <w:rFonts w:hint="eastAsia" w:ascii="宋体" w:hAnsi="宋体" w:cs="宋体"/>
                <w:kern w:val="0"/>
                <w:szCs w:val="21"/>
              </w:rPr>
              <w:t xml:space="preserve">    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化工和危险化学品类：一、危险化学品生产、经营单位主要负责人和安全生产管理人员未依法经考核合格。</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（二）危险物品的生产、经营、储存单位以及矿山、金属冶炼、建筑施工、道路运输单位的主要负责人和安全生产管理人员未按照规定经考核合格的；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highlight w:val="none"/>
              </w:rPr>
              <w:t>……</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1.2 特种作业人员应持证上岗</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《安全生产法》第二十七条  生产经营单位的特种作业人员必须按照国家有关规定经专门的安全作业培训，取得相应资格，方可上岗作业。</w:t>
            </w:r>
            <w:r>
              <w:rPr>
                <w:rFonts w:hint="eastAsia" w:ascii="宋体" w:hAnsi="宋体" w:cs="宋体"/>
                <w:kern w:val="0"/>
                <w:szCs w:val="21"/>
              </w:rPr>
              <w:br w:type="textWrapping"/>
            </w:r>
            <w:r>
              <w:rPr>
                <w:rFonts w:hint="eastAsia" w:ascii="宋体" w:hAnsi="宋体" w:cs="宋体"/>
                <w:kern w:val="0"/>
                <w:szCs w:val="21"/>
              </w:rPr>
              <w:t xml:space="preserve">    特种作业人员的范围由国务院安全生产监督管理部门会同国务院有关部门确定。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化工和危险化学品类：二、特种作业人员未持证上岗。</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rPr>
                <w:rFonts w:ascii="宋体" w:hAnsi="宋体" w:cs="宋体"/>
                <w:kern w:val="0"/>
                <w:szCs w:val="21"/>
                <w:highlight w:val="none"/>
              </w:rPr>
            </w:pPr>
            <w:r>
              <w:rPr>
                <w:rFonts w:hint="eastAsia" w:ascii="宋体" w:hAnsi="宋体" w:cs="宋体"/>
                <w:kern w:val="0"/>
                <w:szCs w:val="21"/>
                <w:highlight w:val="none"/>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（七）特种作业人员未按照规定经专门的安全作业培训并取得相应资格，上岗作业的。</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1.3 涉及“两重点一重大”的生产装置、储存设施外部安全防护距离应符合国家标准要求</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化工和危险化学品类：三、涉及“两重点一重大”的生产装置、储存设施外部安全防护距离不符合国家标准要求。</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1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1.4 涉及重点监管危险化工工艺的装置应实现自动化控制，系统应实现紧急停车功能，装备的自动化控制系统、紧急停车系统应投入使用</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化工和危险化学品类：四、涉及重点监管危险化工工艺的装置未实现自动化控制，系统未实现紧急停车功能，装备的自动化控制系统、紧急停车系统未投入使用。</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1.5 构成一级、二级重大危险源的危险化学品罐区应实现紧急切断功能；涉及毒性气体、液化气体、剧毒液体的一级、二级重大危险源的危险化学品罐区应配备独立的安全仪表系统</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化工和危险化学品类：五、构成一级、二级重大危险源的危险化学品罐区未实现紧急切断功能；涉及毒性气体、液化气体、剧毒液体的一级、二级重大危险源的危险化学品罐区未配备独立的安全仪表系统。</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widowControl/>
              <w:adjustRightInd w:val="0"/>
              <w:snapToGrid w:val="0"/>
              <w:ind w:firstLine="420" w:firstLineChars="200"/>
              <w:rPr>
                <w:rFonts w:ascii="宋体" w:hAnsi="宋体" w:cs="宋体"/>
                <w:kern w:val="0"/>
                <w:szCs w:val="21"/>
              </w:rPr>
            </w:pP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1.6 全压力式液化烃储罐应按国家标准设置注水措施</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化工和危险化学品类：六、全压力式液化烃储罐未按国家标准设置注水措施。</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1.7 液化烃、液氨、液氯等易燃易爆、有毒有害液化气体的充装应使用万向管道充装系统</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化工和危险化学品类：七、液化烃、液氨、液氯等易燃易爆、有毒有害液化气体的充装未使用万向管道充装系统。</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1.8 光气、氯气等剧毒气体及硫化氢气体管道应避免穿越除厂区（包括化工园区、工业园区）外的公共区域</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化工和危险化学品类：八、光气、氯气等剧毒气体及硫化氢气体管道穿越除厂区（包括化工园区、工业园区）外的公共区域。</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rPr>
                <w:rFonts w:ascii="宋体" w:hAnsi="宋体" w:cs="宋体"/>
                <w:bCs/>
                <w:kern w:val="0"/>
                <w:szCs w:val="21"/>
              </w:rPr>
            </w:pPr>
          </w:p>
        </w:tc>
        <w:tc>
          <w:tcPr>
            <w:tcW w:w="1777" w:type="dxa"/>
            <w:vMerge w:val="continue"/>
            <w:vAlign w:val="center"/>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1.9 地区架空电力线路穿越生产区应符合国家标准要求</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化工和危险化学品类：九、地区架空电力线路穿越生产区且不符合国家标准要求。</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tcPr>
          <w:p>
            <w:pPr>
              <w:widowControl/>
              <w:adjustRightInd w:val="0"/>
              <w:snapToGrid w:val="0"/>
              <w:rPr>
                <w:rFonts w:ascii="宋体" w:hAnsi="宋体" w:cs="宋体"/>
                <w:bCs/>
                <w:kern w:val="0"/>
                <w:szCs w:val="21"/>
              </w:rPr>
            </w:pPr>
          </w:p>
        </w:tc>
        <w:tc>
          <w:tcPr>
            <w:tcW w:w="1777" w:type="dxa"/>
            <w:vMerge w:val="continue"/>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1.10 在役化工装置应符合正规设计</w:t>
            </w:r>
            <w:r>
              <w:rPr>
                <w:rFonts w:hint="eastAsia" w:ascii="宋体" w:hAnsi="宋体" w:cs="宋体"/>
                <w:kern w:val="0"/>
                <w:szCs w:val="21"/>
                <w:lang w:eastAsia="zh-CN"/>
              </w:rPr>
              <w:t>，</w:t>
            </w:r>
            <w:r>
              <w:rPr>
                <w:rFonts w:hint="eastAsia" w:ascii="宋体" w:hAnsi="宋体" w:cs="宋体"/>
                <w:kern w:val="0"/>
                <w:szCs w:val="21"/>
              </w:rPr>
              <w:t>进行安全设计诊断</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化工和危险化学品类：十、在役化工装置未经正规设计且未进行安全设计诊断。</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tcPr>
          <w:p>
            <w:pPr>
              <w:widowControl/>
              <w:adjustRightInd w:val="0"/>
              <w:snapToGrid w:val="0"/>
              <w:rPr>
                <w:rFonts w:ascii="宋体" w:hAnsi="宋体" w:cs="宋体"/>
                <w:bCs/>
                <w:kern w:val="0"/>
                <w:szCs w:val="21"/>
              </w:rPr>
            </w:pPr>
          </w:p>
        </w:tc>
        <w:tc>
          <w:tcPr>
            <w:tcW w:w="1777" w:type="dxa"/>
            <w:vMerge w:val="continue"/>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1.11 安全技术工艺、设备目录列出的工艺、设备应符合国家规定</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《安全生产法》第三十五条  国家对严重危及生产安全的工艺、设备实行淘汰制度，具体目录由国务院安全生产监督管理部门会同国务院有关部门制定并公布。法律、行政法规对目录的制定另有规定的，适用其规定。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生产经营单位不得使用应当淘汰的危及生产安全的工艺、设备。</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化工和危险化学品类：十一、使用淘汰落后安全技术工艺、设备目录列出的工艺、设备。</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（六）使用应当淘汰的危及生产安全的工艺、设备的。</w:t>
            </w:r>
          </w:p>
        </w:tc>
        <w:tc>
          <w:tcPr>
            <w:tcW w:w="819" w:type="dxa"/>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tcPr>
          <w:p>
            <w:pPr>
              <w:widowControl/>
              <w:adjustRightInd w:val="0"/>
              <w:snapToGrid w:val="0"/>
              <w:rPr>
                <w:rFonts w:ascii="宋体" w:hAnsi="宋体" w:cs="宋体"/>
                <w:bCs/>
                <w:kern w:val="0"/>
                <w:szCs w:val="21"/>
              </w:rPr>
            </w:pPr>
          </w:p>
        </w:tc>
        <w:tc>
          <w:tcPr>
            <w:tcW w:w="1777" w:type="dxa"/>
            <w:vMerge w:val="continue"/>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1.12 涉及可燃和有毒有害气体泄漏的场所应按国家标准设置检测报警装置，爆炸危险场所应按国家标准安装使用防爆电气设备</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化工和危险化学品类：十二、涉及可燃和有毒有害气体泄漏的场所未按国家标准设置检测报警装置，爆炸危险场所未按国家标准安装使用防爆电气设备。</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tcPr>
          <w:p>
            <w:pPr>
              <w:widowControl/>
              <w:adjustRightInd w:val="0"/>
              <w:snapToGrid w:val="0"/>
              <w:rPr>
                <w:rFonts w:ascii="宋体" w:hAnsi="宋体" w:cs="宋体"/>
                <w:bCs/>
                <w:kern w:val="0"/>
                <w:szCs w:val="21"/>
              </w:rPr>
            </w:pPr>
          </w:p>
        </w:tc>
        <w:tc>
          <w:tcPr>
            <w:tcW w:w="1777" w:type="dxa"/>
            <w:vMerge w:val="continue"/>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1.13 控制室或机柜间面向具有火灾、爆炸危险性装置一侧应满足国家标准关于防火防爆的要求</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化工和危险化学品类：十三、控制室或机柜间面向具有火灾、爆炸危险性装置一侧不满足国家标准关于防火防爆的要求。</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tcPr>
          <w:p>
            <w:pPr>
              <w:widowControl/>
              <w:adjustRightInd w:val="0"/>
              <w:snapToGrid w:val="0"/>
              <w:rPr>
                <w:rFonts w:ascii="宋体" w:hAnsi="宋体" w:cs="宋体"/>
                <w:bCs/>
                <w:kern w:val="0"/>
                <w:szCs w:val="21"/>
              </w:rPr>
            </w:pPr>
          </w:p>
        </w:tc>
        <w:tc>
          <w:tcPr>
            <w:tcW w:w="1777" w:type="dxa"/>
            <w:vMerge w:val="continue"/>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1.14 化工生产装置应按国家标准要求设置双重电源供电，自动化控制系统应设置不间断电源</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化工和危险化学品类：十四、化工生产装置未按国家标准要求设置双重电源供电，自动化控制系统未设置不间断电源。</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tcPr>
          <w:p>
            <w:pPr>
              <w:widowControl/>
              <w:adjustRightInd w:val="0"/>
              <w:snapToGrid w:val="0"/>
              <w:rPr>
                <w:rFonts w:ascii="宋体" w:hAnsi="宋体" w:cs="宋体"/>
                <w:bCs/>
                <w:kern w:val="0"/>
                <w:szCs w:val="21"/>
              </w:rPr>
            </w:pPr>
          </w:p>
        </w:tc>
        <w:tc>
          <w:tcPr>
            <w:tcW w:w="1777" w:type="dxa"/>
            <w:vMerge w:val="continue"/>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1.15 安全阀、爆破片等安全附件应正常投用</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化工和危险化学品类：十五、安全阀、爆破片等安全附件未正常投用。</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tcPr>
          <w:p>
            <w:pPr>
              <w:widowControl/>
              <w:adjustRightInd w:val="0"/>
              <w:snapToGrid w:val="0"/>
              <w:rPr>
                <w:rFonts w:ascii="宋体" w:hAnsi="宋体" w:cs="宋体"/>
                <w:bCs/>
                <w:kern w:val="0"/>
                <w:szCs w:val="21"/>
              </w:rPr>
            </w:pPr>
          </w:p>
        </w:tc>
        <w:tc>
          <w:tcPr>
            <w:tcW w:w="1777" w:type="dxa"/>
            <w:vMerge w:val="continue"/>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1.16 建立与岗位相匹配的全员安全生产责任制或者制定实施生产安全事故隐患排查治理制度</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w:t>
            </w:r>
            <w:r>
              <w:rPr>
                <w:rFonts w:hint="eastAsia" w:ascii="宋体" w:hAnsi="宋体" w:cs="宋体"/>
                <w:kern w:val="0"/>
                <w:szCs w:val="21"/>
                <w:highlight w:val="none"/>
              </w:rPr>
              <w:t>产法》</w:t>
            </w:r>
            <w:r>
              <w:rPr>
                <w:rFonts w:hint="eastAsia" w:ascii="宋体" w:hAnsi="宋体" w:cs="宋体"/>
                <w:kern w:val="0"/>
                <w:szCs w:val="21"/>
              </w:rPr>
              <w:t>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化工和危险化学品类：十六、未建立与岗位相匹配的全员安全生产责任制或者未制定实施生产安全事故隐患排查治理制度。</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ascii="宋体" w:hAnsi="宋体" w:cs="宋体"/>
                <w:kern w:val="0"/>
                <w:szCs w:val="21"/>
                <w:highlight w:val="none"/>
              </w:rPr>
            </w:pPr>
            <w:r>
              <w:rPr>
                <w:rFonts w:hint="eastAsia" w:ascii="宋体" w:hAnsi="宋体" w:cs="宋体"/>
                <w:kern w:val="0"/>
                <w:szCs w:val="21"/>
                <w:highlight w:val="none"/>
              </w:rPr>
              <w:t>……</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（四）未建立事故隐患排查治理制度的。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tcPr>
          <w:p>
            <w:pPr>
              <w:widowControl/>
              <w:adjustRightInd w:val="0"/>
              <w:snapToGrid w:val="0"/>
              <w:rPr>
                <w:rFonts w:ascii="宋体" w:hAnsi="宋体" w:cs="宋体"/>
                <w:bCs/>
                <w:kern w:val="0"/>
                <w:szCs w:val="21"/>
              </w:rPr>
            </w:pPr>
          </w:p>
        </w:tc>
        <w:tc>
          <w:tcPr>
            <w:tcW w:w="1777" w:type="dxa"/>
            <w:vMerge w:val="continue"/>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1.17 制定操作规程和工艺控制指标</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化工和危险化学品类：十七、未制定操作规程和工艺控制指标。</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tcPr>
          <w:p>
            <w:pPr>
              <w:widowControl/>
              <w:adjustRightInd w:val="0"/>
              <w:snapToGrid w:val="0"/>
              <w:rPr>
                <w:rFonts w:ascii="宋体" w:hAnsi="宋体" w:cs="宋体"/>
                <w:bCs/>
                <w:kern w:val="0"/>
                <w:szCs w:val="21"/>
              </w:rPr>
            </w:pPr>
          </w:p>
        </w:tc>
        <w:tc>
          <w:tcPr>
            <w:tcW w:w="1777" w:type="dxa"/>
            <w:vMerge w:val="continue"/>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1.18 动火、进入受限空间等特殊作业管理制度应符合国家标准；制度有效执行情况</w:t>
            </w:r>
          </w:p>
        </w:tc>
        <w:tc>
          <w:tcPr>
            <w:tcW w:w="5110" w:type="dxa"/>
            <w:vAlign w:val="center"/>
          </w:tcPr>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《安全生产法》第三十六条  ……</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pStyle w:val="2"/>
              <w:rPr>
                <w:rFonts w:ascii="宋体" w:hAnsi="宋体" w:cs="宋体"/>
                <w:kern w:val="0"/>
                <w:szCs w:val="21"/>
              </w:rPr>
            </w:pPr>
            <w:r>
              <w:rPr>
                <w:rFonts w:hint="eastAsia" w:ascii="宋体" w:hAnsi="宋体" w:eastAsia="宋体" w:cs="宋体"/>
                <w:kern w:val="0"/>
                <w:sz w:val="21"/>
                <w:szCs w:val="21"/>
                <w:lang w:val="en-US" w:eastAsia="zh-CN" w:bidi="ar-SA"/>
              </w:rPr>
              <w:t>化工和危险化学品类：十八、未按照国家标准制定动火、进入受限空间等特殊作业管理制度，或者制度未有效执行。</w:t>
            </w:r>
          </w:p>
        </w:tc>
        <w:tc>
          <w:tcPr>
            <w:tcW w:w="3448" w:type="dxa"/>
            <w:vAlign w:val="center"/>
          </w:tcPr>
          <w:p>
            <w:pPr>
              <w:widowControl/>
              <w:adjustRightInd w:val="0"/>
              <w:snapToGrid w:val="0"/>
              <w:ind w:firstLine="420" w:firstLineChars="200"/>
              <w:rPr>
                <w:rFonts w:ascii="宋体" w:hAnsi="宋体" w:cs="宋体"/>
                <w:kern w:val="0"/>
                <w:szCs w:val="21"/>
                <w:highlight w:val="none"/>
              </w:rPr>
            </w:pPr>
            <w:r>
              <w:rPr>
                <w:rFonts w:hint="eastAsia" w:ascii="宋体" w:hAnsi="宋体" w:cs="宋体"/>
                <w:kern w:val="0"/>
                <w:szCs w:val="21"/>
                <w:highlight w:val="none"/>
              </w:rPr>
              <w:t>《安全生产法》第九十八条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ascii="宋体" w:hAnsi="宋体" w:cs="宋体"/>
                <w:kern w:val="0"/>
                <w:szCs w:val="21"/>
                <w:highlight w:val="none"/>
              </w:rPr>
            </w:pPr>
            <w:r>
              <w:rPr>
                <w:rFonts w:hint="eastAsia" w:ascii="宋体" w:hAnsi="宋体" w:cs="宋体"/>
                <w:kern w:val="0"/>
                <w:szCs w:val="21"/>
                <w:highlight w:val="none"/>
              </w:rPr>
              <w:t>（一）生产、经营、运输、储存、使用危险物品或者处置废弃危险物品，未建立专门安全管理制度、未采取可靠的安全措施的；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highlight w:val="none"/>
              </w:rPr>
              <w:t>……</w:t>
            </w:r>
          </w:p>
        </w:tc>
        <w:tc>
          <w:tcPr>
            <w:tcW w:w="819" w:type="dxa"/>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tcPr>
          <w:p>
            <w:pPr>
              <w:widowControl/>
              <w:adjustRightInd w:val="0"/>
              <w:snapToGrid w:val="0"/>
              <w:rPr>
                <w:rFonts w:ascii="宋体" w:hAnsi="宋体" w:cs="宋体"/>
                <w:bCs/>
                <w:kern w:val="0"/>
                <w:szCs w:val="21"/>
              </w:rPr>
            </w:pPr>
          </w:p>
        </w:tc>
        <w:tc>
          <w:tcPr>
            <w:tcW w:w="1777" w:type="dxa"/>
            <w:vMerge w:val="continue"/>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1.19 新开发的危险化学品生产工艺进行工业化生产应经小试、中试、工业化试验；国内首次使用的化工工艺应经过省级人民政府有关部门组织的安全可靠性论证；新建装置应制定试生产方案投料开车；精细化工企业应按规范性文件要求开展反应安全风险评估</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化工和危险化学品类：十九、新开发的危险化学品生产工艺未经小试、中试、工业化试验直接进行工业化生产；国内首次使用的化工工艺未经过省级人民政府有关部门组织的安全可靠性论证；新建装置未制定试生产方案投料开车；精细化工企业未按规范性文件要求开展反应安全风险评估。</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tcPr>
          <w:p>
            <w:pPr>
              <w:widowControl/>
              <w:adjustRightInd w:val="0"/>
              <w:snapToGrid w:val="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tcPr>
          <w:p>
            <w:pPr>
              <w:widowControl/>
              <w:adjustRightInd w:val="0"/>
              <w:snapToGrid w:val="0"/>
              <w:rPr>
                <w:rFonts w:ascii="宋体" w:hAnsi="宋体" w:cs="宋体"/>
                <w:bCs/>
                <w:kern w:val="0"/>
                <w:szCs w:val="21"/>
              </w:rPr>
            </w:pPr>
          </w:p>
        </w:tc>
        <w:tc>
          <w:tcPr>
            <w:tcW w:w="1777" w:type="dxa"/>
            <w:vMerge w:val="continue"/>
          </w:tcPr>
          <w:p>
            <w:pPr>
              <w:widowControl/>
              <w:adjustRightInd w:val="0"/>
              <w:snapToGrid w:val="0"/>
              <w:rPr>
                <w:rFonts w:ascii="宋体" w:hAnsi="宋体" w:cs="宋体"/>
                <w:bCs/>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1.20 危险化学品储存应按国家标准分区分类，避免超量、超品种储存，相互禁配物质应避免混放混存</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化工和危险化学品类：二十、未按国家标准分区分类储存危险化学品，超量、超品种储存危险化学品，相互禁配物质混放混存。</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tcPr>
          <w:p>
            <w:pPr>
              <w:widowControl/>
              <w:adjustRightInd w:val="0"/>
              <w:snapToGrid w:val="0"/>
              <w:rPr>
                <w:rFonts w:ascii="宋体" w:hAnsi="宋体" w:cs="宋体"/>
                <w:bCs/>
                <w:kern w:val="0"/>
                <w:szCs w:val="21"/>
              </w:rPr>
            </w:pPr>
          </w:p>
        </w:tc>
      </w:tr>
    </w:tbl>
    <w:p/>
    <w:p>
      <w:r>
        <w:br w:type="page"/>
      </w:r>
    </w:p>
    <w:p>
      <w:pPr>
        <w:pStyle w:val="2"/>
        <w:ind w:firstLine="420"/>
      </w:pPr>
    </w:p>
    <w:p>
      <w:pPr>
        <w:rPr>
          <w:rFonts w:ascii="黑体" w:hAnsi="黑体" w:eastAsia="黑体"/>
          <w:sz w:val="32"/>
          <w:szCs w:val="32"/>
        </w:rPr>
      </w:pPr>
      <w:r>
        <w:rPr>
          <w:rFonts w:hint="eastAsia" w:ascii="黑体" w:hAnsi="黑体" w:eastAsia="黑体"/>
          <w:sz w:val="32"/>
          <w:szCs w:val="32"/>
        </w:rPr>
        <w:t>表</w:t>
      </w:r>
      <w:r>
        <w:rPr>
          <w:rFonts w:ascii="黑体" w:hAnsi="黑体" w:eastAsia="黑体"/>
          <w:sz w:val="32"/>
          <w:szCs w:val="32"/>
        </w:rPr>
        <w:t>7-3  烟花爆竹生产经营单位重大生产安全事故隐患</w:t>
      </w:r>
    </w:p>
    <w:p>
      <w:pPr>
        <w:pStyle w:val="2"/>
        <w:ind w:firstLine="0" w:firstLineChars="0"/>
      </w:pPr>
    </w:p>
    <w:tbl>
      <w:tblPr>
        <w:tblStyle w:val="19"/>
        <w:tblW w:w="13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862"/>
        <w:gridCol w:w="1777"/>
        <w:gridCol w:w="1863"/>
        <w:gridCol w:w="5110"/>
        <w:gridCol w:w="3448"/>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tblHeader/>
          <w:jc w:val="center"/>
        </w:trPr>
        <w:tc>
          <w:tcPr>
            <w:tcW w:w="862"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序号</w:t>
            </w:r>
          </w:p>
        </w:tc>
        <w:tc>
          <w:tcPr>
            <w:tcW w:w="1777"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检查事项</w:t>
            </w:r>
          </w:p>
        </w:tc>
        <w:tc>
          <w:tcPr>
            <w:tcW w:w="1863"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检查内容</w:t>
            </w:r>
          </w:p>
        </w:tc>
        <w:tc>
          <w:tcPr>
            <w:tcW w:w="5110"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检查依据指引</w:t>
            </w:r>
          </w:p>
        </w:tc>
        <w:tc>
          <w:tcPr>
            <w:tcW w:w="3448"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法律责任指引</w:t>
            </w:r>
          </w:p>
        </w:tc>
        <w:tc>
          <w:tcPr>
            <w:tcW w:w="819"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restart"/>
            <w:vAlign w:val="center"/>
          </w:tcPr>
          <w:p>
            <w:pPr>
              <w:widowControl/>
              <w:adjustRightInd w:val="0"/>
              <w:snapToGrid w:val="0"/>
              <w:jc w:val="center"/>
              <w:rPr>
                <w:rFonts w:ascii="宋体" w:hAnsi="宋体" w:cs="宋体"/>
                <w:b/>
                <w:kern w:val="0"/>
                <w:szCs w:val="21"/>
              </w:rPr>
            </w:pPr>
            <w:r>
              <w:rPr>
                <w:rFonts w:hint="eastAsia" w:ascii="宋体" w:hAnsi="宋体" w:cs="宋体"/>
                <w:bCs/>
                <w:kern w:val="0"/>
                <w:szCs w:val="21"/>
              </w:rPr>
              <w:t>1</w:t>
            </w:r>
          </w:p>
        </w:tc>
        <w:tc>
          <w:tcPr>
            <w:tcW w:w="1777" w:type="dxa"/>
            <w:vMerge w:val="restart"/>
            <w:vAlign w:val="center"/>
          </w:tcPr>
          <w:p>
            <w:pPr>
              <w:widowControl/>
              <w:adjustRightInd w:val="0"/>
              <w:snapToGrid w:val="0"/>
              <w:jc w:val="center"/>
              <w:rPr>
                <w:rFonts w:ascii="宋体" w:hAnsi="宋体" w:cs="宋体"/>
                <w:b/>
                <w:kern w:val="0"/>
                <w:szCs w:val="21"/>
              </w:rPr>
            </w:pPr>
            <w:r>
              <w:rPr>
                <w:rFonts w:hint="eastAsia" w:ascii="宋体" w:hAnsi="宋体" w:cs="宋体"/>
                <w:kern w:val="0"/>
                <w:szCs w:val="21"/>
              </w:rPr>
              <w:t>烟花爆竹生产经营单位重大生产安全事故隐患</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1.1 主要负责人、安全生产管理人员应依法经考核合格</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《安全生产法》第二十四条  生产经营单位的主要负责人和安全生产管理人员必须具备与本单位所从事的生产经营活动相应的安全生产知识和管理能力。</w:t>
            </w:r>
            <w:r>
              <w:rPr>
                <w:rFonts w:hint="eastAsia" w:ascii="宋体" w:hAnsi="宋体" w:cs="宋体"/>
                <w:kern w:val="0"/>
                <w:szCs w:val="21"/>
              </w:rPr>
              <w:br w:type="textWrapping"/>
            </w:r>
            <w:r>
              <w:rPr>
                <w:rFonts w:hint="eastAsia" w:ascii="宋体" w:hAnsi="宋体" w:cs="宋体"/>
                <w:kern w:val="0"/>
                <w:szCs w:val="21"/>
              </w:rPr>
              <w:t xml:space="preserve">    危险物品的生产、经营、储存单位以及矿山、金属冶炼、建筑施工、道路运输单位的主要负责人和安全生产管理人员，应当由主管的负有安全生产监督管理职责的部门对其安全生产知识和管理能力考核合格。考核不得收费。</w:t>
            </w:r>
            <w:r>
              <w:rPr>
                <w:rFonts w:hint="eastAsia" w:ascii="宋体" w:hAnsi="宋体" w:cs="宋体"/>
                <w:kern w:val="0"/>
                <w:szCs w:val="21"/>
              </w:rPr>
              <w:br w:type="textWrapping"/>
            </w:r>
            <w:r>
              <w:rPr>
                <w:rFonts w:hint="eastAsia" w:ascii="宋体" w:hAnsi="宋体" w:cs="宋体"/>
                <w:kern w:val="0"/>
                <w:szCs w:val="21"/>
              </w:rPr>
              <w:t xml:space="preserve">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烟花爆竹类：一、主要负责人、安全生产管理人员未依法经考核合格。</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（二）危险物品的生产、经营、储存单位以及矿山、金属冶炼、建筑施工、道路运输单位的主要负责人和安全生产管理人员未按照规定经考核合格的；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highlight w:val="none"/>
              </w:rPr>
              <w:t>……</w:t>
            </w:r>
          </w:p>
        </w:tc>
        <w:tc>
          <w:tcPr>
            <w:tcW w:w="819" w:type="dxa"/>
            <w:vAlign w:val="center"/>
          </w:tcPr>
          <w:p>
            <w:pPr>
              <w:widowControl/>
              <w:adjustRightInd w:val="0"/>
              <w:snapToGrid w:val="0"/>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widowControl/>
              <w:adjustRightInd w:val="0"/>
              <w:snapToGrid w:val="0"/>
              <w:jc w:val="center"/>
              <w:rPr>
                <w:rFonts w:ascii="宋体" w:hAnsi="宋体" w:cs="宋体"/>
                <w:b/>
                <w:kern w:val="0"/>
                <w:szCs w:val="21"/>
              </w:rPr>
            </w:pPr>
          </w:p>
        </w:tc>
        <w:tc>
          <w:tcPr>
            <w:tcW w:w="1777" w:type="dxa"/>
            <w:vMerge w:val="continue"/>
            <w:vAlign w:val="center"/>
          </w:tcPr>
          <w:p>
            <w:pPr>
              <w:widowControl/>
              <w:adjustRightInd w:val="0"/>
              <w:snapToGrid w:val="0"/>
              <w:jc w:val="center"/>
              <w:rPr>
                <w:rFonts w:ascii="宋体" w:hAnsi="宋体" w:cs="宋体"/>
                <w:b/>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1.2 特种作业人员应持证上岗</w:t>
            </w:r>
            <w:r>
              <w:rPr>
                <w:rFonts w:hint="eastAsia" w:ascii="宋体" w:hAnsi="宋体" w:cs="宋体"/>
                <w:kern w:val="0"/>
                <w:szCs w:val="21"/>
                <w:lang w:eastAsia="zh-CN"/>
              </w:rPr>
              <w:t>；</w:t>
            </w:r>
            <w:r>
              <w:rPr>
                <w:rFonts w:hint="eastAsia" w:ascii="宋体" w:hAnsi="宋体" w:cs="宋体"/>
                <w:kern w:val="0"/>
                <w:szCs w:val="21"/>
              </w:rPr>
              <w:t>作业人员</w:t>
            </w:r>
            <w:r>
              <w:rPr>
                <w:rFonts w:hint="eastAsia" w:ascii="宋体" w:hAnsi="宋体" w:cs="宋体"/>
                <w:kern w:val="0"/>
                <w:szCs w:val="21"/>
                <w:lang w:eastAsia="zh-CN"/>
              </w:rPr>
              <w:t>应避免</w:t>
            </w:r>
            <w:r>
              <w:rPr>
                <w:rFonts w:hint="eastAsia" w:ascii="宋体" w:hAnsi="宋体" w:cs="宋体"/>
                <w:kern w:val="0"/>
                <w:szCs w:val="21"/>
              </w:rPr>
              <w:t>带药检维修设备设施</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《安全生产法》第二十七条  生产经营单位的特种作业人员必须按照国家有关规定经专门的安全作业培训，取得相应资格，方可上岗作业。</w:t>
            </w:r>
            <w:r>
              <w:rPr>
                <w:rFonts w:hint="eastAsia" w:ascii="宋体" w:hAnsi="宋体" w:cs="宋体"/>
                <w:kern w:val="0"/>
                <w:szCs w:val="21"/>
              </w:rPr>
              <w:br w:type="textWrapping"/>
            </w:r>
            <w:r>
              <w:rPr>
                <w:rFonts w:hint="eastAsia" w:ascii="宋体" w:hAnsi="宋体" w:cs="宋体"/>
                <w:kern w:val="0"/>
                <w:szCs w:val="21"/>
              </w:rPr>
              <w:t xml:space="preserve">    特种作业人员的范围由国务院安全生产监督管理部门会同国务院有关部门确定。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烟花爆竹类：二、特种作业人员未持证上岗，作业人员带药检维修设备设施。</w:t>
            </w:r>
          </w:p>
        </w:tc>
        <w:tc>
          <w:tcPr>
            <w:tcW w:w="3448" w:type="dxa"/>
            <w:vAlign w:val="center"/>
          </w:tcPr>
          <w:p>
            <w:pPr>
              <w:widowControl/>
              <w:adjustRightInd w:val="0"/>
              <w:snapToGrid w:val="0"/>
              <w:ind w:firstLine="420" w:firstLineChars="200"/>
              <w:rPr>
                <w:rFonts w:ascii="宋体" w:hAnsi="宋体" w:cs="宋体"/>
                <w:kern w:val="0"/>
                <w:szCs w:val="21"/>
                <w:highlight w:val="none"/>
              </w:rPr>
            </w:pPr>
            <w:r>
              <w:rPr>
                <w:rFonts w:hint="eastAsia" w:ascii="宋体" w:hAnsi="宋体" w:cs="宋体"/>
                <w:kern w:val="0"/>
                <w:szCs w:val="21"/>
                <w:highlight w:val="none"/>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rPr>
                <w:rFonts w:ascii="宋体" w:hAnsi="宋体" w:cs="宋体"/>
                <w:kern w:val="0"/>
                <w:szCs w:val="21"/>
                <w:highlight w:val="none"/>
              </w:rPr>
            </w:pPr>
            <w:r>
              <w:rPr>
                <w:rFonts w:hint="eastAsia" w:ascii="宋体" w:hAnsi="宋体" w:cs="宋体"/>
                <w:kern w:val="0"/>
                <w:szCs w:val="21"/>
                <w:highlight w:val="none"/>
              </w:rPr>
              <w:t>……</w:t>
            </w:r>
          </w:p>
          <w:p>
            <w:pPr>
              <w:widowControl/>
              <w:adjustRightInd w:val="0"/>
              <w:snapToGrid w:val="0"/>
              <w:ind w:firstLine="420" w:firstLineChars="200"/>
              <w:rPr>
                <w:rFonts w:ascii="宋体" w:hAnsi="宋体" w:cs="宋体"/>
                <w:kern w:val="0"/>
                <w:szCs w:val="21"/>
                <w:highlight w:val="none"/>
              </w:rPr>
            </w:pPr>
            <w:r>
              <w:rPr>
                <w:rFonts w:hint="eastAsia" w:ascii="宋体" w:hAnsi="宋体" w:cs="宋体"/>
                <w:kern w:val="0"/>
                <w:szCs w:val="21"/>
                <w:highlight w:val="none"/>
              </w:rPr>
              <w:t>（七）特种作业人员未按照规定经专门的安全作业培训并取得相应资格，上岗作业的。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highlight w:val="none"/>
              </w:rPr>
              <w:t>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tcPr>
          <w:p>
            <w:pPr>
              <w:widowControl/>
              <w:adjustRightInd w:val="0"/>
              <w:snapToGrid w:val="0"/>
              <w:jc w:val="center"/>
              <w:rPr>
                <w:rFonts w:ascii="宋体" w:hAnsi="宋体" w:cs="宋体"/>
                <w:b/>
                <w:kern w:val="0"/>
                <w:szCs w:val="21"/>
              </w:rPr>
            </w:pPr>
          </w:p>
        </w:tc>
        <w:tc>
          <w:tcPr>
            <w:tcW w:w="1777" w:type="dxa"/>
            <w:vMerge w:val="continue"/>
          </w:tcPr>
          <w:p>
            <w:pPr>
              <w:widowControl/>
              <w:adjustRightInd w:val="0"/>
              <w:snapToGrid w:val="0"/>
              <w:jc w:val="center"/>
              <w:rPr>
                <w:rFonts w:ascii="宋体" w:hAnsi="宋体" w:cs="宋体"/>
                <w:b/>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1.3 职工应避免自行携带工器具、机器设备进厂进行涉药作业</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烟花爆竹类：三、职工自行携带工器具、机器设备进厂进行涉药作业。</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highlight w:val="none"/>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tcPr>
          <w:p>
            <w:pPr>
              <w:widowControl/>
              <w:adjustRightInd w:val="0"/>
              <w:snapToGrid w:val="0"/>
              <w:jc w:val="center"/>
              <w:rPr>
                <w:rFonts w:ascii="宋体" w:hAnsi="宋体" w:cs="宋体"/>
                <w:b/>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tcPr>
          <w:p>
            <w:pPr>
              <w:widowControl/>
              <w:adjustRightInd w:val="0"/>
              <w:snapToGrid w:val="0"/>
              <w:jc w:val="center"/>
              <w:rPr>
                <w:rFonts w:ascii="宋体" w:hAnsi="宋体" w:cs="宋体"/>
                <w:b/>
                <w:kern w:val="0"/>
                <w:szCs w:val="21"/>
              </w:rPr>
            </w:pPr>
          </w:p>
        </w:tc>
        <w:tc>
          <w:tcPr>
            <w:tcW w:w="1777" w:type="dxa"/>
            <w:vMerge w:val="continue"/>
          </w:tcPr>
          <w:p>
            <w:pPr>
              <w:widowControl/>
              <w:adjustRightInd w:val="0"/>
              <w:snapToGrid w:val="0"/>
              <w:jc w:val="center"/>
              <w:rPr>
                <w:rFonts w:ascii="宋体" w:hAnsi="宋体" w:cs="宋体"/>
                <w:b/>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1.4 工（库）房实际作业人员数量应符合核定人数</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烟花爆竹类：四、工（库）房实际作业人员数量超过核定人数。</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highlight w:val="none"/>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tcPr>
          <w:p>
            <w:pPr>
              <w:widowControl/>
              <w:adjustRightInd w:val="0"/>
              <w:snapToGrid w:val="0"/>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tcPr>
          <w:p>
            <w:pPr>
              <w:widowControl/>
              <w:adjustRightInd w:val="0"/>
              <w:snapToGrid w:val="0"/>
              <w:jc w:val="center"/>
              <w:rPr>
                <w:rFonts w:ascii="宋体" w:hAnsi="宋体" w:cs="宋体"/>
                <w:b/>
                <w:kern w:val="0"/>
                <w:szCs w:val="21"/>
              </w:rPr>
            </w:pPr>
          </w:p>
        </w:tc>
        <w:tc>
          <w:tcPr>
            <w:tcW w:w="1777" w:type="dxa"/>
            <w:vMerge w:val="continue"/>
          </w:tcPr>
          <w:p>
            <w:pPr>
              <w:widowControl/>
              <w:adjustRightInd w:val="0"/>
              <w:snapToGrid w:val="0"/>
              <w:jc w:val="center"/>
              <w:rPr>
                <w:rFonts w:ascii="宋体" w:hAnsi="宋体" w:cs="宋体"/>
                <w:b/>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1.5 工（库）房实际滞留、存储药量应符合核定药量</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烟花爆竹类：五、工（库）房实际滞留、存储药量超过核定药量。</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tcPr>
          <w:p>
            <w:pPr>
              <w:widowControl/>
              <w:adjustRightInd w:val="0"/>
              <w:snapToGrid w:val="0"/>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50" w:hRule="atLeast"/>
          <w:jc w:val="center"/>
        </w:trPr>
        <w:tc>
          <w:tcPr>
            <w:tcW w:w="862" w:type="dxa"/>
            <w:vMerge w:val="continue"/>
          </w:tcPr>
          <w:p>
            <w:pPr>
              <w:widowControl/>
              <w:adjustRightInd w:val="0"/>
              <w:snapToGrid w:val="0"/>
              <w:jc w:val="center"/>
              <w:rPr>
                <w:rFonts w:ascii="宋体" w:hAnsi="宋体" w:cs="宋体"/>
                <w:b/>
                <w:kern w:val="0"/>
                <w:szCs w:val="21"/>
              </w:rPr>
            </w:pPr>
          </w:p>
        </w:tc>
        <w:tc>
          <w:tcPr>
            <w:tcW w:w="1777" w:type="dxa"/>
            <w:vMerge w:val="continue"/>
          </w:tcPr>
          <w:p>
            <w:pPr>
              <w:widowControl/>
              <w:adjustRightInd w:val="0"/>
              <w:snapToGrid w:val="0"/>
              <w:jc w:val="center"/>
              <w:rPr>
                <w:rFonts w:ascii="宋体" w:hAnsi="宋体" w:cs="宋体"/>
                <w:b/>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1.6 工（库）房内、外部安全距离、防护屏障应符合要求</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烟花爆竹类：六、工（库）房内、外部安全距离不足，防护屏障缺失或者不符合要求。</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highlight w:val="none"/>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tcPr>
          <w:p>
            <w:pPr>
              <w:widowControl/>
              <w:adjustRightInd w:val="0"/>
              <w:snapToGrid w:val="0"/>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tcPr>
          <w:p>
            <w:pPr>
              <w:widowControl/>
              <w:adjustRightInd w:val="0"/>
              <w:snapToGrid w:val="0"/>
              <w:jc w:val="center"/>
              <w:rPr>
                <w:rFonts w:ascii="宋体" w:hAnsi="宋体" w:cs="宋体"/>
                <w:b/>
                <w:kern w:val="0"/>
                <w:szCs w:val="21"/>
              </w:rPr>
            </w:pPr>
          </w:p>
        </w:tc>
        <w:tc>
          <w:tcPr>
            <w:tcW w:w="1777" w:type="dxa"/>
            <w:vMerge w:val="continue"/>
          </w:tcPr>
          <w:p>
            <w:pPr>
              <w:widowControl/>
              <w:adjustRightInd w:val="0"/>
              <w:snapToGrid w:val="0"/>
              <w:jc w:val="center"/>
              <w:rPr>
                <w:rFonts w:ascii="宋体" w:hAnsi="宋体" w:cs="宋体"/>
                <w:b/>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1.7 防静电、防火、防雷设备设施配备应符合国家规定</w:t>
            </w:r>
          </w:p>
        </w:tc>
        <w:tc>
          <w:tcPr>
            <w:tcW w:w="5110" w:type="dxa"/>
            <w:vAlign w:val="center"/>
          </w:tcPr>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《安全生产法》第三十三条  安全设备的设计、制造、安装、使用、检测、改造和报废，应当符合国家标准或者行业标准。</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lang w:eastAsia="zh-CN"/>
              </w:rPr>
              <w:t>生产经营单位必须对安全设备进行经常性维护、保养，并定期检测，保证正常运转。维护、保养、检测应当作好记录，并由有关人员签字。</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烟花爆竹类：七、防静电、防火、防雷设备设施缺失或者失效。</w:t>
            </w:r>
          </w:p>
        </w:tc>
        <w:tc>
          <w:tcPr>
            <w:tcW w:w="3448" w:type="dxa"/>
            <w:vAlign w:val="center"/>
          </w:tcPr>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（二）安全设备的安装、使用、检测、改造和报废不符合国家标准或者行业标准的；</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lang w:eastAsia="zh-CN"/>
              </w:rPr>
              <w:t>（三）未对安全设备进行经常性维护、保养和定期检测的；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tcPr>
          <w:p>
            <w:pPr>
              <w:widowControl/>
              <w:adjustRightInd w:val="0"/>
              <w:snapToGrid w:val="0"/>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50" w:hRule="atLeast"/>
          <w:jc w:val="center"/>
        </w:trPr>
        <w:tc>
          <w:tcPr>
            <w:tcW w:w="862" w:type="dxa"/>
            <w:vMerge w:val="continue"/>
          </w:tcPr>
          <w:p>
            <w:pPr>
              <w:widowControl/>
              <w:adjustRightInd w:val="0"/>
              <w:snapToGrid w:val="0"/>
              <w:jc w:val="center"/>
              <w:rPr>
                <w:rFonts w:ascii="宋体" w:hAnsi="宋体" w:cs="宋体"/>
                <w:b/>
                <w:kern w:val="0"/>
                <w:szCs w:val="21"/>
              </w:rPr>
            </w:pPr>
          </w:p>
        </w:tc>
        <w:tc>
          <w:tcPr>
            <w:tcW w:w="1777" w:type="dxa"/>
            <w:vMerge w:val="continue"/>
          </w:tcPr>
          <w:p>
            <w:pPr>
              <w:widowControl/>
              <w:adjustRightInd w:val="0"/>
              <w:snapToGrid w:val="0"/>
              <w:jc w:val="center"/>
              <w:rPr>
                <w:rFonts w:ascii="宋体" w:hAnsi="宋体" w:cs="宋体"/>
                <w:b/>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1.8 工（库）房用途或者搭建情况应符合国家规定</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烟花爆竹类：八、擅自改变工（库）房用途或者违规私搭乱建。</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tcPr>
          <w:p>
            <w:pPr>
              <w:widowControl/>
              <w:adjustRightInd w:val="0"/>
              <w:snapToGrid w:val="0"/>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tcPr>
          <w:p>
            <w:pPr>
              <w:widowControl/>
              <w:adjustRightInd w:val="0"/>
              <w:snapToGrid w:val="0"/>
              <w:jc w:val="center"/>
              <w:rPr>
                <w:rFonts w:ascii="宋体" w:hAnsi="宋体" w:cs="宋体"/>
                <w:b/>
                <w:kern w:val="0"/>
                <w:szCs w:val="21"/>
              </w:rPr>
            </w:pPr>
          </w:p>
        </w:tc>
        <w:tc>
          <w:tcPr>
            <w:tcW w:w="1777" w:type="dxa"/>
            <w:vMerge w:val="continue"/>
          </w:tcPr>
          <w:p>
            <w:pPr>
              <w:widowControl/>
              <w:adjustRightInd w:val="0"/>
              <w:snapToGrid w:val="0"/>
              <w:jc w:val="center"/>
              <w:rPr>
                <w:rFonts w:ascii="宋体" w:hAnsi="宋体" w:cs="宋体"/>
                <w:b/>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1.9 工厂围墙、分区设置应符合国家标准</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烟花爆竹类：九、工厂围墙缺失或者分区设置不符合国家标准。</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widowControl/>
              <w:adjustRightInd w:val="0"/>
              <w:snapToGrid w:val="0"/>
              <w:ind w:firstLine="420" w:firstLineChars="200"/>
              <w:rPr>
                <w:rFonts w:ascii="宋体" w:hAnsi="宋体" w:cs="宋体"/>
                <w:kern w:val="0"/>
                <w:szCs w:val="21"/>
              </w:rPr>
            </w:pPr>
          </w:p>
        </w:tc>
        <w:tc>
          <w:tcPr>
            <w:tcW w:w="819" w:type="dxa"/>
          </w:tcPr>
          <w:p>
            <w:pPr>
              <w:widowControl/>
              <w:adjustRightInd w:val="0"/>
              <w:snapToGrid w:val="0"/>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tcPr>
          <w:p>
            <w:pPr>
              <w:widowControl/>
              <w:adjustRightInd w:val="0"/>
              <w:snapToGrid w:val="0"/>
              <w:jc w:val="center"/>
              <w:rPr>
                <w:rFonts w:ascii="宋体" w:hAnsi="宋体" w:cs="宋体"/>
                <w:b/>
                <w:kern w:val="0"/>
                <w:szCs w:val="21"/>
              </w:rPr>
            </w:pPr>
          </w:p>
        </w:tc>
        <w:tc>
          <w:tcPr>
            <w:tcW w:w="1777" w:type="dxa"/>
            <w:vMerge w:val="continue"/>
          </w:tcPr>
          <w:p>
            <w:pPr>
              <w:widowControl/>
              <w:adjustRightInd w:val="0"/>
              <w:snapToGrid w:val="0"/>
              <w:jc w:val="center"/>
              <w:rPr>
                <w:rFonts w:ascii="宋体" w:hAnsi="宋体" w:cs="宋体"/>
                <w:b/>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1.10 氧化剂、还原剂储存、预混及粉碎、称量应符合国家规定</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烟花爆竹类：十、将氧化剂、还原剂同库储存、违规预混或者在同一工房内粉碎、称量。</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tcPr>
          <w:p>
            <w:pPr>
              <w:widowControl/>
              <w:adjustRightInd w:val="0"/>
              <w:snapToGrid w:val="0"/>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tcPr>
          <w:p>
            <w:pPr>
              <w:widowControl/>
              <w:adjustRightInd w:val="0"/>
              <w:snapToGrid w:val="0"/>
              <w:jc w:val="center"/>
              <w:rPr>
                <w:rFonts w:ascii="宋体" w:hAnsi="宋体" w:cs="宋体"/>
                <w:b/>
                <w:kern w:val="0"/>
                <w:szCs w:val="21"/>
              </w:rPr>
            </w:pPr>
          </w:p>
        </w:tc>
        <w:tc>
          <w:tcPr>
            <w:tcW w:w="1777" w:type="dxa"/>
            <w:vMerge w:val="continue"/>
          </w:tcPr>
          <w:p>
            <w:pPr>
              <w:widowControl/>
              <w:adjustRightInd w:val="0"/>
              <w:snapToGrid w:val="0"/>
              <w:jc w:val="center"/>
              <w:rPr>
                <w:rFonts w:ascii="宋体" w:hAnsi="宋体" w:cs="宋体"/>
                <w:b/>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1.11 在用涉药机械设备应经安全性论证，用途应符合国家规定</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烟花爆竹类：十一、在用涉药机械设备未经安全性论证或者擅自更改、改变用途。</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tcPr>
          <w:p>
            <w:pPr>
              <w:widowControl/>
              <w:adjustRightInd w:val="0"/>
              <w:snapToGrid w:val="0"/>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tcPr>
          <w:p>
            <w:pPr>
              <w:widowControl/>
              <w:adjustRightInd w:val="0"/>
              <w:snapToGrid w:val="0"/>
              <w:jc w:val="center"/>
              <w:rPr>
                <w:rFonts w:ascii="宋体" w:hAnsi="宋体" w:cs="宋体"/>
                <w:b/>
                <w:kern w:val="0"/>
                <w:szCs w:val="21"/>
              </w:rPr>
            </w:pPr>
          </w:p>
        </w:tc>
        <w:tc>
          <w:tcPr>
            <w:tcW w:w="1777" w:type="dxa"/>
            <w:vMerge w:val="continue"/>
          </w:tcPr>
          <w:p>
            <w:pPr>
              <w:widowControl/>
              <w:adjustRightInd w:val="0"/>
              <w:snapToGrid w:val="0"/>
              <w:jc w:val="center"/>
              <w:rPr>
                <w:rFonts w:ascii="宋体" w:hAnsi="宋体" w:cs="宋体"/>
                <w:b/>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1.12 中转库、药物总库和成品总库的存储能力应与设计产能匹配</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烟花爆竹类：十二、中转库、药物总库和成品总库的存储能力与设计产能不匹配。</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tcPr>
          <w:p>
            <w:pPr>
              <w:widowControl/>
              <w:adjustRightInd w:val="0"/>
              <w:snapToGrid w:val="0"/>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tcPr>
          <w:p>
            <w:pPr>
              <w:widowControl/>
              <w:adjustRightInd w:val="0"/>
              <w:snapToGrid w:val="0"/>
              <w:jc w:val="center"/>
              <w:rPr>
                <w:rFonts w:ascii="宋体" w:hAnsi="宋体" w:cs="宋体"/>
                <w:b/>
                <w:kern w:val="0"/>
                <w:szCs w:val="21"/>
              </w:rPr>
            </w:pPr>
          </w:p>
        </w:tc>
        <w:tc>
          <w:tcPr>
            <w:tcW w:w="1777" w:type="dxa"/>
            <w:vMerge w:val="continue"/>
          </w:tcPr>
          <w:p>
            <w:pPr>
              <w:widowControl/>
              <w:adjustRightInd w:val="0"/>
              <w:snapToGrid w:val="0"/>
              <w:jc w:val="center"/>
              <w:rPr>
                <w:rFonts w:ascii="宋体" w:hAnsi="宋体" w:cs="宋体"/>
                <w:b/>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1.13 建立与岗位相匹配的全员安全生产责任制，制定实施生产安全事故隐患排查治理制度</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烟花爆竹类：十三、未建立与岗位相匹配的全员安全生产责任制或者未制定实施生产安全事故隐患排查治理制度。</w:t>
            </w:r>
          </w:p>
        </w:tc>
        <w:tc>
          <w:tcPr>
            <w:tcW w:w="3448" w:type="dxa"/>
            <w:vAlign w:val="center"/>
          </w:tcPr>
          <w:p>
            <w:pPr>
              <w:widowControl/>
              <w:adjustRightInd w:val="0"/>
              <w:snapToGrid w:val="0"/>
              <w:ind w:firstLine="420" w:firstLineChars="200"/>
              <w:rPr>
                <w:rFonts w:ascii="宋体" w:hAnsi="宋体" w:cs="宋体"/>
                <w:kern w:val="0"/>
                <w:szCs w:val="21"/>
                <w:highlight w:val="none"/>
              </w:rPr>
            </w:pPr>
            <w:r>
              <w:rPr>
                <w:rFonts w:hint="eastAsia" w:ascii="宋体" w:hAnsi="宋体" w:cs="宋体"/>
                <w:kern w:val="0"/>
                <w:szCs w:val="21"/>
              </w:rPr>
              <w:t>《安全生产法》第九十八条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w:t>
            </w:r>
            <w:r>
              <w:rPr>
                <w:rFonts w:hint="eastAsia" w:ascii="宋体" w:hAnsi="宋体" w:cs="宋体"/>
                <w:kern w:val="0"/>
                <w:szCs w:val="21"/>
                <w:highlight w:val="none"/>
              </w:rPr>
              <w:t>任：</w:t>
            </w:r>
          </w:p>
          <w:p>
            <w:pPr>
              <w:widowControl/>
              <w:adjustRightInd w:val="0"/>
              <w:snapToGrid w:val="0"/>
              <w:ind w:firstLine="420" w:firstLineChars="200"/>
              <w:rPr>
                <w:rFonts w:ascii="宋体" w:hAnsi="宋体" w:cs="宋体"/>
                <w:kern w:val="0"/>
                <w:szCs w:val="21"/>
                <w:highlight w:val="none"/>
              </w:rPr>
            </w:pPr>
            <w:r>
              <w:rPr>
                <w:rFonts w:hint="eastAsia" w:ascii="宋体" w:hAnsi="宋体" w:cs="宋体"/>
                <w:kern w:val="0"/>
                <w:szCs w:val="21"/>
                <w:highlight w:val="none"/>
              </w:rPr>
              <w:t>……</w:t>
            </w:r>
          </w:p>
          <w:p>
            <w:pPr>
              <w:widowControl/>
              <w:adjustRightInd w:val="0"/>
              <w:snapToGrid w:val="0"/>
              <w:ind w:firstLine="210" w:firstLineChars="100"/>
              <w:rPr>
                <w:rFonts w:hint="eastAsia" w:ascii="宋体" w:hAnsi="宋体" w:cs="宋体"/>
                <w:kern w:val="0"/>
                <w:szCs w:val="21"/>
              </w:rPr>
            </w:pPr>
            <w:r>
              <w:rPr>
                <w:rFonts w:hint="eastAsia" w:ascii="宋体" w:hAnsi="宋体" w:cs="宋体"/>
                <w:kern w:val="0"/>
                <w:szCs w:val="21"/>
              </w:rPr>
              <w:t>（四）未建立事故隐患排查治理制度的。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tcPr>
          <w:p>
            <w:pPr>
              <w:widowControl/>
              <w:adjustRightInd w:val="0"/>
              <w:snapToGrid w:val="0"/>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12" w:hRule="atLeast"/>
          <w:jc w:val="center"/>
        </w:trPr>
        <w:tc>
          <w:tcPr>
            <w:tcW w:w="862" w:type="dxa"/>
            <w:vMerge w:val="continue"/>
          </w:tcPr>
          <w:p>
            <w:pPr>
              <w:widowControl/>
              <w:adjustRightInd w:val="0"/>
              <w:snapToGrid w:val="0"/>
              <w:jc w:val="center"/>
              <w:rPr>
                <w:rFonts w:ascii="宋体" w:hAnsi="宋体" w:cs="宋体"/>
                <w:b/>
                <w:kern w:val="0"/>
                <w:szCs w:val="21"/>
              </w:rPr>
            </w:pPr>
          </w:p>
        </w:tc>
        <w:tc>
          <w:tcPr>
            <w:tcW w:w="1777" w:type="dxa"/>
            <w:vMerge w:val="continue"/>
          </w:tcPr>
          <w:p>
            <w:pPr>
              <w:widowControl/>
              <w:adjustRightInd w:val="0"/>
              <w:snapToGrid w:val="0"/>
              <w:jc w:val="center"/>
              <w:rPr>
                <w:rFonts w:ascii="宋体" w:hAnsi="宋体" w:cs="宋体"/>
                <w:b/>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1.14 许可证的获取、保管、使用应符合国家规定</w:t>
            </w:r>
          </w:p>
        </w:tc>
        <w:tc>
          <w:tcPr>
            <w:tcW w:w="5110" w:type="dxa"/>
            <w:vAlign w:val="center"/>
          </w:tcPr>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烟花爆竹类：十四、出租、出借、转让、买卖、冒用或者伪造许可证。</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tcPr>
          <w:p>
            <w:pPr>
              <w:widowControl/>
              <w:adjustRightInd w:val="0"/>
              <w:snapToGrid w:val="0"/>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tcPr>
          <w:p>
            <w:pPr>
              <w:widowControl/>
              <w:adjustRightInd w:val="0"/>
              <w:snapToGrid w:val="0"/>
              <w:jc w:val="center"/>
              <w:rPr>
                <w:rFonts w:ascii="宋体" w:hAnsi="宋体" w:cs="宋体"/>
                <w:b/>
                <w:kern w:val="0"/>
                <w:szCs w:val="21"/>
              </w:rPr>
            </w:pPr>
          </w:p>
        </w:tc>
        <w:tc>
          <w:tcPr>
            <w:tcW w:w="1777" w:type="dxa"/>
            <w:vMerge w:val="continue"/>
          </w:tcPr>
          <w:p>
            <w:pPr>
              <w:widowControl/>
              <w:adjustRightInd w:val="0"/>
              <w:snapToGrid w:val="0"/>
              <w:jc w:val="center"/>
              <w:rPr>
                <w:rFonts w:ascii="宋体" w:hAnsi="宋体" w:cs="宋体"/>
                <w:b/>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1.15 生产经营的产品种类、危险等级应符合许可范围，不得生产使用违禁药物</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烟花爆竹类：十五、生产经营的产品种类、危险等级超许可范围或者生产使用违禁药物。</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tcPr>
          <w:p>
            <w:pPr>
              <w:widowControl/>
              <w:adjustRightInd w:val="0"/>
              <w:snapToGrid w:val="0"/>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tcPr>
          <w:p>
            <w:pPr>
              <w:widowControl/>
              <w:adjustRightInd w:val="0"/>
              <w:snapToGrid w:val="0"/>
              <w:jc w:val="center"/>
              <w:rPr>
                <w:rFonts w:ascii="宋体" w:hAnsi="宋体" w:cs="宋体"/>
                <w:b/>
                <w:kern w:val="0"/>
                <w:szCs w:val="21"/>
              </w:rPr>
            </w:pPr>
          </w:p>
        </w:tc>
        <w:tc>
          <w:tcPr>
            <w:tcW w:w="1777" w:type="dxa"/>
            <w:vMerge w:val="continue"/>
          </w:tcPr>
          <w:p>
            <w:pPr>
              <w:widowControl/>
              <w:adjustRightInd w:val="0"/>
              <w:snapToGrid w:val="0"/>
              <w:jc w:val="center"/>
              <w:rPr>
                <w:rFonts w:ascii="宋体" w:hAnsi="宋体" w:cs="宋体"/>
                <w:b/>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1.16 生产线、工房、库房组织生产经营不得分包转包</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烟花爆竹类：十六、分包转包生产线、工房、库房组织生产经营。</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tcPr>
          <w:p>
            <w:pPr>
              <w:widowControl/>
              <w:adjustRightInd w:val="0"/>
              <w:snapToGrid w:val="0"/>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tcPr>
          <w:p>
            <w:pPr>
              <w:widowControl/>
              <w:adjustRightInd w:val="0"/>
              <w:snapToGrid w:val="0"/>
              <w:jc w:val="center"/>
              <w:rPr>
                <w:rFonts w:ascii="宋体" w:hAnsi="宋体" w:cs="宋体"/>
                <w:b/>
                <w:kern w:val="0"/>
                <w:szCs w:val="21"/>
              </w:rPr>
            </w:pPr>
          </w:p>
        </w:tc>
        <w:tc>
          <w:tcPr>
            <w:tcW w:w="1777" w:type="dxa"/>
            <w:vMerge w:val="continue"/>
          </w:tcPr>
          <w:p>
            <w:pPr>
              <w:widowControl/>
              <w:adjustRightInd w:val="0"/>
              <w:snapToGrid w:val="0"/>
              <w:jc w:val="center"/>
              <w:rPr>
                <w:rFonts w:ascii="宋体" w:hAnsi="宋体" w:cs="宋体"/>
                <w:b/>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1.17 不得一证多厂，股东不得各自独立组织生产经营</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烟花爆竹类：十七、一证多厂或者多股东各自独立组织生产经营。</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tcPr>
          <w:p>
            <w:pPr>
              <w:widowControl/>
              <w:adjustRightInd w:val="0"/>
              <w:snapToGrid w:val="0"/>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tcPr>
          <w:p>
            <w:pPr>
              <w:widowControl/>
              <w:adjustRightInd w:val="0"/>
              <w:snapToGrid w:val="0"/>
              <w:jc w:val="center"/>
              <w:rPr>
                <w:rFonts w:ascii="宋体" w:hAnsi="宋体" w:cs="宋体"/>
                <w:b/>
                <w:kern w:val="0"/>
                <w:szCs w:val="21"/>
              </w:rPr>
            </w:pPr>
          </w:p>
        </w:tc>
        <w:tc>
          <w:tcPr>
            <w:tcW w:w="1777" w:type="dxa"/>
            <w:vMerge w:val="continue"/>
          </w:tcPr>
          <w:p>
            <w:pPr>
              <w:widowControl/>
              <w:adjustRightInd w:val="0"/>
              <w:snapToGrid w:val="0"/>
              <w:jc w:val="center"/>
              <w:rPr>
                <w:rFonts w:ascii="宋体" w:hAnsi="宋体" w:cs="宋体"/>
                <w:b/>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1.18 停产停业期间不得组织生产经营</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烟花爆竹类：十八、许可证过期、整顿改造、恶劣天气等停产停业期间组织生产经营。</w:t>
            </w:r>
          </w:p>
        </w:tc>
        <w:tc>
          <w:tcPr>
            <w:tcW w:w="3448" w:type="dxa"/>
            <w:vAlign w:val="center"/>
          </w:tcPr>
          <w:p>
            <w:pPr>
              <w:pStyle w:val="2"/>
              <w:ind w:firstLine="420"/>
            </w:pPr>
            <w:r>
              <w:rPr>
                <w:rFonts w:hint="eastAsia" w:ascii="宋体" w:hAnsi="宋体" w:eastAsia="宋体" w:cs="宋体"/>
                <w:kern w:val="0"/>
                <w:szCs w:val="21"/>
                <w:highlight w:val="none"/>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tcPr>
          <w:p>
            <w:pPr>
              <w:widowControl/>
              <w:adjustRightInd w:val="0"/>
              <w:snapToGrid w:val="0"/>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tcPr>
          <w:p>
            <w:pPr>
              <w:widowControl/>
              <w:adjustRightInd w:val="0"/>
              <w:snapToGrid w:val="0"/>
              <w:jc w:val="center"/>
              <w:rPr>
                <w:rFonts w:ascii="宋体" w:hAnsi="宋体" w:cs="宋体"/>
                <w:b/>
                <w:kern w:val="0"/>
                <w:szCs w:val="21"/>
              </w:rPr>
            </w:pPr>
          </w:p>
        </w:tc>
        <w:tc>
          <w:tcPr>
            <w:tcW w:w="1777" w:type="dxa"/>
            <w:vMerge w:val="continue"/>
          </w:tcPr>
          <w:p>
            <w:pPr>
              <w:widowControl/>
              <w:adjustRightInd w:val="0"/>
              <w:snapToGrid w:val="0"/>
              <w:jc w:val="center"/>
              <w:rPr>
                <w:rFonts w:ascii="宋体" w:hAnsi="宋体" w:cs="宋体"/>
                <w:b/>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1.19 烟花爆竹仓库存放物品、生产经营烟花爆竹产品应符合国家规定</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烟花爆竹类：十九、烟花爆竹仓库存放其它爆炸物等危险物品或者生产经营违禁超标产品。</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eastAsia="宋体" w:cs="宋体"/>
                <w:kern w:val="0"/>
                <w:sz w:val="21"/>
                <w:szCs w:val="21"/>
                <w:highlight w:val="none"/>
                <w:lang w:val="en-US" w:eastAsia="zh-CN" w:bidi="ar-SA"/>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tcPr>
          <w:p>
            <w:pPr>
              <w:widowControl/>
              <w:adjustRightInd w:val="0"/>
              <w:snapToGrid w:val="0"/>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tcPr>
          <w:p>
            <w:pPr>
              <w:widowControl/>
              <w:adjustRightInd w:val="0"/>
              <w:snapToGrid w:val="0"/>
              <w:jc w:val="center"/>
              <w:rPr>
                <w:rFonts w:ascii="宋体" w:hAnsi="宋体" w:cs="宋体"/>
                <w:b/>
                <w:kern w:val="0"/>
                <w:szCs w:val="21"/>
              </w:rPr>
            </w:pPr>
          </w:p>
        </w:tc>
        <w:tc>
          <w:tcPr>
            <w:tcW w:w="1777" w:type="dxa"/>
            <w:vMerge w:val="continue"/>
          </w:tcPr>
          <w:p>
            <w:pPr>
              <w:widowControl/>
              <w:adjustRightInd w:val="0"/>
              <w:snapToGrid w:val="0"/>
              <w:jc w:val="center"/>
              <w:rPr>
                <w:rFonts w:ascii="宋体" w:hAnsi="宋体" w:cs="宋体"/>
                <w:b/>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1.20 零售点与居民居住场所应避免设置在同一建筑物内，在零售场所应避免使用明火</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hint="eastAsia"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国家安全监管总局关于印发〈化工和危险化学品生产经营单位重大生产安全事故隐患判定标准（试行）〉和〈烟花爆竹生产经营单位重大生产安全事故隐患判定标准（试行）〉的通知》（安监总管三〔2017〕121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烟花爆竹类：二十、零售点与居民居住场所设置在同一建筑物内或者在零售场所使用明火。</w:t>
            </w:r>
          </w:p>
          <w:p>
            <w:pPr>
              <w:widowControl/>
              <w:adjustRightInd w:val="0"/>
              <w:snapToGrid w:val="0"/>
              <w:ind w:firstLine="420" w:firstLineChars="200"/>
              <w:rPr>
                <w:rFonts w:ascii="宋体" w:hAnsi="宋体" w:cs="宋体"/>
                <w:kern w:val="0"/>
                <w:szCs w:val="21"/>
                <w:highlight w:val="none"/>
              </w:rPr>
            </w:pPr>
            <w:r>
              <w:rPr>
                <w:rFonts w:hint="eastAsia" w:ascii="宋体" w:hAnsi="宋体" w:cs="宋体"/>
                <w:kern w:val="0"/>
                <w:szCs w:val="21"/>
              </w:rPr>
              <w:t>《烟花爆竹零售店（点）安全技术规范》</w:t>
            </w:r>
            <w:r>
              <w:rPr>
                <w:rFonts w:hint="eastAsia" w:ascii="宋体" w:hAnsi="宋体" w:cs="宋体"/>
                <w:kern w:val="0"/>
                <w:szCs w:val="21"/>
                <w:highlight w:val="none"/>
              </w:rPr>
              <w:t>（AQ 4128-2019）：</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4 选址及外部距离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4.1 选址</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 xml:space="preserve">   烟花爆竹零售店、零售点的选址应符合下列要求：</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 xml:space="preserve">a)应选择在消防车辆可以顺畅到达的区域；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b)不应设置在军事管理区、文物保护区等禁止燃放烟花爆竹区域内；</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c)不应设置在居民集中居住小区内，以及桥下与涵洞内；</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d)不应与居住场所设置在同一建筑物内，不应设置在地下及半地下室内；</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e)不应设置在其地下、室内或上方有输送石油、天然气等易燃易爆物质管道的建筑物内；</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f)不应设置在电压高于1kV的电力线路下方。</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highlight w:val="none"/>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tcPr>
          <w:p>
            <w:pPr>
              <w:widowControl/>
              <w:adjustRightInd w:val="0"/>
              <w:snapToGrid w:val="0"/>
              <w:jc w:val="center"/>
              <w:rPr>
                <w:rFonts w:ascii="宋体" w:hAnsi="宋体" w:cs="宋体"/>
                <w:b/>
                <w:kern w:val="0"/>
                <w:szCs w:val="21"/>
              </w:rPr>
            </w:pPr>
          </w:p>
        </w:tc>
      </w:tr>
    </w:tbl>
    <w:p/>
    <w:p>
      <w:pPr>
        <w:pStyle w:val="2"/>
        <w:ind w:firstLine="420"/>
      </w:pPr>
    </w:p>
    <w:p/>
    <w:p>
      <w:pPr>
        <w:pStyle w:val="4"/>
        <w:spacing w:line="240" w:lineRule="auto"/>
        <w:rPr>
          <w:rFonts w:ascii="黑体" w:hAnsi="黑体" w:eastAsia="黑体"/>
          <w:b w:val="0"/>
        </w:rPr>
      </w:pPr>
      <w:bookmarkStart w:id="29" w:name="_Toc499799347"/>
      <w:r>
        <w:rPr>
          <w:rFonts w:hint="eastAsia" w:ascii="方正黑体_GBK" w:hAnsi="方正黑体_GBK" w:eastAsia="方正黑体_GBK" w:cs="方正黑体_GBK"/>
          <w:b w:val="0"/>
        </w:rPr>
        <w:t>附表</w:t>
      </w:r>
      <w:bookmarkEnd w:id="29"/>
    </w:p>
    <w:p>
      <w:pPr>
        <w:pStyle w:val="4"/>
        <w:jc w:val="center"/>
        <w:rPr>
          <w:rFonts w:ascii="方正小标宋_GBK" w:hAnsi="方正小标宋_GBK" w:eastAsia="方正小标宋_GBK" w:cs="方正小标宋_GBK"/>
          <w:b w:val="0"/>
          <w:bCs w:val="0"/>
          <w:sz w:val="44"/>
          <w:szCs w:val="44"/>
        </w:rPr>
      </w:pPr>
      <w:bookmarkStart w:id="30" w:name="_Toc499799348"/>
      <w:bookmarkStart w:id="31" w:name="_Toc497087188"/>
      <w:r>
        <w:rPr>
          <w:rFonts w:hint="eastAsia" w:ascii="方正小标宋_GBK" w:hAnsi="方正小标宋_GBK" w:eastAsia="方正小标宋_GBK" w:cs="方正小标宋_GBK"/>
          <w:b w:val="0"/>
          <w:bCs w:val="0"/>
          <w:sz w:val="44"/>
          <w:szCs w:val="44"/>
        </w:rPr>
        <w:t>应急管理部门安全生产行政执法依据目录</w:t>
      </w:r>
      <w:bookmarkEnd w:id="30"/>
      <w:bookmarkEnd w:id="31"/>
    </w:p>
    <w:p>
      <w:pPr>
        <w:jc w:val="center"/>
        <w:rPr>
          <w:rFonts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（截至2020年2月29日）</w:t>
      </w:r>
    </w:p>
    <w:p>
      <w:pPr>
        <w:ind w:firstLine="320" w:firstLineChars="100"/>
        <w:jc w:val="left"/>
        <w:rPr>
          <w:rFonts w:ascii="方正黑体_GBK" w:hAnsi="方正黑体_GBK" w:eastAsia="方正黑体_GBK" w:cs="方正黑体_GBK"/>
          <w:bCs/>
          <w:sz w:val="32"/>
        </w:rPr>
      </w:pPr>
      <w:r>
        <w:rPr>
          <w:rFonts w:hint="eastAsia" w:ascii="方正黑体_GBK" w:hAnsi="方正黑体_GBK" w:eastAsia="方正黑体_GBK" w:cs="方正黑体_GBK"/>
          <w:bCs/>
          <w:sz w:val="32"/>
        </w:rPr>
        <w:t>一、法律</w:t>
      </w:r>
    </w:p>
    <w:tbl>
      <w:tblPr>
        <w:tblStyle w:val="19"/>
        <w:tblW w:w="132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7"/>
        <w:gridCol w:w="2800"/>
        <w:gridCol w:w="1701"/>
        <w:gridCol w:w="2693"/>
        <w:gridCol w:w="5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07" w:type="dxa"/>
            <w:vAlign w:val="center"/>
          </w:tcPr>
          <w:p>
            <w:pPr>
              <w:topLinePunct/>
              <w:adjustRightInd w:val="0"/>
              <w:snapToGrid w:val="0"/>
              <w:jc w:val="center"/>
              <w:rPr>
                <w:rFonts w:ascii="宋体" w:hAnsi="宋体"/>
                <w:b/>
                <w:bCs/>
                <w:szCs w:val="21"/>
              </w:rPr>
            </w:pPr>
            <w:r>
              <w:rPr>
                <w:rFonts w:hint="eastAsia" w:ascii="宋体" w:hAnsi="宋体"/>
                <w:b/>
                <w:bCs/>
                <w:szCs w:val="21"/>
              </w:rPr>
              <w:t>序号</w:t>
            </w:r>
          </w:p>
        </w:tc>
        <w:tc>
          <w:tcPr>
            <w:tcW w:w="2800" w:type="dxa"/>
            <w:vAlign w:val="center"/>
          </w:tcPr>
          <w:p>
            <w:pPr>
              <w:topLinePunct/>
              <w:adjustRightInd w:val="0"/>
              <w:snapToGrid w:val="0"/>
              <w:jc w:val="center"/>
              <w:rPr>
                <w:rFonts w:ascii="宋体" w:hAnsi="宋体"/>
                <w:b/>
                <w:bCs/>
                <w:szCs w:val="21"/>
              </w:rPr>
            </w:pPr>
            <w:r>
              <w:rPr>
                <w:rFonts w:hint="eastAsia" w:ascii="宋体" w:hAnsi="宋体"/>
                <w:b/>
                <w:bCs/>
                <w:szCs w:val="21"/>
              </w:rPr>
              <w:t>名称</w:t>
            </w:r>
          </w:p>
        </w:tc>
        <w:tc>
          <w:tcPr>
            <w:tcW w:w="1701" w:type="dxa"/>
            <w:vAlign w:val="center"/>
          </w:tcPr>
          <w:p>
            <w:pPr>
              <w:topLinePunct/>
              <w:adjustRightInd w:val="0"/>
              <w:snapToGrid w:val="0"/>
              <w:jc w:val="center"/>
              <w:rPr>
                <w:rFonts w:ascii="宋体" w:hAnsi="宋体"/>
                <w:b/>
                <w:bCs/>
                <w:szCs w:val="21"/>
              </w:rPr>
            </w:pPr>
            <w:r>
              <w:rPr>
                <w:rFonts w:hint="eastAsia" w:ascii="宋体" w:hAnsi="宋体"/>
                <w:b/>
                <w:bCs/>
                <w:szCs w:val="21"/>
              </w:rPr>
              <w:t>制定机关</w:t>
            </w:r>
          </w:p>
        </w:tc>
        <w:tc>
          <w:tcPr>
            <w:tcW w:w="2693" w:type="dxa"/>
            <w:vAlign w:val="center"/>
          </w:tcPr>
          <w:p>
            <w:pPr>
              <w:topLinePunct/>
              <w:adjustRightInd w:val="0"/>
              <w:snapToGrid w:val="0"/>
              <w:jc w:val="center"/>
              <w:rPr>
                <w:rFonts w:ascii="宋体" w:hAnsi="宋体"/>
                <w:b/>
                <w:bCs/>
                <w:szCs w:val="21"/>
              </w:rPr>
            </w:pPr>
            <w:r>
              <w:rPr>
                <w:rFonts w:hint="eastAsia" w:ascii="宋体" w:hAnsi="宋体"/>
                <w:b/>
                <w:bCs/>
                <w:szCs w:val="21"/>
              </w:rPr>
              <w:t>公布/生效日期</w:t>
            </w:r>
          </w:p>
        </w:tc>
        <w:tc>
          <w:tcPr>
            <w:tcW w:w="5255" w:type="dxa"/>
          </w:tcPr>
          <w:p>
            <w:pPr>
              <w:topLinePunct/>
              <w:adjustRightInd w:val="0"/>
              <w:snapToGrid w:val="0"/>
              <w:jc w:val="center"/>
              <w:rPr>
                <w:rFonts w:ascii="宋体" w:hAnsi="宋体"/>
                <w:b/>
                <w:bCs/>
                <w:szCs w:val="21"/>
              </w:rPr>
            </w:pPr>
            <w:r>
              <w:rPr>
                <w:rFonts w:hint="eastAsia" w:ascii="宋体" w:hAnsi="宋体"/>
                <w:b/>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07"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1</w:t>
            </w:r>
          </w:p>
        </w:tc>
        <w:tc>
          <w:tcPr>
            <w:tcW w:w="2800" w:type="dxa"/>
            <w:vAlign w:val="center"/>
          </w:tcPr>
          <w:p>
            <w:pPr>
              <w:topLinePunct/>
              <w:adjustRightInd w:val="0"/>
              <w:snapToGrid w:val="0"/>
              <w:rPr>
                <w:rFonts w:ascii="方正宋体_YS" w:hAnsi="方正宋体_YS" w:eastAsia="方正宋体_YS" w:cs="方正宋体_YS"/>
                <w:b/>
                <w:bCs/>
                <w:szCs w:val="21"/>
              </w:rPr>
            </w:pPr>
            <w:r>
              <w:rPr>
                <w:rFonts w:hint="eastAsia" w:ascii="方正宋体_YS" w:hAnsi="方正宋体_YS" w:eastAsia="方正宋体_YS" w:cs="方正宋体_YS"/>
                <w:bCs/>
                <w:szCs w:val="21"/>
              </w:rPr>
              <w:t>中华人民共和国行政诉讼法</w:t>
            </w:r>
          </w:p>
        </w:tc>
        <w:tc>
          <w:tcPr>
            <w:tcW w:w="1701" w:type="dxa"/>
            <w:vAlign w:val="center"/>
          </w:tcPr>
          <w:p>
            <w:pPr>
              <w:topLinePunct/>
              <w:adjustRightInd w:val="0"/>
              <w:snapToGrid w:val="0"/>
              <w:rPr>
                <w:rFonts w:ascii="方正宋体_YS" w:hAnsi="方正宋体_YS" w:eastAsia="方正宋体_YS" w:cs="方正宋体_YS"/>
                <w:b/>
                <w:bCs/>
                <w:szCs w:val="21"/>
              </w:rPr>
            </w:pPr>
            <w:r>
              <w:rPr>
                <w:rFonts w:hint="eastAsia" w:ascii="方正宋体_YS" w:hAnsi="方正宋体_YS" w:eastAsia="方正宋体_YS" w:cs="方正宋体_YS"/>
                <w:bCs/>
                <w:szCs w:val="21"/>
              </w:rPr>
              <w:t>全国人大</w:t>
            </w:r>
          </w:p>
        </w:tc>
        <w:tc>
          <w:tcPr>
            <w:tcW w:w="2693"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1989年4月4日</w:t>
            </w:r>
          </w:p>
          <w:p>
            <w:pPr>
              <w:topLinePunct/>
              <w:adjustRightInd w:val="0"/>
              <w:snapToGrid w:val="0"/>
              <w:rPr>
                <w:rFonts w:ascii="方正宋体_YS" w:hAnsi="方正宋体_YS" w:eastAsia="方正宋体_YS" w:cs="方正宋体_YS"/>
                <w:b/>
                <w:bCs/>
                <w:szCs w:val="21"/>
              </w:rPr>
            </w:pPr>
            <w:r>
              <w:rPr>
                <w:rFonts w:hint="eastAsia" w:ascii="方正宋体_YS" w:hAnsi="方正宋体_YS" w:eastAsia="方正宋体_YS" w:cs="方正宋体_YS"/>
                <w:bCs/>
                <w:szCs w:val="21"/>
              </w:rPr>
              <w:t>1990年10月1日</w:t>
            </w:r>
          </w:p>
        </w:tc>
        <w:tc>
          <w:tcPr>
            <w:tcW w:w="5255" w:type="dxa"/>
          </w:tcPr>
          <w:p>
            <w:pPr>
              <w:topLinePunct/>
              <w:adjustRightInd w:val="0"/>
              <w:snapToGrid w:val="0"/>
              <w:ind w:firstLine="420" w:firstLineChars="200"/>
              <w:rPr>
                <w:rFonts w:ascii="方正宋体_YS" w:hAnsi="方正宋体_YS" w:eastAsia="方正宋体_YS" w:cs="方正宋体_YS"/>
                <w:b/>
                <w:bCs/>
                <w:szCs w:val="21"/>
              </w:rPr>
            </w:pPr>
            <w:r>
              <w:rPr>
                <w:rFonts w:hint="eastAsia" w:ascii="方正宋体_YS" w:hAnsi="方正宋体_YS" w:eastAsia="方正宋体_YS" w:cs="方正宋体_YS"/>
                <w:bCs/>
                <w:szCs w:val="21"/>
              </w:rPr>
              <w:t>根据2014年11月1日《全国人民代表大会常务委员会关于修改〈中华人民共和国行政诉讼法〉的决定》第一次修正；根据2017年6月27日第十二届全国人民代表大会常务委员会第二十八次会议《关于修改〈中华人民共和国民事诉讼法〉和〈中华人民共和国行政诉讼法〉的决定》第二次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8" w:hRule="atLeast"/>
          <w:jc w:val="center"/>
        </w:trPr>
        <w:tc>
          <w:tcPr>
            <w:tcW w:w="807"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2</w:t>
            </w:r>
          </w:p>
        </w:tc>
        <w:tc>
          <w:tcPr>
            <w:tcW w:w="2800" w:type="dxa"/>
            <w:vAlign w:val="center"/>
          </w:tcPr>
          <w:p>
            <w:pPr>
              <w:topLinePunct/>
              <w:adjustRightInd w:val="0"/>
              <w:snapToGrid w:val="0"/>
              <w:rPr>
                <w:rFonts w:ascii="方正宋体_YS" w:hAnsi="方正宋体_YS" w:eastAsia="方正宋体_YS" w:cs="方正宋体_YS"/>
                <w:b/>
                <w:bCs/>
                <w:szCs w:val="21"/>
              </w:rPr>
            </w:pPr>
            <w:r>
              <w:rPr>
                <w:rFonts w:hint="eastAsia" w:ascii="方正宋体_YS" w:hAnsi="方正宋体_YS" w:eastAsia="方正宋体_YS" w:cs="方正宋体_YS"/>
                <w:bCs/>
                <w:szCs w:val="21"/>
              </w:rPr>
              <w:t>中华人民共和国行政处罚法</w:t>
            </w:r>
          </w:p>
        </w:tc>
        <w:tc>
          <w:tcPr>
            <w:tcW w:w="1701" w:type="dxa"/>
            <w:vAlign w:val="center"/>
          </w:tcPr>
          <w:p>
            <w:pPr>
              <w:topLinePunct/>
              <w:adjustRightInd w:val="0"/>
              <w:snapToGrid w:val="0"/>
              <w:rPr>
                <w:rFonts w:ascii="方正宋体_YS" w:hAnsi="方正宋体_YS" w:eastAsia="方正宋体_YS" w:cs="方正宋体_YS"/>
                <w:b/>
                <w:bCs/>
                <w:szCs w:val="21"/>
              </w:rPr>
            </w:pPr>
            <w:r>
              <w:rPr>
                <w:rFonts w:hint="eastAsia" w:ascii="方正宋体_YS" w:hAnsi="方正宋体_YS" w:eastAsia="方正宋体_YS" w:cs="方正宋体_YS"/>
                <w:bCs/>
                <w:szCs w:val="21"/>
              </w:rPr>
              <w:t>全国人大</w:t>
            </w:r>
          </w:p>
        </w:tc>
        <w:tc>
          <w:tcPr>
            <w:tcW w:w="2693"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1996年3月17日</w:t>
            </w:r>
          </w:p>
          <w:p>
            <w:pPr>
              <w:topLinePunct/>
              <w:adjustRightInd w:val="0"/>
              <w:snapToGrid w:val="0"/>
              <w:rPr>
                <w:rFonts w:ascii="方正宋体_YS" w:hAnsi="方正宋体_YS" w:eastAsia="方正宋体_YS" w:cs="方正宋体_YS"/>
                <w:b/>
                <w:bCs/>
                <w:szCs w:val="21"/>
              </w:rPr>
            </w:pPr>
            <w:r>
              <w:rPr>
                <w:rFonts w:hint="eastAsia" w:ascii="方正宋体_YS" w:hAnsi="方正宋体_YS" w:eastAsia="方正宋体_YS" w:cs="方正宋体_YS"/>
                <w:bCs/>
                <w:szCs w:val="21"/>
              </w:rPr>
              <w:t>1996年10月1日</w:t>
            </w:r>
          </w:p>
        </w:tc>
        <w:tc>
          <w:tcPr>
            <w:tcW w:w="5255" w:type="dxa"/>
          </w:tcPr>
          <w:p>
            <w:pPr>
              <w:topLinePunct/>
              <w:adjustRightInd w:val="0"/>
              <w:snapToGrid w:val="0"/>
              <w:ind w:firstLine="420" w:firstLineChars="200"/>
              <w:rPr>
                <w:rFonts w:ascii="方正宋体_YS" w:hAnsi="方正宋体_YS" w:eastAsia="方正宋体_YS" w:cs="方正宋体_YS"/>
                <w:b/>
                <w:bCs/>
                <w:szCs w:val="21"/>
              </w:rPr>
            </w:pPr>
            <w:r>
              <w:rPr>
                <w:rFonts w:hint="eastAsia" w:ascii="方正宋体_YS" w:hAnsi="方正宋体_YS" w:eastAsia="方正宋体_YS" w:cs="方正宋体_YS"/>
                <w:bCs/>
                <w:szCs w:val="21"/>
              </w:rPr>
              <w:t>根据2009年8月27日第十一届</w:t>
            </w:r>
            <w:r>
              <w:fldChar w:fldCharType="begin"/>
            </w:r>
            <w:r>
              <w:instrText xml:space="preserve"> HYPERLINK "https://baike.so.com/doc/5354341-5589805.html" \t "/home/user/文档x/_blank" </w:instrText>
            </w:r>
            <w:r>
              <w:fldChar w:fldCharType="separate"/>
            </w:r>
            <w:r>
              <w:rPr>
                <w:rFonts w:hint="eastAsia" w:ascii="方正宋体_YS" w:hAnsi="方正宋体_YS" w:eastAsia="方正宋体_YS" w:cs="方正宋体_YS"/>
                <w:bCs/>
                <w:szCs w:val="21"/>
              </w:rPr>
              <w:t>全国人民代表大会常务委员会</w:t>
            </w:r>
            <w:r>
              <w:rPr>
                <w:rFonts w:hint="eastAsia" w:ascii="方正宋体_YS" w:hAnsi="方正宋体_YS" w:eastAsia="方正宋体_YS" w:cs="方正宋体_YS"/>
                <w:bCs/>
                <w:szCs w:val="21"/>
              </w:rPr>
              <w:fldChar w:fldCharType="end"/>
            </w:r>
            <w:r>
              <w:rPr>
                <w:rFonts w:hint="eastAsia" w:ascii="方正宋体_YS" w:hAnsi="方正宋体_YS" w:eastAsia="方正宋体_YS" w:cs="方正宋体_YS"/>
                <w:bCs/>
                <w:szCs w:val="21"/>
              </w:rPr>
              <w:t>第十次会议《关于修改部分法律的决定》第一次修正；根据2017年9月1日第十二届全国人民代表大会常务委员会第二十九次会议《关于修改〈中华人民共和国法官法〉等八部法律的决定》第二次修正。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07"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3</w:t>
            </w:r>
          </w:p>
        </w:tc>
        <w:tc>
          <w:tcPr>
            <w:tcW w:w="2800" w:type="dxa"/>
            <w:vAlign w:val="center"/>
          </w:tcPr>
          <w:p>
            <w:pPr>
              <w:topLinePunct/>
              <w:adjustRightInd w:val="0"/>
              <w:snapToGrid w:val="0"/>
              <w:rPr>
                <w:rFonts w:ascii="方正宋体_YS" w:hAnsi="方正宋体_YS" w:eastAsia="方正宋体_YS" w:cs="方正宋体_YS"/>
                <w:b/>
                <w:bCs/>
                <w:szCs w:val="21"/>
              </w:rPr>
            </w:pPr>
            <w:r>
              <w:rPr>
                <w:rFonts w:hint="eastAsia" w:ascii="方正宋体_YS" w:hAnsi="方正宋体_YS" w:eastAsia="方正宋体_YS" w:cs="方正宋体_YS"/>
                <w:bCs/>
                <w:szCs w:val="21"/>
              </w:rPr>
              <w:t>中华人民共和国行政复议法</w:t>
            </w:r>
          </w:p>
        </w:tc>
        <w:tc>
          <w:tcPr>
            <w:tcW w:w="1701" w:type="dxa"/>
            <w:vAlign w:val="center"/>
          </w:tcPr>
          <w:p>
            <w:pPr>
              <w:topLinePunct/>
              <w:adjustRightInd w:val="0"/>
              <w:snapToGrid w:val="0"/>
              <w:rPr>
                <w:rFonts w:ascii="方正宋体_YS" w:hAnsi="方正宋体_YS" w:eastAsia="方正宋体_YS" w:cs="方正宋体_YS"/>
                <w:b/>
                <w:bCs/>
                <w:szCs w:val="21"/>
              </w:rPr>
            </w:pPr>
            <w:r>
              <w:rPr>
                <w:rFonts w:hint="eastAsia" w:ascii="方正宋体_YS" w:hAnsi="方正宋体_YS" w:eastAsia="方正宋体_YS" w:cs="方正宋体_YS"/>
                <w:bCs/>
                <w:szCs w:val="21"/>
              </w:rPr>
              <w:t>全国人大常委会</w:t>
            </w:r>
          </w:p>
        </w:tc>
        <w:tc>
          <w:tcPr>
            <w:tcW w:w="2693"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1999年4月29日</w:t>
            </w:r>
          </w:p>
          <w:p>
            <w:pPr>
              <w:topLinePunct/>
              <w:adjustRightInd w:val="0"/>
              <w:snapToGrid w:val="0"/>
              <w:rPr>
                <w:rFonts w:ascii="方正宋体_YS" w:hAnsi="方正宋体_YS" w:eastAsia="方正宋体_YS" w:cs="方正宋体_YS"/>
                <w:b/>
                <w:bCs/>
                <w:szCs w:val="21"/>
              </w:rPr>
            </w:pPr>
            <w:r>
              <w:rPr>
                <w:rFonts w:hint="eastAsia" w:ascii="方正宋体_YS" w:hAnsi="方正宋体_YS" w:eastAsia="方正宋体_YS" w:cs="方正宋体_YS"/>
                <w:bCs/>
                <w:szCs w:val="21"/>
              </w:rPr>
              <w:t>1999年10月1日</w:t>
            </w:r>
          </w:p>
        </w:tc>
        <w:tc>
          <w:tcPr>
            <w:tcW w:w="5255" w:type="dxa"/>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根据2009年8月27日第十一届全国人民代表大会常务委员会第十次会议《关于修改部分法律的决定》第一次修正；根据2017年9月1日第十二届全国人民代表大会常务委员会第二十九次会议《关于修改〈中华人民共和国法官法〉等八部法律的决定》第二次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07"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4</w:t>
            </w:r>
          </w:p>
        </w:tc>
        <w:tc>
          <w:tcPr>
            <w:tcW w:w="2800" w:type="dxa"/>
            <w:vAlign w:val="center"/>
          </w:tcPr>
          <w:p>
            <w:pPr>
              <w:topLinePunct/>
              <w:adjustRightInd w:val="0"/>
              <w:snapToGrid w:val="0"/>
              <w:rPr>
                <w:rFonts w:ascii="方正宋体_YS" w:hAnsi="方正宋体_YS" w:eastAsia="方正宋体_YS" w:cs="方正宋体_YS"/>
                <w:b/>
                <w:bCs/>
                <w:szCs w:val="21"/>
              </w:rPr>
            </w:pPr>
            <w:r>
              <w:rPr>
                <w:rFonts w:hint="eastAsia" w:ascii="方正宋体_YS" w:hAnsi="方正宋体_YS" w:eastAsia="方正宋体_YS" w:cs="方正宋体_YS"/>
                <w:bCs/>
                <w:szCs w:val="21"/>
              </w:rPr>
              <w:t>中华人民共和国行政许可法</w:t>
            </w:r>
          </w:p>
        </w:tc>
        <w:tc>
          <w:tcPr>
            <w:tcW w:w="1701" w:type="dxa"/>
            <w:vAlign w:val="center"/>
          </w:tcPr>
          <w:p>
            <w:pPr>
              <w:topLinePunct/>
              <w:adjustRightInd w:val="0"/>
              <w:snapToGrid w:val="0"/>
              <w:rPr>
                <w:rFonts w:ascii="方正宋体_YS" w:hAnsi="方正宋体_YS" w:eastAsia="方正宋体_YS" w:cs="方正宋体_YS"/>
                <w:b/>
                <w:bCs/>
                <w:szCs w:val="21"/>
              </w:rPr>
            </w:pPr>
            <w:r>
              <w:rPr>
                <w:rFonts w:hint="eastAsia" w:ascii="方正宋体_YS" w:hAnsi="方正宋体_YS" w:eastAsia="方正宋体_YS" w:cs="方正宋体_YS"/>
                <w:bCs/>
                <w:szCs w:val="21"/>
              </w:rPr>
              <w:t>全国人大常委会</w:t>
            </w:r>
          </w:p>
        </w:tc>
        <w:tc>
          <w:tcPr>
            <w:tcW w:w="2693"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2003年8月27日</w:t>
            </w:r>
          </w:p>
          <w:p>
            <w:pPr>
              <w:topLinePunct/>
              <w:adjustRightInd w:val="0"/>
              <w:snapToGrid w:val="0"/>
              <w:rPr>
                <w:rFonts w:ascii="方正宋体_YS" w:hAnsi="方正宋体_YS" w:eastAsia="方正宋体_YS" w:cs="方正宋体_YS"/>
                <w:b/>
                <w:bCs/>
                <w:szCs w:val="21"/>
              </w:rPr>
            </w:pPr>
            <w:r>
              <w:rPr>
                <w:rFonts w:hint="eastAsia" w:ascii="方正宋体_YS" w:hAnsi="方正宋体_YS" w:eastAsia="方正宋体_YS" w:cs="方正宋体_YS"/>
                <w:bCs/>
                <w:szCs w:val="21"/>
              </w:rPr>
              <w:t>2004年7月7日</w:t>
            </w:r>
          </w:p>
        </w:tc>
        <w:tc>
          <w:tcPr>
            <w:tcW w:w="5255" w:type="dxa"/>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根据2019年4月23日第十三届全国人民代表大会常务委员会第十次会议《关于修改〈中华人民共和国建筑法〉等八部法律的决定》修正。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8" w:hRule="atLeast"/>
          <w:jc w:val="center"/>
        </w:trPr>
        <w:tc>
          <w:tcPr>
            <w:tcW w:w="807"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5</w:t>
            </w:r>
          </w:p>
        </w:tc>
        <w:tc>
          <w:tcPr>
            <w:tcW w:w="2800" w:type="dxa"/>
            <w:vAlign w:val="center"/>
          </w:tcPr>
          <w:p>
            <w:pPr>
              <w:topLinePunct/>
              <w:adjustRightInd w:val="0"/>
              <w:snapToGrid w:val="0"/>
              <w:rPr>
                <w:rFonts w:ascii="方正宋体_YS" w:hAnsi="方正宋体_YS" w:eastAsia="方正宋体_YS" w:cs="方正宋体_YS"/>
                <w:b/>
                <w:bCs/>
                <w:szCs w:val="21"/>
              </w:rPr>
            </w:pPr>
            <w:r>
              <w:rPr>
                <w:rFonts w:hint="eastAsia" w:ascii="方正宋体_YS" w:hAnsi="方正宋体_YS" w:eastAsia="方正宋体_YS" w:cs="方正宋体_YS"/>
                <w:bCs/>
                <w:szCs w:val="21"/>
              </w:rPr>
              <w:t>中华人民共和国行政强制法</w:t>
            </w:r>
          </w:p>
        </w:tc>
        <w:tc>
          <w:tcPr>
            <w:tcW w:w="1701" w:type="dxa"/>
            <w:vAlign w:val="center"/>
          </w:tcPr>
          <w:p>
            <w:pPr>
              <w:topLinePunct/>
              <w:adjustRightInd w:val="0"/>
              <w:snapToGrid w:val="0"/>
              <w:rPr>
                <w:rFonts w:ascii="方正宋体_YS" w:hAnsi="方正宋体_YS" w:eastAsia="方正宋体_YS" w:cs="方正宋体_YS"/>
                <w:b/>
                <w:bCs/>
                <w:szCs w:val="21"/>
              </w:rPr>
            </w:pPr>
            <w:r>
              <w:rPr>
                <w:rFonts w:hint="eastAsia" w:ascii="方正宋体_YS" w:hAnsi="方正宋体_YS" w:eastAsia="方正宋体_YS" w:cs="方正宋体_YS"/>
                <w:bCs/>
                <w:szCs w:val="21"/>
              </w:rPr>
              <w:t>全国人大常委会</w:t>
            </w:r>
          </w:p>
        </w:tc>
        <w:tc>
          <w:tcPr>
            <w:tcW w:w="2693"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2011年6月30日</w:t>
            </w:r>
          </w:p>
          <w:p>
            <w:pPr>
              <w:topLinePunct/>
              <w:adjustRightInd w:val="0"/>
              <w:snapToGrid w:val="0"/>
              <w:rPr>
                <w:rFonts w:ascii="方正宋体_YS" w:hAnsi="方正宋体_YS" w:eastAsia="方正宋体_YS" w:cs="方正宋体_YS"/>
                <w:b/>
                <w:bCs/>
                <w:szCs w:val="21"/>
              </w:rPr>
            </w:pPr>
            <w:r>
              <w:rPr>
                <w:rFonts w:hint="eastAsia" w:ascii="方正宋体_YS" w:hAnsi="方正宋体_YS" w:eastAsia="方正宋体_YS" w:cs="方正宋体_YS"/>
                <w:bCs/>
                <w:szCs w:val="21"/>
              </w:rPr>
              <w:t>2012年1月1日</w:t>
            </w:r>
          </w:p>
        </w:tc>
        <w:tc>
          <w:tcPr>
            <w:tcW w:w="5255" w:type="dxa"/>
          </w:tcPr>
          <w:p>
            <w:pPr>
              <w:topLinePunct/>
              <w:adjustRightInd w:val="0"/>
              <w:snapToGrid w:val="0"/>
              <w:rPr>
                <w:rFonts w:ascii="方正宋体_YS" w:hAnsi="方正宋体_YS" w:eastAsia="方正宋体_YS" w:cs="方正宋体_YS"/>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07"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6</w:t>
            </w:r>
          </w:p>
        </w:tc>
        <w:tc>
          <w:tcPr>
            <w:tcW w:w="280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中华人民共和国安全生产法</w:t>
            </w:r>
          </w:p>
        </w:tc>
        <w:tc>
          <w:tcPr>
            <w:tcW w:w="1701"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全国人大常委会</w:t>
            </w:r>
          </w:p>
        </w:tc>
        <w:tc>
          <w:tcPr>
            <w:tcW w:w="2693"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2002年6月29日</w:t>
            </w:r>
          </w:p>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2002年11月1日</w:t>
            </w:r>
          </w:p>
        </w:tc>
        <w:tc>
          <w:tcPr>
            <w:tcW w:w="5255" w:type="dxa"/>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根据2009年8月27日第十一届全国人民代表大会常务委员会第十次会议《关于修改部分法律的决定》第一次修正；根据2014年8月31日第十二届全国人民代表大会常务委员会第十次会议《关于修改〈中华人民共和国安全生产法〉的决定》第二次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jc w:val="center"/>
        </w:trPr>
        <w:tc>
          <w:tcPr>
            <w:tcW w:w="807"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7</w:t>
            </w:r>
          </w:p>
        </w:tc>
        <w:tc>
          <w:tcPr>
            <w:tcW w:w="280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中华人民共和国矿山安全法</w:t>
            </w:r>
          </w:p>
        </w:tc>
        <w:tc>
          <w:tcPr>
            <w:tcW w:w="1701"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全国人大常委会</w:t>
            </w:r>
          </w:p>
        </w:tc>
        <w:tc>
          <w:tcPr>
            <w:tcW w:w="2693"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1992年11月7日</w:t>
            </w:r>
          </w:p>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1993年5月1日</w:t>
            </w:r>
          </w:p>
        </w:tc>
        <w:tc>
          <w:tcPr>
            <w:tcW w:w="5255" w:type="dxa"/>
            <w:vAlign w:val="center"/>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根据2009年8月27日第十一届全国人民代表大会常务委员会第十次会议《关于修改部分法律的决定》修正。</w:t>
            </w:r>
          </w:p>
        </w:tc>
      </w:tr>
    </w:tbl>
    <w:p>
      <w:pPr>
        <w:pageBreakBefore/>
        <w:topLinePunct/>
        <w:adjustRightInd w:val="0"/>
        <w:snapToGrid w:val="0"/>
        <w:ind w:firstLine="320" w:firstLineChars="100"/>
        <w:rPr>
          <w:rFonts w:ascii="方正黑体_GBK" w:hAnsi="方正黑体_GBK" w:eastAsia="方正黑体_GBK" w:cs="方正黑体_GBK"/>
          <w:bCs/>
          <w:sz w:val="32"/>
        </w:rPr>
      </w:pPr>
      <w:r>
        <w:rPr>
          <w:rFonts w:hint="eastAsia" w:ascii="方正黑体_GBK" w:hAnsi="方正黑体_GBK" w:eastAsia="方正黑体_GBK" w:cs="方正黑体_GBK"/>
          <w:bCs/>
          <w:sz w:val="32"/>
        </w:rPr>
        <w:t>二、行政法规</w:t>
      </w:r>
    </w:p>
    <w:tbl>
      <w:tblPr>
        <w:tblStyle w:val="19"/>
        <w:tblW w:w="1307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4"/>
        <w:gridCol w:w="2306"/>
        <w:gridCol w:w="1589"/>
        <w:gridCol w:w="1972"/>
        <w:gridCol w:w="2263"/>
        <w:gridCol w:w="3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054" w:type="dxa"/>
            <w:vAlign w:val="center"/>
          </w:tcPr>
          <w:p>
            <w:pPr>
              <w:topLinePunct/>
              <w:adjustRightInd w:val="0"/>
              <w:snapToGrid w:val="0"/>
              <w:jc w:val="center"/>
              <w:rPr>
                <w:rFonts w:ascii="宋体" w:hAnsi="宋体"/>
                <w:b/>
                <w:bCs/>
                <w:szCs w:val="21"/>
              </w:rPr>
            </w:pPr>
            <w:r>
              <w:rPr>
                <w:rFonts w:hint="eastAsia" w:ascii="宋体" w:hAnsi="宋体"/>
                <w:b/>
                <w:bCs/>
                <w:szCs w:val="21"/>
              </w:rPr>
              <w:t>序号</w:t>
            </w:r>
          </w:p>
        </w:tc>
        <w:tc>
          <w:tcPr>
            <w:tcW w:w="2306" w:type="dxa"/>
            <w:vAlign w:val="center"/>
          </w:tcPr>
          <w:p>
            <w:pPr>
              <w:topLinePunct/>
              <w:adjustRightInd w:val="0"/>
              <w:snapToGrid w:val="0"/>
              <w:jc w:val="center"/>
              <w:rPr>
                <w:rFonts w:ascii="宋体" w:hAnsi="宋体"/>
                <w:b/>
                <w:bCs/>
                <w:szCs w:val="21"/>
              </w:rPr>
            </w:pPr>
            <w:r>
              <w:rPr>
                <w:rFonts w:hint="eastAsia" w:ascii="宋体" w:hAnsi="宋体"/>
                <w:b/>
                <w:bCs/>
                <w:szCs w:val="21"/>
              </w:rPr>
              <w:t>名称</w:t>
            </w:r>
          </w:p>
        </w:tc>
        <w:tc>
          <w:tcPr>
            <w:tcW w:w="1589" w:type="dxa"/>
            <w:vAlign w:val="center"/>
          </w:tcPr>
          <w:p>
            <w:pPr>
              <w:topLinePunct/>
              <w:adjustRightInd w:val="0"/>
              <w:snapToGrid w:val="0"/>
              <w:jc w:val="center"/>
              <w:rPr>
                <w:rFonts w:ascii="宋体" w:hAnsi="宋体"/>
                <w:b/>
                <w:bCs/>
                <w:szCs w:val="21"/>
              </w:rPr>
            </w:pPr>
            <w:r>
              <w:rPr>
                <w:rFonts w:hint="eastAsia" w:ascii="宋体" w:hAnsi="宋体"/>
                <w:b/>
                <w:bCs/>
                <w:szCs w:val="21"/>
              </w:rPr>
              <w:t>制定机关</w:t>
            </w:r>
          </w:p>
        </w:tc>
        <w:tc>
          <w:tcPr>
            <w:tcW w:w="1972" w:type="dxa"/>
            <w:vAlign w:val="center"/>
          </w:tcPr>
          <w:p>
            <w:pPr>
              <w:topLinePunct/>
              <w:adjustRightInd w:val="0"/>
              <w:snapToGrid w:val="0"/>
              <w:jc w:val="center"/>
              <w:rPr>
                <w:rFonts w:ascii="宋体" w:hAnsi="宋体"/>
                <w:b/>
                <w:bCs/>
                <w:szCs w:val="21"/>
              </w:rPr>
            </w:pPr>
            <w:r>
              <w:rPr>
                <w:rFonts w:hint="eastAsia" w:ascii="宋体" w:hAnsi="宋体"/>
                <w:b/>
                <w:bCs/>
                <w:szCs w:val="21"/>
              </w:rPr>
              <w:t>公布/生效日期</w:t>
            </w:r>
          </w:p>
        </w:tc>
        <w:tc>
          <w:tcPr>
            <w:tcW w:w="2263" w:type="dxa"/>
            <w:vAlign w:val="center"/>
          </w:tcPr>
          <w:p>
            <w:pPr>
              <w:topLinePunct/>
              <w:adjustRightInd w:val="0"/>
              <w:snapToGrid w:val="0"/>
              <w:jc w:val="center"/>
              <w:rPr>
                <w:rFonts w:ascii="宋体" w:hAnsi="宋体"/>
                <w:b/>
                <w:bCs/>
                <w:szCs w:val="21"/>
              </w:rPr>
            </w:pPr>
            <w:r>
              <w:rPr>
                <w:rFonts w:hint="eastAsia" w:ascii="宋体" w:hAnsi="宋体"/>
                <w:b/>
                <w:bCs/>
                <w:szCs w:val="21"/>
              </w:rPr>
              <w:t>公布令号</w:t>
            </w:r>
          </w:p>
        </w:tc>
        <w:tc>
          <w:tcPr>
            <w:tcW w:w="3886" w:type="dxa"/>
          </w:tcPr>
          <w:p>
            <w:pPr>
              <w:topLinePunct/>
              <w:adjustRightInd w:val="0"/>
              <w:snapToGrid w:val="0"/>
              <w:jc w:val="center"/>
              <w:rPr>
                <w:rFonts w:ascii="宋体" w:hAnsi="宋体"/>
                <w:b/>
                <w:bCs/>
                <w:szCs w:val="21"/>
              </w:rPr>
            </w:pPr>
            <w:r>
              <w:rPr>
                <w:rFonts w:hint="eastAsia" w:ascii="宋体" w:hAnsi="宋体"/>
                <w:b/>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54"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1</w:t>
            </w:r>
          </w:p>
        </w:tc>
        <w:tc>
          <w:tcPr>
            <w:tcW w:w="2306"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矿山安全法实施条例</w:t>
            </w:r>
          </w:p>
        </w:tc>
        <w:tc>
          <w:tcPr>
            <w:tcW w:w="1589"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国务院</w:t>
            </w:r>
          </w:p>
        </w:tc>
        <w:tc>
          <w:tcPr>
            <w:tcW w:w="1972" w:type="dxa"/>
            <w:vAlign w:val="bottom"/>
          </w:tcPr>
          <w:p>
            <w:pPr>
              <w:topLinePunct/>
              <w:adjustRightInd w:val="0"/>
              <w:snapToGrid w:val="0"/>
              <w:jc w:val="center"/>
              <w:rPr>
                <w:rFonts w:ascii="方正宋体_YS" w:hAnsi="方正宋体_YS" w:eastAsia="方正宋体_YS" w:cs="方正宋体_YS"/>
                <w:bCs/>
                <w:szCs w:val="21"/>
              </w:rPr>
            </w:pPr>
            <w:r>
              <w:rPr>
                <w:rFonts w:ascii="方正宋体_YS" w:hAnsi="方正宋体_YS" w:eastAsia="方正宋体_YS" w:cs="方正宋体_YS"/>
                <w:bCs/>
                <w:szCs w:val="21"/>
              </w:rPr>
              <w:t>1996年10月30日</w:t>
            </w:r>
          </w:p>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1996年10月30日</w:t>
            </w:r>
          </w:p>
        </w:tc>
        <w:tc>
          <w:tcPr>
            <w:tcW w:w="2263"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国务院批准，劳动部令第4号</w:t>
            </w:r>
          </w:p>
        </w:tc>
        <w:tc>
          <w:tcPr>
            <w:tcW w:w="3886" w:type="dxa"/>
            <w:vAlign w:val="center"/>
          </w:tcPr>
          <w:p>
            <w:pPr>
              <w:topLinePunct/>
              <w:adjustRightInd w:val="0"/>
              <w:snapToGrid w:val="0"/>
              <w:rPr>
                <w:rFonts w:ascii="方正宋体_YS" w:hAnsi="方正宋体_YS" w:eastAsia="方正宋体_YS" w:cs="方正宋体_YS"/>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54"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2</w:t>
            </w:r>
          </w:p>
        </w:tc>
        <w:tc>
          <w:tcPr>
            <w:tcW w:w="2306"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国务院关于特大安全事故行政责任追究的规定</w:t>
            </w:r>
          </w:p>
        </w:tc>
        <w:tc>
          <w:tcPr>
            <w:tcW w:w="1589"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国务院</w:t>
            </w:r>
          </w:p>
        </w:tc>
        <w:tc>
          <w:tcPr>
            <w:tcW w:w="1972"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2001年4月21日</w:t>
            </w:r>
          </w:p>
          <w:p>
            <w:pPr>
              <w:topLinePunct/>
              <w:adjustRightInd w:val="0"/>
              <w:snapToGrid w:val="0"/>
              <w:ind w:firstLine="42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2001年4月21日</w:t>
            </w:r>
          </w:p>
        </w:tc>
        <w:tc>
          <w:tcPr>
            <w:tcW w:w="2263"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国务院令第302号</w:t>
            </w:r>
          </w:p>
        </w:tc>
        <w:tc>
          <w:tcPr>
            <w:tcW w:w="3886" w:type="dxa"/>
            <w:vAlign w:val="center"/>
          </w:tcPr>
          <w:p>
            <w:pPr>
              <w:topLinePunct/>
              <w:adjustRightInd w:val="0"/>
              <w:snapToGrid w:val="0"/>
              <w:rPr>
                <w:rFonts w:ascii="方正宋体_YS" w:hAnsi="方正宋体_YS" w:eastAsia="方正宋体_YS" w:cs="方正宋体_YS"/>
                <w:bCs/>
                <w:szCs w:val="21"/>
              </w:rPr>
            </w:pPr>
          </w:p>
          <w:p>
            <w:pPr>
              <w:topLinePunct/>
              <w:adjustRightInd w:val="0"/>
              <w:snapToGrid w:val="0"/>
              <w:rPr>
                <w:rFonts w:ascii="方正宋体_YS" w:hAnsi="方正宋体_YS" w:eastAsia="方正宋体_YS" w:cs="方正宋体_YS"/>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54"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3</w:t>
            </w:r>
          </w:p>
        </w:tc>
        <w:tc>
          <w:tcPr>
            <w:tcW w:w="2306"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安全生产许可证条例</w:t>
            </w:r>
          </w:p>
        </w:tc>
        <w:tc>
          <w:tcPr>
            <w:tcW w:w="1589"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国务院</w:t>
            </w:r>
          </w:p>
        </w:tc>
        <w:tc>
          <w:tcPr>
            <w:tcW w:w="1972"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2004年1月13日</w:t>
            </w:r>
          </w:p>
          <w:p>
            <w:pPr>
              <w:topLinePunct/>
              <w:adjustRightInd w:val="0"/>
              <w:snapToGrid w:val="0"/>
              <w:ind w:firstLine="42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2004年1月13日</w:t>
            </w:r>
          </w:p>
        </w:tc>
        <w:tc>
          <w:tcPr>
            <w:tcW w:w="2263"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国务院令第397号</w:t>
            </w:r>
          </w:p>
        </w:tc>
        <w:tc>
          <w:tcPr>
            <w:tcW w:w="3886" w:type="dxa"/>
            <w:vAlign w:val="center"/>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根据2013年7月18日《</w:t>
            </w:r>
            <w:r>
              <w:fldChar w:fldCharType="begin"/>
            </w:r>
            <w:r>
              <w:instrText xml:space="preserve"> HYPERLINK "http://www-pkulaw-com-s.vpn.ruc.edu.cn/chl/javascript:SLC(207501,0)" </w:instrText>
            </w:r>
            <w:r>
              <w:fldChar w:fldCharType="separate"/>
            </w:r>
            <w:r>
              <w:rPr>
                <w:rFonts w:hint="eastAsia" w:ascii="方正宋体_YS" w:hAnsi="方正宋体_YS" w:eastAsia="方正宋体_YS" w:cs="方正宋体_YS"/>
                <w:bCs/>
                <w:szCs w:val="21"/>
              </w:rPr>
              <w:t>国务院关于废止和修改部分行政法规的决定</w:t>
            </w:r>
            <w:r>
              <w:rPr>
                <w:rFonts w:hint="eastAsia" w:ascii="方正宋体_YS" w:hAnsi="方正宋体_YS" w:eastAsia="方正宋体_YS" w:cs="方正宋体_YS"/>
                <w:bCs/>
                <w:szCs w:val="21"/>
              </w:rPr>
              <w:fldChar w:fldCharType="end"/>
            </w:r>
            <w:r>
              <w:rPr>
                <w:rFonts w:hint="eastAsia" w:ascii="方正宋体_YS" w:hAnsi="方正宋体_YS" w:eastAsia="方正宋体_YS" w:cs="方正宋体_YS"/>
                <w:bCs/>
                <w:szCs w:val="21"/>
              </w:rPr>
              <w:t>》第一次修订；根据2014年7月29日《</w:t>
            </w:r>
            <w:r>
              <w:fldChar w:fldCharType="begin"/>
            </w:r>
            <w:r>
              <w:instrText xml:space="preserve"> HYPERLINK "http://www-pkulaw-com-s.vpn.ruc.edu.cn/chl/javascript:SLC(231227,0)" </w:instrText>
            </w:r>
            <w:r>
              <w:fldChar w:fldCharType="separate"/>
            </w:r>
            <w:r>
              <w:rPr>
                <w:rFonts w:hint="eastAsia" w:ascii="方正宋体_YS" w:hAnsi="方正宋体_YS" w:eastAsia="方正宋体_YS" w:cs="方正宋体_YS"/>
                <w:bCs/>
                <w:szCs w:val="21"/>
              </w:rPr>
              <w:t>国务院关于修改部分行政法规的决定</w:t>
            </w:r>
            <w:r>
              <w:rPr>
                <w:rFonts w:hint="eastAsia" w:ascii="方正宋体_YS" w:hAnsi="方正宋体_YS" w:eastAsia="方正宋体_YS" w:cs="方正宋体_YS"/>
                <w:bCs/>
                <w:szCs w:val="21"/>
              </w:rPr>
              <w:fldChar w:fldCharType="end"/>
            </w:r>
            <w:r>
              <w:rPr>
                <w:rFonts w:hint="eastAsia" w:ascii="方正宋体_YS" w:hAnsi="方正宋体_YS" w:eastAsia="方正宋体_YS" w:cs="方正宋体_YS"/>
                <w:bCs/>
                <w:szCs w:val="21"/>
              </w:rPr>
              <w:t>》第二次修订。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54"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4</w:t>
            </w:r>
          </w:p>
        </w:tc>
        <w:tc>
          <w:tcPr>
            <w:tcW w:w="2306"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易制毒化学品管理条例</w:t>
            </w:r>
          </w:p>
        </w:tc>
        <w:tc>
          <w:tcPr>
            <w:tcW w:w="1589"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国务院</w:t>
            </w:r>
          </w:p>
        </w:tc>
        <w:tc>
          <w:tcPr>
            <w:tcW w:w="1972"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2005年8月26日</w:t>
            </w:r>
          </w:p>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2005年11月1日</w:t>
            </w:r>
          </w:p>
        </w:tc>
        <w:tc>
          <w:tcPr>
            <w:tcW w:w="2263"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国务院令第445号</w:t>
            </w:r>
          </w:p>
        </w:tc>
        <w:tc>
          <w:tcPr>
            <w:tcW w:w="3886" w:type="dxa"/>
            <w:vAlign w:val="center"/>
          </w:tcPr>
          <w:p>
            <w:pPr>
              <w:topLinePunct/>
              <w:adjustRightInd w:val="0"/>
              <w:snapToGrid w:val="0"/>
              <w:ind w:firstLine="420"/>
              <w:rPr>
                <w:rFonts w:ascii="方正宋体_YS" w:hAnsi="方正宋体_YS" w:eastAsia="方正宋体_YS" w:cs="方正宋体_YS"/>
                <w:bCs/>
                <w:szCs w:val="21"/>
              </w:rPr>
            </w:pPr>
            <w:r>
              <w:rPr>
                <w:rFonts w:hint="eastAsia" w:ascii="方正宋体_YS" w:hAnsi="方正宋体_YS" w:eastAsia="方正宋体_YS" w:cs="方正宋体_YS"/>
                <w:bCs/>
                <w:szCs w:val="21"/>
              </w:rPr>
              <w:t>根据2014年7月29日《国务院关于修改部分行政法规的决定》第一次修改；根据2016年2月6日《国务院关于修改部分行政法规的决定》第二次修改　根据2018年9月18日国务院令第703号《国务院关于修改部分行政法规的决定》修正。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54"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5</w:t>
            </w:r>
          </w:p>
        </w:tc>
        <w:tc>
          <w:tcPr>
            <w:tcW w:w="2306"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烟花爆竹安全管理条例</w:t>
            </w:r>
          </w:p>
        </w:tc>
        <w:tc>
          <w:tcPr>
            <w:tcW w:w="1589"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国务院</w:t>
            </w:r>
          </w:p>
        </w:tc>
        <w:tc>
          <w:tcPr>
            <w:tcW w:w="1972"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2006年1月21日</w:t>
            </w:r>
          </w:p>
        </w:tc>
        <w:tc>
          <w:tcPr>
            <w:tcW w:w="2263"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国务院令第455号</w:t>
            </w:r>
          </w:p>
        </w:tc>
        <w:tc>
          <w:tcPr>
            <w:tcW w:w="3886" w:type="dxa"/>
            <w:vAlign w:val="center"/>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根据2016年2月6日《国务院关于修改部分行政法规的决定》修订。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8" w:hRule="atLeast"/>
          <w:jc w:val="center"/>
        </w:trPr>
        <w:tc>
          <w:tcPr>
            <w:tcW w:w="1054"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6</w:t>
            </w:r>
          </w:p>
        </w:tc>
        <w:tc>
          <w:tcPr>
            <w:tcW w:w="2306"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生产安全事故报告和调查处理条例</w:t>
            </w:r>
          </w:p>
        </w:tc>
        <w:tc>
          <w:tcPr>
            <w:tcW w:w="1589"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国务院</w:t>
            </w:r>
          </w:p>
        </w:tc>
        <w:tc>
          <w:tcPr>
            <w:tcW w:w="1972"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2007年4月9日</w:t>
            </w:r>
          </w:p>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2007年6月1日</w:t>
            </w:r>
          </w:p>
        </w:tc>
        <w:tc>
          <w:tcPr>
            <w:tcW w:w="2263"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国务院令第493号</w:t>
            </w:r>
          </w:p>
        </w:tc>
        <w:tc>
          <w:tcPr>
            <w:tcW w:w="3886" w:type="dxa"/>
            <w:vAlign w:val="center"/>
          </w:tcPr>
          <w:p>
            <w:pPr>
              <w:topLinePunct/>
              <w:adjustRightInd w:val="0"/>
              <w:snapToGrid w:val="0"/>
              <w:rPr>
                <w:rFonts w:ascii="方正宋体_YS" w:hAnsi="方正宋体_YS" w:eastAsia="方正宋体_YS" w:cs="方正宋体_YS"/>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54"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7</w:t>
            </w:r>
          </w:p>
        </w:tc>
        <w:tc>
          <w:tcPr>
            <w:tcW w:w="2306"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危险化学品安全管理条例</w:t>
            </w:r>
          </w:p>
        </w:tc>
        <w:tc>
          <w:tcPr>
            <w:tcW w:w="1589"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国务院</w:t>
            </w:r>
          </w:p>
        </w:tc>
        <w:tc>
          <w:tcPr>
            <w:tcW w:w="1972"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2011年3月2日</w:t>
            </w:r>
          </w:p>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2011年12月1日</w:t>
            </w:r>
          </w:p>
        </w:tc>
        <w:tc>
          <w:tcPr>
            <w:tcW w:w="2263"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国务院令第591号</w:t>
            </w:r>
          </w:p>
        </w:tc>
        <w:tc>
          <w:tcPr>
            <w:tcW w:w="3886" w:type="dxa"/>
            <w:vAlign w:val="center"/>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根据2013年12月7日《国务院关于修改部分行政法规的决定》修订。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54"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8</w:t>
            </w:r>
          </w:p>
        </w:tc>
        <w:tc>
          <w:tcPr>
            <w:tcW w:w="2306"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生产安全事故应急条例</w:t>
            </w:r>
          </w:p>
        </w:tc>
        <w:tc>
          <w:tcPr>
            <w:tcW w:w="1589"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国务院</w:t>
            </w:r>
          </w:p>
        </w:tc>
        <w:tc>
          <w:tcPr>
            <w:tcW w:w="1972"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2019年2月17日</w:t>
            </w:r>
          </w:p>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2019年4月1日</w:t>
            </w:r>
          </w:p>
        </w:tc>
        <w:tc>
          <w:tcPr>
            <w:tcW w:w="2263"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国务院令第708号</w:t>
            </w:r>
          </w:p>
        </w:tc>
        <w:tc>
          <w:tcPr>
            <w:tcW w:w="3886" w:type="dxa"/>
            <w:vAlign w:val="center"/>
          </w:tcPr>
          <w:p>
            <w:pPr>
              <w:topLinePunct/>
              <w:adjustRightInd w:val="0"/>
              <w:snapToGrid w:val="0"/>
              <w:rPr>
                <w:rFonts w:ascii="方正宋体_YS" w:hAnsi="方正宋体_YS" w:eastAsia="方正宋体_YS" w:cs="方正宋体_YS"/>
                <w:bCs/>
                <w:szCs w:val="21"/>
              </w:rPr>
            </w:pPr>
          </w:p>
        </w:tc>
      </w:tr>
    </w:tbl>
    <w:p>
      <w:pPr>
        <w:pageBreakBefore/>
        <w:topLinePunct/>
        <w:adjustRightInd w:val="0"/>
        <w:snapToGrid w:val="0"/>
        <w:ind w:firstLine="320" w:firstLineChars="100"/>
        <w:rPr>
          <w:rFonts w:ascii="方正黑体_GBK" w:hAnsi="方正黑体_GBK" w:eastAsia="方正黑体_GBK" w:cs="方正黑体_GBK"/>
          <w:bCs/>
          <w:sz w:val="32"/>
        </w:rPr>
      </w:pPr>
      <w:r>
        <w:rPr>
          <w:rFonts w:hint="eastAsia" w:ascii="方正黑体_GBK" w:hAnsi="方正黑体_GBK" w:eastAsia="方正黑体_GBK" w:cs="方正黑体_GBK"/>
          <w:bCs/>
          <w:sz w:val="32"/>
        </w:rPr>
        <w:t>三、部门规章</w:t>
      </w:r>
    </w:p>
    <w:p>
      <w:pPr>
        <w:topLinePunct/>
        <w:adjustRightInd w:val="0"/>
        <w:snapToGrid w:val="0"/>
        <w:rPr>
          <w:rFonts w:ascii="黑体" w:hAnsi="黑体" w:eastAsia="黑体"/>
          <w:bCs/>
          <w:sz w:val="32"/>
        </w:rPr>
      </w:pPr>
    </w:p>
    <w:tbl>
      <w:tblPr>
        <w:tblStyle w:val="19"/>
        <w:tblW w:w="134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8"/>
        <w:gridCol w:w="2551"/>
        <w:gridCol w:w="1560"/>
        <w:gridCol w:w="2126"/>
        <w:gridCol w:w="1417"/>
        <w:gridCol w:w="5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748" w:type="dxa"/>
            <w:vAlign w:val="center"/>
          </w:tcPr>
          <w:p>
            <w:pPr>
              <w:topLinePunct/>
              <w:adjustRightInd w:val="0"/>
              <w:snapToGrid w:val="0"/>
              <w:jc w:val="center"/>
              <w:rPr>
                <w:rFonts w:ascii="宋体" w:hAnsi="宋体"/>
                <w:b/>
                <w:bCs/>
                <w:szCs w:val="21"/>
              </w:rPr>
            </w:pPr>
            <w:r>
              <w:rPr>
                <w:rFonts w:hint="eastAsia" w:ascii="宋体" w:hAnsi="宋体"/>
                <w:b/>
                <w:bCs/>
                <w:szCs w:val="21"/>
              </w:rPr>
              <w:t>序号</w:t>
            </w:r>
          </w:p>
        </w:tc>
        <w:tc>
          <w:tcPr>
            <w:tcW w:w="2551" w:type="dxa"/>
            <w:vAlign w:val="center"/>
          </w:tcPr>
          <w:p>
            <w:pPr>
              <w:topLinePunct/>
              <w:adjustRightInd w:val="0"/>
              <w:snapToGrid w:val="0"/>
              <w:jc w:val="center"/>
              <w:rPr>
                <w:rFonts w:ascii="宋体" w:hAnsi="宋体"/>
                <w:b/>
                <w:bCs/>
                <w:szCs w:val="21"/>
              </w:rPr>
            </w:pPr>
            <w:r>
              <w:rPr>
                <w:rFonts w:hint="eastAsia" w:ascii="宋体" w:hAnsi="宋体"/>
                <w:b/>
                <w:bCs/>
                <w:szCs w:val="21"/>
              </w:rPr>
              <w:t>名称</w:t>
            </w:r>
          </w:p>
        </w:tc>
        <w:tc>
          <w:tcPr>
            <w:tcW w:w="1560" w:type="dxa"/>
            <w:vAlign w:val="center"/>
          </w:tcPr>
          <w:p>
            <w:pPr>
              <w:topLinePunct/>
              <w:adjustRightInd w:val="0"/>
              <w:snapToGrid w:val="0"/>
              <w:jc w:val="center"/>
              <w:rPr>
                <w:rFonts w:ascii="宋体" w:hAnsi="宋体"/>
                <w:b/>
                <w:bCs/>
                <w:szCs w:val="21"/>
              </w:rPr>
            </w:pPr>
            <w:r>
              <w:rPr>
                <w:rFonts w:hint="eastAsia" w:ascii="宋体" w:hAnsi="宋体"/>
                <w:b/>
                <w:bCs/>
                <w:szCs w:val="21"/>
              </w:rPr>
              <w:t>制定机关</w:t>
            </w:r>
          </w:p>
        </w:tc>
        <w:tc>
          <w:tcPr>
            <w:tcW w:w="2126" w:type="dxa"/>
            <w:vAlign w:val="center"/>
          </w:tcPr>
          <w:p>
            <w:pPr>
              <w:topLinePunct/>
              <w:adjustRightInd w:val="0"/>
              <w:snapToGrid w:val="0"/>
              <w:jc w:val="center"/>
              <w:rPr>
                <w:rFonts w:ascii="宋体" w:hAnsi="宋体"/>
                <w:b/>
                <w:bCs/>
                <w:szCs w:val="21"/>
              </w:rPr>
            </w:pPr>
            <w:r>
              <w:rPr>
                <w:rFonts w:hint="eastAsia" w:ascii="宋体" w:hAnsi="宋体"/>
                <w:b/>
                <w:bCs/>
                <w:szCs w:val="21"/>
              </w:rPr>
              <w:t>公布/生效日期</w:t>
            </w:r>
          </w:p>
        </w:tc>
        <w:tc>
          <w:tcPr>
            <w:tcW w:w="1417" w:type="dxa"/>
            <w:vAlign w:val="center"/>
          </w:tcPr>
          <w:p>
            <w:pPr>
              <w:topLinePunct/>
              <w:adjustRightInd w:val="0"/>
              <w:snapToGrid w:val="0"/>
              <w:jc w:val="center"/>
              <w:rPr>
                <w:rFonts w:ascii="宋体" w:hAnsi="宋体"/>
                <w:b/>
                <w:bCs/>
                <w:szCs w:val="21"/>
              </w:rPr>
            </w:pPr>
            <w:r>
              <w:rPr>
                <w:rFonts w:hint="eastAsia" w:ascii="宋体" w:hAnsi="宋体"/>
                <w:b/>
                <w:bCs/>
                <w:szCs w:val="21"/>
              </w:rPr>
              <w:t>公布令号</w:t>
            </w:r>
          </w:p>
        </w:tc>
        <w:tc>
          <w:tcPr>
            <w:tcW w:w="5054" w:type="dxa"/>
            <w:vAlign w:val="center"/>
          </w:tcPr>
          <w:p>
            <w:pPr>
              <w:topLinePunct/>
              <w:adjustRightInd w:val="0"/>
              <w:snapToGrid w:val="0"/>
              <w:jc w:val="center"/>
              <w:rPr>
                <w:rFonts w:ascii="宋体" w:hAnsi="宋体"/>
                <w:b/>
                <w:bCs/>
                <w:szCs w:val="21"/>
              </w:rPr>
            </w:pPr>
            <w:r>
              <w:rPr>
                <w:rFonts w:hint="eastAsia" w:ascii="宋体" w:hAnsi="宋体"/>
                <w:b/>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1</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安全生产监督罚款管理暂行办法</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原国家安全监管局（国家煤矿安监局）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2004年11月3日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2004年11月3日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原国家安全监管局（国家煤矿安监局）令第15号</w:t>
            </w:r>
          </w:p>
        </w:tc>
        <w:tc>
          <w:tcPr>
            <w:tcW w:w="5054" w:type="dxa"/>
            <w:vAlign w:val="center"/>
          </w:tcPr>
          <w:p>
            <w:pPr>
              <w:rPr>
                <w:rFonts w:ascii="方正宋体_YS" w:hAnsi="方正宋体_YS" w:eastAsia="方正宋体_YS" w:cs="方正宋体_YS"/>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2</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生产经营单位安全培训规定</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2006年1月17日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2006年3月1日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国家安全监管总局令第3号</w:t>
            </w:r>
          </w:p>
        </w:tc>
        <w:tc>
          <w:tcPr>
            <w:tcW w:w="5054" w:type="dxa"/>
            <w:vAlign w:val="center"/>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根据2013年8月29日国家安全监管总局令第63号第一次修正；根据2015年5月29日国家安全监管总局令第80号第二次修正。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3</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海洋石油安全生产规定</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2006年2月7日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2006年5月1日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国家安全监管总局令第4号</w:t>
            </w:r>
          </w:p>
        </w:tc>
        <w:tc>
          <w:tcPr>
            <w:tcW w:w="5054" w:type="dxa"/>
            <w:vAlign w:val="center"/>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原石油工业部1986年颁布的《海洋石油作业安全管理规定》同时废止。根据2013年8月29日国家安全监管总局令第63号第一次修正；根据2015年5月26日国家安全监管总局令第78号第二次修正。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4</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非药品类易制毒化学品生产、经营许可办法</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2006年4月5日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2006年4月15日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国家安全监管总局令第5号</w:t>
            </w:r>
          </w:p>
        </w:tc>
        <w:tc>
          <w:tcPr>
            <w:tcW w:w="5054" w:type="dxa"/>
            <w:vAlign w:val="center"/>
          </w:tcPr>
          <w:p>
            <w:pPr>
              <w:rPr>
                <w:rFonts w:ascii="方正宋体_YS" w:hAnsi="方正宋体_YS" w:eastAsia="方正宋体_YS" w:cs="方正宋体_YS"/>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5</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注册安全工程师管理规定</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2007年1月11日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2007年3月1日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国家安全监管总局令第11号</w:t>
            </w:r>
          </w:p>
        </w:tc>
        <w:tc>
          <w:tcPr>
            <w:tcW w:w="5054" w:type="dxa"/>
            <w:vAlign w:val="center"/>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原国家安全监管局（国家煤矿安监局）2004年5月21日公布的《注册安全工程师注册管理办法》同时废止。根据2013年8月29日国家安全监管总局令第63号修正。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6</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生产安全事故罚款处罚规定（试行）</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2007年7月12日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2007年7月12日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国家安全监管总局令第13号</w:t>
            </w:r>
          </w:p>
        </w:tc>
        <w:tc>
          <w:tcPr>
            <w:tcW w:w="5054" w:type="dxa"/>
            <w:vAlign w:val="center"/>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根据2011年9月1日国家安全监管总局令第42号第一次修正；根据2015年4月2日国家安全监管总局令第77号第二次修正，规章名称由“《生产安全事故报告和调查处理条例》罚款处罚暂行规定”修改为“生产安全事故罚款处罚规定（试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7</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安全生产行政复议规定</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2007年10月8日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2007年11月1日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国家安全监管总局令第14号</w:t>
            </w:r>
          </w:p>
        </w:tc>
        <w:tc>
          <w:tcPr>
            <w:tcW w:w="5054" w:type="dxa"/>
            <w:vAlign w:val="center"/>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原国家经贸委2003年2月18日公布的《安全生产行政复议暂行办法》、原国家安全监管局（国家煤矿安监局）2003年6月20日公布的《煤矿安全监察行政复议规定》同时废止。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8</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安全生产违法行为行政处罚办法</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2007年11月30日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2008年1月1日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国家安全监管总局令第15号</w:t>
            </w:r>
          </w:p>
        </w:tc>
        <w:tc>
          <w:tcPr>
            <w:tcW w:w="5054" w:type="dxa"/>
            <w:vAlign w:val="center"/>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原国家安全监管局（国家煤矿安监局）2003年5月19日公布的《安全生产违法行为行政处罚办法》、2001年4月27日公布的《煤矿安全监察程序暂行规定》同时废止。根据2015年4月2日国家安全监管总局令第77号修正。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9</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安全生产事故隐患排查治理暂行规定</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2007年12月28日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2008年2月1日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国家安全监管总局令第16号</w:t>
            </w:r>
          </w:p>
        </w:tc>
        <w:tc>
          <w:tcPr>
            <w:tcW w:w="5054" w:type="dxa"/>
            <w:vAlign w:val="center"/>
          </w:tcPr>
          <w:p>
            <w:pPr>
              <w:rPr>
                <w:rFonts w:ascii="方正宋体_YS" w:hAnsi="方正宋体_YS" w:eastAsia="方正宋体_YS" w:cs="方正宋体_YS"/>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10</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非煤矿矿山企业安全生产许可证实施办法</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2009年6月8日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2009年6月8日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国家安全监管总局令第20号</w:t>
            </w:r>
          </w:p>
        </w:tc>
        <w:tc>
          <w:tcPr>
            <w:tcW w:w="5054" w:type="dxa"/>
            <w:vAlign w:val="center"/>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原国家安全监管局（国家煤矿安监局）2004年5月17日公布的《非煤矿矿山企业安全生产许可证实施办法》同时废止。根据2015年5月26日国家安全监管总局令第78号修正。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11</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生产安全事故信息报告和处置办法</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2009年6月16日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2009年7月1日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国家安全监管总局令第21号</w:t>
            </w:r>
          </w:p>
        </w:tc>
        <w:tc>
          <w:tcPr>
            <w:tcW w:w="5054" w:type="dxa"/>
            <w:vAlign w:val="center"/>
          </w:tcPr>
          <w:p>
            <w:pPr>
              <w:rPr>
                <w:rFonts w:ascii="方正宋体_YS" w:hAnsi="方正宋体_YS" w:eastAsia="方正宋体_YS" w:cs="方正宋体_YS"/>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12</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安全生产监管监察职责和行政执法责任追究的规定</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2009年7月25日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2009年10月1日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国家安全监管总局令第24号</w:t>
            </w:r>
          </w:p>
        </w:tc>
        <w:tc>
          <w:tcPr>
            <w:tcW w:w="5054" w:type="dxa"/>
            <w:vAlign w:val="center"/>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根据2013年8月29日国家安全监管总局令第63号第一次修正；根据2015年4月2日国家安全监管总局令第77号第二次修正，规章名称由“安全生产监管监察职责和行政执法责任追究的暂行规定”修改为“安全生产监管监察职责和行政执法责任追究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13</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海洋石油安全管理细则</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2009年9月7日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2009年12月1日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国家安全监管总局令第25号</w:t>
            </w:r>
          </w:p>
        </w:tc>
        <w:tc>
          <w:tcPr>
            <w:tcW w:w="5054" w:type="dxa"/>
            <w:vAlign w:val="center"/>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根据2013年8月29日国家安全监管总局令第63号第一次修正；根据2015年5月26日国家安全监管总局令第78号第二次修正。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14</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特种作业人员安全技术培训考核管理规定</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2010年5月24日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2010年7月1日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国家安全监管总局令第30号</w:t>
            </w:r>
          </w:p>
        </w:tc>
        <w:tc>
          <w:tcPr>
            <w:tcW w:w="5054" w:type="dxa"/>
            <w:vAlign w:val="center"/>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原国家经贸委1999年7月12日公布的《特种作业人员安全技术培训考核管理办法》同时废止。根据2013年8月29日国家安全监管总局令第63号第一次修正；根据2015年5月29日国家安全监管总局令第80号第二次修正。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15</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安全生产行政处罚自由裁量适用规则（试行）</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2010年7月15日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2010年10月1日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国家安全监管总局令第31号</w:t>
            </w:r>
          </w:p>
        </w:tc>
        <w:tc>
          <w:tcPr>
            <w:tcW w:w="5054" w:type="dxa"/>
            <w:vAlign w:val="center"/>
          </w:tcPr>
          <w:p>
            <w:pPr>
              <w:rPr>
                <w:rFonts w:ascii="方正宋体_YS" w:hAnsi="方正宋体_YS" w:eastAsia="方正宋体_YS" w:cs="方正宋体_YS"/>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16</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金属非金属地下矿山企业领导带班下井及监督检查暂行规定</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2010年10月13日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2010年11月15日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国家安全监管总局令第34号</w:t>
            </w:r>
          </w:p>
        </w:tc>
        <w:tc>
          <w:tcPr>
            <w:tcW w:w="5054" w:type="dxa"/>
            <w:vAlign w:val="center"/>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根据2015年5月26日国家安全监管总局令第78号修正。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17</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金属与非金属矿产资源地质勘探安全生产监督管理暂行规定</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2010年12月3日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2011年1月1日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国家安全监管总局令第35号</w:t>
            </w:r>
          </w:p>
        </w:tc>
        <w:tc>
          <w:tcPr>
            <w:tcW w:w="5054" w:type="dxa"/>
            <w:vAlign w:val="center"/>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根据2015年5月26日国家安全监管总局令第78号修正。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18</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建设项目安全设施“三同时”监督管理办法</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2010年12月14日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2011年2月1日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国家安全监管总局令第36号</w:t>
            </w:r>
          </w:p>
        </w:tc>
        <w:tc>
          <w:tcPr>
            <w:tcW w:w="5054" w:type="dxa"/>
            <w:vAlign w:val="center"/>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根据2015年4月2日国家安全监管总局令第77号修正，规章名称由“建设项目安全设施‘三同时’监督管理暂行办法”修改为“建设项目安全设施‘三同时’监督管理办法”。</w:t>
            </w:r>
          </w:p>
        </w:tc>
      </w:tr>
      <w:tr>
        <w:tblPrEx>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19</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尾矿库安全监督管理规定</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2011月5月4日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2011年7月1日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国家安全监管总局令第38号</w:t>
            </w:r>
          </w:p>
        </w:tc>
        <w:tc>
          <w:tcPr>
            <w:tcW w:w="5054" w:type="dxa"/>
            <w:vAlign w:val="center"/>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国家安全监管总局2006年4月21日公布的《尾矿库安全监督管理规定》同时废止。根据2015年5月26日国家安全监管总局令第78号修正。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20</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小型露天采石场安全管理与监督检查规定</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2011月5月4日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2011年7月1日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国家安全监管总局令第39号</w:t>
            </w:r>
          </w:p>
        </w:tc>
        <w:tc>
          <w:tcPr>
            <w:tcW w:w="5054" w:type="dxa"/>
            <w:vAlign w:val="center"/>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国家安全监管局（国家煤矿安监局）2004年12月28日公布的《小型露天采石场安全生产暂行规定》同时废止。根据2015年5月26日国家安全监管总局令78号修正。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21</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危险化学品重大危险源监督管理暂行规定</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2011年8月5日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2011年12月1日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国家安全监管总局令第40号</w:t>
            </w:r>
          </w:p>
        </w:tc>
        <w:tc>
          <w:tcPr>
            <w:tcW w:w="5054" w:type="dxa"/>
            <w:vAlign w:val="center"/>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根据2015年5月27日国家安全监管总局令第79号修正。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22</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危险化学品生产企业安全生产许可证实施办法</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2011年8月5日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2011年12月1日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国家安全监管总局令第41号</w:t>
            </w:r>
          </w:p>
        </w:tc>
        <w:tc>
          <w:tcPr>
            <w:tcW w:w="5054" w:type="dxa"/>
            <w:vAlign w:val="center"/>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局（国家煤矿安监局）2004年5月17日公布的《危险化学品生产企业安全生产许可证实施办法》同时废止。根据2015年5月27日国家安全监管总局令第79号第一次修正；根据2017年3月6日国家安全监管总局令第89号第二次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23</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危险化学品输送管道安全管理规定</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2012年1月17日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2012年3月1日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国家安全监管总局令第43号</w:t>
            </w:r>
          </w:p>
        </w:tc>
        <w:tc>
          <w:tcPr>
            <w:tcW w:w="5054" w:type="dxa"/>
            <w:vAlign w:val="center"/>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根据2015年5月27日国家安全监管总局令第79号修正。</w:t>
            </w:r>
          </w:p>
        </w:tc>
      </w:tr>
      <w:tr>
        <w:tblPrEx>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24</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安全生产培训管理办法</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2012年1月19日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2012年3月1日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国家安全监管总局令第44号</w:t>
            </w:r>
          </w:p>
        </w:tc>
        <w:tc>
          <w:tcPr>
            <w:tcW w:w="5054" w:type="dxa"/>
            <w:vAlign w:val="center"/>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原国家安全监管局（国家煤矿安监局）2004年12月28日公布的《安全生产培训管理办法》同时废止。根据2013年8月29日国家安全监管总局令第63号第一次修正；根据2015年5月29日国家安全监管总局令第80号第二次修正。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25</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危险化学品建设项目安全监督管理办法</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2012年1月30日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2012年4月1日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国家安全监管总局令第45号</w:t>
            </w:r>
          </w:p>
        </w:tc>
        <w:tc>
          <w:tcPr>
            <w:tcW w:w="5054" w:type="dxa"/>
            <w:vAlign w:val="center"/>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国家安全监管总局2006年9月2日公布的《危险化学品建设项目安全许可实施办法》同时废止。根据2015年5月27日国家安全监管总局令第79号修正。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26</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危险化学品登记管理办法</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2012年7月1日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2012年8月1日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国家安全监管总局令第53号</w:t>
            </w:r>
          </w:p>
        </w:tc>
        <w:tc>
          <w:tcPr>
            <w:tcW w:w="5054" w:type="dxa"/>
            <w:vAlign w:val="center"/>
          </w:tcPr>
          <w:p>
            <w:pPr>
              <w:rPr>
                <w:rFonts w:ascii="方正宋体_YS" w:hAnsi="方正宋体_YS" w:eastAsia="方正宋体_YS" w:cs="方正宋体_YS"/>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27</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烟花爆竹生产企业安全生产许可证实施办法</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2012年7月1日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2012年8月1日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国家安全监管总局令第54号</w:t>
            </w:r>
          </w:p>
        </w:tc>
        <w:tc>
          <w:tcPr>
            <w:tcW w:w="5054" w:type="dxa"/>
            <w:vAlign w:val="center"/>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原国家安全监管局（国家煤矿安监局）2004年5月17日公布的《烟花爆竹生产企业安全生产许可证实施办法》同时废止。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28</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危险化学品经营许可证管理办法</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2012年5月21日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2012年9月1日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国家安全监管总局令第55号</w:t>
            </w:r>
          </w:p>
        </w:tc>
        <w:tc>
          <w:tcPr>
            <w:tcW w:w="5054" w:type="dxa"/>
            <w:vAlign w:val="center"/>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原国家经济贸易委员会2002年10月8日公布的《危险化学品经营许可证管理办法》同时废止。根据2015年5月27日国家安全监管总局令第79号第一次修正。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29</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安全生产监管监察部门信息公开办法</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2012年9月21日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2012年11月1日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国家安全监管总局令第56号</w:t>
            </w:r>
          </w:p>
        </w:tc>
        <w:tc>
          <w:tcPr>
            <w:tcW w:w="5054" w:type="dxa"/>
            <w:vAlign w:val="center"/>
          </w:tcPr>
          <w:p>
            <w:pPr>
              <w:rPr>
                <w:rFonts w:ascii="方正宋体_YS" w:hAnsi="方正宋体_YS" w:eastAsia="方正宋体_YS" w:cs="方正宋体_YS"/>
                <w:bCs/>
                <w:szCs w:val="21"/>
              </w:rPr>
            </w:pPr>
          </w:p>
        </w:tc>
      </w:tr>
      <w:tr>
        <w:tblPrEx>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30</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危险化学品安全使用许可证实施办法</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2012年11月16日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2013年5月1日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国家安全监管总局令第57号</w:t>
            </w:r>
          </w:p>
        </w:tc>
        <w:tc>
          <w:tcPr>
            <w:tcW w:w="5054" w:type="dxa"/>
            <w:vAlign w:val="center"/>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根据2015年5月27日国家安全监管总局令第79号第一次修正；根据2017年3月6日国家安全监管总局令第89号第二次修正。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31</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工贸企业有限空间作业安全管理与监督暂行规定</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2013年5月20日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2013年7月1日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国家安全监管总局令第59号</w:t>
            </w:r>
          </w:p>
        </w:tc>
        <w:tc>
          <w:tcPr>
            <w:tcW w:w="5054" w:type="dxa"/>
            <w:vAlign w:val="center"/>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根据2015年5月29日国家安全监管总局令第80号修正。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32</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化学品物理危险性鉴定与分类管理办法</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2013年7月10日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2013年9月1日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国家安全监管总局令第60号</w:t>
            </w:r>
          </w:p>
        </w:tc>
        <w:tc>
          <w:tcPr>
            <w:tcW w:w="5054" w:type="dxa"/>
            <w:vAlign w:val="center"/>
          </w:tcPr>
          <w:p>
            <w:pPr>
              <w:rPr>
                <w:rFonts w:ascii="方正宋体_YS" w:hAnsi="方正宋体_YS" w:eastAsia="方正宋体_YS" w:cs="方正宋体_YS"/>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33</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非煤矿山外包工程安全管理暂行办法</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2013年8月23日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2013年10月1日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国家安全监管总局令第62号</w:t>
            </w:r>
          </w:p>
        </w:tc>
        <w:tc>
          <w:tcPr>
            <w:tcW w:w="5054" w:type="dxa"/>
            <w:vAlign w:val="center"/>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根据2015年5月26日国家安全监管总局令第78号修正。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34</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烟花爆竹经营许可实施办法</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2013年10月16日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2013年12月1日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国家安全监管总局令第65号</w:t>
            </w:r>
          </w:p>
        </w:tc>
        <w:tc>
          <w:tcPr>
            <w:tcW w:w="5054" w:type="dxa"/>
            <w:vAlign w:val="center"/>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国家安全监管总局2006年8月26日公布的《烟花爆竹经营许可实施办法》同时废止。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35</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食品生产企业安全生产监督管理暂行规定</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2014年1月3日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2014年3月1日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国家安全监管总局令第66号</w:t>
            </w:r>
          </w:p>
        </w:tc>
        <w:tc>
          <w:tcPr>
            <w:tcW w:w="5054" w:type="dxa"/>
            <w:vAlign w:val="center"/>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根据2015年5月29日国家安全监管总局令第80号修正。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宋体" w:hAnsi="宋体"/>
                <w:bCs/>
                <w:szCs w:val="21"/>
              </w:rPr>
            </w:pPr>
            <w:r>
              <w:rPr>
                <w:rFonts w:hint="eastAsia" w:ascii="宋体" w:hAnsi="宋体"/>
                <w:bCs/>
                <w:szCs w:val="21"/>
              </w:rPr>
              <w:t>36</w:t>
            </w:r>
          </w:p>
        </w:tc>
        <w:tc>
          <w:tcPr>
            <w:tcW w:w="2551" w:type="dxa"/>
            <w:vAlign w:val="center"/>
          </w:tcPr>
          <w:p>
            <w:pPr>
              <w:rPr>
                <w:rFonts w:ascii="宋体" w:hAnsi="宋体"/>
                <w:bCs/>
                <w:szCs w:val="21"/>
              </w:rPr>
            </w:pPr>
            <w:r>
              <w:rPr>
                <w:rFonts w:hint="eastAsia" w:ascii="宋体" w:hAnsi="宋体"/>
                <w:bCs/>
                <w:szCs w:val="21"/>
              </w:rPr>
              <w:t>《冶金企业和有色金属企业安全生产规定》</w:t>
            </w:r>
          </w:p>
        </w:tc>
        <w:tc>
          <w:tcPr>
            <w:tcW w:w="1560" w:type="dxa"/>
            <w:vAlign w:val="center"/>
          </w:tcPr>
          <w:p>
            <w:pPr>
              <w:topLinePunct/>
              <w:adjustRightInd w:val="0"/>
              <w:snapToGrid w:val="0"/>
              <w:rPr>
                <w:rFonts w:ascii="宋体" w:hAnsi="宋体"/>
                <w:bCs/>
                <w:szCs w:val="21"/>
              </w:rPr>
            </w:pPr>
            <w:r>
              <w:rPr>
                <w:rFonts w:hint="eastAsia" w:ascii="宋体" w:hAnsi="宋体"/>
                <w:bCs/>
                <w:szCs w:val="21"/>
              </w:rPr>
              <w:t>原国家安全监管总局</w:t>
            </w:r>
          </w:p>
        </w:tc>
        <w:tc>
          <w:tcPr>
            <w:tcW w:w="2126" w:type="dxa"/>
            <w:vAlign w:val="center"/>
          </w:tcPr>
          <w:p>
            <w:pPr>
              <w:rPr>
                <w:rFonts w:ascii="宋体" w:hAnsi="宋体"/>
                <w:bCs/>
                <w:szCs w:val="21"/>
              </w:rPr>
            </w:pPr>
            <w:r>
              <w:rPr>
                <w:rFonts w:ascii="宋体" w:hAnsi="宋体"/>
                <w:bCs/>
                <w:szCs w:val="21"/>
              </w:rPr>
              <w:t>2018</w:t>
            </w:r>
            <w:r>
              <w:rPr>
                <w:rFonts w:hint="eastAsia" w:ascii="宋体" w:hAnsi="宋体"/>
                <w:bCs/>
                <w:szCs w:val="21"/>
              </w:rPr>
              <w:t>年</w:t>
            </w:r>
            <w:r>
              <w:rPr>
                <w:rFonts w:ascii="宋体" w:hAnsi="宋体"/>
                <w:bCs/>
                <w:szCs w:val="21"/>
              </w:rPr>
              <w:t>1</w:t>
            </w:r>
            <w:r>
              <w:rPr>
                <w:rFonts w:hint="eastAsia" w:ascii="宋体" w:hAnsi="宋体"/>
                <w:bCs/>
                <w:szCs w:val="21"/>
              </w:rPr>
              <w:t>月</w:t>
            </w:r>
            <w:r>
              <w:rPr>
                <w:rFonts w:ascii="宋体" w:hAnsi="宋体"/>
                <w:bCs/>
                <w:szCs w:val="21"/>
              </w:rPr>
              <w:t>4</w:t>
            </w:r>
            <w:r>
              <w:rPr>
                <w:rFonts w:hint="eastAsia" w:ascii="宋体" w:hAnsi="宋体"/>
                <w:bCs/>
                <w:szCs w:val="21"/>
              </w:rPr>
              <w:t>日</w:t>
            </w:r>
          </w:p>
          <w:p>
            <w:pPr>
              <w:rPr>
                <w:rFonts w:ascii="宋体" w:hAnsi="宋体"/>
                <w:bCs/>
                <w:szCs w:val="21"/>
              </w:rPr>
            </w:pPr>
            <w:r>
              <w:rPr>
                <w:rFonts w:hint="eastAsia" w:ascii="宋体" w:hAnsi="宋体"/>
                <w:bCs/>
                <w:szCs w:val="21"/>
              </w:rPr>
              <w:t>2018年3月1日</w:t>
            </w:r>
          </w:p>
        </w:tc>
        <w:tc>
          <w:tcPr>
            <w:tcW w:w="1417" w:type="dxa"/>
            <w:vAlign w:val="center"/>
          </w:tcPr>
          <w:p>
            <w:pPr>
              <w:rPr>
                <w:rFonts w:ascii="宋体" w:hAnsi="宋体"/>
                <w:bCs/>
                <w:szCs w:val="21"/>
              </w:rPr>
            </w:pPr>
            <w:r>
              <w:rPr>
                <w:rFonts w:hint="eastAsia" w:ascii="宋体" w:hAnsi="宋体"/>
                <w:bCs/>
                <w:szCs w:val="21"/>
              </w:rPr>
              <w:t>国家安全监管总局令第91</w:t>
            </w:r>
            <w:r>
              <w:rPr>
                <w:rFonts w:ascii="宋体" w:hAnsi="宋体"/>
                <w:bCs/>
                <w:szCs w:val="21"/>
              </w:rPr>
              <w:t>号</w:t>
            </w:r>
          </w:p>
        </w:tc>
        <w:tc>
          <w:tcPr>
            <w:tcW w:w="5054" w:type="dxa"/>
            <w:vAlign w:val="center"/>
          </w:tcPr>
          <w:p>
            <w:pPr>
              <w:topLinePunct/>
              <w:adjustRightInd w:val="0"/>
              <w:snapToGrid w:val="0"/>
              <w:ind w:firstLine="420" w:firstLineChars="200"/>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国家安全生产监督管理总局</w:t>
            </w:r>
            <w:r>
              <w:rPr>
                <w:rFonts w:ascii="方正宋体_YS" w:hAnsi="方正宋体_YS" w:eastAsia="方正宋体_YS" w:cs="方正宋体_YS"/>
                <w:bCs/>
                <w:szCs w:val="21"/>
              </w:rPr>
              <w:t>2009年9月8日公布的《冶金企业安全生产监督管理规定》（国家安全生产监督管理总局令第26号）同时废止。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37</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烟花爆竹生产经营安全规定</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原国家安全监管总局</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2018年1月15日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2018年3月1日</w:t>
            </w:r>
          </w:p>
        </w:tc>
        <w:tc>
          <w:tcPr>
            <w:tcW w:w="1417"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国家安全生产监管总局令第93号</w:t>
            </w:r>
          </w:p>
        </w:tc>
        <w:tc>
          <w:tcPr>
            <w:tcW w:w="5054" w:type="dxa"/>
            <w:vAlign w:val="center"/>
          </w:tcPr>
          <w:p>
            <w:pPr>
              <w:widowControl/>
              <w:jc w:val="left"/>
              <w:rPr>
                <w:rFonts w:ascii="方正宋体_YS" w:hAnsi="方正宋体_YS" w:eastAsia="方正宋体_YS" w:cs="方正宋体_Y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方正宋体_YS" w:hAnsi="方正宋体_YS" w:eastAsia="方正宋体_YS" w:cs="方正宋体_YS"/>
                <w:bCs/>
                <w:szCs w:val="21"/>
              </w:rPr>
            </w:pPr>
            <w:r>
              <w:rPr>
                <w:rFonts w:hint="eastAsia" w:ascii="方正宋体_YS" w:hAnsi="方正宋体_YS" w:eastAsia="方正宋体_YS" w:cs="方正宋体_YS"/>
                <w:bCs/>
                <w:szCs w:val="21"/>
              </w:rPr>
              <w:t>38</w:t>
            </w:r>
          </w:p>
        </w:tc>
        <w:tc>
          <w:tcPr>
            <w:tcW w:w="2551"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安全评价检测检验机构管理办法</w:t>
            </w:r>
          </w:p>
        </w:tc>
        <w:tc>
          <w:tcPr>
            <w:tcW w:w="1560" w:type="dxa"/>
            <w:vAlign w:val="center"/>
          </w:tcPr>
          <w:p>
            <w:pPr>
              <w:topLinePunct/>
              <w:adjustRightInd w:val="0"/>
              <w:snapToGrid w:val="0"/>
              <w:rPr>
                <w:rFonts w:ascii="方正宋体_YS" w:hAnsi="方正宋体_YS" w:eastAsia="方正宋体_YS" w:cs="方正宋体_YS"/>
                <w:bCs/>
                <w:szCs w:val="21"/>
              </w:rPr>
            </w:pPr>
            <w:r>
              <w:rPr>
                <w:rFonts w:hint="eastAsia" w:ascii="方正宋体_YS" w:hAnsi="方正宋体_YS" w:eastAsia="方正宋体_YS" w:cs="方正宋体_YS"/>
                <w:bCs/>
                <w:szCs w:val="21"/>
              </w:rPr>
              <w:t>应急管理部</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2019年3月20日</w:t>
            </w:r>
          </w:p>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2019年5月1日</w:t>
            </w:r>
          </w:p>
        </w:tc>
        <w:tc>
          <w:tcPr>
            <w:tcW w:w="1417" w:type="dxa"/>
            <w:vAlign w:val="center"/>
          </w:tcPr>
          <w:p>
            <w:pPr>
              <w:rPr>
                <w:rFonts w:ascii="宋体" w:hAnsi="宋体"/>
                <w:bCs/>
                <w:szCs w:val="21"/>
              </w:rPr>
            </w:pPr>
            <w:r>
              <w:rPr>
                <w:rFonts w:hint="eastAsia" w:ascii="宋体" w:hAnsi="宋体"/>
                <w:bCs/>
                <w:szCs w:val="21"/>
              </w:rPr>
              <w:t>中华人民共和国应急管理部令1号</w:t>
            </w:r>
          </w:p>
        </w:tc>
        <w:tc>
          <w:tcPr>
            <w:tcW w:w="5054" w:type="dxa"/>
            <w:vAlign w:val="center"/>
          </w:tcPr>
          <w:p>
            <w:pPr>
              <w:rPr>
                <w:rFonts w:ascii="宋体" w:hAnsi="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8" w:type="dxa"/>
            <w:vAlign w:val="center"/>
          </w:tcPr>
          <w:p>
            <w:pPr>
              <w:topLinePunct/>
              <w:adjustRightInd w:val="0"/>
              <w:snapToGrid w:val="0"/>
              <w:jc w:val="center"/>
              <w:rPr>
                <w:rFonts w:ascii="宋体" w:hAnsi="宋体"/>
                <w:bCs/>
                <w:szCs w:val="21"/>
              </w:rPr>
            </w:pPr>
            <w:r>
              <w:rPr>
                <w:rFonts w:hint="eastAsia" w:ascii="宋体" w:hAnsi="宋体"/>
                <w:bCs/>
                <w:szCs w:val="21"/>
              </w:rPr>
              <w:t>39</w:t>
            </w:r>
          </w:p>
        </w:tc>
        <w:tc>
          <w:tcPr>
            <w:tcW w:w="2551" w:type="dxa"/>
            <w:vAlign w:val="center"/>
          </w:tcPr>
          <w:p>
            <w:pPr>
              <w:rPr>
                <w:rFonts w:ascii="宋体" w:hAnsi="宋体"/>
                <w:bCs/>
                <w:szCs w:val="21"/>
              </w:rPr>
            </w:pPr>
            <w:r>
              <w:rPr>
                <w:rFonts w:hint="eastAsia" w:ascii="宋体" w:hAnsi="宋体"/>
                <w:bCs/>
                <w:szCs w:val="21"/>
              </w:rPr>
              <w:t>生产安全事故应急预案管理办法</w:t>
            </w:r>
          </w:p>
        </w:tc>
        <w:tc>
          <w:tcPr>
            <w:tcW w:w="1560" w:type="dxa"/>
            <w:vAlign w:val="center"/>
          </w:tcPr>
          <w:p>
            <w:pPr>
              <w:topLinePunct/>
              <w:adjustRightInd w:val="0"/>
              <w:snapToGrid w:val="0"/>
              <w:rPr>
                <w:rFonts w:ascii="宋体" w:hAnsi="宋体"/>
                <w:bCs/>
                <w:szCs w:val="21"/>
              </w:rPr>
            </w:pPr>
            <w:r>
              <w:rPr>
                <w:rFonts w:hint="eastAsia" w:ascii="宋体" w:hAnsi="宋体"/>
                <w:bCs/>
                <w:szCs w:val="21"/>
              </w:rPr>
              <w:t>应急管理部</w:t>
            </w:r>
          </w:p>
        </w:tc>
        <w:tc>
          <w:tcPr>
            <w:tcW w:w="2126" w:type="dxa"/>
            <w:vAlign w:val="center"/>
          </w:tcPr>
          <w:p>
            <w:pPr>
              <w:rPr>
                <w:rFonts w:ascii="方正宋体_YS" w:hAnsi="方正宋体_YS" w:eastAsia="方正宋体_YS" w:cs="方正宋体_YS"/>
                <w:bCs/>
                <w:szCs w:val="21"/>
              </w:rPr>
            </w:pPr>
            <w:r>
              <w:rPr>
                <w:rFonts w:hint="eastAsia" w:ascii="方正宋体_YS" w:hAnsi="方正宋体_YS" w:eastAsia="方正宋体_YS" w:cs="方正宋体_YS"/>
                <w:bCs/>
                <w:szCs w:val="21"/>
              </w:rPr>
              <w:t>2019年7月11日</w:t>
            </w:r>
          </w:p>
          <w:p>
            <w:pPr>
              <w:rPr>
                <w:rFonts w:ascii="宋体" w:hAnsi="宋体" w:cs="宋体"/>
                <w:color w:val="000000"/>
                <w:kern w:val="0"/>
                <w:sz w:val="24"/>
                <w:szCs w:val="24"/>
              </w:rPr>
            </w:pPr>
            <w:r>
              <w:rPr>
                <w:rFonts w:hint="eastAsia" w:ascii="方正宋体_YS" w:hAnsi="方正宋体_YS" w:eastAsia="方正宋体_YS" w:cs="方正宋体_YS"/>
                <w:bCs/>
                <w:szCs w:val="21"/>
              </w:rPr>
              <w:t>2019年9月1日</w:t>
            </w:r>
          </w:p>
        </w:tc>
        <w:tc>
          <w:tcPr>
            <w:tcW w:w="1417" w:type="dxa"/>
            <w:vAlign w:val="center"/>
          </w:tcPr>
          <w:p>
            <w:pPr>
              <w:rPr>
                <w:rFonts w:ascii="宋体" w:hAnsi="宋体"/>
                <w:bCs/>
                <w:szCs w:val="21"/>
              </w:rPr>
            </w:pPr>
            <w:r>
              <w:rPr>
                <w:rFonts w:hint="eastAsia" w:ascii="宋体" w:hAnsi="宋体"/>
                <w:bCs/>
                <w:szCs w:val="21"/>
              </w:rPr>
              <w:t>中华人民共和国应急管理部令2号</w:t>
            </w:r>
          </w:p>
        </w:tc>
        <w:tc>
          <w:tcPr>
            <w:tcW w:w="5054" w:type="dxa"/>
            <w:vAlign w:val="center"/>
          </w:tcPr>
          <w:p>
            <w:pPr>
              <w:rPr>
                <w:rFonts w:ascii="宋体" w:hAnsi="宋体"/>
                <w:bCs/>
                <w:szCs w:val="21"/>
              </w:rPr>
            </w:pPr>
          </w:p>
        </w:tc>
      </w:tr>
    </w:tbl>
    <w:p/>
    <w:p>
      <w:pPr>
        <w:pStyle w:val="2"/>
        <w:sectPr>
          <w:footerReference r:id="rId5" w:type="default"/>
          <w:pgSz w:w="16838" w:h="11906" w:orient="landscape"/>
          <w:pgMar w:top="1588" w:right="1701" w:bottom="1418" w:left="1474" w:header="0" w:footer="907" w:gutter="0"/>
          <w:cols w:space="425" w:num="1"/>
          <w:docGrid w:type="lines" w:linePitch="312" w:charSpace="0"/>
        </w:sectPr>
      </w:pPr>
    </w:p>
    <w:p/>
    <w:sectPr>
      <w:footerReference r:id="rId6" w:type="default"/>
      <w:pgSz w:w="16838" w:h="11906" w:orient="landscape"/>
      <w:pgMar w:top="1588" w:right="1701" w:bottom="1418" w:left="1474" w:header="0"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18030">
    <w:altName w:val="仿宋"/>
    <w:panose1 w:val="00000000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思源黑体 CN">
    <w:altName w:val="黑体"/>
    <w:panose1 w:val="00000000000000000000"/>
    <w:charset w:val="86"/>
    <w:family w:val="auto"/>
    <w:pitch w:val="default"/>
    <w:sig w:usb0="00000000" w:usb1="00000000" w:usb2="00000016" w:usb3="00000000" w:csb0="60060107" w:csb1="00000000"/>
  </w:font>
  <w:font w:name="微软雅黑">
    <w:panose1 w:val="020B0503020204020204"/>
    <w:charset w:val="86"/>
    <w:family w:val="swiss"/>
    <w:pitch w:val="default"/>
    <w:sig w:usb0="80000287" w:usb1="28CF3C50" w:usb2="00000016" w:usb3="00000000" w:csb0="0004001F" w:csb1="0000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宋体_YS">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7060"/>
    </w:sdtPr>
    <w:sdtContent>
      <w:p>
        <w:pPr>
          <w:pStyle w:val="10"/>
          <w:jc w:val="center"/>
        </w:pPr>
        <w:r>
          <w:rPr>
            <w:rFonts w:hint="eastAsia"/>
            <w:lang w:val="zh-CN"/>
          </w:rPr>
          <w:t>—</w:t>
        </w:r>
        <w:r>
          <w:rPr>
            <w:rFonts w:hint="eastAsia"/>
          </w:rPr>
          <w:t xml:space="preserve"> </w:t>
        </w:r>
        <w:r>
          <w:fldChar w:fldCharType="begin"/>
        </w:r>
        <w:r>
          <w:instrText xml:space="preserve">PAGE   \* MERGEFORMAT</w:instrText>
        </w:r>
        <w:r>
          <w:fldChar w:fldCharType="separate"/>
        </w:r>
        <w:r>
          <w:rPr>
            <w:lang w:val="zh-CN"/>
          </w:rPr>
          <w:t>141</w:t>
        </w:r>
        <w:r>
          <w:rPr>
            <w:lang w:val="zh-CN"/>
          </w:rPr>
          <w:fldChar w:fldCharType="end"/>
        </w:r>
        <w:r>
          <w:rPr>
            <w:rFonts w:hint="eastAsia"/>
          </w:rPr>
          <w:t xml:space="preserve"> </w:t>
        </w:r>
        <w:r>
          <w:rPr>
            <w:rFonts w:hint="eastAsia"/>
            <w:lang w:val="zh-CN"/>
          </w:rPr>
          <w:t>—</w:t>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7065"/>
    </w:sdtPr>
    <w:sdtContent>
      <w:p>
        <w:pPr>
          <w:pStyle w:val="10"/>
          <w:jc w:val="center"/>
        </w:pPr>
        <w:r>
          <w:rPr>
            <w:rFonts w:hint="eastAsia"/>
            <w:lang w:val="zh-CN"/>
          </w:rPr>
          <w:t>—</w:t>
        </w:r>
        <w:r>
          <w:rPr>
            <w:rFonts w:hint="eastAsia"/>
          </w:rPr>
          <w:t xml:space="preserve"> </w:t>
        </w:r>
        <w:r>
          <w:fldChar w:fldCharType="begin"/>
        </w:r>
        <w:r>
          <w:instrText xml:space="preserve">PAGE   \* MERGEFORMAT</w:instrText>
        </w:r>
        <w:r>
          <w:fldChar w:fldCharType="separate"/>
        </w:r>
        <w:r>
          <w:rPr>
            <w:lang w:val="zh-CN"/>
          </w:rPr>
          <w:t>208</w:t>
        </w:r>
        <w:r>
          <w:rPr>
            <w:lang w:val="zh-CN"/>
          </w:rPr>
          <w:fldChar w:fldCharType="end"/>
        </w:r>
        <w:r>
          <w:rPr>
            <w:rFonts w:hint="eastAsia"/>
          </w:rPr>
          <w:t xml:space="preserve"> </w:t>
        </w:r>
        <w:r>
          <w:rPr>
            <w:rFonts w:hint="eastAsia"/>
            <w:lang w:val="zh-CN"/>
          </w:rPr>
          <w:t>—</w:t>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7062"/>
    </w:sdtPr>
    <w:sdtContent>
      <w:p>
        <w:pPr>
          <w:pStyle w:val="10"/>
          <w:jc w:val="center"/>
        </w:pPr>
        <w:r>
          <w:rPr>
            <w:rFonts w:hint="eastAsia"/>
            <w:lang w:val="zh-CN"/>
          </w:rPr>
          <w:t>—</w:t>
        </w:r>
        <w:r>
          <w:rPr>
            <w:rFonts w:hint="eastAsia"/>
          </w:rPr>
          <w:t xml:space="preserve"> </w:t>
        </w:r>
        <w:r>
          <w:fldChar w:fldCharType="begin"/>
        </w:r>
        <w:r>
          <w:instrText xml:space="preserve">PAGE   \* MERGEFORMAT</w:instrText>
        </w:r>
        <w:r>
          <w:fldChar w:fldCharType="separate"/>
        </w:r>
        <w:r>
          <w:rPr>
            <w:lang w:val="zh-CN"/>
          </w:rPr>
          <w:t>334</w:t>
        </w:r>
        <w:r>
          <w:rPr>
            <w:lang w:val="zh-CN"/>
          </w:rPr>
          <w:fldChar w:fldCharType="end"/>
        </w:r>
        <w:r>
          <w:rPr>
            <w:rFonts w:hint="eastAsia"/>
          </w:rPr>
          <w:t xml:space="preserve"> </w:t>
        </w:r>
        <w:r>
          <w:rPr>
            <w:rFonts w:hint="eastAsia"/>
            <w:lang w:val="zh-CN"/>
          </w:rPr>
          <w:t>—</w:t>
        </w:r>
      </w:p>
    </w:sdtContent>
  </w:sdt>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92B3A5"/>
    <w:multiLevelType w:val="singleLevel"/>
    <w:tmpl w:val="AA92B3A5"/>
    <w:lvl w:ilvl="0" w:tentative="0">
      <w:start w:val="2"/>
      <w:numFmt w:val="chineseCounting"/>
      <w:suff w:val="nothing"/>
      <w:lvlText w:val="（%1）"/>
      <w:lvlJc w:val="left"/>
      <w:rPr>
        <w:rFonts w:hint="eastAsia"/>
      </w:rPr>
    </w:lvl>
  </w:abstractNum>
  <w:abstractNum w:abstractNumId="1">
    <w:nsid w:val="51B722F3"/>
    <w:multiLevelType w:val="multilevel"/>
    <w:tmpl w:val="51B722F3"/>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pStyle w:val="39"/>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2AA"/>
    <w:rsid w:val="000000FF"/>
    <w:rsid w:val="00001D9A"/>
    <w:rsid w:val="00003129"/>
    <w:rsid w:val="00014C90"/>
    <w:rsid w:val="00016920"/>
    <w:rsid w:val="00020D2B"/>
    <w:rsid w:val="00022D48"/>
    <w:rsid w:val="00023070"/>
    <w:rsid w:val="00023A20"/>
    <w:rsid w:val="00023DF7"/>
    <w:rsid w:val="00025AF3"/>
    <w:rsid w:val="00033246"/>
    <w:rsid w:val="00036A50"/>
    <w:rsid w:val="00040ECB"/>
    <w:rsid w:val="00045DB6"/>
    <w:rsid w:val="00046997"/>
    <w:rsid w:val="00047451"/>
    <w:rsid w:val="00050128"/>
    <w:rsid w:val="00050765"/>
    <w:rsid w:val="000508F6"/>
    <w:rsid w:val="00051ACD"/>
    <w:rsid w:val="0005293E"/>
    <w:rsid w:val="000573E5"/>
    <w:rsid w:val="00057800"/>
    <w:rsid w:val="00057D89"/>
    <w:rsid w:val="00064218"/>
    <w:rsid w:val="000671AB"/>
    <w:rsid w:val="00070AB1"/>
    <w:rsid w:val="00071E52"/>
    <w:rsid w:val="00073FF5"/>
    <w:rsid w:val="00075A0F"/>
    <w:rsid w:val="00080805"/>
    <w:rsid w:val="00085A03"/>
    <w:rsid w:val="00086F1C"/>
    <w:rsid w:val="00087F9D"/>
    <w:rsid w:val="00092218"/>
    <w:rsid w:val="00094E1A"/>
    <w:rsid w:val="000A0174"/>
    <w:rsid w:val="000A30C6"/>
    <w:rsid w:val="000A3F7D"/>
    <w:rsid w:val="000B111D"/>
    <w:rsid w:val="000B386A"/>
    <w:rsid w:val="000B3BBB"/>
    <w:rsid w:val="000B64F7"/>
    <w:rsid w:val="000B7E8F"/>
    <w:rsid w:val="000C1AD0"/>
    <w:rsid w:val="000C238F"/>
    <w:rsid w:val="000C4076"/>
    <w:rsid w:val="000C48F7"/>
    <w:rsid w:val="000C4B80"/>
    <w:rsid w:val="000C539A"/>
    <w:rsid w:val="000D283A"/>
    <w:rsid w:val="000E25FE"/>
    <w:rsid w:val="000F52C6"/>
    <w:rsid w:val="000F5D83"/>
    <w:rsid w:val="000F7670"/>
    <w:rsid w:val="001001B2"/>
    <w:rsid w:val="00101480"/>
    <w:rsid w:val="00107533"/>
    <w:rsid w:val="0011098A"/>
    <w:rsid w:val="0011138C"/>
    <w:rsid w:val="00112CDD"/>
    <w:rsid w:val="00117DFE"/>
    <w:rsid w:val="00122121"/>
    <w:rsid w:val="001234D2"/>
    <w:rsid w:val="00125B82"/>
    <w:rsid w:val="00127F38"/>
    <w:rsid w:val="001318E2"/>
    <w:rsid w:val="00131C73"/>
    <w:rsid w:val="00133425"/>
    <w:rsid w:val="00136709"/>
    <w:rsid w:val="00137388"/>
    <w:rsid w:val="00140BD3"/>
    <w:rsid w:val="00141349"/>
    <w:rsid w:val="00145D20"/>
    <w:rsid w:val="00146C15"/>
    <w:rsid w:val="0015015A"/>
    <w:rsid w:val="00160A89"/>
    <w:rsid w:val="00163EB4"/>
    <w:rsid w:val="00175A0F"/>
    <w:rsid w:val="00180148"/>
    <w:rsid w:val="00180453"/>
    <w:rsid w:val="00184C0F"/>
    <w:rsid w:val="0018677E"/>
    <w:rsid w:val="00190BC4"/>
    <w:rsid w:val="0019182E"/>
    <w:rsid w:val="001935BD"/>
    <w:rsid w:val="00193724"/>
    <w:rsid w:val="001949A1"/>
    <w:rsid w:val="001969D7"/>
    <w:rsid w:val="00197D31"/>
    <w:rsid w:val="001A0782"/>
    <w:rsid w:val="001A110A"/>
    <w:rsid w:val="001A309D"/>
    <w:rsid w:val="001A43C1"/>
    <w:rsid w:val="001A79F4"/>
    <w:rsid w:val="001B0D72"/>
    <w:rsid w:val="001B4C2D"/>
    <w:rsid w:val="001B62B7"/>
    <w:rsid w:val="001C2341"/>
    <w:rsid w:val="001C2CC0"/>
    <w:rsid w:val="001C319E"/>
    <w:rsid w:val="001C5BCA"/>
    <w:rsid w:val="001C5EA4"/>
    <w:rsid w:val="001C7672"/>
    <w:rsid w:val="001D2315"/>
    <w:rsid w:val="001D3198"/>
    <w:rsid w:val="001E253F"/>
    <w:rsid w:val="001E384E"/>
    <w:rsid w:val="001E3AA6"/>
    <w:rsid w:val="001E3DBB"/>
    <w:rsid w:val="001E40B2"/>
    <w:rsid w:val="001E572D"/>
    <w:rsid w:val="001F2506"/>
    <w:rsid w:val="001F4250"/>
    <w:rsid w:val="001F43BA"/>
    <w:rsid w:val="001F55FD"/>
    <w:rsid w:val="00200155"/>
    <w:rsid w:val="00200615"/>
    <w:rsid w:val="0020119D"/>
    <w:rsid w:val="002022AA"/>
    <w:rsid w:val="0020284A"/>
    <w:rsid w:val="0020626A"/>
    <w:rsid w:val="002154FF"/>
    <w:rsid w:val="002166C7"/>
    <w:rsid w:val="00217CA1"/>
    <w:rsid w:val="00220FD4"/>
    <w:rsid w:val="00222650"/>
    <w:rsid w:val="0022277C"/>
    <w:rsid w:val="00223514"/>
    <w:rsid w:val="0022750B"/>
    <w:rsid w:val="00230D01"/>
    <w:rsid w:val="00231691"/>
    <w:rsid w:val="00232C1F"/>
    <w:rsid w:val="00234745"/>
    <w:rsid w:val="00237658"/>
    <w:rsid w:val="00237E0A"/>
    <w:rsid w:val="00240F99"/>
    <w:rsid w:val="00241620"/>
    <w:rsid w:val="0024276F"/>
    <w:rsid w:val="0024538F"/>
    <w:rsid w:val="002458CC"/>
    <w:rsid w:val="00245F65"/>
    <w:rsid w:val="0025026D"/>
    <w:rsid w:val="00252E87"/>
    <w:rsid w:val="00252FFC"/>
    <w:rsid w:val="00253234"/>
    <w:rsid w:val="00255259"/>
    <w:rsid w:val="002562DA"/>
    <w:rsid w:val="00256E66"/>
    <w:rsid w:val="00257AA9"/>
    <w:rsid w:val="00257E00"/>
    <w:rsid w:val="00257EB0"/>
    <w:rsid w:val="002607AC"/>
    <w:rsid w:val="00260B32"/>
    <w:rsid w:val="002613A1"/>
    <w:rsid w:val="002619F6"/>
    <w:rsid w:val="002649D2"/>
    <w:rsid w:val="00265ED6"/>
    <w:rsid w:val="00273517"/>
    <w:rsid w:val="002737F3"/>
    <w:rsid w:val="00274C49"/>
    <w:rsid w:val="00277A26"/>
    <w:rsid w:val="00280C6D"/>
    <w:rsid w:val="00281077"/>
    <w:rsid w:val="00281939"/>
    <w:rsid w:val="002841DB"/>
    <w:rsid w:val="00284F83"/>
    <w:rsid w:val="00293653"/>
    <w:rsid w:val="002A1228"/>
    <w:rsid w:val="002A1E89"/>
    <w:rsid w:val="002A26F9"/>
    <w:rsid w:val="002A3425"/>
    <w:rsid w:val="002A418D"/>
    <w:rsid w:val="002A7BF4"/>
    <w:rsid w:val="002B07EA"/>
    <w:rsid w:val="002B2BA4"/>
    <w:rsid w:val="002B2F6E"/>
    <w:rsid w:val="002B484C"/>
    <w:rsid w:val="002B4DEF"/>
    <w:rsid w:val="002B6DAC"/>
    <w:rsid w:val="002C00A4"/>
    <w:rsid w:val="002C72C1"/>
    <w:rsid w:val="002C75A8"/>
    <w:rsid w:val="002D140D"/>
    <w:rsid w:val="002D48AF"/>
    <w:rsid w:val="002D6184"/>
    <w:rsid w:val="002D70D8"/>
    <w:rsid w:val="002E165E"/>
    <w:rsid w:val="002E2317"/>
    <w:rsid w:val="002E2440"/>
    <w:rsid w:val="002E26DF"/>
    <w:rsid w:val="002E3E79"/>
    <w:rsid w:val="002E4FF5"/>
    <w:rsid w:val="002E7E3D"/>
    <w:rsid w:val="002F0DAC"/>
    <w:rsid w:val="002F1D41"/>
    <w:rsid w:val="002F24B7"/>
    <w:rsid w:val="002F3D23"/>
    <w:rsid w:val="002F4DF7"/>
    <w:rsid w:val="002F599E"/>
    <w:rsid w:val="002F7E2C"/>
    <w:rsid w:val="00300A3F"/>
    <w:rsid w:val="00301559"/>
    <w:rsid w:val="00301A07"/>
    <w:rsid w:val="00301E05"/>
    <w:rsid w:val="00304201"/>
    <w:rsid w:val="003059E0"/>
    <w:rsid w:val="00306CF0"/>
    <w:rsid w:val="00307572"/>
    <w:rsid w:val="003113CE"/>
    <w:rsid w:val="003243B7"/>
    <w:rsid w:val="003257AB"/>
    <w:rsid w:val="0033014F"/>
    <w:rsid w:val="00330DA2"/>
    <w:rsid w:val="00331E1C"/>
    <w:rsid w:val="00332AAD"/>
    <w:rsid w:val="003330FD"/>
    <w:rsid w:val="00334173"/>
    <w:rsid w:val="00335633"/>
    <w:rsid w:val="00336D5A"/>
    <w:rsid w:val="00336EFF"/>
    <w:rsid w:val="00337198"/>
    <w:rsid w:val="00337C44"/>
    <w:rsid w:val="00340870"/>
    <w:rsid w:val="003420FD"/>
    <w:rsid w:val="00347BFA"/>
    <w:rsid w:val="0035179D"/>
    <w:rsid w:val="00352A20"/>
    <w:rsid w:val="003539F3"/>
    <w:rsid w:val="0035551E"/>
    <w:rsid w:val="00366D61"/>
    <w:rsid w:val="003748E4"/>
    <w:rsid w:val="00375DEE"/>
    <w:rsid w:val="00376717"/>
    <w:rsid w:val="00376719"/>
    <w:rsid w:val="003776C2"/>
    <w:rsid w:val="00380901"/>
    <w:rsid w:val="00383804"/>
    <w:rsid w:val="00383B97"/>
    <w:rsid w:val="00392653"/>
    <w:rsid w:val="00393DAD"/>
    <w:rsid w:val="00394200"/>
    <w:rsid w:val="003943F7"/>
    <w:rsid w:val="003945F4"/>
    <w:rsid w:val="0039460F"/>
    <w:rsid w:val="003A1B12"/>
    <w:rsid w:val="003A222C"/>
    <w:rsid w:val="003A3AB4"/>
    <w:rsid w:val="003A606E"/>
    <w:rsid w:val="003B0D83"/>
    <w:rsid w:val="003B4990"/>
    <w:rsid w:val="003B505E"/>
    <w:rsid w:val="003B5B0F"/>
    <w:rsid w:val="003B64BC"/>
    <w:rsid w:val="003C1DCF"/>
    <w:rsid w:val="003C2EEB"/>
    <w:rsid w:val="003C67D8"/>
    <w:rsid w:val="003C7428"/>
    <w:rsid w:val="003C7CD2"/>
    <w:rsid w:val="003C7DC9"/>
    <w:rsid w:val="003D5FF2"/>
    <w:rsid w:val="003D6329"/>
    <w:rsid w:val="003D774B"/>
    <w:rsid w:val="003E075F"/>
    <w:rsid w:val="003E0E3E"/>
    <w:rsid w:val="003E22F7"/>
    <w:rsid w:val="003E3800"/>
    <w:rsid w:val="003E686E"/>
    <w:rsid w:val="003F18DA"/>
    <w:rsid w:val="003F1A46"/>
    <w:rsid w:val="003F2FF3"/>
    <w:rsid w:val="003F6EE3"/>
    <w:rsid w:val="00403680"/>
    <w:rsid w:val="00403FFF"/>
    <w:rsid w:val="0040434E"/>
    <w:rsid w:val="0040562C"/>
    <w:rsid w:val="00407EA1"/>
    <w:rsid w:val="00410D75"/>
    <w:rsid w:val="00413F34"/>
    <w:rsid w:val="00416DB9"/>
    <w:rsid w:val="00416FBC"/>
    <w:rsid w:val="004174D1"/>
    <w:rsid w:val="0042177A"/>
    <w:rsid w:val="00422C86"/>
    <w:rsid w:val="0042331D"/>
    <w:rsid w:val="00423C8C"/>
    <w:rsid w:val="004248F2"/>
    <w:rsid w:val="004258E4"/>
    <w:rsid w:val="004276CE"/>
    <w:rsid w:val="00433AEB"/>
    <w:rsid w:val="00434393"/>
    <w:rsid w:val="00436D40"/>
    <w:rsid w:val="00441E4F"/>
    <w:rsid w:val="0044233A"/>
    <w:rsid w:val="00442C8F"/>
    <w:rsid w:val="00443C92"/>
    <w:rsid w:val="004466F0"/>
    <w:rsid w:val="0046134C"/>
    <w:rsid w:val="00461782"/>
    <w:rsid w:val="004622BA"/>
    <w:rsid w:val="004665EA"/>
    <w:rsid w:val="0047262B"/>
    <w:rsid w:val="00472CBA"/>
    <w:rsid w:val="004753D3"/>
    <w:rsid w:val="00476666"/>
    <w:rsid w:val="00481D39"/>
    <w:rsid w:val="0048299E"/>
    <w:rsid w:val="00482CD0"/>
    <w:rsid w:val="004835AB"/>
    <w:rsid w:val="004844C2"/>
    <w:rsid w:val="00484550"/>
    <w:rsid w:val="00484C23"/>
    <w:rsid w:val="00486581"/>
    <w:rsid w:val="00487E72"/>
    <w:rsid w:val="00490DF3"/>
    <w:rsid w:val="0049573A"/>
    <w:rsid w:val="004A1287"/>
    <w:rsid w:val="004A17CC"/>
    <w:rsid w:val="004A1B61"/>
    <w:rsid w:val="004A469F"/>
    <w:rsid w:val="004A595A"/>
    <w:rsid w:val="004A5A0C"/>
    <w:rsid w:val="004B322C"/>
    <w:rsid w:val="004B3F80"/>
    <w:rsid w:val="004B498E"/>
    <w:rsid w:val="004B73FE"/>
    <w:rsid w:val="004B7C2A"/>
    <w:rsid w:val="004C0383"/>
    <w:rsid w:val="004C0FE6"/>
    <w:rsid w:val="004C39B3"/>
    <w:rsid w:val="004C4580"/>
    <w:rsid w:val="004C497A"/>
    <w:rsid w:val="004C60D0"/>
    <w:rsid w:val="004D28B0"/>
    <w:rsid w:val="004D3CBF"/>
    <w:rsid w:val="004D4B90"/>
    <w:rsid w:val="004E1B50"/>
    <w:rsid w:val="004E7D06"/>
    <w:rsid w:val="004F4099"/>
    <w:rsid w:val="004F63D3"/>
    <w:rsid w:val="005009AE"/>
    <w:rsid w:val="0050272F"/>
    <w:rsid w:val="00507AB5"/>
    <w:rsid w:val="00516A15"/>
    <w:rsid w:val="00520CAC"/>
    <w:rsid w:val="005309F4"/>
    <w:rsid w:val="005334F1"/>
    <w:rsid w:val="0053350A"/>
    <w:rsid w:val="00534A34"/>
    <w:rsid w:val="00535C04"/>
    <w:rsid w:val="00536342"/>
    <w:rsid w:val="00536CD9"/>
    <w:rsid w:val="00544108"/>
    <w:rsid w:val="00544542"/>
    <w:rsid w:val="00544B7F"/>
    <w:rsid w:val="00547D9A"/>
    <w:rsid w:val="00551531"/>
    <w:rsid w:val="00554B46"/>
    <w:rsid w:val="0055685A"/>
    <w:rsid w:val="0055787B"/>
    <w:rsid w:val="00561B63"/>
    <w:rsid w:val="00562029"/>
    <w:rsid w:val="00563050"/>
    <w:rsid w:val="00567CCF"/>
    <w:rsid w:val="00573348"/>
    <w:rsid w:val="0057431A"/>
    <w:rsid w:val="00576D88"/>
    <w:rsid w:val="00581EF4"/>
    <w:rsid w:val="00584259"/>
    <w:rsid w:val="005903CF"/>
    <w:rsid w:val="00593BCF"/>
    <w:rsid w:val="00593C0A"/>
    <w:rsid w:val="00593F7D"/>
    <w:rsid w:val="005943A2"/>
    <w:rsid w:val="0059458D"/>
    <w:rsid w:val="00594DEC"/>
    <w:rsid w:val="005958C1"/>
    <w:rsid w:val="0059651C"/>
    <w:rsid w:val="005973A1"/>
    <w:rsid w:val="00597E22"/>
    <w:rsid w:val="005A115D"/>
    <w:rsid w:val="005A63FB"/>
    <w:rsid w:val="005B38B2"/>
    <w:rsid w:val="005B66E4"/>
    <w:rsid w:val="005B7ACD"/>
    <w:rsid w:val="005C120C"/>
    <w:rsid w:val="005C1310"/>
    <w:rsid w:val="005C7D03"/>
    <w:rsid w:val="005D0628"/>
    <w:rsid w:val="005D2452"/>
    <w:rsid w:val="005D3EA9"/>
    <w:rsid w:val="005D6843"/>
    <w:rsid w:val="005E2F52"/>
    <w:rsid w:val="005E6606"/>
    <w:rsid w:val="005E69A4"/>
    <w:rsid w:val="005F5394"/>
    <w:rsid w:val="005F6DB9"/>
    <w:rsid w:val="005F7B54"/>
    <w:rsid w:val="0060173A"/>
    <w:rsid w:val="00601F90"/>
    <w:rsid w:val="00604213"/>
    <w:rsid w:val="006108F3"/>
    <w:rsid w:val="00616CD4"/>
    <w:rsid w:val="006172E2"/>
    <w:rsid w:val="00624978"/>
    <w:rsid w:val="00625024"/>
    <w:rsid w:val="0062508D"/>
    <w:rsid w:val="00625B6F"/>
    <w:rsid w:val="00630C7E"/>
    <w:rsid w:val="00633157"/>
    <w:rsid w:val="006340AD"/>
    <w:rsid w:val="00635712"/>
    <w:rsid w:val="00641253"/>
    <w:rsid w:val="00642698"/>
    <w:rsid w:val="00644112"/>
    <w:rsid w:val="006441CE"/>
    <w:rsid w:val="006448B4"/>
    <w:rsid w:val="00645D94"/>
    <w:rsid w:val="00646440"/>
    <w:rsid w:val="00646FAE"/>
    <w:rsid w:val="0064718B"/>
    <w:rsid w:val="006502FD"/>
    <w:rsid w:val="00651A4E"/>
    <w:rsid w:val="00652CDC"/>
    <w:rsid w:val="006539D8"/>
    <w:rsid w:val="006667AC"/>
    <w:rsid w:val="0066703E"/>
    <w:rsid w:val="00667EF6"/>
    <w:rsid w:val="00672F32"/>
    <w:rsid w:val="00675DC7"/>
    <w:rsid w:val="00684E42"/>
    <w:rsid w:val="006865F0"/>
    <w:rsid w:val="006871C9"/>
    <w:rsid w:val="006900CD"/>
    <w:rsid w:val="00690D38"/>
    <w:rsid w:val="00691801"/>
    <w:rsid w:val="00693990"/>
    <w:rsid w:val="0069472C"/>
    <w:rsid w:val="0069763F"/>
    <w:rsid w:val="006A1C0A"/>
    <w:rsid w:val="006A317B"/>
    <w:rsid w:val="006A67EE"/>
    <w:rsid w:val="006B1E1E"/>
    <w:rsid w:val="006B2684"/>
    <w:rsid w:val="006B2B51"/>
    <w:rsid w:val="006B3B82"/>
    <w:rsid w:val="006B440C"/>
    <w:rsid w:val="006B57FD"/>
    <w:rsid w:val="006B58BC"/>
    <w:rsid w:val="006C4780"/>
    <w:rsid w:val="006C4A13"/>
    <w:rsid w:val="006C7AA6"/>
    <w:rsid w:val="006D14D7"/>
    <w:rsid w:val="006D16BE"/>
    <w:rsid w:val="006D1A6D"/>
    <w:rsid w:val="006D2E50"/>
    <w:rsid w:val="006D4371"/>
    <w:rsid w:val="006D5063"/>
    <w:rsid w:val="006D5C34"/>
    <w:rsid w:val="006D72AA"/>
    <w:rsid w:val="006D7350"/>
    <w:rsid w:val="006D7B1C"/>
    <w:rsid w:val="006E3C83"/>
    <w:rsid w:val="006E43FC"/>
    <w:rsid w:val="006F3012"/>
    <w:rsid w:val="006F39EF"/>
    <w:rsid w:val="006F3B24"/>
    <w:rsid w:val="006F470A"/>
    <w:rsid w:val="0070081E"/>
    <w:rsid w:val="00700BB2"/>
    <w:rsid w:val="007033AC"/>
    <w:rsid w:val="007070E7"/>
    <w:rsid w:val="00707970"/>
    <w:rsid w:val="007104DA"/>
    <w:rsid w:val="0071179A"/>
    <w:rsid w:val="007127F2"/>
    <w:rsid w:val="007179BC"/>
    <w:rsid w:val="00720089"/>
    <w:rsid w:val="00721F39"/>
    <w:rsid w:val="007304BE"/>
    <w:rsid w:val="007325EB"/>
    <w:rsid w:val="0073288B"/>
    <w:rsid w:val="0073393B"/>
    <w:rsid w:val="007339BF"/>
    <w:rsid w:val="007348A3"/>
    <w:rsid w:val="00735C99"/>
    <w:rsid w:val="00735D47"/>
    <w:rsid w:val="00741AE8"/>
    <w:rsid w:val="0074350E"/>
    <w:rsid w:val="007449F2"/>
    <w:rsid w:val="007477FF"/>
    <w:rsid w:val="00755902"/>
    <w:rsid w:val="007563DE"/>
    <w:rsid w:val="00756A32"/>
    <w:rsid w:val="0075770E"/>
    <w:rsid w:val="00761F09"/>
    <w:rsid w:val="00765CFF"/>
    <w:rsid w:val="0077088A"/>
    <w:rsid w:val="00770D24"/>
    <w:rsid w:val="007768D2"/>
    <w:rsid w:val="00780D11"/>
    <w:rsid w:val="007832FC"/>
    <w:rsid w:val="00783F16"/>
    <w:rsid w:val="00785C79"/>
    <w:rsid w:val="0078745F"/>
    <w:rsid w:val="007901C0"/>
    <w:rsid w:val="007927BF"/>
    <w:rsid w:val="00792BA8"/>
    <w:rsid w:val="00796629"/>
    <w:rsid w:val="007A0E53"/>
    <w:rsid w:val="007A2AA2"/>
    <w:rsid w:val="007A6CBA"/>
    <w:rsid w:val="007B02F0"/>
    <w:rsid w:val="007B0CA1"/>
    <w:rsid w:val="007B16F3"/>
    <w:rsid w:val="007B1A5E"/>
    <w:rsid w:val="007B2AE2"/>
    <w:rsid w:val="007B5ED3"/>
    <w:rsid w:val="007C026A"/>
    <w:rsid w:val="007C03F2"/>
    <w:rsid w:val="007C133E"/>
    <w:rsid w:val="007C1851"/>
    <w:rsid w:val="007C23AC"/>
    <w:rsid w:val="007C5AB0"/>
    <w:rsid w:val="007D0EA9"/>
    <w:rsid w:val="007D1527"/>
    <w:rsid w:val="007E08DE"/>
    <w:rsid w:val="007E2265"/>
    <w:rsid w:val="007E321B"/>
    <w:rsid w:val="007E4C0B"/>
    <w:rsid w:val="007F06A8"/>
    <w:rsid w:val="007F4107"/>
    <w:rsid w:val="007F54CC"/>
    <w:rsid w:val="007F6F56"/>
    <w:rsid w:val="00801C32"/>
    <w:rsid w:val="0080687E"/>
    <w:rsid w:val="008079A7"/>
    <w:rsid w:val="00807D68"/>
    <w:rsid w:val="00817EEE"/>
    <w:rsid w:val="00830C72"/>
    <w:rsid w:val="008351B9"/>
    <w:rsid w:val="008441F6"/>
    <w:rsid w:val="0085426C"/>
    <w:rsid w:val="00861CF5"/>
    <w:rsid w:val="00862910"/>
    <w:rsid w:val="00865668"/>
    <w:rsid w:val="00870EEE"/>
    <w:rsid w:val="00873C73"/>
    <w:rsid w:val="00877226"/>
    <w:rsid w:val="00882B0D"/>
    <w:rsid w:val="0088398C"/>
    <w:rsid w:val="008841F4"/>
    <w:rsid w:val="00884318"/>
    <w:rsid w:val="00884C97"/>
    <w:rsid w:val="00884FA9"/>
    <w:rsid w:val="00886356"/>
    <w:rsid w:val="008900C0"/>
    <w:rsid w:val="008919F1"/>
    <w:rsid w:val="00892830"/>
    <w:rsid w:val="008A2606"/>
    <w:rsid w:val="008A2FC4"/>
    <w:rsid w:val="008B0523"/>
    <w:rsid w:val="008B65CE"/>
    <w:rsid w:val="008B6B54"/>
    <w:rsid w:val="008B7617"/>
    <w:rsid w:val="008B77DD"/>
    <w:rsid w:val="008C09F8"/>
    <w:rsid w:val="008C33EC"/>
    <w:rsid w:val="008C40BD"/>
    <w:rsid w:val="008C771B"/>
    <w:rsid w:val="008D1F67"/>
    <w:rsid w:val="008D5C7A"/>
    <w:rsid w:val="008D6662"/>
    <w:rsid w:val="008E0611"/>
    <w:rsid w:val="008E3A2D"/>
    <w:rsid w:val="008E49A3"/>
    <w:rsid w:val="008E6429"/>
    <w:rsid w:val="008E7563"/>
    <w:rsid w:val="008E7B09"/>
    <w:rsid w:val="008F26EB"/>
    <w:rsid w:val="008F4549"/>
    <w:rsid w:val="008F4EE9"/>
    <w:rsid w:val="008F6028"/>
    <w:rsid w:val="008F6696"/>
    <w:rsid w:val="008F6ABA"/>
    <w:rsid w:val="009011E2"/>
    <w:rsid w:val="0090484C"/>
    <w:rsid w:val="00906164"/>
    <w:rsid w:val="00910802"/>
    <w:rsid w:val="00911A15"/>
    <w:rsid w:val="00911CA3"/>
    <w:rsid w:val="00912F87"/>
    <w:rsid w:val="0091431E"/>
    <w:rsid w:val="00914AC3"/>
    <w:rsid w:val="00920845"/>
    <w:rsid w:val="009258DC"/>
    <w:rsid w:val="00925BB6"/>
    <w:rsid w:val="00926603"/>
    <w:rsid w:val="00934072"/>
    <w:rsid w:val="00935B19"/>
    <w:rsid w:val="00936380"/>
    <w:rsid w:val="009406B5"/>
    <w:rsid w:val="00944F32"/>
    <w:rsid w:val="00953ABA"/>
    <w:rsid w:val="00953BCD"/>
    <w:rsid w:val="00953E9E"/>
    <w:rsid w:val="009540CA"/>
    <w:rsid w:val="0095487F"/>
    <w:rsid w:val="00955F3D"/>
    <w:rsid w:val="00956444"/>
    <w:rsid w:val="009604AE"/>
    <w:rsid w:val="0096141C"/>
    <w:rsid w:val="009624F9"/>
    <w:rsid w:val="00964813"/>
    <w:rsid w:val="00967D7D"/>
    <w:rsid w:val="00972C3A"/>
    <w:rsid w:val="00973204"/>
    <w:rsid w:val="009764ED"/>
    <w:rsid w:val="00980B5C"/>
    <w:rsid w:val="0098141E"/>
    <w:rsid w:val="00981D85"/>
    <w:rsid w:val="00987416"/>
    <w:rsid w:val="00990FE5"/>
    <w:rsid w:val="009956DF"/>
    <w:rsid w:val="009A07F1"/>
    <w:rsid w:val="009A1E2F"/>
    <w:rsid w:val="009A23B4"/>
    <w:rsid w:val="009A3B4F"/>
    <w:rsid w:val="009A706D"/>
    <w:rsid w:val="009B2959"/>
    <w:rsid w:val="009B5628"/>
    <w:rsid w:val="009B56FF"/>
    <w:rsid w:val="009B6585"/>
    <w:rsid w:val="009B684E"/>
    <w:rsid w:val="009C04CD"/>
    <w:rsid w:val="009C26CB"/>
    <w:rsid w:val="009C3549"/>
    <w:rsid w:val="009C44E6"/>
    <w:rsid w:val="009C71C2"/>
    <w:rsid w:val="009E2048"/>
    <w:rsid w:val="009E30EB"/>
    <w:rsid w:val="009E48A9"/>
    <w:rsid w:val="009E4A57"/>
    <w:rsid w:val="009E6B5D"/>
    <w:rsid w:val="009F572D"/>
    <w:rsid w:val="009F7F80"/>
    <w:rsid w:val="00A00B06"/>
    <w:rsid w:val="00A01C29"/>
    <w:rsid w:val="00A032E1"/>
    <w:rsid w:val="00A037C5"/>
    <w:rsid w:val="00A041B0"/>
    <w:rsid w:val="00A0526A"/>
    <w:rsid w:val="00A066E0"/>
    <w:rsid w:val="00A1027A"/>
    <w:rsid w:val="00A10FF1"/>
    <w:rsid w:val="00A12DA3"/>
    <w:rsid w:val="00A135D1"/>
    <w:rsid w:val="00A24579"/>
    <w:rsid w:val="00A24994"/>
    <w:rsid w:val="00A275EE"/>
    <w:rsid w:val="00A31A75"/>
    <w:rsid w:val="00A42042"/>
    <w:rsid w:val="00A42A92"/>
    <w:rsid w:val="00A43F50"/>
    <w:rsid w:val="00A44F01"/>
    <w:rsid w:val="00A451AE"/>
    <w:rsid w:val="00A46796"/>
    <w:rsid w:val="00A46AC1"/>
    <w:rsid w:val="00A50837"/>
    <w:rsid w:val="00A51D40"/>
    <w:rsid w:val="00A5268C"/>
    <w:rsid w:val="00A52930"/>
    <w:rsid w:val="00A569C1"/>
    <w:rsid w:val="00A62343"/>
    <w:rsid w:val="00A62B75"/>
    <w:rsid w:val="00A6718F"/>
    <w:rsid w:val="00A70BF4"/>
    <w:rsid w:val="00A7211C"/>
    <w:rsid w:val="00A72BBD"/>
    <w:rsid w:val="00A7695D"/>
    <w:rsid w:val="00A77543"/>
    <w:rsid w:val="00A77D2C"/>
    <w:rsid w:val="00A8393B"/>
    <w:rsid w:val="00A85DD0"/>
    <w:rsid w:val="00A86A2C"/>
    <w:rsid w:val="00A91058"/>
    <w:rsid w:val="00A94A42"/>
    <w:rsid w:val="00A959F9"/>
    <w:rsid w:val="00A96567"/>
    <w:rsid w:val="00A968BB"/>
    <w:rsid w:val="00A96C47"/>
    <w:rsid w:val="00A97589"/>
    <w:rsid w:val="00A97CAC"/>
    <w:rsid w:val="00AA2361"/>
    <w:rsid w:val="00AB00AB"/>
    <w:rsid w:val="00AB2671"/>
    <w:rsid w:val="00AB615A"/>
    <w:rsid w:val="00AC01B3"/>
    <w:rsid w:val="00AC602F"/>
    <w:rsid w:val="00AD06CB"/>
    <w:rsid w:val="00AD4A72"/>
    <w:rsid w:val="00AD4CF9"/>
    <w:rsid w:val="00AE2CFC"/>
    <w:rsid w:val="00AE33C9"/>
    <w:rsid w:val="00AF02B1"/>
    <w:rsid w:val="00AF5412"/>
    <w:rsid w:val="00B020AF"/>
    <w:rsid w:val="00B02588"/>
    <w:rsid w:val="00B02E92"/>
    <w:rsid w:val="00B04449"/>
    <w:rsid w:val="00B048B1"/>
    <w:rsid w:val="00B04C75"/>
    <w:rsid w:val="00B05523"/>
    <w:rsid w:val="00B06F84"/>
    <w:rsid w:val="00B079EF"/>
    <w:rsid w:val="00B07F36"/>
    <w:rsid w:val="00B10D60"/>
    <w:rsid w:val="00B123D0"/>
    <w:rsid w:val="00B127DD"/>
    <w:rsid w:val="00B1344F"/>
    <w:rsid w:val="00B15958"/>
    <w:rsid w:val="00B164FF"/>
    <w:rsid w:val="00B16B70"/>
    <w:rsid w:val="00B20510"/>
    <w:rsid w:val="00B21C00"/>
    <w:rsid w:val="00B23889"/>
    <w:rsid w:val="00B241EA"/>
    <w:rsid w:val="00B24E84"/>
    <w:rsid w:val="00B30729"/>
    <w:rsid w:val="00B31D94"/>
    <w:rsid w:val="00B33F06"/>
    <w:rsid w:val="00B35741"/>
    <w:rsid w:val="00B40D5B"/>
    <w:rsid w:val="00B425A5"/>
    <w:rsid w:val="00B44460"/>
    <w:rsid w:val="00B44710"/>
    <w:rsid w:val="00B45018"/>
    <w:rsid w:val="00B47D45"/>
    <w:rsid w:val="00B52DE1"/>
    <w:rsid w:val="00B52F26"/>
    <w:rsid w:val="00B63D80"/>
    <w:rsid w:val="00B643D5"/>
    <w:rsid w:val="00B643D8"/>
    <w:rsid w:val="00B657D5"/>
    <w:rsid w:val="00B664BE"/>
    <w:rsid w:val="00B669A6"/>
    <w:rsid w:val="00B676EE"/>
    <w:rsid w:val="00B724B9"/>
    <w:rsid w:val="00B75BBE"/>
    <w:rsid w:val="00B7674A"/>
    <w:rsid w:val="00B8049C"/>
    <w:rsid w:val="00B806CA"/>
    <w:rsid w:val="00B81DED"/>
    <w:rsid w:val="00B82246"/>
    <w:rsid w:val="00B83616"/>
    <w:rsid w:val="00B86ACB"/>
    <w:rsid w:val="00B91AB3"/>
    <w:rsid w:val="00B92468"/>
    <w:rsid w:val="00BA443F"/>
    <w:rsid w:val="00BB15ED"/>
    <w:rsid w:val="00BB218B"/>
    <w:rsid w:val="00BB3BE9"/>
    <w:rsid w:val="00BB6B3D"/>
    <w:rsid w:val="00BC1A3F"/>
    <w:rsid w:val="00BD1579"/>
    <w:rsid w:val="00BD184A"/>
    <w:rsid w:val="00BD307F"/>
    <w:rsid w:val="00BD43CB"/>
    <w:rsid w:val="00BD5AD2"/>
    <w:rsid w:val="00BD6C18"/>
    <w:rsid w:val="00BD6EC5"/>
    <w:rsid w:val="00BE056C"/>
    <w:rsid w:val="00BE2017"/>
    <w:rsid w:val="00BE2800"/>
    <w:rsid w:val="00BE3356"/>
    <w:rsid w:val="00BE5937"/>
    <w:rsid w:val="00BE5C01"/>
    <w:rsid w:val="00BF0FF8"/>
    <w:rsid w:val="00BF2354"/>
    <w:rsid w:val="00BF518F"/>
    <w:rsid w:val="00BF53B3"/>
    <w:rsid w:val="00C01725"/>
    <w:rsid w:val="00C01E73"/>
    <w:rsid w:val="00C03D91"/>
    <w:rsid w:val="00C05D5D"/>
    <w:rsid w:val="00C126F7"/>
    <w:rsid w:val="00C1412E"/>
    <w:rsid w:val="00C142B3"/>
    <w:rsid w:val="00C162A2"/>
    <w:rsid w:val="00C1645F"/>
    <w:rsid w:val="00C23C51"/>
    <w:rsid w:val="00C23CB4"/>
    <w:rsid w:val="00C31F7D"/>
    <w:rsid w:val="00C376F8"/>
    <w:rsid w:val="00C431B6"/>
    <w:rsid w:val="00C54D86"/>
    <w:rsid w:val="00C55A04"/>
    <w:rsid w:val="00C6430C"/>
    <w:rsid w:val="00C658D6"/>
    <w:rsid w:val="00C65DE8"/>
    <w:rsid w:val="00C66BA9"/>
    <w:rsid w:val="00C70858"/>
    <w:rsid w:val="00C71944"/>
    <w:rsid w:val="00C73FD9"/>
    <w:rsid w:val="00C746AC"/>
    <w:rsid w:val="00C755F0"/>
    <w:rsid w:val="00C75F92"/>
    <w:rsid w:val="00C77079"/>
    <w:rsid w:val="00C77C7B"/>
    <w:rsid w:val="00C80D09"/>
    <w:rsid w:val="00C80F7B"/>
    <w:rsid w:val="00C82389"/>
    <w:rsid w:val="00C82622"/>
    <w:rsid w:val="00C87145"/>
    <w:rsid w:val="00C90A66"/>
    <w:rsid w:val="00C958E9"/>
    <w:rsid w:val="00C9690B"/>
    <w:rsid w:val="00C970E4"/>
    <w:rsid w:val="00CA06F3"/>
    <w:rsid w:val="00CA0A20"/>
    <w:rsid w:val="00CA306F"/>
    <w:rsid w:val="00CA330C"/>
    <w:rsid w:val="00CA7557"/>
    <w:rsid w:val="00CA78F0"/>
    <w:rsid w:val="00CA7AEC"/>
    <w:rsid w:val="00CB5AA9"/>
    <w:rsid w:val="00CC2F85"/>
    <w:rsid w:val="00CC7683"/>
    <w:rsid w:val="00CD12E5"/>
    <w:rsid w:val="00CD1C56"/>
    <w:rsid w:val="00CD2894"/>
    <w:rsid w:val="00CD696F"/>
    <w:rsid w:val="00CE370E"/>
    <w:rsid w:val="00CE4248"/>
    <w:rsid w:val="00CE5ABD"/>
    <w:rsid w:val="00CE6E94"/>
    <w:rsid w:val="00CF10F1"/>
    <w:rsid w:val="00CF3A04"/>
    <w:rsid w:val="00CF4C66"/>
    <w:rsid w:val="00D0269C"/>
    <w:rsid w:val="00D116DA"/>
    <w:rsid w:val="00D157B1"/>
    <w:rsid w:val="00D15DEE"/>
    <w:rsid w:val="00D168A7"/>
    <w:rsid w:val="00D242B4"/>
    <w:rsid w:val="00D27339"/>
    <w:rsid w:val="00D275DC"/>
    <w:rsid w:val="00D349EC"/>
    <w:rsid w:val="00D40916"/>
    <w:rsid w:val="00D41CB7"/>
    <w:rsid w:val="00D42182"/>
    <w:rsid w:val="00D444C7"/>
    <w:rsid w:val="00D454DB"/>
    <w:rsid w:val="00D504C3"/>
    <w:rsid w:val="00D50778"/>
    <w:rsid w:val="00D509C3"/>
    <w:rsid w:val="00D51298"/>
    <w:rsid w:val="00D5163C"/>
    <w:rsid w:val="00D51CE7"/>
    <w:rsid w:val="00D532E9"/>
    <w:rsid w:val="00D53A33"/>
    <w:rsid w:val="00D550F0"/>
    <w:rsid w:val="00D57A30"/>
    <w:rsid w:val="00D63EFA"/>
    <w:rsid w:val="00D66519"/>
    <w:rsid w:val="00D703C6"/>
    <w:rsid w:val="00D73169"/>
    <w:rsid w:val="00D740DC"/>
    <w:rsid w:val="00D77516"/>
    <w:rsid w:val="00D77E13"/>
    <w:rsid w:val="00D819B9"/>
    <w:rsid w:val="00D82D0C"/>
    <w:rsid w:val="00D82DB2"/>
    <w:rsid w:val="00D87C5B"/>
    <w:rsid w:val="00D90FFB"/>
    <w:rsid w:val="00D93427"/>
    <w:rsid w:val="00D9591F"/>
    <w:rsid w:val="00D9593D"/>
    <w:rsid w:val="00DA0073"/>
    <w:rsid w:val="00DA119C"/>
    <w:rsid w:val="00DA1ADD"/>
    <w:rsid w:val="00DA2303"/>
    <w:rsid w:val="00DA2940"/>
    <w:rsid w:val="00DA4F47"/>
    <w:rsid w:val="00DA6107"/>
    <w:rsid w:val="00DA77CD"/>
    <w:rsid w:val="00DB147E"/>
    <w:rsid w:val="00DB29A5"/>
    <w:rsid w:val="00DB48E1"/>
    <w:rsid w:val="00DB5492"/>
    <w:rsid w:val="00DB59E2"/>
    <w:rsid w:val="00DB605A"/>
    <w:rsid w:val="00DB7282"/>
    <w:rsid w:val="00DC2DCA"/>
    <w:rsid w:val="00DC4904"/>
    <w:rsid w:val="00DC4B60"/>
    <w:rsid w:val="00DC7458"/>
    <w:rsid w:val="00DD12B5"/>
    <w:rsid w:val="00DD1374"/>
    <w:rsid w:val="00DD3CDA"/>
    <w:rsid w:val="00DD56CC"/>
    <w:rsid w:val="00DD6066"/>
    <w:rsid w:val="00DD6211"/>
    <w:rsid w:val="00DD66E3"/>
    <w:rsid w:val="00DD79BD"/>
    <w:rsid w:val="00DD7C17"/>
    <w:rsid w:val="00DE33A5"/>
    <w:rsid w:val="00DE3AFC"/>
    <w:rsid w:val="00DE7685"/>
    <w:rsid w:val="00DE7AA7"/>
    <w:rsid w:val="00DF14B7"/>
    <w:rsid w:val="00DF7DF6"/>
    <w:rsid w:val="00E01A36"/>
    <w:rsid w:val="00E01D35"/>
    <w:rsid w:val="00E02121"/>
    <w:rsid w:val="00E02ED3"/>
    <w:rsid w:val="00E04408"/>
    <w:rsid w:val="00E04A1F"/>
    <w:rsid w:val="00E155B6"/>
    <w:rsid w:val="00E202CD"/>
    <w:rsid w:val="00E235DF"/>
    <w:rsid w:val="00E25A55"/>
    <w:rsid w:val="00E300D2"/>
    <w:rsid w:val="00E3522E"/>
    <w:rsid w:val="00E358A3"/>
    <w:rsid w:val="00E36138"/>
    <w:rsid w:val="00E42AE3"/>
    <w:rsid w:val="00E431DB"/>
    <w:rsid w:val="00E44385"/>
    <w:rsid w:val="00E52314"/>
    <w:rsid w:val="00E5368F"/>
    <w:rsid w:val="00E542EC"/>
    <w:rsid w:val="00E55F93"/>
    <w:rsid w:val="00E61357"/>
    <w:rsid w:val="00E630C3"/>
    <w:rsid w:val="00E637BC"/>
    <w:rsid w:val="00E6610F"/>
    <w:rsid w:val="00E662D2"/>
    <w:rsid w:val="00E71CE5"/>
    <w:rsid w:val="00E73635"/>
    <w:rsid w:val="00E745C0"/>
    <w:rsid w:val="00E746DE"/>
    <w:rsid w:val="00E758E7"/>
    <w:rsid w:val="00E75B48"/>
    <w:rsid w:val="00E7769D"/>
    <w:rsid w:val="00E83EDE"/>
    <w:rsid w:val="00E84EDE"/>
    <w:rsid w:val="00E869DC"/>
    <w:rsid w:val="00E9112C"/>
    <w:rsid w:val="00E91726"/>
    <w:rsid w:val="00E96592"/>
    <w:rsid w:val="00E968F4"/>
    <w:rsid w:val="00E973F3"/>
    <w:rsid w:val="00EA08CE"/>
    <w:rsid w:val="00EA1CA4"/>
    <w:rsid w:val="00EA3E22"/>
    <w:rsid w:val="00EA42EC"/>
    <w:rsid w:val="00EA5477"/>
    <w:rsid w:val="00EA5498"/>
    <w:rsid w:val="00EB312B"/>
    <w:rsid w:val="00EB5319"/>
    <w:rsid w:val="00EC691E"/>
    <w:rsid w:val="00ED2F34"/>
    <w:rsid w:val="00ED3017"/>
    <w:rsid w:val="00ED59A2"/>
    <w:rsid w:val="00ED6633"/>
    <w:rsid w:val="00ED7A25"/>
    <w:rsid w:val="00EE198E"/>
    <w:rsid w:val="00EE3270"/>
    <w:rsid w:val="00EE3FB5"/>
    <w:rsid w:val="00EF1926"/>
    <w:rsid w:val="00F0189E"/>
    <w:rsid w:val="00F03357"/>
    <w:rsid w:val="00F0473B"/>
    <w:rsid w:val="00F069F2"/>
    <w:rsid w:val="00F07702"/>
    <w:rsid w:val="00F07C3C"/>
    <w:rsid w:val="00F13E2B"/>
    <w:rsid w:val="00F14C32"/>
    <w:rsid w:val="00F15EBD"/>
    <w:rsid w:val="00F16705"/>
    <w:rsid w:val="00F22CDA"/>
    <w:rsid w:val="00F257AD"/>
    <w:rsid w:val="00F2585E"/>
    <w:rsid w:val="00F30E9A"/>
    <w:rsid w:val="00F345CA"/>
    <w:rsid w:val="00F401D8"/>
    <w:rsid w:val="00F4155F"/>
    <w:rsid w:val="00F419A2"/>
    <w:rsid w:val="00F42AC9"/>
    <w:rsid w:val="00F43F73"/>
    <w:rsid w:val="00F44B88"/>
    <w:rsid w:val="00F46535"/>
    <w:rsid w:val="00F50A1C"/>
    <w:rsid w:val="00F53265"/>
    <w:rsid w:val="00F600E7"/>
    <w:rsid w:val="00F604CA"/>
    <w:rsid w:val="00F65AFD"/>
    <w:rsid w:val="00F714B3"/>
    <w:rsid w:val="00F72F82"/>
    <w:rsid w:val="00F73A5F"/>
    <w:rsid w:val="00F74EC3"/>
    <w:rsid w:val="00F753D6"/>
    <w:rsid w:val="00F8124F"/>
    <w:rsid w:val="00F813B5"/>
    <w:rsid w:val="00F938B0"/>
    <w:rsid w:val="00F951B8"/>
    <w:rsid w:val="00F96223"/>
    <w:rsid w:val="00FA294B"/>
    <w:rsid w:val="00FA44FA"/>
    <w:rsid w:val="00FA6C4A"/>
    <w:rsid w:val="00FA7FA1"/>
    <w:rsid w:val="00FB31FE"/>
    <w:rsid w:val="00FB632E"/>
    <w:rsid w:val="00FC05FF"/>
    <w:rsid w:val="00FC1B71"/>
    <w:rsid w:val="00FC3518"/>
    <w:rsid w:val="00FC7065"/>
    <w:rsid w:val="00FD1FAA"/>
    <w:rsid w:val="00FD2B0D"/>
    <w:rsid w:val="00FD42F1"/>
    <w:rsid w:val="00FD4611"/>
    <w:rsid w:val="00FD471E"/>
    <w:rsid w:val="00FD7E0A"/>
    <w:rsid w:val="00FE0E56"/>
    <w:rsid w:val="00FF23D7"/>
    <w:rsid w:val="00FF4306"/>
    <w:rsid w:val="02E1425E"/>
    <w:rsid w:val="03544988"/>
    <w:rsid w:val="03DC6B55"/>
    <w:rsid w:val="03E0109A"/>
    <w:rsid w:val="0490244D"/>
    <w:rsid w:val="04DC4426"/>
    <w:rsid w:val="04E941D0"/>
    <w:rsid w:val="05054D79"/>
    <w:rsid w:val="05D63358"/>
    <w:rsid w:val="062B138C"/>
    <w:rsid w:val="06E9757B"/>
    <w:rsid w:val="07D00E2F"/>
    <w:rsid w:val="07EF42E0"/>
    <w:rsid w:val="082C337D"/>
    <w:rsid w:val="09822753"/>
    <w:rsid w:val="0A3B06A6"/>
    <w:rsid w:val="0A473448"/>
    <w:rsid w:val="0A6B2C46"/>
    <w:rsid w:val="0CB80A8C"/>
    <w:rsid w:val="0D4D0519"/>
    <w:rsid w:val="0EE04F75"/>
    <w:rsid w:val="0F3565BD"/>
    <w:rsid w:val="10011B69"/>
    <w:rsid w:val="10057DF9"/>
    <w:rsid w:val="10322101"/>
    <w:rsid w:val="109E423F"/>
    <w:rsid w:val="12E806F7"/>
    <w:rsid w:val="131656A3"/>
    <w:rsid w:val="136E3948"/>
    <w:rsid w:val="140B1E25"/>
    <w:rsid w:val="14571494"/>
    <w:rsid w:val="14903DE2"/>
    <w:rsid w:val="155049D4"/>
    <w:rsid w:val="159B2DEC"/>
    <w:rsid w:val="1673746F"/>
    <w:rsid w:val="16A83BC7"/>
    <w:rsid w:val="17281361"/>
    <w:rsid w:val="17F84A70"/>
    <w:rsid w:val="180A2D96"/>
    <w:rsid w:val="1967026D"/>
    <w:rsid w:val="19670BAC"/>
    <w:rsid w:val="19671390"/>
    <w:rsid w:val="19811512"/>
    <w:rsid w:val="1B8F7C03"/>
    <w:rsid w:val="1BBB7B3E"/>
    <w:rsid w:val="1BCF44DB"/>
    <w:rsid w:val="1D94461B"/>
    <w:rsid w:val="1DB44A74"/>
    <w:rsid w:val="1E9257F7"/>
    <w:rsid w:val="202F7FCD"/>
    <w:rsid w:val="20E265FA"/>
    <w:rsid w:val="21783CCD"/>
    <w:rsid w:val="21C13FBB"/>
    <w:rsid w:val="21CC6B67"/>
    <w:rsid w:val="23C9759F"/>
    <w:rsid w:val="24C47580"/>
    <w:rsid w:val="24D10AAE"/>
    <w:rsid w:val="25971B8A"/>
    <w:rsid w:val="25AE5D26"/>
    <w:rsid w:val="25BD54D0"/>
    <w:rsid w:val="261722FD"/>
    <w:rsid w:val="26D44DDD"/>
    <w:rsid w:val="27FBF594"/>
    <w:rsid w:val="28243968"/>
    <w:rsid w:val="2854372C"/>
    <w:rsid w:val="288476F3"/>
    <w:rsid w:val="28A81307"/>
    <w:rsid w:val="29CE674D"/>
    <w:rsid w:val="2A174AD5"/>
    <w:rsid w:val="2A336BE6"/>
    <w:rsid w:val="2ACD0FB4"/>
    <w:rsid w:val="2AEF669A"/>
    <w:rsid w:val="2C813ABC"/>
    <w:rsid w:val="2C870CAB"/>
    <w:rsid w:val="2E350AB4"/>
    <w:rsid w:val="2F940E8F"/>
    <w:rsid w:val="2FBFA48E"/>
    <w:rsid w:val="2FFE860C"/>
    <w:rsid w:val="2FFFFD30"/>
    <w:rsid w:val="312711E9"/>
    <w:rsid w:val="31DF5266"/>
    <w:rsid w:val="322603A5"/>
    <w:rsid w:val="3304709D"/>
    <w:rsid w:val="33616F5A"/>
    <w:rsid w:val="33B15FF9"/>
    <w:rsid w:val="33FFD346"/>
    <w:rsid w:val="36277D13"/>
    <w:rsid w:val="36C5349A"/>
    <w:rsid w:val="37337B82"/>
    <w:rsid w:val="373C491F"/>
    <w:rsid w:val="383D0B17"/>
    <w:rsid w:val="388E5125"/>
    <w:rsid w:val="38F83D83"/>
    <w:rsid w:val="3ADA118A"/>
    <w:rsid w:val="3BBC5865"/>
    <w:rsid w:val="3C286A62"/>
    <w:rsid w:val="3C3E2941"/>
    <w:rsid w:val="3DB54134"/>
    <w:rsid w:val="3DE23D56"/>
    <w:rsid w:val="3DEA6ADE"/>
    <w:rsid w:val="3F062A1C"/>
    <w:rsid w:val="3F9045DA"/>
    <w:rsid w:val="3FDF467D"/>
    <w:rsid w:val="3FDF5BE8"/>
    <w:rsid w:val="3FFE4819"/>
    <w:rsid w:val="3FFF2A77"/>
    <w:rsid w:val="40484DA9"/>
    <w:rsid w:val="409B0344"/>
    <w:rsid w:val="41493805"/>
    <w:rsid w:val="41891603"/>
    <w:rsid w:val="41A12860"/>
    <w:rsid w:val="43053441"/>
    <w:rsid w:val="43305AA0"/>
    <w:rsid w:val="433E3C2F"/>
    <w:rsid w:val="436A0786"/>
    <w:rsid w:val="44916FF2"/>
    <w:rsid w:val="45124C62"/>
    <w:rsid w:val="45C63FDD"/>
    <w:rsid w:val="460913E6"/>
    <w:rsid w:val="46467857"/>
    <w:rsid w:val="475E9946"/>
    <w:rsid w:val="47DF8AA7"/>
    <w:rsid w:val="47E27251"/>
    <w:rsid w:val="4997010D"/>
    <w:rsid w:val="49B9398B"/>
    <w:rsid w:val="49DB4643"/>
    <w:rsid w:val="4C7E5EED"/>
    <w:rsid w:val="4CD501EB"/>
    <w:rsid w:val="4DB17063"/>
    <w:rsid w:val="4DE40A9F"/>
    <w:rsid w:val="4F35FC44"/>
    <w:rsid w:val="4FD452BC"/>
    <w:rsid w:val="506362E2"/>
    <w:rsid w:val="50B7595B"/>
    <w:rsid w:val="50DD1E88"/>
    <w:rsid w:val="52614CBC"/>
    <w:rsid w:val="52CE1045"/>
    <w:rsid w:val="5513480B"/>
    <w:rsid w:val="552D375A"/>
    <w:rsid w:val="565242D0"/>
    <w:rsid w:val="566E5B97"/>
    <w:rsid w:val="56A74DDD"/>
    <w:rsid w:val="56AC7B11"/>
    <w:rsid w:val="572D60E9"/>
    <w:rsid w:val="579B1973"/>
    <w:rsid w:val="57BF43FB"/>
    <w:rsid w:val="596F4745"/>
    <w:rsid w:val="59F963C0"/>
    <w:rsid w:val="5A097D49"/>
    <w:rsid w:val="5B41218A"/>
    <w:rsid w:val="5B416A9D"/>
    <w:rsid w:val="5B945ACF"/>
    <w:rsid w:val="5BDF704E"/>
    <w:rsid w:val="5C752961"/>
    <w:rsid w:val="5CA274FD"/>
    <w:rsid w:val="5CEA122A"/>
    <w:rsid w:val="5CF44130"/>
    <w:rsid w:val="5D0C0F09"/>
    <w:rsid w:val="5D540B96"/>
    <w:rsid w:val="5D8D3BC6"/>
    <w:rsid w:val="5DFFC06B"/>
    <w:rsid w:val="5E125A64"/>
    <w:rsid w:val="5E3AEA91"/>
    <w:rsid w:val="5E773972"/>
    <w:rsid w:val="5EF34E68"/>
    <w:rsid w:val="5F1D9535"/>
    <w:rsid w:val="60477EE1"/>
    <w:rsid w:val="60A50F6F"/>
    <w:rsid w:val="612B60AC"/>
    <w:rsid w:val="61693756"/>
    <w:rsid w:val="61D9476A"/>
    <w:rsid w:val="6228466D"/>
    <w:rsid w:val="62827352"/>
    <w:rsid w:val="63B02AFE"/>
    <w:rsid w:val="63FC1847"/>
    <w:rsid w:val="64212874"/>
    <w:rsid w:val="64D03782"/>
    <w:rsid w:val="64DD05B1"/>
    <w:rsid w:val="657E3E87"/>
    <w:rsid w:val="65886E50"/>
    <w:rsid w:val="6597234F"/>
    <w:rsid w:val="65C94F08"/>
    <w:rsid w:val="65F797F5"/>
    <w:rsid w:val="667E69BD"/>
    <w:rsid w:val="677536DD"/>
    <w:rsid w:val="68472FEB"/>
    <w:rsid w:val="686405EF"/>
    <w:rsid w:val="686906D9"/>
    <w:rsid w:val="68DE5889"/>
    <w:rsid w:val="691F5351"/>
    <w:rsid w:val="697636B4"/>
    <w:rsid w:val="6A6BEC47"/>
    <w:rsid w:val="6AAC1DA0"/>
    <w:rsid w:val="6AFA01B5"/>
    <w:rsid w:val="6BA436CB"/>
    <w:rsid w:val="6C927F41"/>
    <w:rsid w:val="6CDE4984"/>
    <w:rsid w:val="6D637463"/>
    <w:rsid w:val="6DE62351"/>
    <w:rsid w:val="6DF72DC6"/>
    <w:rsid w:val="6E7566DE"/>
    <w:rsid w:val="6E8C250E"/>
    <w:rsid w:val="6F356B82"/>
    <w:rsid w:val="6F4B7E06"/>
    <w:rsid w:val="6FBD1036"/>
    <w:rsid w:val="6FDF7465"/>
    <w:rsid w:val="6FDFA595"/>
    <w:rsid w:val="7080082E"/>
    <w:rsid w:val="716C6286"/>
    <w:rsid w:val="71A34FE1"/>
    <w:rsid w:val="71B36ABB"/>
    <w:rsid w:val="72441189"/>
    <w:rsid w:val="72450A9D"/>
    <w:rsid w:val="7262338A"/>
    <w:rsid w:val="72672A81"/>
    <w:rsid w:val="72C144A6"/>
    <w:rsid w:val="73610F45"/>
    <w:rsid w:val="7384573E"/>
    <w:rsid w:val="73C87854"/>
    <w:rsid w:val="74796D04"/>
    <w:rsid w:val="74A72809"/>
    <w:rsid w:val="751409D4"/>
    <w:rsid w:val="75840196"/>
    <w:rsid w:val="75DF1949"/>
    <w:rsid w:val="75E0514D"/>
    <w:rsid w:val="76A83F34"/>
    <w:rsid w:val="76D7AC70"/>
    <w:rsid w:val="76DA138A"/>
    <w:rsid w:val="76DD56F8"/>
    <w:rsid w:val="76F66F25"/>
    <w:rsid w:val="77766B4E"/>
    <w:rsid w:val="777A598C"/>
    <w:rsid w:val="77FA8C20"/>
    <w:rsid w:val="78377474"/>
    <w:rsid w:val="799A412A"/>
    <w:rsid w:val="79BFD0A6"/>
    <w:rsid w:val="79ED3EAA"/>
    <w:rsid w:val="7A563B5D"/>
    <w:rsid w:val="7A672B5C"/>
    <w:rsid w:val="7AFB5539"/>
    <w:rsid w:val="7BBF6CDB"/>
    <w:rsid w:val="7BDFCD31"/>
    <w:rsid w:val="7C8D38C8"/>
    <w:rsid w:val="7CEF1F12"/>
    <w:rsid w:val="7CFF29F9"/>
    <w:rsid w:val="7DDF50AD"/>
    <w:rsid w:val="7DEBE3A2"/>
    <w:rsid w:val="7DEBF41B"/>
    <w:rsid w:val="7DFAED1E"/>
    <w:rsid w:val="7E5B71A2"/>
    <w:rsid w:val="7EB5E580"/>
    <w:rsid w:val="7EDFB572"/>
    <w:rsid w:val="7EFD9BE4"/>
    <w:rsid w:val="7F6A73BB"/>
    <w:rsid w:val="7F7A0C82"/>
    <w:rsid w:val="7F7B6A35"/>
    <w:rsid w:val="7F9E71A2"/>
    <w:rsid w:val="7FCF43E1"/>
    <w:rsid w:val="7FDEFB28"/>
    <w:rsid w:val="7FEF8A70"/>
    <w:rsid w:val="7FF7EBB6"/>
    <w:rsid w:val="7FFA408D"/>
    <w:rsid w:val="7FFD47EB"/>
    <w:rsid w:val="9DFF9406"/>
    <w:rsid w:val="9EC35CD0"/>
    <w:rsid w:val="ABDFFBA4"/>
    <w:rsid w:val="B16F5F22"/>
    <w:rsid w:val="B5FF1576"/>
    <w:rsid w:val="BDFB5304"/>
    <w:rsid w:val="CDBBD948"/>
    <w:rsid w:val="CFDFFCAB"/>
    <w:rsid w:val="D3DFDB1B"/>
    <w:rsid w:val="D56FC062"/>
    <w:rsid w:val="D7F6121F"/>
    <w:rsid w:val="DEB52B10"/>
    <w:rsid w:val="DEBD3D1A"/>
    <w:rsid w:val="DF1AE0A3"/>
    <w:rsid w:val="DF2C003E"/>
    <w:rsid w:val="DFD7E2A2"/>
    <w:rsid w:val="DFEF20A5"/>
    <w:rsid w:val="E7F9C517"/>
    <w:rsid w:val="E9DEB4CB"/>
    <w:rsid w:val="EABAAF5E"/>
    <w:rsid w:val="ED6FF379"/>
    <w:rsid w:val="EDCFB7D8"/>
    <w:rsid w:val="EE3C21FB"/>
    <w:rsid w:val="EF5FD537"/>
    <w:rsid w:val="F7DD6C69"/>
    <w:rsid w:val="F931A09A"/>
    <w:rsid w:val="FAFBD20D"/>
    <w:rsid w:val="FB2D8377"/>
    <w:rsid w:val="FBBE8CDC"/>
    <w:rsid w:val="FBEEBD3A"/>
    <w:rsid w:val="FF5FCB31"/>
    <w:rsid w:val="FF760D79"/>
    <w:rsid w:val="FF7F4DFC"/>
    <w:rsid w:val="FF9D3F51"/>
    <w:rsid w:val="FFF7EC72"/>
    <w:rsid w:val="FFF99030"/>
    <w:rsid w:val="FFFF30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4"/>
    <w:unhideWhenUsed/>
    <w:qFormat/>
    <w:uiPriority w:val="9"/>
    <w:pPr>
      <w:keepNext/>
      <w:keepLines/>
      <w:spacing w:before="260" w:after="260" w:line="416" w:lineRule="auto"/>
      <w:outlineLvl w:val="1"/>
    </w:pPr>
    <w:rPr>
      <w:rFonts w:ascii="Cambria" w:hAnsi="Cambria"/>
      <w:b/>
      <w:bCs/>
      <w:sz w:val="32"/>
      <w:szCs w:val="32"/>
    </w:rPr>
  </w:style>
  <w:style w:type="character" w:default="1" w:styleId="15">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5">
    <w:name w:val="annotation subject"/>
    <w:basedOn w:val="6"/>
    <w:next w:val="6"/>
    <w:link w:val="30"/>
    <w:unhideWhenUsed/>
    <w:qFormat/>
    <w:uiPriority w:val="0"/>
    <w:rPr>
      <w:b/>
      <w:bCs/>
    </w:rPr>
  </w:style>
  <w:style w:type="paragraph" w:styleId="6">
    <w:name w:val="annotation text"/>
    <w:basedOn w:val="1"/>
    <w:link w:val="29"/>
    <w:unhideWhenUsed/>
    <w:qFormat/>
    <w:uiPriority w:val="0"/>
    <w:pPr>
      <w:jc w:val="left"/>
    </w:pPr>
  </w:style>
  <w:style w:type="paragraph" w:styleId="7">
    <w:name w:val="Document Map"/>
    <w:basedOn w:val="1"/>
    <w:link w:val="32"/>
    <w:unhideWhenUsed/>
    <w:qFormat/>
    <w:uiPriority w:val="99"/>
    <w:rPr>
      <w:rFonts w:ascii="宋体"/>
      <w:sz w:val="18"/>
      <w:szCs w:val="18"/>
    </w:rPr>
  </w:style>
  <w:style w:type="paragraph" w:styleId="8">
    <w:name w:val="Plain Text"/>
    <w:basedOn w:val="1"/>
    <w:link w:val="26"/>
    <w:unhideWhenUsed/>
    <w:qFormat/>
    <w:uiPriority w:val="0"/>
    <w:pPr>
      <w:spacing w:line="240" w:lineRule="atLeast"/>
    </w:pPr>
    <w:rPr>
      <w:rFonts w:ascii="宋体" w:hAnsi="Courier New" w:cs="Courier New"/>
      <w:szCs w:val="21"/>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2"/>
    <w:basedOn w:val="1"/>
    <w:next w:val="1"/>
    <w:unhideWhenUsed/>
    <w:qFormat/>
    <w:uiPriority w:val="39"/>
    <w:pPr>
      <w:ind w:left="420" w:leftChars="200"/>
    </w:pPr>
  </w:style>
  <w:style w:type="paragraph" w:styleId="13">
    <w:name w:val="HTML Preformatted"/>
    <w:basedOn w:val="1"/>
    <w:link w:val="3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6">
    <w:name w:val="Strong"/>
    <w:basedOn w:val="15"/>
    <w:qFormat/>
    <w:uiPriority w:val="22"/>
    <w:rPr>
      <w:b/>
      <w:bCs/>
    </w:rPr>
  </w:style>
  <w:style w:type="character" w:styleId="17">
    <w:name w:val="Hyperlink"/>
    <w:basedOn w:val="15"/>
    <w:unhideWhenUsed/>
    <w:qFormat/>
    <w:uiPriority w:val="99"/>
    <w:rPr>
      <w:color w:val="0000FF"/>
      <w:u w:val="single"/>
    </w:rPr>
  </w:style>
  <w:style w:type="character" w:styleId="18">
    <w:name w:val="annotation reference"/>
    <w:basedOn w:val="15"/>
    <w:unhideWhenUsed/>
    <w:qFormat/>
    <w:uiPriority w:val="0"/>
    <w:rPr>
      <w:sz w:val="21"/>
      <w:szCs w:val="21"/>
    </w:rPr>
  </w:style>
  <w:style w:type="table" w:styleId="20">
    <w:name w:val="Table Grid"/>
    <w:basedOn w:val="19"/>
    <w:qFormat/>
    <w:uiPriority w:val="5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21">
    <w:name w:val="页眉 Char"/>
    <w:basedOn w:val="15"/>
    <w:link w:val="11"/>
    <w:qFormat/>
    <w:uiPriority w:val="99"/>
    <w:rPr>
      <w:sz w:val="18"/>
      <w:szCs w:val="18"/>
    </w:rPr>
  </w:style>
  <w:style w:type="character" w:customStyle="1" w:styleId="22">
    <w:name w:val="页脚 Char"/>
    <w:basedOn w:val="15"/>
    <w:link w:val="10"/>
    <w:qFormat/>
    <w:uiPriority w:val="99"/>
    <w:rPr>
      <w:sz w:val="18"/>
      <w:szCs w:val="18"/>
    </w:rPr>
  </w:style>
  <w:style w:type="character" w:customStyle="1" w:styleId="23">
    <w:name w:val="标题 1 Char"/>
    <w:basedOn w:val="15"/>
    <w:link w:val="3"/>
    <w:qFormat/>
    <w:uiPriority w:val="9"/>
    <w:rPr>
      <w:rFonts w:ascii="Calibri" w:hAnsi="Calibri" w:eastAsia="宋体" w:cs="Times New Roman"/>
      <w:b/>
      <w:bCs/>
      <w:kern w:val="44"/>
      <w:sz w:val="44"/>
      <w:szCs w:val="44"/>
    </w:rPr>
  </w:style>
  <w:style w:type="character" w:customStyle="1" w:styleId="24">
    <w:name w:val="标题 2 Char"/>
    <w:basedOn w:val="15"/>
    <w:link w:val="4"/>
    <w:qFormat/>
    <w:uiPriority w:val="9"/>
    <w:rPr>
      <w:rFonts w:ascii="Cambria" w:hAnsi="Cambria" w:eastAsia="宋体" w:cs="Times New Roman"/>
      <w:b/>
      <w:bCs/>
      <w:sz w:val="32"/>
      <w:szCs w:val="32"/>
    </w:rPr>
  </w:style>
  <w:style w:type="character" w:customStyle="1" w:styleId="25">
    <w:name w:val="批注框文本 Char"/>
    <w:basedOn w:val="15"/>
    <w:link w:val="9"/>
    <w:qFormat/>
    <w:uiPriority w:val="99"/>
    <w:rPr>
      <w:rFonts w:ascii="Calibri" w:hAnsi="Calibri" w:eastAsia="宋体" w:cs="Times New Roman"/>
      <w:sz w:val="18"/>
      <w:szCs w:val="18"/>
    </w:rPr>
  </w:style>
  <w:style w:type="character" w:customStyle="1" w:styleId="26">
    <w:name w:val="纯文本 Char"/>
    <w:basedOn w:val="15"/>
    <w:link w:val="8"/>
    <w:qFormat/>
    <w:uiPriority w:val="0"/>
    <w:rPr>
      <w:rFonts w:ascii="宋体" w:hAnsi="Courier New" w:eastAsia="宋体" w:cs="Courier New"/>
      <w:szCs w:val="21"/>
    </w:rPr>
  </w:style>
  <w:style w:type="paragraph" w:customStyle="1" w:styleId="27">
    <w:name w:val="TOC 标题1"/>
    <w:basedOn w:val="3"/>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8">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character" w:customStyle="1" w:styleId="29">
    <w:name w:val="批注文字 Char"/>
    <w:basedOn w:val="15"/>
    <w:link w:val="6"/>
    <w:semiHidden/>
    <w:qFormat/>
    <w:uiPriority w:val="0"/>
    <w:rPr>
      <w:rFonts w:ascii="Calibri" w:hAnsi="Calibri" w:eastAsia="宋体" w:cs="Times New Roman"/>
    </w:rPr>
  </w:style>
  <w:style w:type="character" w:customStyle="1" w:styleId="30">
    <w:name w:val="批注主题 Char"/>
    <w:basedOn w:val="29"/>
    <w:link w:val="5"/>
    <w:semiHidden/>
    <w:qFormat/>
    <w:uiPriority w:val="0"/>
    <w:rPr>
      <w:rFonts w:ascii="Calibri" w:hAnsi="Calibri" w:eastAsia="宋体" w:cs="Times New Roman"/>
      <w:b/>
      <w:bCs/>
    </w:rPr>
  </w:style>
  <w:style w:type="paragraph" w:styleId="31">
    <w:name w:val="List Paragraph"/>
    <w:basedOn w:val="1"/>
    <w:qFormat/>
    <w:uiPriority w:val="34"/>
    <w:pPr>
      <w:ind w:firstLine="420" w:firstLineChars="200"/>
    </w:pPr>
  </w:style>
  <w:style w:type="character" w:customStyle="1" w:styleId="32">
    <w:name w:val="文档结构图 Char"/>
    <w:basedOn w:val="15"/>
    <w:link w:val="7"/>
    <w:semiHidden/>
    <w:qFormat/>
    <w:uiPriority w:val="99"/>
    <w:rPr>
      <w:rFonts w:ascii="宋体" w:hAnsi="Calibri" w:eastAsia="宋体" w:cs="Times New Roman"/>
      <w:sz w:val="18"/>
      <w:szCs w:val="18"/>
    </w:rPr>
  </w:style>
  <w:style w:type="paragraph" w:customStyle="1" w:styleId="33">
    <w:name w:val="TOC 标题11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4">
    <w:name w:val="列出段落1"/>
    <w:basedOn w:val="1"/>
    <w:qFormat/>
    <w:uiPriority w:val="34"/>
    <w:pPr>
      <w:ind w:firstLine="420" w:firstLineChars="200"/>
    </w:p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6">
    <w:name w:val="apple-converted-space"/>
    <w:basedOn w:val="15"/>
    <w:qFormat/>
    <w:uiPriority w:val="0"/>
  </w:style>
  <w:style w:type="character" w:customStyle="1" w:styleId="37">
    <w:name w:val="HTML 预设格式 Char"/>
    <w:basedOn w:val="15"/>
    <w:link w:val="13"/>
    <w:qFormat/>
    <w:uiPriority w:val="99"/>
    <w:rPr>
      <w:rFonts w:ascii="宋体" w:hAnsi="宋体" w:eastAsia="宋体" w:cs="Times New Roman"/>
      <w:kern w:val="0"/>
      <w:sz w:val="24"/>
      <w:szCs w:val="24"/>
    </w:rPr>
  </w:style>
  <w:style w:type="paragraph" w:customStyle="1" w:styleId="38">
    <w:name w:val="TOC 标题1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9">
    <w:name w:val="一级条标题"/>
    <w:next w:val="1"/>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40">
    <w:name w:val="Revision"/>
    <w:hidden/>
    <w:unhideWhenUsed/>
    <w:qFormat/>
    <w:uiPriority w:val="99"/>
    <w:rPr>
      <w:rFonts w:ascii="Calibri" w:hAnsi="Calibri" w:eastAsia="宋体" w:cs="Times New Roman"/>
      <w:kern w:val="2"/>
      <w:sz w:val="21"/>
      <w:szCs w:val="22"/>
      <w:lang w:val="en-US" w:eastAsia="zh-CN" w:bidi="ar-SA"/>
    </w:rPr>
  </w:style>
  <w:style w:type="paragraph" w:customStyle="1" w:styleId="41">
    <w:name w:val="Body text|1"/>
    <w:basedOn w:val="1"/>
    <w:qFormat/>
    <w:uiPriority w:val="0"/>
    <w:pPr>
      <w:spacing w:line="338" w:lineRule="auto"/>
      <w:jc w:val="left"/>
    </w:pPr>
    <w:rPr>
      <w:rFonts w:ascii="宋体" w:hAnsi="宋体" w:cs="宋体"/>
      <w:kern w:val="0"/>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871A23-E853-48FB-8D05-99503C4AF397}">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260</Pages>
  <Words>27487</Words>
  <Characters>156677</Characters>
  <Lines>1305</Lines>
  <Paragraphs>367</Paragraphs>
  <TotalTime>10</TotalTime>
  <ScaleCrop>false</ScaleCrop>
  <LinksUpToDate>false</LinksUpToDate>
  <CharactersWithSpaces>183797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2019-09-21T16:41:00Z</dcterms:created>
  <dc:creator>ԓ</dc:creator>
  <cp:lastModifiedBy>Administrator</cp:lastModifiedBy>
  <cp:lastPrinted>2020-03-18T02:29:00Z</cp:lastPrinted>
  <dcterms:modified xsi:type="dcterms:W3CDTF">2020-04-26T08:41:58Z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