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89C67">
      <w:pPr>
        <w:numPr>
          <w:ilvl w:val="0"/>
          <w:numId w:val="0"/>
        </w:numPr>
        <w:jc w:val="center"/>
        <w:rPr>
          <w:rFonts w:hint="eastAsia" w:asciiTheme="majorEastAsia" w:hAnsiTheme="majorEastAsia" w:eastAsiaTheme="majorEastAsia" w:cstheme="majorEastAsia"/>
          <w:b/>
          <w:bCs/>
          <w:color w:val="auto"/>
          <w:sz w:val="44"/>
          <w:szCs w:val="44"/>
          <w:lang w:val="en-US" w:eastAsia="zh-CN"/>
        </w:rPr>
      </w:pPr>
      <w:r>
        <w:rPr>
          <w:rFonts w:hint="eastAsia" w:asciiTheme="majorEastAsia" w:hAnsiTheme="majorEastAsia" w:eastAsiaTheme="majorEastAsia" w:cstheme="majorEastAsia"/>
          <w:b/>
          <w:bCs/>
          <w:color w:val="auto"/>
          <w:sz w:val="44"/>
          <w:szCs w:val="44"/>
          <w:lang w:val="en-US" w:eastAsia="zh-CN"/>
        </w:rPr>
        <w:t>花园口镇人民政府2023年度衔接及整合</w:t>
      </w:r>
    </w:p>
    <w:p w14:paraId="1DB47CED">
      <w:pPr>
        <w:numPr>
          <w:ilvl w:val="0"/>
          <w:numId w:val="0"/>
        </w:numPr>
        <w:jc w:val="center"/>
        <w:rPr>
          <w:rFonts w:hint="eastAsia" w:asciiTheme="majorEastAsia" w:hAnsiTheme="majorEastAsia" w:eastAsiaTheme="majorEastAsia" w:cstheme="majorEastAsia"/>
          <w:b/>
          <w:bCs/>
          <w:color w:val="auto"/>
          <w:sz w:val="44"/>
          <w:szCs w:val="44"/>
          <w:lang w:val="en-US" w:eastAsia="zh-CN"/>
        </w:rPr>
      </w:pPr>
      <w:r>
        <w:rPr>
          <w:rFonts w:hint="eastAsia" w:asciiTheme="majorEastAsia" w:hAnsiTheme="majorEastAsia" w:eastAsiaTheme="majorEastAsia" w:cstheme="majorEastAsia"/>
          <w:b/>
          <w:bCs/>
          <w:color w:val="auto"/>
          <w:sz w:val="44"/>
          <w:szCs w:val="44"/>
          <w:lang w:val="en-US" w:eastAsia="zh-CN"/>
        </w:rPr>
        <w:t>资金使用情况绩效自评总结</w:t>
      </w:r>
    </w:p>
    <w:p w14:paraId="45393FC3">
      <w:pPr>
        <w:pStyle w:val="5"/>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县财政局：</w:t>
      </w:r>
    </w:p>
    <w:p w14:paraId="745B1E1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财政</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b w:val="0"/>
          <w:bCs w:val="0"/>
          <w:color w:val="auto"/>
          <w:sz w:val="32"/>
          <w:szCs w:val="32"/>
          <w:lang w:val="en-US" w:eastAsia="zh-CN"/>
        </w:rPr>
        <w:t>印发</w:t>
      </w:r>
      <w:r>
        <w:rPr>
          <w:rFonts w:hint="eastAsia" w:ascii="仿宋_GB2312" w:hAnsi="仿宋_GB2312" w:eastAsia="仿宋_GB2312" w:cs="仿宋_GB2312"/>
          <w:sz w:val="32"/>
          <w:szCs w:val="32"/>
          <w:lang w:eastAsia="zh-CN"/>
        </w:rPr>
        <w:t>《关于对202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年度衔接及整合资金使用情况开展绩效自评总结工作的通知》（</w:t>
      </w:r>
      <w:r>
        <w:rPr>
          <w:rFonts w:hint="eastAsia" w:ascii="仿宋_GB2312" w:hAnsi="仿宋_GB2312" w:eastAsia="仿宋_GB2312" w:cs="仿宋_GB2312"/>
          <w:sz w:val="32"/>
          <w:szCs w:val="32"/>
          <w:lang w:val="en-US" w:eastAsia="zh-CN"/>
        </w:rPr>
        <w:t>靖财农</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603</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lang w:val="en-US" w:eastAsia="zh-CN"/>
        </w:rPr>
        <w:t>文件</w:t>
      </w:r>
      <w:r>
        <w:rPr>
          <w:rFonts w:hint="eastAsia" w:ascii="仿宋_GB2312" w:hAnsi="仿宋_GB2312" w:eastAsia="仿宋_GB2312" w:cs="仿宋_GB2312"/>
          <w:sz w:val="32"/>
          <w:szCs w:val="32"/>
          <w:lang w:eastAsia="zh-CN"/>
        </w:rPr>
        <w:t>要求，现将</w:t>
      </w:r>
      <w:r>
        <w:rPr>
          <w:rFonts w:hint="eastAsia" w:ascii="仿宋_GB2312" w:hAnsi="仿宋_GB2312" w:eastAsia="仿宋_GB2312" w:cs="仿宋_GB2312"/>
          <w:sz w:val="32"/>
          <w:szCs w:val="32"/>
          <w:lang w:val="en-US" w:eastAsia="zh-CN"/>
        </w:rPr>
        <w:t>花园口镇人民政府2023年度</w:t>
      </w:r>
      <w:r>
        <w:rPr>
          <w:rFonts w:hint="eastAsia" w:ascii="仿宋_GB2312" w:hAnsi="仿宋_GB2312" w:eastAsia="仿宋_GB2312" w:cs="仿宋_GB2312"/>
          <w:sz w:val="32"/>
          <w:szCs w:val="32"/>
          <w:lang w:eastAsia="zh-CN"/>
        </w:rPr>
        <w:t>衔接</w:t>
      </w:r>
      <w:r>
        <w:rPr>
          <w:rFonts w:hint="eastAsia" w:ascii="仿宋_GB2312" w:hAnsi="仿宋_GB2312" w:eastAsia="仿宋_GB2312" w:cs="仿宋_GB2312"/>
          <w:sz w:val="32"/>
          <w:szCs w:val="32"/>
          <w:lang w:val="en-US" w:eastAsia="zh-CN"/>
        </w:rPr>
        <w:t>及整合资金使用情况绩效自评总结</w:t>
      </w:r>
      <w:r>
        <w:rPr>
          <w:rFonts w:hint="eastAsia" w:ascii="仿宋_GB2312" w:hAnsi="仿宋_GB2312" w:eastAsia="仿宋_GB2312" w:cs="仿宋_GB2312"/>
          <w:sz w:val="32"/>
          <w:szCs w:val="32"/>
          <w:lang w:eastAsia="zh-CN"/>
        </w:rPr>
        <w:t>如下：</w:t>
      </w:r>
    </w:p>
    <w:p w14:paraId="50CA2951">
      <w:pPr>
        <w:numPr>
          <w:ilvl w:val="0"/>
          <w:numId w:val="1"/>
        </w:numPr>
        <w:ind w:left="64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b w:val="0"/>
          <w:bCs w:val="0"/>
          <w:color w:val="auto"/>
          <w:sz w:val="32"/>
          <w:szCs w:val="32"/>
          <w:lang w:val="en-US" w:eastAsia="zh-CN"/>
        </w:rPr>
        <w:t>项目资金基本情况</w:t>
      </w:r>
    </w:p>
    <w:p w14:paraId="5B26D25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highlight w:val="yellow"/>
          <w:lang w:val="en-US" w:eastAsia="zh-CN"/>
        </w:rPr>
      </w:pPr>
      <w:r>
        <w:rPr>
          <w:rStyle w:val="9"/>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按照县政府印发的</w:t>
      </w:r>
      <w:r>
        <w:rPr>
          <w:rFonts w:hint="eastAsia" w:ascii="仿宋_GB2312" w:hAnsi="仿宋_GB2312" w:eastAsia="仿宋_GB2312" w:cs="仿宋_GB2312"/>
          <w:sz w:val="32"/>
          <w:szCs w:val="32"/>
          <w:lang w:val="en-US" w:eastAsia="zh-CN"/>
        </w:rPr>
        <w:t>《靖宇县2023年财政涉农资金统筹整合使用方案》和县委农村工作领导小组项目资金批复文件以及县财政下达的资金文件，</w:t>
      </w:r>
      <w:r>
        <w:rPr>
          <w:rFonts w:hint="eastAsia" w:ascii="仿宋_GB2312" w:hAnsi="仿宋_GB2312" w:eastAsia="仿宋_GB2312" w:cs="仿宋_GB2312"/>
          <w:b w:val="0"/>
          <w:bCs w:val="0"/>
          <w:i w:val="0"/>
          <w:caps w:val="0"/>
          <w:color w:val="333333"/>
          <w:spacing w:val="0"/>
          <w:sz w:val="32"/>
          <w:szCs w:val="32"/>
          <w:shd w:val="clear" w:color="auto" w:fill="FFFFFF"/>
          <w:lang w:val="en-US" w:eastAsia="zh-CN"/>
        </w:rPr>
        <w:t>2023年我单位衔接及</w:t>
      </w:r>
      <w:r>
        <w:rPr>
          <w:rFonts w:hint="eastAsia" w:ascii="仿宋_GB2312" w:hAnsi="仿宋_GB2312" w:eastAsia="仿宋_GB2312" w:cs="仿宋_GB2312"/>
          <w:b w:val="0"/>
          <w:bCs w:val="0"/>
          <w:i w:val="0"/>
          <w:caps w:val="0"/>
          <w:color w:val="333333"/>
          <w:spacing w:val="0"/>
          <w:sz w:val="32"/>
          <w:szCs w:val="32"/>
          <w:shd w:val="clear" w:color="auto" w:fill="FFFFFF"/>
          <w:lang w:eastAsia="zh-CN"/>
        </w:rPr>
        <w:t>整合资金</w:t>
      </w:r>
      <w:r>
        <w:rPr>
          <w:rFonts w:hint="eastAsia" w:ascii="仿宋_GB2312" w:hAnsi="仿宋_GB2312" w:eastAsia="仿宋_GB2312" w:cs="仿宋_GB2312"/>
          <w:b w:val="0"/>
          <w:bCs w:val="0"/>
          <w:i w:val="0"/>
          <w:caps w:val="0"/>
          <w:color w:val="333333"/>
          <w:spacing w:val="0"/>
          <w:sz w:val="32"/>
          <w:szCs w:val="32"/>
          <w:shd w:val="clear" w:color="auto" w:fill="FFFFFF"/>
          <w:lang w:val="en-US" w:eastAsia="zh-CN"/>
        </w:rPr>
        <w:t>总计3798.81万元</w:t>
      </w:r>
      <w:r>
        <w:rPr>
          <w:rFonts w:hint="eastAsia" w:ascii="仿宋_GB2312" w:hAnsi="仿宋_GB2312" w:eastAsia="仿宋_GB2312" w:cs="仿宋_GB2312"/>
          <w:color w:val="000000"/>
          <w:spacing w:val="0"/>
          <w:w w:val="100"/>
          <w:position w:val="0"/>
          <w:sz w:val="32"/>
          <w:szCs w:val="32"/>
          <w:shd w:val="clear" w:color="auto" w:fill="auto"/>
          <w:lang w:eastAsia="zh-CN"/>
        </w:rPr>
        <w:t>（</w:t>
      </w:r>
      <w:r>
        <w:rPr>
          <w:rFonts w:hint="eastAsia" w:ascii="仿宋_GB2312" w:hAnsi="仿宋_GB2312" w:eastAsia="仿宋_GB2312" w:cs="仿宋_GB2312"/>
          <w:color w:val="000000"/>
          <w:spacing w:val="0"/>
          <w:w w:val="100"/>
          <w:position w:val="0"/>
          <w:sz w:val="32"/>
          <w:szCs w:val="32"/>
          <w:shd w:val="clear" w:color="auto" w:fill="auto"/>
          <w:lang w:val="en-US" w:eastAsia="zh-CN"/>
        </w:rPr>
        <w:t>包括衔接资金2942.99万元</w:t>
      </w:r>
      <w:r>
        <w:rPr>
          <w:rFonts w:hint="eastAsia" w:ascii="仿宋_GB2312" w:hAnsi="仿宋_GB2312" w:eastAsia="仿宋_GB2312" w:cs="仿宋_GB2312"/>
          <w:color w:val="000000"/>
          <w:spacing w:val="0"/>
          <w:w w:val="100"/>
          <w:position w:val="0"/>
          <w:sz w:val="32"/>
          <w:szCs w:val="32"/>
          <w:shd w:val="clear" w:color="auto" w:fill="auto"/>
          <w:lang w:eastAsia="zh-CN"/>
        </w:rPr>
        <w:t>），</w:t>
      </w:r>
      <w:r>
        <w:rPr>
          <w:rFonts w:hint="eastAsia" w:ascii="仿宋_GB2312" w:hAnsi="仿宋_GB2312" w:eastAsia="仿宋_GB2312" w:cs="仿宋_GB2312"/>
          <w:color w:val="000000"/>
          <w:spacing w:val="0"/>
          <w:w w:val="100"/>
          <w:position w:val="0"/>
          <w:sz w:val="32"/>
          <w:szCs w:val="32"/>
          <w:shd w:val="clear" w:color="auto" w:fill="auto"/>
          <w:lang w:val="en-US" w:eastAsia="zh-CN"/>
        </w:rPr>
        <w:t>共</w:t>
      </w:r>
      <w:r>
        <w:rPr>
          <w:rFonts w:hint="eastAsia" w:ascii="仿宋_GB2312" w:hAnsi="仿宋_GB2312" w:eastAsia="仿宋_GB2312" w:cs="仿宋_GB2312"/>
          <w:b w:val="0"/>
          <w:bCs w:val="0"/>
          <w:i w:val="0"/>
          <w:caps w:val="0"/>
          <w:color w:val="333333"/>
          <w:spacing w:val="0"/>
          <w:sz w:val="32"/>
          <w:szCs w:val="32"/>
          <w:shd w:val="clear" w:color="auto" w:fill="FFFFFF"/>
          <w:lang w:val="en-US" w:eastAsia="zh-CN"/>
        </w:rPr>
        <w:t>安排</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w:t>
      </w:r>
      <w:r>
        <w:rPr>
          <w:rFonts w:hint="eastAsia" w:ascii="仿宋_GB2312" w:hAnsi="仿宋_GB2312" w:eastAsia="仿宋_GB2312" w:cs="仿宋_GB2312"/>
          <w:color w:val="auto"/>
          <w:sz w:val="32"/>
          <w:szCs w:val="32"/>
        </w:rPr>
        <w:t>其中产业项目</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val="en-US" w:eastAsia="zh-CN"/>
        </w:rPr>
        <w:t>资金3540.8万元；基础设施建设项目3个，资金230万元；其他类项目2个，资金28.01万元。</w:t>
      </w:r>
      <w:r>
        <w:rPr>
          <w:rFonts w:hint="eastAsia" w:ascii="仿宋_GB2312" w:hAnsi="仿宋_GB2312" w:eastAsia="仿宋_GB2312" w:cs="仿宋_GB2312"/>
          <w:color w:val="auto"/>
          <w:sz w:val="32"/>
          <w:szCs w:val="32"/>
          <w:highlight w:val="none"/>
          <w:lang w:val="en-US" w:eastAsia="zh-CN"/>
        </w:rPr>
        <w:t>（按照《2023年度整合资金支出情况日调度表》截止2024年5月31日数据）</w:t>
      </w:r>
      <w:r>
        <w:rPr>
          <w:rFonts w:hint="eastAsia" w:ascii="仿宋_GB2312" w:hAnsi="仿宋_GB2312" w:eastAsia="仿宋_GB2312" w:cs="仿宋_GB2312"/>
          <w:color w:val="auto"/>
          <w:sz w:val="32"/>
          <w:szCs w:val="32"/>
          <w:lang w:val="en-US" w:eastAsia="zh-CN"/>
        </w:rPr>
        <w:t>。</w:t>
      </w:r>
    </w:p>
    <w:p w14:paraId="167199FA">
      <w:pPr>
        <w:numPr>
          <w:ilvl w:val="0"/>
          <w:numId w:val="0"/>
        </w:numPr>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二、项目绩效管理情况</w:t>
      </w:r>
    </w:p>
    <w:p w14:paraId="2291A843">
      <w:pPr>
        <w:numPr>
          <w:ilvl w:val="0"/>
          <w:numId w:val="0"/>
        </w:numPr>
        <w:ind w:firstLine="643" w:firstLineChars="200"/>
        <w:jc w:val="left"/>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（一）绩效管理</w:t>
      </w:r>
    </w:p>
    <w:p w14:paraId="796BACD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按照</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highlight w:val="none"/>
          <w:lang w:val="en-US" w:eastAsia="zh-CN"/>
        </w:rPr>
        <w:t>靖宇县统筹整合使用财政涉农资金管理办法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highlight w:val="none"/>
          <w:lang w:val="en-US" w:eastAsia="zh-CN"/>
        </w:rPr>
        <w:t>靖政发〔2021〕23号</w:t>
      </w:r>
      <w:r>
        <w:rPr>
          <w:rFonts w:hint="eastAsia" w:ascii="仿宋_GB2312" w:hAnsi="仿宋_GB2312" w:eastAsia="仿宋_GB2312" w:cs="仿宋_GB2312"/>
          <w:b w:val="0"/>
          <w:bCs w:val="0"/>
          <w:sz w:val="32"/>
          <w:szCs w:val="32"/>
          <w:lang w:val="en-US" w:eastAsia="zh-CN"/>
        </w:rPr>
        <w:t>）和《靖宇县财政衔接推进乡村振兴补助资金管理实施细则》（靖政办发〔2021〕50号）文件要求</w:t>
      </w:r>
      <w:r>
        <w:rPr>
          <w:rFonts w:hint="eastAsia" w:ascii="仿宋_GB2312" w:hAnsi="仿宋_GB2312" w:eastAsia="仿宋_GB2312" w:cs="仿宋_GB2312"/>
          <w:b w:val="0"/>
          <w:bCs w:val="0"/>
          <w:sz w:val="32"/>
          <w:szCs w:val="32"/>
          <w:lang w:eastAsia="zh-CN"/>
        </w:rPr>
        <w:t>，为加强</w:t>
      </w:r>
      <w:r>
        <w:rPr>
          <w:rFonts w:hint="eastAsia" w:ascii="仿宋_GB2312" w:hAnsi="仿宋_GB2312" w:eastAsia="仿宋_GB2312" w:cs="仿宋_GB2312"/>
          <w:b w:val="0"/>
          <w:bCs w:val="0"/>
          <w:sz w:val="32"/>
          <w:szCs w:val="32"/>
          <w:lang w:val="en-US" w:eastAsia="zh-CN"/>
        </w:rPr>
        <w:t>衔接及整合</w:t>
      </w:r>
      <w:r>
        <w:rPr>
          <w:rFonts w:hint="eastAsia" w:ascii="仿宋_GB2312" w:hAnsi="仿宋_GB2312" w:eastAsia="仿宋_GB2312" w:cs="仿宋_GB2312"/>
          <w:b w:val="0"/>
          <w:bCs w:val="0"/>
          <w:sz w:val="32"/>
          <w:szCs w:val="32"/>
          <w:lang w:eastAsia="zh-CN"/>
        </w:rPr>
        <w:t>资金</w:t>
      </w:r>
      <w:r>
        <w:rPr>
          <w:rFonts w:hint="eastAsia" w:ascii="仿宋_GB2312" w:hAnsi="仿宋_GB2312" w:eastAsia="仿宋_GB2312" w:cs="仿宋_GB2312"/>
          <w:b w:val="0"/>
          <w:bCs w:val="0"/>
          <w:sz w:val="32"/>
          <w:szCs w:val="32"/>
          <w:lang w:val="en-US" w:eastAsia="zh-CN"/>
        </w:rPr>
        <w:t>管理</w:t>
      </w:r>
      <w:r>
        <w:rPr>
          <w:rFonts w:hint="eastAsia" w:ascii="仿宋_GB2312" w:hAnsi="仿宋_GB2312" w:eastAsia="仿宋_GB2312" w:cs="仿宋_GB2312"/>
          <w:b w:val="0"/>
          <w:bCs w:val="0"/>
          <w:sz w:val="32"/>
          <w:szCs w:val="32"/>
          <w:lang w:eastAsia="zh-CN"/>
        </w:rPr>
        <w:t>工作，</w:t>
      </w:r>
      <w:r>
        <w:rPr>
          <w:rFonts w:hint="eastAsia" w:ascii="仿宋_GB2312" w:hAnsi="仿宋_GB2312" w:eastAsia="仿宋_GB2312" w:cs="仿宋_GB2312"/>
          <w:b w:val="0"/>
          <w:bCs w:val="0"/>
          <w:sz w:val="32"/>
          <w:szCs w:val="32"/>
          <w:lang w:val="en-US" w:eastAsia="zh-CN"/>
        </w:rPr>
        <w:t>我单位严格按照项目管理责任制落实项目实施</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sz w:val="32"/>
          <w:szCs w:val="32"/>
          <w:lang w:val="en-US" w:eastAsia="zh-CN"/>
        </w:rPr>
        <w:t>在</w:t>
      </w:r>
      <w:r>
        <w:rPr>
          <w:rFonts w:hint="eastAsia" w:ascii="仿宋_GB2312" w:hAnsi="仿宋_GB2312" w:eastAsia="仿宋_GB2312" w:cs="仿宋_GB2312"/>
          <w:color w:val="auto"/>
          <w:sz w:val="32"/>
          <w:szCs w:val="32"/>
          <w:lang w:val="en-US" w:eastAsia="zh-CN"/>
        </w:rPr>
        <w:t>县财政局和县乡村振兴服务中心指导下，我单位对每一个项目均填报了《绩效目标申报表》，</w:t>
      </w:r>
      <w:r>
        <w:rPr>
          <w:rFonts w:hint="eastAsia" w:ascii="仿宋_GB2312" w:hAnsi="仿宋_GB2312" w:eastAsia="仿宋_GB2312" w:cs="仿宋_GB2312"/>
          <w:sz w:val="32"/>
          <w:szCs w:val="32"/>
          <w:highlight w:val="none"/>
          <w:lang w:val="en-US" w:eastAsia="zh-CN"/>
        </w:rPr>
        <w:t>县财政局按照项目大类，分别下达了绩效目标批复文件，明确了目标任务。为完成好项目绩效目标，在项目实施过程中，</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由主管人员</w:t>
      </w:r>
      <w:r>
        <w:rPr>
          <w:rFonts w:hint="eastAsia" w:ascii="仿宋_GB2312" w:hAnsi="仿宋_GB2312" w:eastAsia="仿宋_GB2312" w:cs="仿宋_GB2312"/>
          <w:b w:val="0"/>
          <w:bCs w:val="0"/>
          <w:i w:val="0"/>
          <w:caps w:val="0"/>
          <w:color w:val="auto"/>
          <w:spacing w:val="0"/>
          <w:sz w:val="32"/>
          <w:szCs w:val="32"/>
          <w:shd w:val="clear" w:color="auto" w:fill="FFFFFF"/>
          <w:lang w:eastAsia="zh-CN"/>
        </w:rPr>
        <w:t>定期开展项目实施情况和资金支出进度跟踪</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问查，</w:t>
      </w:r>
      <w:r>
        <w:rPr>
          <w:rFonts w:hint="eastAsia" w:ascii="仿宋_GB2312" w:hAnsi="仿宋_GB2312" w:eastAsia="仿宋_GB2312" w:cs="仿宋_GB2312"/>
          <w:color w:val="000000"/>
          <w:spacing w:val="0"/>
          <w:w w:val="100"/>
          <w:position w:val="0"/>
          <w:sz w:val="32"/>
          <w:szCs w:val="32"/>
        </w:rPr>
        <w:t>全力推进项目建设，紧跟项目进度，加快资金</w:t>
      </w:r>
      <w:r>
        <w:rPr>
          <w:rFonts w:hint="eastAsia" w:ascii="仿宋_GB2312" w:hAnsi="仿宋_GB2312" w:eastAsia="仿宋_GB2312" w:cs="仿宋_GB2312"/>
          <w:color w:val="000000"/>
          <w:spacing w:val="0"/>
          <w:w w:val="100"/>
          <w:position w:val="0"/>
          <w:sz w:val="32"/>
          <w:szCs w:val="32"/>
          <w:lang w:val="en-US" w:eastAsia="zh-CN"/>
        </w:rPr>
        <w:t>支付进度</w:t>
      </w:r>
      <w:r>
        <w:rPr>
          <w:rFonts w:hint="eastAsia"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color w:val="000000"/>
          <w:spacing w:val="0"/>
          <w:w w:val="100"/>
          <w:position w:val="0"/>
          <w:sz w:val="32"/>
          <w:szCs w:val="32"/>
          <w:lang w:val="en-US" w:eastAsia="zh-CN"/>
        </w:rPr>
        <w:t>项目建设过程中，</w:t>
      </w:r>
      <w:r>
        <w:rPr>
          <w:rFonts w:hint="eastAsia" w:ascii="仿宋_GB2312" w:hAnsi="仿宋_GB2312" w:eastAsia="仿宋_GB2312" w:cs="仿宋_GB2312"/>
          <w:sz w:val="32"/>
          <w:szCs w:val="32"/>
          <w:highlight w:val="none"/>
          <w:lang w:val="en-US" w:eastAsia="zh-CN"/>
        </w:rPr>
        <w:t>按照县财政局工作要求，填报了项目《绩效运行监控表》。</w:t>
      </w:r>
      <w:r>
        <w:rPr>
          <w:rFonts w:hint="eastAsia" w:ascii="仿宋_GB2312" w:hAnsi="仿宋_GB2312" w:eastAsia="仿宋_GB2312" w:cs="仿宋_GB2312"/>
          <w:sz w:val="32"/>
          <w:szCs w:val="32"/>
          <w:lang w:val="en-US" w:eastAsia="zh-CN"/>
        </w:rPr>
        <w:t xml:space="preserve"> </w:t>
      </w:r>
    </w:p>
    <w:p w14:paraId="56BA7FBA">
      <w:pPr>
        <w:numPr>
          <w:ilvl w:val="0"/>
          <w:numId w:val="0"/>
        </w:numPr>
        <w:ind w:firstLine="643" w:firstLineChars="200"/>
        <w:jc w:val="left"/>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（二）公告公示情况</w:t>
      </w:r>
    </w:p>
    <w:p w14:paraId="266592CE">
      <w:pPr>
        <w:numPr>
          <w:ilvl w:val="0"/>
          <w:numId w:val="0"/>
        </w:numPr>
        <w:ind w:firstLine="640" w:firstLineChars="200"/>
        <w:jc w:val="left"/>
        <w:rPr>
          <w:rFonts w:hint="eastAsia" w:ascii="仿宋_GB2312" w:hAnsi="仿宋_GB2312" w:eastAsia="仿宋_GB2312" w:cs="仿宋_GB2312"/>
          <w:b w:val="0"/>
          <w:bCs w:val="0"/>
          <w:i w:val="0"/>
          <w:caps w:val="0"/>
          <w:color w:val="auto"/>
          <w:spacing w:val="0"/>
          <w:sz w:val="32"/>
          <w:szCs w:val="32"/>
          <w:shd w:val="clear" w:color="auto" w:fill="FFFFFF"/>
          <w:lang w:eastAsia="zh-CN"/>
        </w:rPr>
      </w:pPr>
      <w:r>
        <w:rPr>
          <w:rFonts w:hint="eastAsia" w:ascii="仿宋_GB2312" w:hAnsi="仿宋_GB2312" w:eastAsia="仿宋_GB2312" w:cs="仿宋_GB2312"/>
          <w:color w:val="auto"/>
          <w:sz w:val="32"/>
          <w:szCs w:val="32"/>
          <w:lang w:val="en-US" w:eastAsia="zh-CN"/>
        </w:rPr>
        <w:t>对于每一个项目，开工前都在所在村屯进行公告公示。项目竣工后，将竣工结算结果先行公示，无反馈问题后，再进行最终结算付款。</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在各类检查中没有收到全国12317防止返贫监测和乡村振兴咨询服务平台(简称12317平台)反馈问题。</w:t>
      </w:r>
    </w:p>
    <w:p w14:paraId="44DF1D50">
      <w:pPr>
        <w:numPr>
          <w:ilvl w:val="0"/>
          <w:numId w:val="0"/>
        </w:numPr>
        <w:ind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三、目标完成情况分析</w:t>
      </w:r>
    </w:p>
    <w:p w14:paraId="5A04CAF1">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3" w:firstLineChars="200"/>
        <w:rPr>
          <w:rFonts w:hint="eastAsia" w:ascii="楷体" w:hAnsi="楷体" w:eastAsia="楷体" w:cs="楷体"/>
          <w:b/>
          <w:bCs/>
          <w:color w:val="auto"/>
          <w:spacing w:val="0"/>
          <w:w w:val="100"/>
          <w:position w:val="0"/>
          <w:sz w:val="32"/>
          <w:szCs w:val="32"/>
          <w:highlight w:val="none"/>
          <w:u w:val="none"/>
          <w:lang w:val="en-US" w:eastAsia="zh-CN"/>
        </w:rPr>
      </w:pPr>
      <w:r>
        <w:rPr>
          <w:rFonts w:hint="eastAsia" w:ascii="楷体" w:hAnsi="楷体" w:eastAsia="楷体" w:cs="楷体"/>
          <w:b/>
          <w:bCs/>
          <w:color w:val="auto"/>
          <w:spacing w:val="0"/>
          <w:w w:val="100"/>
          <w:position w:val="0"/>
          <w:sz w:val="32"/>
          <w:szCs w:val="32"/>
          <w:highlight w:val="none"/>
          <w:u w:val="none"/>
          <w:lang w:val="en-US" w:eastAsia="zh-CN"/>
        </w:rPr>
        <w:t>（一）预算执行率</w:t>
      </w:r>
    </w:p>
    <w:p w14:paraId="10E0DF13">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rPr>
          <w:rFonts w:hint="eastAsia" w:ascii="仿宋_GB2312" w:hAnsi="仿宋_GB2312" w:eastAsia="仿宋_GB2312" w:cs="仿宋_GB2312"/>
          <w:color w:val="auto"/>
          <w:spacing w:val="0"/>
          <w:w w:val="100"/>
          <w:position w:val="0"/>
          <w:sz w:val="32"/>
          <w:szCs w:val="32"/>
          <w:highlight w:val="none"/>
          <w:lang w:val="en-US" w:eastAsia="zh-CN"/>
        </w:rPr>
      </w:pPr>
      <w:r>
        <w:rPr>
          <w:rFonts w:hint="eastAsia" w:ascii="仿宋_GB2312" w:hAnsi="仿宋_GB2312" w:eastAsia="仿宋_GB2312" w:cs="仿宋_GB2312"/>
          <w:color w:val="auto"/>
          <w:spacing w:val="0"/>
          <w:w w:val="100"/>
          <w:position w:val="0"/>
          <w:sz w:val="32"/>
          <w:szCs w:val="32"/>
          <w:highlight w:val="none"/>
          <w:lang w:val="en-US" w:eastAsia="zh-CN"/>
        </w:rPr>
        <w:t>2023年我单位衔接及整合资金资金合计3798.81万元，截止2024年5月31日，实际支出完成86.22</w:t>
      </w:r>
      <w:bookmarkStart w:id="0" w:name="_GoBack"/>
      <w:bookmarkEnd w:id="0"/>
      <w:r>
        <w:rPr>
          <w:rFonts w:hint="eastAsia" w:ascii="仿宋_GB2312" w:hAnsi="仿宋_GB2312" w:eastAsia="仿宋_GB2312" w:cs="仿宋_GB2312"/>
          <w:color w:val="auto"/>
          <w:spacing w:val="0"/>
          <w:w w:val="100"/>
          <w:position w:val="0"/>
          <w:sz w:val="32"/>
          <w:szCs w:val="32"/>
          <w:highlight w:val="none"/>
          <w:lang w:val="en-US" w:eastAsia="zh-CN"/>
        </w:rPr>
        <w:t>%。</w:t>
      </w:r>
    </w:p>
    <w:p w14:paraId="79F82B7A">
      <w:pPr>
        <w:numPr>
          <w:ilvl w:val="0"/>
          <w:numId w:val="0"/>
        </w:numPr>
        <w:ind w:firstLine="643" w:firstLineChars="200"/>
        <w:jc w:val="left"/>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（二）分类资金使用效益</w:t>
      </w:r>
    </w:p>
    <w:p w14:paraId="36FDBE5E">
      <w:pPr>
        <w:keepNext w:val="0"/>
        <w:keepLines w:val="0"/>
        <w:pageBreakBefore w:val="0"/>
        <w:numPr>
          <w:ilvl w:val="0"/>
          <w:numId w:val="0"/>
        </w:numPr>
        <w:kinsoku/>
        <w:wordWrap/>
        <w:overflowPunct/>
        <w:topLinePunct w:val="0"/>
        <w:autoSpaceDE/>
        <w:autoSpaceDN/>
        <w:bidi w:val="0"/>
        <w:spacing w:line="576" w:lineRule="exact"/>
        <w:ind w:firstLine="643" w:firstLineChars="200"/>
        <w:jc w:val="left"/>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1.产业项目。</w:t>
      </w:r>
    </w:p>
    <w:p w14:paraId="59BDA122">
      <w:pPr>
        <w:keepNext w:val="0"/>
        <w:keepLines w:val="0"/>
        <w:pageBreakBefore w:val="0"/>
        <w:numPr>
          <w:ilvl w:val="0"/>
          <w:numId w:val="0"/>
        </w:numPr>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color w:val="auto"/>
          <w:spacing w:val="0"/>
          <w:w w:val="100"/>
          <w:kern w:val="0"/>
          <w:position w:val="0"/>
          <w:sz w:val="32"/>
          <w:szCs w:val="32"/>
          <w:highlight w:val="none"/>
          <w:lang w:val="en-US" w:eastAsia="zh-CN" w:bidi="ar"/>
        </w:rPr>
      </w:pPr>
      <w:r>
        <w:rPr>
          <w:rFonts w:hint="eastAsia" w:ascii="仿宋_GB2312" w:hAnsi="仿宋_GB2312" w:eastAsia="仿宋_GB2312" w:cs="仿宋_GB2312"/>
          <w:color w:val="auto"/>
          <w:spacing w:val="0"/>
          <w:w w:val="100"/>
          <w:kern w:val="0"/>
          <w:position w:val="0"/>
          <w:sz w:val="32"/>
          <w:szCs w:val="32"/>
          <w:highlight w:val="none"/>
          <w:lang w:val="en-US" w:eastAsia="zh-CN" w:bidi="ar"/>
        </w:rPr>
        <w:t>花园口镇产业类项目共计5个，衔接及整合资金共计3540.8万元，实际支出3122.94万元，预算执行率88.2%。其中：</w:t>
      </w:r>
    </w:p>
    <w:p w14:paraId="4BA47C94">
      <w:pPr>
        <w:keepNext w:val="0"/>
        <w:keepLines w:val="0"/>
        <w:pageBreakBefore w:val="0"/>
        <w:numPr>
          <w:ilvl w:val="0"/>
          <w:numId w:val="2"/>
        </w:numPr>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color w:val="auto"/>
          <w:spacing w:val="0"/>
          <w:w w:val="100"/>
          <w:kern w:val="0"/>
          <w:position w:val="0"/>
          <w:sz w:val="32"/>
          <w:szCs w:val="32"/>
          <w:highlight w:val="none"/>
          <w:lang w:val="en-US" w:eastAsia="zh-CN" w:bidi="ar"/>
        </w:rPr>
      </w:pPr>
      <w:r>
        <w:rPr>
          <w:rFonts w:hint="eastAsia" w:ascii="仿宋_GB2312" w:hAnsi="仿宋_GB2312" w:eastAsia="仿宋_GB2312" w:cs="仿宋_GB2312"/>
          <w:color w:val="auto"/>
          <w:spacing w:val="0"/>
          <w:w w:val="100"/>
          <w:kern w:val="0"/>
          <w:position w:val="0"/>
          <w:sz w:val="32"/>
          <w:szCs w:val="32"/>
          <w:highlight w:val="none"/>
          <w:lang w:val="en-US" w:eastAsia="zh-CN" w:bidi="ar"/>
        </w:rPr>
        <w:t>花园口镇花园村民宿建设项目，衔接及整合资金共计760万元，实际支出760万元，预算执行率100%。</w:t>
      </w:r>
    </w:p>
    <w:p w14:paraId="6AD5D3BD">
      <w:pPr>
        <w:keepNext w:val="0"/>
        <w:keepLines w:val="0"/>
        <w:pageBreakBefore w:val="0"/>
        <w:numPr>
          <w:ilvl w:val="0"/>
          <w:numId w:val="2"/>
        </w:numPr>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color w:val="auto"/>
          <w:spacing w:val="0"/>
          <w:w w:val="100"/>
          <w:kern w:val="0"/>
          <w:position w:val="0"/>
          <w:sz w:val="32"/>
          <w:szCs w:val="32"/>
          <w:highlight w:val="none"/>
          <w:lang w:val="en-US" w:eastAsia="zh-CN" w:bidi="ar"/>
        </w:rPr>
      </w:pPr>
      <w:r>
        <w:rPr>
          <w:rFonts w:hint="eastAsia" w:ascii="仿宋_GB2312" w:hAnsi="仿宋_GB2312" w:eastAsia="仿宋_GB2312" w:cs="仿宋_GB2312"/>
          <w:color w:val="auto"/>
          <w:spacing w:val="0"/>
          <w:w w:val="100"/>
          <w:kern w:val="0"/>
          <w:position w:val="0"/>
          <w:sz w:val="32"/>
          <w:szCs w:val="32"/>
          <w:highlight w:val="none"/>
          <w:lang w:val="en-US" w:eastAsia="zh-CN" w:bidi="ar"/>
        </w:rPr>
        <w:t>花园口镇松江村旅游项目，衔接及整合资金共计2099万元，实际支出2099万元，预算执行率100%。</w:t>
      </w:r>
    </w:p>
    <w:p w14:paraId="5D948CC1">
      <w:pPr>
        <w:pStyle w:val="2"/>
        <w:numPr>
          <w:ilvl w:val="0"/>
          <w:numId w:val="2"/>
        </w:numPr>
        <w:ind w:left="0" w:leftChars="0" w:firstLine="640" w:firstLineChars="200"/>
        <w:rPr>
          <w:rFonts w:hint="eastAsia" w:ascii="仿宋_GB2312" w:hAnsi="仿宋_GB2312" w:eastAsia="仿宋_GB2312" w:cs="仿宋_GB2312"/>
          <w:color w:val="auto"/>
          <w:spacing w:val="0"/>
          <w:w w:val="100"/>
          <w:kern w:val="0"/>
          <w:position w:val="0"/>
          <w:sz w:val="32"/>
          <w:szCs w:val="32"/>
          <w:highlight w:val="none"/>
          <w:lang w:val="en-US" w:eastAsia="zh-CN" w:bidi="ar"/>
        </w:rPr>
      </w:pPr>
      <w:r>
        <w:rPr>
          <w:rFonts w:hint="eastAsia" w:ascii="仿宋_GB2312" w:hAnsi="仿宋_GB2312" w:eastAsia="仿宋_GB2312" w:cs="仿宋_GB2312"/>
          <w:color w:val="auto"/>
          <w:spacing w:val="0"/>
          <w:w w:val="100"/>
          <w:kern w:val="0"/>
          <w:position w:val="0"/>
          <w:sz w:val="32"/>
          <w:szCs w:val="32"/>
          <w:highlight w:val="none"/>
          <w:lang w:val="en-US" w:eastAsia="zh-CN" w:bidi="ar"/>
        </w:rPr>
        <w:t>花园口镇2023年度因户施策（庭院经济）项目，衔接及整合资金共计165.8万元，实际支出165.4万元，预算执行率99.76%，2人因个人原因放弃项目。</w:t>
      </w:r>
    </w:p>
    <w:p w14:paraId="70902ECF">
      <w:pPr>
        <w:pStyle w:val="2"/>
        <w:numPr>
          <w:ilvl w:val="0"/>
          <w:numId w:val="2"/>
        </w:numPr>
        <w:ind w:left="0" w:leftChars="0" w:firstLine="640" w:firstLineChars="200"/>
        <w:rPr>
          <w:rFonts w:hint="eastAsia" w:ascii="仿宋_GB2312" w:hAnsi="仿宋_GB2312" w:eastAsia="仿宋_GB2312" w:cs="仿宋_GB2312"/>
          <w:color w:val="auto"/>
          <w:spacing w:val="0"/>
          <w:w w:val="100"/>
          <w:kern w:val="0"/>
          <w:position w:val="0"/>
          <w:sz w:val="32"/>
          <w:szCs w:val="32"/>
          <w:highlight w:val="none"/>
          <w:lang w:val="en-US" w:eastAsia="zh-CN" w:bidi="ar"/>
        </w:rPr>
      </w:pPr>
      <w:r>
        <w:rPr>
          <w:rFonts w:hint="eastAsia" w:ascii="仿宋_GB2312" w:hAnsi="仿宋_GB2312" w:eastAsia="仿宋_GB2312" w:cs="仿宋_GB2312"/>
          <w:color w:val="auto"/>
          <w:spacing w:val="0"/>
          <w:w w:val="100"/>
          <w:kern w:val="0"/>
          <w:position w:val="0"/>
          <w:sz w:val="32"/>
          <w:szCs w:val="32"/>
          <w:highlight w:val="none"/>
          <w:lang w:val="en-US" w:eastAsia="zh-CN" w:bidi="ar"/>
        </w:rPr>
        <w:t>花园口镇2023年度以奖代补（庭院经济）项目，衔接及整合资金共计83.99万元，实际支出83.99万元，预算执行率100%。</w:t>
      </w:r>
    </w:p>
    <w:p w14:paraId="603572E8">
      <w:pPr>
        <w:pStyle w:val="2"/>
        <w:numPr>
          <w:ilvl w:val="0"/>
          <w:numId w:val="2"/>
        </w:numPr>
        <w:ind w:left="0" w:leftChars="0" w:firstLine="640" w:firstLineChars="200"/>
        <w:rPr>
          <w:rFonts w:hint="eastAsia" w:ascii="仿宋_GB2312" w:hAnsi="仿宋_GB2312" w:eastAsia="仿宋_GB2312" w:cs="仿宋_GB2312"/>
          <w:color w:val="auto"/>
          <w:spacing w:val="0"/>
          <w:w w:val="100"/>
          <w:kern w:val="0"/>
          <w:position w:val="0"/>
          <w:sz w:val="32"/>
          <w:szCs w:val="32"/>
          <w:highlight w:val="none"/>
          <w:lang w:val="en-US" w:eastAsia="zh-CN" w:bidi="ar"/>
        </w:rPr>
      </w:pPr>
      <w:r>
        <w:rPr>
          <w:rFonts w:hint="eastAsia" w:ascii="仿宋_GB2312" w:hAnsi="仿宋_GB2312" w:eastAsia="仿宋_GB2312" w:cs="仿宋_GB2312"/>
          <w:color w:val="auto"/>
          <w:spacing w:val="0"/>
          <w:w w:val="100"/>
          <w:kern w:val="0"/>
          <w:position w:val="0"/>
          <w:sz w:val="32"/>
          <w:szCs w:val="32"/>
          <w:highlight w:val="none"/>
          <w:lang w:val="en-US" w:eastAsia="zh-CN" w:bidi="ar"/>
        </w:rPr>
        <w:t>花园口镇2023春季、秋季学期建档立卡贫困家庭学生中高职“雨露计划”衔接及整合资金共计14.55万元，实际支出14.55万元，预算执行率100%。</w:t>
      </w:r>
    </w:p>
    <w:p w14:paraId="5902A921">
      <w:pPr>
        <w:keepNext w:val="0"/>
        <w:keepLines w:val="0"/>
        <w:pageBreakBefore w:val="0"/>
        <w:numPr>
          <w:ilvl w:val="0"/>
          <w:numId w:val="0"/>
        </w:numPr>
        <w:kinsoku/>
        <w:wordWrap/>
        <w:overflowPunct/>
        <w:topLinePunct w:val="0"/>
        <w:autoSpaceDE/>
        <w:autoSpaceDN/>
        <w:bidi w:val="0"/>
        <w:spacing w:line="576" w:lineRule="exact"/>
        <w:ind w:firstLine="643" w:firstLineChars="200"/>
        <w:jc w:val="left"/>
        <w:textAlignment w:val="auto"/>
        <w:rPr>
          <w:rFonts w:hint="eastAsia" w:ascii="仿宋_GB2312" w:hAnsi="仿宋_GB2312" w:eastAsia="仿宋_GB2312" w:cs="仿宋_GB2312"/>
          <w:color w:val="auto"/>
          <w:spacing w:val="0"/>
          <w:w w:val="100"/>
          <w:kern w:val="0"/>
          <w:position w:val="0"/>
          <w:sz w:val="34"/>
          <w:szCs w:val="34"/>
          <w:highlight w:val="none"/>
          <w:lang w:val="en-US" w:eastAsia="zh-CN" w:bidi="ar"/>
        </w:rPr>
      </w:pPr>
      <w:r>
        <w:rPr>
          <w:rFonts w:hint="eastAsia" w:ascii="仿宋_GB2312" w:hAnsi="仿宋_GB2312" w:eastAsia="仿宋_GB2312" w:cs="仿宋_GB2312"/>
          <w:b/>
          <w:bCs/>
          <w:color w:val="auto"/>
          <w:kern w:val="2"/>
          <w:sz w:val="32"/>
          <w:szCs w:val="32"/>
          <w:lang w:val="en-US" w:eastAsia="zh-CN" w:bidi="ar-SA"/>
        </w:rPr>
        <w:t>2.基础设施建设项目。</w:t>
      </w:r>
    </w:p>
    <w:p w14:paraId="1AAF6492">
      <w:pPr>
        <w:keepNext w:val="0"/>
        <w:keepLines w:val="0"/>
        <w:pageBreakBefore w:val="0"/>
        <w:numPr>
          <w:ilvl w:val="0"/>
          <w:numId w:val="0"/>
        </w:numPr>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color w:val="auto"/>
          <w:spacing w:val="0"/>
          <w:w w:val="100"/>
          <w:kern w:val="0"/>
          <w:position w:val="0"/>
          <w:sz w:val="32"/>
          <w:szCs w:val="32"/>
          <w:highlight w:val="none"/>
          <w:lang w:val="en-US" w:eastAsia="zh-CN" w:bidi="ar"/>
        </w:rPr>
      </w:pPr>
      <w:r>
        <w:rPr>
          <w:rFonts w:hint="eastAsia" w:ascii="仿宋_GB2312" w:hAnsi="仿宋_GB2312" w:eastAsia="仿宋_GB2312" w:cs="仿宋_GB2312"/>
          <w:color w:val="auto"/>
          <w:spacing w:val="0"/>
          <w:w w:val="100"/>
          <w:kern w:val="0"/>
          <w:position w:val="0"/>
          <w:sz w:val="32"/>
          <w:szCs w:val="32"/>
          <w:highlight w:val="none"/>
          <w:lang w:val="en-US" w:eastAsia="zh-CN" w:bidi="ar"/>
        </w:rPr>
        <w:t>花园口镇基础设施建设项目共计3个，衔接及整合资金共计230万元，实际支出</w:t>
      </w:r>
      <w:r>
        <w:rPr>
          <w:rFonts w:hint="eastAsia" w:ascii="仿宋_GB2312" w:hAnsi="仿宋_GB2312" w:eastAsia="仿宋_GB2312" w:cs="仿宋_GB2312"/>
          <w:color w:val="auto"/>
          <w:sz w:val="32"/>
          <w:szCs w:val="32"/>
          <w:lang w:val="en-US" w:eastAsia="zh-CN"/>
        </w:rPr>
        <w:t>124.6</w:t>
      </w:r>
      <w:r>
        <w:rPr>
          <w:rFonts w:hint="eastAsia" w:ascii="仿宋_GB2312" w:hAnsi="仿宋_GB2312" w:eastAsia="仿宋_GB2312" w:cs="仿宋_GB2312"/>
          <w:color w:val="auto"/>
          <w:spacing w:val="0"/>
          <w:w w:val="100"/>
          <w:kern w:val="0"/>
          <w:position w:val="0"/>
          <w:sz w:val="32"/>
          <w:szCs w:val="32"/>
          <w:highlight w:val="none"/>
          <w:lang w:val="en-US" w:eastAsia="zh-CN" w:bidi="ar"/>
        </w:rPr>
        <w:t>万元，预算执行率51.98%。其中：</w:t>
      </w:r>
    </w:p>
    <w:p w14:paraId="7EF999C6">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jc w:val="left"/>
        <w:textAlignment w:val="auto"/>
        <w:rPr>
          <w:rFonts w:hint="eastAsia" w:ascii="仿宋_GB2312" w:hAnsi="仿宋_GB2312" w:eastAsia="仿宋_GB2312" w:cs="仿宋_GB2312"/>
          <w:color w:val="auto"/>
          <w:spacing w:val="0"/>
          <w:w w:val="100"/>
          <w:kern w:val="0"/>
          <w:position w:val="0"/>
          <w:sz w:val="32"/>
          <w:szCs w:val="32"/>
          <w:highlight w:val="none"/>
          <w:lang w:val="en-US" w:eastAsia="zh-CN" w:bidi="ar"/>
        </w:rPr>
      </w:pPr>
      <w:r>
        <w:rPr>
          <w:rFonts w:hint="eastAsia" w:ascii="仿宋_GB2312" w:hAnsi="仿宋_GB2312" w:eastAsia="仿宋_GB2312" w:cs="仿宋_GB2312"/>
          <w:color w:val="auto"/>
          <w:spacing w:val="0"/>
          <w:w w:val="100"/>
          <w:kern w:val="0"/>
          <w:position w:val="0"/>
          <w:sz w:val="32"/>
          <w:szCs w:val="32"/>
          <w:highlight w:val="none"/>
          <w:lang w:val="en-US" w:eastAsia="zh-CN" w:bidi="ar"/>
        </w:rPr>
        <w:t>1.花园口镇仁义村冷库配套基础设施建设项目，衔接及整合资金共计16.6万元，实际支出16.6万元，预算执行率100%。</w:t>
      </w:r>
    </w:p>
    <w:p w14:paraId="5493E19B">
      <w:pPr>
        <w:keepNext w:val="0"/>
        <w:keepLines w:val="0"/>
        <w:pageBreakBefore w:val="0"/>
        <w:numPr>
          <w:ilvl w:val="0"/>
          <w:numId w:val="0"/>
        </w:numPr>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color w:val="auto"/>
          <w:spacing w:val="0"/>
          <w:w w:val="100"/>
          <w:kern w:val="0"/>
          <w:position w:val="0"/>
          <w:sz w:val="32"/>
          <w:szCs w:val="32"/>
          <w:highlight w:val="none"/>
          <w:lang w:val="en-US" w:eastAsia="zh-CN" w:bidi="ar"/>
        </w:rPr>
      </w:pPr>
      <w:r>
        <w:rPr>
          <w:rFonts w:hint="eastAsia" w:ascii="仿宋_GB2312" w:hAnsi="仿宋_GB2312" w:eastAsia="仿宋_GB2312" w:cs="仿宋_GB2312"/>
          <w:color w:val="auto"/>
          <w:spacing w:val="0"/>
          <w:w w:val="100"/>
          <w:kern w:val="0"/>
          <w:position w:val="0"/>
          <w:sz w:val="32"/>
          <w:szCs w:val="32"/>
          <w:highlight w:val="none"/>
          <w:lang w:val="en-US" w:eastAsia="zh-CN" w:bidi="ar"/>
        </w:rPr>
        <w:t>2.花园口镇腰甸子村示范创建项目，衔接及整合资金共计98.6万元，实际支出54万元，预算执行率54.77%。该项目经财政局评审中心招标控制价评审以及结算评审后，审减值较高，在今后的设计以及造价咨询环节，花园口镇人民政府将高度重视，精准设计，精准编制招标控制价及工程量清单，避免类似事情发生。</w:t>
      </w:r>
    </w:p>
    <w:p w14:paraId="302FC93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spacing w:val="0"/>
          <w:w w:val="100"/>
          <w:kern w:val="0"/>
          <w:position w:val="0"/>
          <w:sz w:val="32"/>
          <w:szCs w:val="32"/>
          <w:highlight w:val="none"/>
          <w:lang w:val="en-US" w:eastAsia="zh-CN" w:bidi="ar"/>
        </w:rPr>
      </w:pPr>
      <w:r>
        <w:rPr>
          <w:rFonts w:hint="eastAsia" w:ascii="仿宋_GB2312" w:hAnsi="仿宋_GB2312" w:eastAsia="仿宋_GB2312" w:cs="仿宋_GB2312"/>
          <w:color w:val="auto"/>
          <w:spacing w:val="0"/>
          <w:w w:val="100"/>
          <w:kern w:val="0"/>
          <w:position w:val="0"/>
          <w:sz w:val="32"/>
          <w:szCs w:val="32"/>
          <w:highlight w:val="none"/>
          <w:lang w:val="en-US" w:eastAsia="zh-CN" w:bidi="ar"/>
        </w:rPr>
        <w:t>3.花园口镇新华村示范创建项目，衔接及整合资金共计99.51万元，实际支出54万元，预算执行率54.27%。该项目经财政局评审中心招标控制价评审以及结算评审后，审减值较高，在今后的设计以及造价咨询环节，花园口镇人民政府将高度重视，精准设计，精准编制招标控制价及工程量清单，避免类似事情发生。</w:t>
      </w:r>
    </w:p>
    <w:p w14:paraId="6BAE0E6A">
      <w:pPr>
        <w:keepNext w:val="0"/>
        <w:keepLines w:val="0"/>
        <w:pageBreakBefore w:val="0"/>
        <w:widowControl w:val="0"/>
        <w:numPr>
          <w:ilvl w:val="0"/>
          <w:numId w:val="0"/>
        </w:numPr>
        <w:kinsoku/>
        <w:wordWrap/>
        <w:overflowPunct/>
        <w:topLinePunct w:val="0"/>
        <w:autoSpaceDE/>
        <w:autoSpaceDN/>
        <w:bidi w:val="0"/>
        <w:spacing w:line="576" w:lineRule="exact"/>
        <w:ind w:firstLine="643" w:firstLineChars="200"/>
        <w:jc w:val="left"/>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3.其他类项目</w:t>
      </w:r>
    </w:p>
    <w:p w14:paraId="0FFD6196">
      <w:pPr>
        <w:keepNext w:val="0"/>
        <w:keepLines w:val="0"/>
        <w:pageBreakBefore w:val="0"/>
        <w:numPr>
          <w:ilvl w:val="0"/>
          <w:numId w:val="0"/>
        </w:numPr>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color w:val="auto"/>
          <w:spacing w:val="0"/>
          <w:w w:val="100"/>
          <w:kern w:val="0"/>
          <w:position w:val="0"/>
          <w:sz w:val="32"/>
          <w:szCs w:val="32"/>
          <w:highlight w:val="none"/>
          <w:lang w:val="en-US" w:eastAsia="zh-CN" w:bidi="ar"/>
        </w:rPr>
      </w:pPr>
      <w:r>
        <w:rPr>
          <w:rFonts w:hint="eastAsia" w:ascii="仿宋_GB2312" w:hAnsi="仿宋_GB2312" w:eastAsia="仿宋_GB2312" w:cs="仿宋_GB2312"/>
          <w:color w:val="auto"/>
          <w:spacing w:val="0"/>
          <w:w w:val="100"/>
          <w:kern w:val="0"/>
          <w:position w:val="0"/>
          <w:sz w:val="32"/>
          <w:szCs w:val="32"/>
          <w:highlight w:val="none"/>
          <w:lang w:val="en-US" w:eastAsia="zh-CN" w:bidi="ar"/>
        </w:rPr>
        <w:t>花园口镇其他类项目共计2个，衔接及整合资金共计28.01万元，实际支出28.01万元，预算执行率100%。其中：</w:t>
      </w:r>
    </w:p>
    <w:p w14:paraId="295901A6">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pacing w:val="0"/>
          <w:w w:val="100"/>
          <w:kern w:val="0"/>
          <w:position w:val="0"/>
          <w:sz w:val="32"/>
          <w:szCs w:val="32"/>
          <w:highlight w:val="none"/>
          <w:lang w:val="en-US" w:eastAsia="zh-CN" w:bidi="ar"/>
        </w:rPr>
      </w:pPr>
      <w:r>
        <w:rPr>
          <w:rFonts w:hint="eastAsia" w:ascii="仿宋_GB2312" w:hAnsi="仿宋_GB2312" w:eastAsia="仿宋_GB2312" w:cs="仿宋_GB2312"/>
          <w:color w:val="auto"/>
          <w:spacing w:val="0"/>
          <w:w w:val="100"/>
          <w:kern w:val="0"/>
          <w:position w:val="0"/>
          <w:sz w:val="32"/>
          <w:szCs w:val="32"/>
          <w:highlight w:val="none"/>
          <w:lang w:val="en-US" w:eastAsia="zh-CN" w:bidi="ar"/>
        </w:rPr>
        <w:t>1.花园口镇2021-2023年示范村村庄规划编制费，衔接及整合资金共计25万元，实际支出25万元，预算执行率100%。</w:t>
      </w:r>
    </w:p>
    <w:p w14:paraId="0EBE9FEC">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textAlignment w:val="auto"/>
        <w:rPr>
          <w:rFonts w:hint="default" w:ascii="仿宋_GB2312" w:hAnsi="仿宋_GB2312" w:eastAsia="仿宋_GB2312" w:cs="仿宋_GB2312"/>
          <w:color w:val="auto"/>
          <w:spacing w:val="0"/>
          <w:w w:val="100"/>
          <w:kern w:val="0"/>
          <w:position w:val="0"/>
          <w:sz w:val="32"/>
          <w:szCs w:val="32"/>
          <w:highlight w:val="none"/>
          <w:lang w:val="en-US" w:eastAsia="zh-CN" w:bidi="ar"/>
        </w:rPr>
      </w:pPr>
      <w:r>
        <w:rPr>
          <w:rFonts w:hint="eastAsia" w:ascii="仿宋_GB2312" w:hAnsi="仿宋_GB2312" w:eastAsia="仿宋_GB2312" w:cs="仿宋_GB2312"/>
          <w:color w:val="auto"/>
          <w:spacing w:val="0"/>
          <w:w w:val="100"/>
          <w:kern w:val="0"/>
          <w:position w:val="0"/>
          <w:sz w:val="32"/>
          <w:szCs w:val="32"/>
          <w:highlight w:val="none"/>
          <w:lang w:val="en-US" w:eastAsia="zh-CN" w:bidi="ar"/>
        </w:rPr>
        <w:t>2.花园口镇2023年第一、二批外出务工一次性往返交通补助，衔接及整合资金共计3.01万元，实际支出3.01万元，预算执行率100%。</w:t>
      </w:r>
    </w:p>
    <w:p w14:paraId="40C577D9">
      <w:pPr>
        <w:pStyle w:val="2"/>
        <w:numPr>
          <w:ilvl w:val="0"/>
          <w:numId w:val="0"/>
        </w:numPr>
        <w:ind w:firstLine="640" w:firstLineChars="200"/>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lang w:eastAsia="zh-CN"/>
        </w:rPr>
        <w:t>偏离绩效目标的原因</w:t>
      </w:r>
    </w:p>
    <w:p w14:paraId="5B638C52">
      <w:pPr>
        <w:pStyle w:val="2"/>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pacing w:val="0"/>
          <w:w w:val="100"/>
          <w:kern w:val="0"/>
          <w:position w:val="0"/>
          <w:sz w:val="32"/>
          <w:szCs w:val="32"/>
          <w:highlight w:val="none"/>
          <w:lang w:val="en-US" w:eastAsia="zh-CN" w:bidi="ar"/>
        </w:rPr>
      </w:pPr>
      <w:r>
        <w:rPr>
          <w:rFonts w:hint="eastAsia" w:ascii="仿宋_GB2312" w:hAnsi="仿宋_GB2312" w:eastAsia="仿宋_GB2312" w:cs="仿宋_GB2312"/>
          <w:color w:val="auto"/>
          <w:spacing w:val="0"/>
          <w:w w:val="100"/>
          <w:kern w:val="0"/>
          <w:position w:val="0"/>
          <w:sz w:val="32"/>
          <w:szCs w:val="32"/>
          <w:highlight w:val="none"/>
          <w:lang w:val="en-US" w:eastAsia="zh-CN" w:bidi="ar"/>
        </w:rPr>
        <w:t>花园口镇因户施策（庭院经济）项目，申报时，脱贫困户有意愿发展，后期因其个人原因放弃发展，导致偏离绩效目标。花园口镇腰甸子村示范村创建项目以及花园口镇新华村示范创建项目，经财政局评审中心对招标控制价评审以及结算评审，审减值较高，导致项目结余资金较高。</w:t>
      </w:r>
    </w:p>
    <w:p w14:paraId="6181C10E">
      <w:pPr>
        <w:pStyle w:val="2"/>
        <w:numPr>
          <w:ilvl w:val="0"/>
          <w:numId w:val="0"/>
        </w:numPr>
        <w:ind w:firstLine="640" w:firstLineChars="20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五、整改措施</w:t>
      </w:r>
    </w:p>
    <w:p w14:paraId="51923CB3">
      <w:pPr>
        <w:pStyle w:val="2"/>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在以后的工作中，产业类项目一定精准施策，在脱贫户进行申报项目时，考虑全面，避免发生申报未实施情况，基础设施类项目，在编制可研、设计、造价咨询等方面一定精准设计，避免出现总投资较高，结算审减值较低的情况。</w:t>
      </w:r>
    </w:p>
    <w:p w14:paraId="451F0410">
      <w:pPr>
        <w:numPr>
          <w:ilvl w:val="0"/>
          <w:numId w:val="0"/>
        </w:numPr>
        <w:ind w:firstLine="640" w:firstLineChars="200"/>
        <w:jc w:val="left"/>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sz w:val="32"/>
          <w:szCs w:val="32"/>
          <w:lang w:val="en-US" w:eastAsia="zh-CN"/>
        </w:rPr>
        <w:t>六、</w:t>
      </w:r>
      <w:r>
        <w:rPr>
          <w:rFonts w:hint="eastAsia" w:ascii="黑体" w:hAnsi="黑体" w:eastAsia="黑体" w:cs="黑体"/>
          <w:color w:val="auto"/>
          <w:kern w:val="2"/>
          <w:sz w:val="32"/>
          <w:szCs w:val="32"/>
          <w:highlight w:val="none"/>
          <w:lang w:val="en-US" w:eastAsia="zh-CN" w:bidi="ar-SA"/>
        </w:rPr>
        <w:t>机制创新</w:t>
      </w:r>
    </w:p>
    <w:p w14:paraId="04DEA4F4">
      <w:pPr>
        <w:keepNext w:val="0"/>
        <w:keepLines w:val="0"/>
        <w:pageBreakBefore w:val="0"/>
        <w:numPr>
          <w:ilvl w:val="0"/>
          <w:numId w:val="0"/>
        </w:numPr>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在衔接及整合资金项目管理方面，花园口镇将严格执行相关政策文件，确保执行率百分之百。</w:t>
      </w:r>
    </w:p>
    <w:p w14:paraId="5DBF44D0">
      <w:pPr>
        <w:pStyle w:val="2"/>
        <w:keepNext w:val="0"/>
        <w:keepLines w:val="0"/>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在示范村创建方面，将资金合理分配使用，达到九有六无标准，为完成示范村创建奠定良好基础。</w:t>
      </w:r>
    </w:p>
    <w:p w14:paraId="66F593B9">
      <w:pPr>
        <w:pStyle w:val="2"/>
        <w:rPr>
          <w:rFonts w:hint="eastAsia" w:ascii="仿宋_GB2312" w:hAnsi="仿宋_GB2312" w:eastAsia="仿宋_GB2312" w:cs="仿宋_GB2312"/>
          <w:color w:val="auto"/>
          <w:kern w:val="2"/>
          <w:sz w:val="32"/>
          <w:szCs w:val="32"/>
          <w:lang w:val="en-US" w:eastAsia="zh-CN" w:bidi="ar-SA"/>
        </w:rPr>
      </w:pPr>
    </w:p>
    <w:p w14:paraId="37DDF2D5">
      <w:pPr>
        <w:pStyle w:val="2"/>
        <w:rPr>
          <w:rFonts w:hint="eastAsia" w:ascii="仿宋_GB2312" w:hAnsi="仿宋_GB2312" w:eastAsia="仿宋_GB2312" w:cs="仿宋_GB2312"/>
          <w:color w:val="auto"/>
          <w:kern w:val="2"/>
          <w:sz w:val="32"/>
          <w:szCs w:val="32"/>
          <w:lang w:val="en-US" w:eastAsia="zh-CN" w:bidi="ar-SA"/>
        </w:rPr>
      </w:pPr>
    </w:p>
    <w:p w14:paraId="0A482985">
      <w:pPr>
        <w:pStyle w:val="2"/>
        <w:rPr>
          <w:rFonts w:hint="eastAsia" w:ascii="仿宋_GB2312" w:hAnsi="仿宋_GB2312" w:eastAsia="仿宋_GB2312" w:cs="仿宋_GB2312"/>
          <w:color w:val="auto"/>
          <w:kern w:val="2"/>
          <w:sz w:val="32"/>
          <w:szCs w:val="32"/>
          <w:lang w:val="en-US" w:eastAsia="zh-CN" w:bidi="ar-SA"/>
        </w:rPr>
      </w:pPr>
    </w:p>
    <w:p w14:paraId="003A6585">
      <w:pPr>
        <w:pStyle w:val="2"/>
        <w:rPr>
          <w:rFonts w:hint="eastAsia" w:ascii="仿宋_GB2312" w:hAnsi="仿宋_GB2312" w:eastAsia="仿宋_GB2312" w:cs="仿宋_GB2312"/>
          <w:color w:val="auto"/>
          <w:kern w:val="2"/>
          <w:sz w:val="32"/>
          <w:szCs w:val="32"/>
          <w:lang w:val="en-US" w:eastAsia="zh-CN" w:bidi="ar-SA"/>
        </w:rPr>
      </w:pPr>
    </w:p>
    <w:p w14:paraId="6E7339F4">
      <w:pPr>
        <w:pStyle w:val="2"/>
        <w:keepNext w:val="0"/>
        <w:keepLines w:val="0"/>
        <w:pageBreakBefore w:val="0"/>
        <w:widowControl w:val="0"/>
        <w:kinsoku/>
        <w:wordWrap/>
        <w:overflowPunct/>
        <w:topLinePunct w:val="0"/>
        <w:autoSpaceDE/>
        <w:autoSpaceDN/>
        <w:bidi w:val="0"/>
        <w:adjustRightInd w:val="0"/>
        <w:snapToGrid w:val="0"/>
        <w:spacing w:line="576" w:lineRule="exact"/>
        <w:ind w:left="5119" w:leftChars="152" w:hanging="4800" w:hangingChars="15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花园口镇人民政府                            2024年6月 日</w:t>
      </w:r>
    </w:p>
    <w:p w14:paraId="5AD81C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4ADB8"/>
    <w:multiLevelType w:val="singleLevel"/>
    <w:tmpl w:val="BF24ADB8"/>
    <w:lvl w:ilvl="0" w:tentative="0">
      <w:start w:val="1"/>
      <w:numFmt w:val="chineseCounting"/>
      <w:suff w:val="nothing"/>
      <w:lvlText w:val="%1、"/>
      <w:lvlJc w:val="left"/>
      <w:pPr>
        <w:ind w:left="640" w:leftChars="0" w:firstLine="0" w:firstLineChars="0"/>
      </w:pPr>
      <w:rPr>
        <w:rFonts w:hint="eastAsia" w:ascii="仿宋_GB2312" w:hAnsi="仿宋_GB2312" w:eastAsia="仿宋_GB2312" w:cs="仿宋_GB2312"/>
        <w:sz w:val="32"/>
        <w:szCs w:val="32"/>
      </w:rPr>
    </w:lvl>
  </w:abstractNum>
  <w:abstractNum w:abstractNumId="1">
    <w:nsid w:val="4430FD37"/>
    <w:multiLevelType w:val="singleLevel"/>
    <w:tmpl w:val="4430FD3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xOGU3MWJlN2ZmNTE2NzI3MGE5MDQ2ODgzOWE3OGMifQ=="/>
  </w:docVars>
  <w:rsids>
    <w:rsidRoot w:val="00000000"/>
    <w:rsid w:val="0282283C"/>
    <w:rsid w:val="18460A05"/>
    <w:rsid w:val="1AB90282"/>
    <w:rsid w:val="1F046865"/>
    <w:rsid w:val="22DB78DD"/>
    <w:rsid w:val="23E43B7C"/>
    <w:rsid w:val="28E060E8"/>
    <w:rsid w:val="46685726"/>
    <w:rsid w:val="52397FF8"/>
    <w:rsid w:val="5EEE216B"/>
    <w:rsid w:val="63CD5D49"/>
    <w:rsid w:val="6CA454A7"/>
    <w:rsid w:val="75F75F79"/>
    <w:rsid w:val="7DDD5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eastAsia="宋体" w:cs="Times New Roman"/>
    </w:rPr>
  </w:style>
  <w:style w:type="paragraph" w:styleId="3">
    <w:name w:val="Body Text"/>
    <w:basedOn w:val="1"/>
    <w:next w:val="4"/>
    <w:qFormat/>
    <w:uiPriority w:val="0"/>
    <w:pPr>
      <w:adjustRightInd w:val="0"/>
      <w:snapToGrid w:val="0"/>
      <w:spacing w:line="300" w:lineRule="auto"/>
    </w:pPr>
    <w:rPr>
      <w:rFonts w:eastAsia="黑体"/>
      <w:sz w:val="36"/>
    </w:rPr>
  </w:style>
  <w:style w:type="paragraph" w:styleId="4">
    <w:name w:val="toc 2"/>
    <w:basedOn w:val="1"/>
    <w:next w:val="1"/>
    <w:qFormat/>
    <w:uiPriority w:val="0"/>
    <w:pPr>
      <w:widowControl w:val="0"/>
      <w:adjustRightInd w:val="0"/>
      <w:spacing w:line="360" w:lineRule="atLeast"/>
      <w:ind w:left="200" w:leftChars="200"/>
      <w:textAlignment w:val="baseline"/>
    </w:pPr>
    <w:rPr>
      <w:rFonts w:ascii="Times New Roman" w:hAnsi="Times New Roman" w:eastAsia="宋体" w:cs="Times New Roman"/>
      <w:sz w:val="24"/>
      <w:lang w:val="en-US" w:eastAsia="zh-CN" w:bidi="ar-SA"/>
    </w:rPr>
  </w:style>
  <w:style w:type="paragraph" w:styleId="5">
    <w:name w:val="Body Text 2"/>
    <w:qFormat/>
    <w:uiPriority w:val="0"/>
    <w:pPr>
      <w:widowControl w:val="0"/>
      <w:jc w:val="both"/>
    </w:pPr>
    <w:rPr>
      <w:rFonts w:ascii="Times New Roman" w:hAnsi="Times New Roman" w:eastAsia="隶书" w:cs="Times New Roman"/>
      <w:b/>
      <w:spacing w:val="20"/>
      <w:kern w:val="2"/>
      <w:sz w:val="48"/>
      <w:szCs w:val="24"/>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1962</Words>
  <Characters>2216</Characters>
  <Lines>0</Lines>
  <Paragraphs>0</Paragraphs>
  <TotalTime>42</TotalTime>
  <ScaleCrop>false</ScaleCrop>
  <LinksUpToDate>false</LinksUpToDate>
  <CharactersWithSpaces>2271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2024-06-06T00:50:00Z</dcterms:created>
  <dc:creator>Administrator</dc:creator>
  <cp:lastModifiedBy>Administrator</cp:lastModifiedBy>
  <dcterms:modified xsi:type="dcterms:W3CDTF">2024-10-11T03:39:39Z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88907D80AE99405EB6734488FA7028A7_12</vt:lpwstr>
  </property>
</Properties>
</file>