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035722">
      <w:pPr>
        <w:rPr>
          <w:rFonts w:hint="eastAsia" w:ascii="方正小标宋简体" w:hAnsi="仿宋" w:eastAsia="方正小标宋简体" w:cs="仿宋_GB2312"/>
          <w:color w:val="000000" w:themeColor="text1"/>
          <w:spacing w:val="11"/>
          <w:sz w:val="28"/>
          <w:szCs w:val="28"/>
          <w:lang w:val="en-US" w:eastAsia="zh-CN" w:bidi="ar"/>
          <w14:textFill>
            <w14:solidFill>
              <w14:schemeClr w14:val="tx1"/>
            </w14:solidFill>
          </w14:textFill>
        </w:rPr>
      </w:pPr>
      <w:bookmarkStart w:id="0" w:name="_Toc24401"/>
      <w:r>
        <w:rPr>
          <w:rFonts w:hint="eastAsia" w:ascii="方正小标宋简体" w:hAnsi="仿宋" w:eastAsia="方正小标宋简体" w:cs="仿宋_GB2312"/>
          <w:color w:val="000000" w:themeColor="text1"/>
          <w:spacing w:val="11"/>
          <w:sz w:val="28"/>
          <w:szCs w:val="28"/>
          <w:lang w:val="en-US" w:eastAsia="zh-CN" w:bidi="ar"/>
          <w14:textFill>
            <w14:solidFill>
              <w14:schemeClr w14:val="tx1"/>
            </w14:solidFill>
          </w14:textFill>
        </w:rPr>
        <w:drawing>
          <wp:inline distT="0" distB="0" distL="114300" distR="114300">
            <wp:extent cx="5746115" cy="9227185"/>
            <wp:effectExtent l="0" t="0" r="6985" b="12065"/>
            <wp:docPr id="8" name="图片 8" descr="吉市监法字〔2025〕35号++++++关于印发《吉林省市场监督管理+行政处罚裁量权适用规则》的通知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吉市监法字〔2025〕35号++++++关于印发《吉林省市场监督管理+行政处罚裁量权适用规则》的通知_页面_1"/>
                    <pic:cNvPicPr>
                      <a:picLocks noChangeAspect="1"/>
                    </pic:cNvPicPr>
                  </pic:nvPicPr>
                  <pic:blipFill>
                    <a:blip r:embed="rId15"/>
                    <a:srcRect l="8535" t="7947" r="10420"/>
                    <a:stretch>
                      <a:fillRect/>
                    </a:stretch>
                  </pic:blipFill>
                  <pic:spPr>
                    <a:xfrm>
                      <a:off x="0" y="0"/>
                      <a:ext cx="5746115" cy="9227185"/>
                    </a:xfrm>
                    <a:prstGeom prst="rect">
                      <a:avLst/>
                    </a:prstGeom>
                  </pic:spPr>
                </pic:pic>
              </a:graphicData>
            </a:graphic>
          </wp:inline>
        </w:drawing>
      </w:r>
      <w:r>
        <w:rPr>
          <w:rFonts w:hint="eastAsia" w:ascii="方正小标宋简体" w:hAnsi="仿宋" w:eastAsia="方正小标宋简体" w:cs="仿宋_GB2312"/>
          <w:color w:val="000000" w:themeColor="text1"/>
          <w:spacing w:val="11"/>
          <w:sz w:val="28"/>
          <w:szCs w:val="28"/>
          <w:lang w:val="en-US" w:eastAsia="zh-CN" w:bidi="ar"/>
          <w14:textFill>
            <w14:solidFill>
              <w14:schemeClr w14:val="tx1"/>
            </w14:solidFill>
          </w14:textFill>
        </w:rPr>
        <w:br w:type="page"/>
      </w:r>
      <w:r>
        <w:rPr>
          <w:rFonts w:hint="eastAsia" w:ascii="方正小标宋简体" w:hAnsi="仿宋" w:eastAsia="方正小标宋简体" w:cs="仿宋_GB2312"/>
          <w:color w:val="000000" w:themeColor="text1"/>
          <w:spacing w:val="11"/>
          <w:sz w:val="28"/>
          <w:szCs w:val="28"/>
          <w:lang w:val="en-US" w:eastAsia="zh-CN" w:bidi="ar"/>
          <w14:textFill>
            <w14:solidFill>
              <w14:schemeClr w14:val="tx1"/>
            </w14:solidFill>
          </w14:textFill>
        </w:rPr>
        <w:drawing>
          <wp:inline distT="0" distB="0" distL="114300" distR="114300">
            <wp:extent cx="6000750" cy="9538970"/>
            <wp:effectExtent l="0" t="0" r="0" b="0"/>
            <wp:docPr id="7" name="图片 7" descr="吉市监法字〔2025〕35号++++++关于印发《吉林省市场监督管理+行政处罚裁量权适用规则》的通知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吉市监法字〔2025〕35号++++++关于印发《吉林省市场监督管理+行政处罚裁量权适用规则》的通知_页面_2"/>
                    <pic:cNvPicPr>
                      <a:picLocks noChangeAspect="1"/>
                    </pic:cNvPicPr>
                  </pic:nvPicPr>
                  <pic:blipFill>
                    <a:blip r:embed="rId16"/>
                    <a:srcRect l="8086" t="6216" r="8503"/>
                    <a:stretch>
                      <a:fillRect/>
                    </a:stretch>
                  </pic:blipFill>
                  <pic:spPr>
                    <a:xfrm>
                      <a:off x="0" y="0"/>
                      <a:ext cx="6000750" cy="9538970"/>
                    </a:xfrm>
                    <a:prstGeom prst="rect">
                      <a:avLst/>
                    </a:prstGeom>
                  </pic:spPr>
                </pic:pic>
              </a:graphicData>
            </a:graphic>
          </wp:inline>
        </w:drawing>
      </w:r>
    </w:p>
    <w:p w14:paraId="72C70C05">
      <w:pPr>
        <w:keepNext w:val="0"/>
        <w:keepLines w:val="0"/>
        <w:pageBreakBefore w:val="0"/>
        <w:widowControl w:val="0"/>
        <w:kinsoku/>
        <w:wordWrap/>
        <w:overflowPunct/>
        <w:topLinePunct w:val="0"/>
        <w:autoSpaceDE/>
        <w:autoSpaceDN/>
        <w:bidi w:val="0"/>
        <w:adjustRightInd/>
        <w:snapToGrid w:val="0"/>
        <w:spacing w:line="490" w:lineRule="exact"/>
        <w:jc w:val="center"/>
        <w:textAlignment w:val="auto"/>
        <w:outlineLvl w:val="0"/>
        <w:rPr>
          <w:rFonts w:hint="eastAsia" w:ascii="方正小标宋简体" w:hAnsi="仿宋" w:eastAsia="方正小标宋简体" w:cs="仿宋_GB2312"/>
          <w:color w:val="000000" w:themeColor="text1"/>
          <w:spacing w:val="11"/>
          <w:sz w:val="28"/>
          <w:szCs w:val="28"/>
          <w:lang w:val="en-US" w:eastAsia="zh-CN" w:bidi="ar"/>
          <w14:textFill>
            <w14:solidFill>
              <w14:schemeClr w14:val="tx1"/>
            </w14:solidFill>
          </w14:textFill>
        </w:rPr>
        <w:sectPr>
          <w:headerReference r:id="rId3" w:type="default"/>
          <w:footerReference r:id="rId4" w:type="default"/>
          <w:pgSz w:w="11906" w:h="16838"/>
          <w:pgMar w:top="1417" w:right="1417" w:bottom="1417" w:left="1417" w:header="851" w:footer="992" w:gutter="0"/>
          <w:cols w:space="0" w:num="1"/>
          <w:rtlGutter w:val="0"/>
          <w:docGrid w:type="lines" w:linePitch="312" w:charSpace="0"/>
        </w:sectPr>
      </w:pPr>
    </w:p>
    <w:p w14:paraId="058667C3">
      <w:pPr>
        <w:keepNext w:val="0"/>
        <w:keepLines w:val="0"/>
        <w:pageBreakBefore w:val="0"/>
        <w:widowControl w:val="0"/>
        <w:kinsoku/>
        <w:wordWrap/>
        <w:overflowPunct/>
        <w:topLinePunct w:val="0"/>
        <w:autoSpaceDE/>
        <w:autoSpaceDN/>
        <w:bidi w:val="0"/>
        <w:adjustRightInd/>
        <w:snapToGrid w:val="0"/>
        <w:spacing w:line="700" w:lineRule="exact"/>
        <w:jc w:val="center"/>
        <w:textAlignment w:val="auto"/>
        <w:outlineLvl w:val="0"/>
        <w:rPr>
          <w:rFonts w:hint="eastAsia" w:ascii="方正小标宋简体" w:hAnsi="仿宋" w:eastAsia="方正小标宋简体" w:cs="仿宋_GB2312"/>
          <w:color w:val="000000" w:themeColor="text1"/>
          <w:spacing w:val="11"/>
          <w:sz w:val="52"/>
          <w:szCs w:val="52"/>
          <w:lang w:val="en-US" w:eastAsia="zh-CN" w:bidi="ar"/>
          <w14:textFill>
            <w14:solidFill>
              <w14:schemeClr w14:val="tx1"/>
            </w14:solidFill>
          </w14:textFill>
        </w:rPr>
      </w:pPr>
    </w:p>
    <w:p w14:paraId="395B9CC1">
      <w:pPr>
        <w:keepNext w:val="0"/>
        <w:keepLines w:val="0"/>
        <w:pageBreakBefore w:val="0"/>
        <w:widowControl w:val="0"/>
        <w:kinsoku/>
        <w:wordWrap/>
        <w:overflowPunct/>
        <w:topLinePunct w:val="0"/>
        <w:autoSpaceDE/>
        <w:autoSpaceDN/>
        <w:bidi w:val="0"/>
        <w:adjustRightInd/>
        <w:snapToGrid w:val="0"/>
        <w:spacing w:line="700" w:lineRule="exact"/>
        <w:jc w:val="center"/>
        <w:textAlignment w:val="auto"/>
        <w:outlineLvl w:val="0"/>
        <w:rPr>
          <w:rFonts w:hint="default" w:ascii="方正小标宋简体" w:hAnsi="仿宋" w:eastAsia="方正小标宋简体" w:cs="仿宋_GB2312"/>
          <w:color w:val="000000" w:themeColor="text1"/>
          <w:spacing w:val="11"/>
          <w:sz w:val="52"/>
          <w:szCs w:val="52"/>
          <w:lang w:bidi="ar"/>
          <w14:textFill>
            <w14:solidFill>
              <w14:schemeClr w14:val="tx1"/>
            </w14:solidFill>
          </w14:textFill>
        </w:rPr>
      </w:pPr>
      <w:r>
        <w:rPr>
          <w:rFonts w:hint="eastAsia" w:ascii="方正小标宋简体" w:hAnsi="仿宋" w:eastAsia="方正小标宋简体" w:cs="仿宋_GB2312"/>
          <w:color w:val="000000" w:themeColor="text1"/>
          <w:spacing w:val="11"/>
          <w:sz w:val="52"/>
          <w:szCs w:val="52"/>
          <w:lang w:val="en-US" w:eastAsia="zh-CN" w:bidi="ar"/>
          <w14:textFill>
            <w14:solidFill>
              <w14:schemeClr w14:val="tx1"/>
            </w14:solidFill>
          </w14:textFill>
        </w:rPr>
        <w:t xml:space="preserve"> </w:t>
      </w:r>
      <w:bookmarkStart w:id="1" w:name="_Toc16064"/>
      <w:bookmarkStart w:id="2" w:name="_Toc9972"/>
      <w:bookmarkStart w:id="3" w:name="_Toc29646"/>
      <w:bookmarkStart w:id="4" w:name="_Toc4226"/>
      <w:bookmarkStart w:id="5" w:name="_Toc11515"/>
      <w:r>
        <w:rPr>
          <w:rFonts w:hint="default" w:ascii="方正小标宋简体" w:hAnsi="仿宋" w:eastAsia="方正小标宋简体" w:cs="仿宋_GB2312"/>
          <w:color w:val="000000" w:themeColor="text1"/>
          <w:spacing w:val="11"/>
          <w:sz w:val="52"/>
          <w:szCs w:val="52"/>
          <w:lang w:bidi="ar"/>
          <w14:textFill>
            <w14:solidFill>
              <w14:schemeClr w14:val="tx1"/>
            </w14:solidFill>
          </w14:textFill>
        </w:rPr>
        <w:t>吉林省市场监督管理</w:t>
      </w:r>
      <w:bookmarkEnd w:id="1"/>
      <w:bookmarkEnd w:id="2"/>
      <w:bookmarkEnd w:id="3"/>
      <w:bookmarkEnd w:id="4"/>
      <w:bookmarkEnd w:id="5"/>
    </w:p>
    <w:p w14:paraId="451C4425">
      <w:pPr>
        <w:keepNext w:val="0"/>
        <w:keepLines w:val="0"/>
        <w:pageBreakBefore w:val="0"/>
        <w:widowControl w:val="0"/>
        <w:kinsoku/>
        <w:wordWrap/>
        <w:overflowPunct/>
        <w:topLinePunct w:val="0"/>
        <w:autoSpaceDE/>
        <w:autoSpaceDN/>
        <w:bidi w:val="0"/>
        <w:adjustRightInd/>
        <w:snapToGrid w:val="0"/>
        <w:spacing w:line="700" w:lineRule="exact"/>
        <w:jc w:val="center"/>
        <w:textAlignment w:val="auto"/>
        <w:outlineLvl w:val="0"/>
        <w:rPr>
          <w:rFonts w:hint="default" w:ascii="方正小标宋简体" w:hAnsi="仿宋" w:eastAsia="方正小标宋简体" w:cs="仿宋_GB2312"/>
          <w:color w:val="000000" w:themeColor="text1"/>
          <w:spacing w:val="11"/>
          <w:sz w:val="52"/>
          <w:szCs w:val="52"/>
          <w:lang w:bidi="ar"/>
          <w14:textFill>
            <w14:solidFill>
              <w14:schemeClr w14:val="tx1"/>
            </w14:solidFill>
          </w14:textFill>
        </w:rPr>
      </w:pPr>
      <w:bookmarkStart w:id="6" w:name="_Toc20767"/>
      <w:bookmarkStart w:id="7" w:name="_Toc5975"/>
      <w:bookmarkStart w:id="8" w:name="_Toc418102033_WPSOffice_Level1"/>
      <w:bookmarkStart w:id="9" w:name="_Toc27481"/>
      <w:bookmarkStart w:id="10" w:name="_Toc8738"/>
      <w:bookmarkStart w:id="11" w:name="_Toc29111"/>
      <w:r>
        <w:rPr>
          <w:rFonts w:hint="default" w:ascii="方正小标宋简体" w:hAnsi="仿宋" w:eastAsia="方正小标宋简体" w:cs="仿宋_GB2312"/>
          <w:color w:val="000000" w:themeColor="text1"/>
          <w:spacing w:val="11"/>
          <w:sz w:val="52"/>
          <w:szCs w:val="52"/>
          <w:lang w:bidi="ar"/>
          <w14:textFill>
            <w14:solidFill>
              <w14:schemeClr w14:val="tx1"/>
            </w14:solidFill>
          </w14:textFill>
        </w:rPr>
        <w:t>行政处罚裁量权适用规则</w:t>
      </w:r>
      <w:bookmarkEnd w:id="6"/>
      <w:bookmarkEnd w:id="7"/>
      <w:bookmarkEnd w:id="8"/>
      <w:bookmarkEnd w:id="9"/>
      <w:bookmarkEnd w:id="10"/>
      <w:bookmarkEnd w:id="11"/>
    </w:p>
    <w:p w14:paraId="7E092390">
      <w:pPr>
        <w:keepNext w:val="0"/>
        <w:keepLines w:val="0"/>
        <w:pageBreakBefore w:val="0"/>
        <w:widowControl w:val="0"/>
        <w:kinsoku/>
        <w:wordWrap/>
        <w:overflowPunct/>
        <w:topLinePunct w:val="0"/>
        <w:autoSpaceDE/>
        <w:autoSpaceDN/>
        <w:bidi w:val="0"/>
        <w:adjustRightInd/>
        <w:snapToGrid w:val="0"/>
        <w:spacing w:line="700" w:lineRule="exact"/>
        <w:jc w:val="center"/>
        <w:textAlignment w:val="auto"/>
        <w:outlineLvl w:val="0"/>
        <w:rPr>
          <w:rFonts w:hint="eastAsia" w:ascii="方正小标宋简体" w:hAnsi="仿宋" w:eastAsia="方正小标宋简体" w:cs="仿宋_GB2312"/>
          <w:color w:val="000000" w:themeColor="text1"/>
          <w:spacing w:val="11"/>
          <w:sz w:val="36"/>
          <w:szCs w:val="36"/>
          <w:lang w:eastAsia="zh-CN" w:bidi="ar"/>
          <w14:textFill>
            <w14:solidFill>
              <w14:schemeClr w14:val="tx1"/>
            </w14:solidFill>
          </w14:textFill>
        </w:rPr>
      </w:pPr>
      <w:r>
        <w:rPr>
          <w:rFonts w:hint="eastAsia" w:ascii="方正小标宋简体" w:hAnsi="仿宋" w:eastAsia="方正小标宋简体" w:cs="仿宋_GB2312"/>
          <w:color w:val="000000" w:themeColor="text1"/>
          <w:spacing w:val="11"/>
          <w:sz w:val="36"/>
          <w:szCs w:val="36"/>
          <w:lang w:val="en-US" w:eastAsia="zh-CN" w:bidi="ar"/>
          <w14:textFill>
            <w14:solidFill>
              <w14:schemeClr w14:val="tx1"/>
            </w14:solidFill>
          </w14:textFill>
        </w:rPr>
        <w:t>（2025年版</w:t>
      </w:r>
      <w:r>
        <w:rPr>
          <w:rFonts w:hint="eastAsia" w:ascii="方正小标宋简体" w:hAnsi="仿宋" w:eastAsia="方正小标宋简体" w:cs="仿宋_GB2312"/>
          <w:color w:val="000000" w:themeColor="text1"/>
          <w:spacing w:val="11"/>
          <w:sz w:val="36"/>
          <w:szCs w:val="36"/>
          <w:lang w:eastAsia="zh-CN" w:bidi="ar"/>
          <w14:textFill>
            <w14:solidFill>
              <w14:schemeClr w14:val="tx1"/>
            </w14:solidFill>
          </w14:textFill>
        </w:rPr>
        <w:t>）</w:t>
      </w:r>
    </w:p>
    <w:p w14:paraId="56FD711B">
      <w:pPr>
        <w:keepNext w:val="0"/>
        <w:keepLines w:val="0"/>
        <w:pageBreakBefore w:val="0"/>
        <w:widowControl w:val="0"/>
        <w:kinsoku/>
        <w:wordWrap/>
        <w:overflowPunct/>
        <w:topLinePunct w:val="0"/>
        <w:autoSpaceDE/>
        <w:autoSpaceDN/>
        <w:bidi w:val="0"/>
        <w:adjustRightInd/>
        <w:snapToGrid w:val="0"/>
        <w:spacing w:line="700" w:lineRule="exact"/>
        <w:jc w:val="center"/>
        <w:textAlignment w:val="auto"/>
        <w:outlineLvl w:val="0"/>
        <w:rPr>
          <w:rFonts w:hint="eastAsia" w:ascii="方正小标宋简体" w:hAnsi="仿宋" w:eastAsia="方正小标宋简体" w:cs="仿宋_GB2312"/>
          <w:color w:val="000000" w:themeColor="text1"/>
          <w:spacing w:val="11"/>
          <w:sz w:val="52"/>
          <w:szCs w:val="52"/>
          <w:lang w:eastAsia="zh-CN" w:bidi="ar"/>
          <w14:textFill>
            <w14:solidFill>
              <w14:schemeClr w14:val="tx1"/>
            </w14:solidFill>
          </w14:textFill>
        </w:rPr>
      </w:pPr>
    </w:p>
    <w:p w14:paraId="33E343C5">
      <w:pPr>
        <w:keepNext w:val="0"/>
        <w:keepLines w:val="0"/>
        <w:pageBreakBefore w:val="0"/>
        <w:widowControl w:val="0"/>
        <w:numPr>
          <w:ilvl w:val="0"/>
          <w:numId w:val="1"/>
        </w:numPr>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snapToGrid w:val="0"/>
          <w:color w:val="000000" w:themeColor="text1"/>
          <w:kern w:val="0"/>
          <w:sz w:val="32"/>
          <w:szCs w:val="32"/>
          <w14:textFill>
            <w14:solidFill>
              <w14:schemeClr w14:val="tx1"/>
            </w14:solidFill>
          </w14:textFill>
        </w:rPr>
      </w:pPr>
      <w:r>
        <w:rPr>
          <w:rFonts w:hint="eastAsia" w:ascii="黑体" w:hAnsi="黑体" w:eastAsia="黑体" w:cs="黑体"/>
          <w:snapToGrid w:val="0"/>
          <w:color w:val="000000" w:themeColor="text1"/>
          <w:kern w:val="0"/>
          <w:sz w:val="32"/>
          <w:szCs w:val="32"/>
          <w:lang w:val="en-US" w:eastAsia="zh-CN"/>
          <w14:textFill>
            <w14:solidFill>
              <w14:schemeClr w14:val="tx1"/>
            </w14:solidFill>
          </w14:textFill>
        </w:rPr>
        <w:t xml:space="preserve"> </w:t>
      </w:r>
      <w:bookmarkStart w:id="12" w:name="_Toc6489"/>
      <w:bookmarkStart w:id="13" w:name="_Toc22506"/>
      <w:bookmarkStart w:id="14" w:name="_Toc8983"/>
      <w:bookmarkStart w:id="15" w:name="_Toc26426"/>
      <w:bookmarkStart w:id="16" w:name="_Toc14094"/>
      <w:r>
        <w:rPr>
          <w:rFonts w:hint="eastAsia" w:ascii="黑体" w:hAnsi="黑体" w:eastAsia="黑体" w:cs="黑体"/>
          <w:snapToGrid w:val="0"/>
          <w:color w:val="000000" w:themeColor="text1"/>
          <w:kern w:val="0"/>
          <w:sz w:val="32"/>
          <w:szCs w:val="32"/>
          <w14:textFill>
            <w14:solidFill>
              <w14:schemeClr w14:val="tx1"/>
            </w14:solidFill>
          </w14:textFill>
        </w:rPr>
        <w:t>总 则</w:t>
      </w:r>
      <w:bookmarkEnd w:id="12"/>
      <w:bookmarkEnd w:id="13"/>
      <w:bookmarkEnd w:id="14"/>
      <w:bookmarkEnd w:id="15"/>
      <w:bookmarkEnd w:id="16"/>
    </w:p>
    <w:p w14:paraId="3E427EDC">
      <w:pPr>
        <w:pStyle w:val="16"/>
        <w:numPr>
          <w:ilvl w:val="0"/>
          <w:numId w:val="0"/>
        </w:numPr>
        <w:spacing w:line="240" w:lineRule="auto"/>
        <w:rPr>
          <w:rFonts w:hint="default" w:ascii="Nimbus Roman No9 L" w:hAnsi="Nimbus Roman No9 L" w:eastAsia="仿宋_GB2312" w:cs="Nimbus Roman No9 L"/>
          <w:color w:val="000000" w:themeColor="text1"/>
          <w:sz w:val="21"/>
          <w:szCs w:val="21"/>
          <w14:textFill>
            <w14:solidFill>
              <w14:schemeClr w14:val="tx1"/>
            </w14:solidFill>
          </w14:textFill>
        </w:rPr>
      </w:pPr>
    </w:p>
    <w:p w14:paraId="097E2D2D">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lang w:val="en-US" w:eastAsia="zh-CN" w:bidi="ar-SA"/>
          <w14:textFill>
            <w14:solidFill>
              <w14:schemeClr w14:val="tx1"/>
            </w14:solidFill>
          </w14:textFill>
        </w:rPr>
      </w:pPr>
      <w:r>
        <w:rPr>
          <w:rFonts w:hint="eastAsia" w:ascii="黑体" w:hAnsi="黑体" w:eastAsia="黑体" w:cs="黑体"/>
          <w:color w:val="000000" w:themeColor="text1"/>
          <w:kern w:val="0"/>
          <w:sz w:val="32"/>
          <w:szCs w:val="32"/>
          <w:lang w:val="en-US" w:eastAsia="zh-CN" w:bidi="ar-SA"/>
          <w14:textFill>
            <w14:solidFill>
              <w14:schemeClr w14:val="tx1"/>
            </w14:solidFill>
          </w14:textFill>
        </w:rPr>
        <w:t>第一条</w:t>
      </w:r>
      <w:r>
        <w:rPr>
          <w:rFonts w:hint="eastAsia" w:ascii="黑体" w:hAnsi="黑体" w:eastAsia="黑体" w:cs="黑体"/>
          <w:color w:val="000000" w:themeColor="text1"/>
          <w:kern w:val="0"/>
          <w:sz w:val="32"/>
          <w:szCs w:val="32"/>
          <w:lang w:val="en" w:eastAsia="zh-CN" w:bidi="ar-SA"/>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lang w:val="en" w:eastAsia="zh-CN" w:bidi="ar-SA"/>
          <w14:textFill>
            <w14:solidFill>
              <w14:schemeClr w14:val="tx1"/>
            </w14:solidFill>
          </w14:textFill>
        </w:rPr>
        <w:t xml:space="preserve"> </w:t>
      </w:r>
      <w:r>
        <w:rPr>
          <w:rFonts w:hint="eastAsia" w:ascii="仿宋_GB2312" w:hAnsi="仿宋_GB2312" w:eastAsia="仿宋_GB2312" w:cs="仿宋_GB2312"/>
          <w:snapToGrid w:val="0"/>
          <w:color w:val="000000" w:themeColor="text1"/>
          <w:kern w:val="0"/>
          <w:sz w:val="32"/>
          <w:szCs w:val="32"/>
          <w:lang w:val="en-US" w:eastAsia="zh-CN" w:bidi="ar-SA"/>
          <w14:textFill>
            <w14:solidFill>
              <w14:schemeClr w14:val="tx1"/>
            </w14:solidFill>
          </w14:textFill>
        </w:rPr>
        <w:t>为规范吉林省市场监督管理行政处罚行为，保证依法、公平、适当行使行政处罚裁量权，保护当事人的合法权益，根据《中华人民共和国行政处罚法》《吉林省规范行政处罚裁量权办法》《关于进一步规范行政裁量权基准制定和管理工作意见》《关于规范市场监督管理行政处罚裁量权的指导意见》，结合实际制定本规则。</w:t>
      </w:r>
    </w:p>
    <w:p w14:paraId="2EBA19D3">
      <w:pPr>
        <w:keepNext w:val="0"/>
        <w:keepLines w:val="0"/>
        <w:pageBreakBefore w:val="0"/>
        <w:tabs>
          <w:tab w:val="left" w:pos="144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黑体" w:hAnsi="黑体" w:eastAsia="黑体" w:cs="黑体"/>
          <w:snapToGrid w:val="0"/>
          <w:color w:val="000000" w:themeColor="text1"/>
          <w:kern w:val="0"/>
          <w:sz w:val="32"/>
          <w:szCs w:val="32"/>
          <w14:textFill>
            <w14:solidFill>
              <w14:schemeClr w14:val="tx1"/>
            </w14:solidFill>
          </w14:textFill>
        </w:rPr>
        <w:t xml:space="preserve">第二条 </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 xml:space="preserve"> 本规则所称行政处罚裁量权，是指</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本省各级</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市场监督管理部门在法定职权范围内，对当事人违反法律法规规章的行为，综合考虑违法行为的事实、性质、情节、危害程度</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以及当事人主观过错</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等因素，决定是否给予行政处罚、给予</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行政处罚的</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种</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类和</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幅度的权限。</w:t>
      </w:r>
      <w:permStart w:id="0" w:edGrp="everyone"/>
      <w:permEnd w:id="0"/>
    </w:p>
    <w:p w14:paraId="03A8F0CA">
      <w:pPr>
        <w:keepNext w:val="0"/>
        <w:keepLines w:val="0"/>
        <w:pageBreakBefore w:val="0"/>
        <w:tabs>
          <w:tab w:val="left" w:pos="144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黑体" w:hAnsi="黑体" w:eastAsia="黑体" w:cs="黑体"/>
          <w:snapToGrid w:val="0"/>
          <w:color w:val="000000" w:themeColor="text1"/>
          <w:kern w:val="0"/>
          <w:sz w:val="32"/>
          <w:szCs w:val="32"/>
          <w14:textFill>
            <w14:solidFill>
              <w14:schemeClr w14:val="tx1"/>
            </w14:solidFill>
          </w14:textFill>
        </w:rPr>
        <w:t>第三条</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 xml:space="preserve">  本省各级市场监督管理部门及依据法律法规授权和受市场监督管理部门委托实施行政处罚的组织，行使行政处罚裁量权，适用本规则。</w:t>
      </w:r>
    </w:p>
    <w:p w14:paraId="118B48E9">
      <w:pPr>
        <w:keepNext w:val="0"/>
        <w:keepLines w:val="0"/>
        <w:pageBreakBefore w:val="0"/>
        <w:tabs>
          <w:tab w:val="left" w:pos="1440"/>
          <w:tab w:val="left" w:pos="3255"/>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黑体" w:hAnsi="黑体" w:eastAsia="黑体" w:cs="黑体"/>
          <w:snapToGrid w:val="0"/>
          <w:color w:val="000000" w:themeColor="text1"/>
          <w:kern w:val="0"/>
          <w:sz w:val="32"/>
          <w:szCs w:val="32"/>
          <w14:textFill>
            <w14:solidFill>
              <w14:schemeClr w14:val="tx1"/>
            </w14:solidFill>
          </w14:textFill>
        </w:rPr>
        <w:t>第四条</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 xml:space="preserve">  行使行政处罚裁量权，应当坚持合法、过罚相当</w:t>
      </w:r>
      <w:r>
        <w:rPr>
          <w:rFonts w:hint="eastAsia" w:ascii="仿宋_GB2312" w:hAnsi="仿宋_GB2312" w:eastAsia="仿宋_GB2312" w:cs="仿宋_GB2312"/>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公平公正、处罚与教育相结合、</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综合裁量</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原则。</w:t>
      </w:r>
    </w:p>
    <w:p w14:paraId="570E42EB">
      <w:pPr>
        <w:keepNext w:val="0"/>
        <w:keepLines w:val="0"/>
        <w:pageBreakBefore w:val="0"/>
        <w:tabs>
          <w:tab w:val="left" w:pos="1440"/>
          <w:tab w:val="left" w:pos="3255"/>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黑体" w:hAnsi="黑体" w:eastAsia="黑体" w:cs="黑体"/>
          <w:snapToGrid w:val="0"/>
          <w:color w:val="000000" w:themeColor="text1"/>
          <w:kern w:val="0"/>
          <w:sz w:val="32"/>
          <w:szCs w:val="32"/>
          <w14:textFill>
            <w14:solidFill>
              <w14:schemeClr w14:val="tx1"/>
            </w14:solidFill>
          </w14:textFill>
        </w:rPr>
        <w:t xml:space="preserve">第五条 </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 xml:space="preserve"> 本省县级以上市场监督管理部门应当将规范和行使行政处罚裁量权作为行政执法监督的重点，采取日常执法监督和专项执法监督等形式开展执法监督工作。</w:t>
      </w:r>
    </w:p>
    <w:p w14:paraId="7FE42B18">
      <w:pPr>
        <w:keepNext w:val="0"/>
        <w:keepLines w:val="0"/>
        <w:pageBreakBefore w:val="0"/>
        <w:tabs>
          <w:tab w:val="left" w:pos="1440"/>
          <w:tab w:val="left" w:pos="3255"/>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本省县级以上市场监督管理部门的业务机构是日常执法监督的实施机构，专项执法监督由业务机构和法制机构单独或者共同实施。</w:t>
      </w:r>
    </w:p>
    <w:p w14:paraId="5B581A9A">
      <w:pPr>
        <w:keepNext w:val="0"/>
        <w:keepLines w:val="0"/>
        <w:pageBreakBefore w:val="0"/>
        <w:tabs>
          <w:tab w:val="left" w:pos="1440"/>
          <w:tab w:val="left" w:pos="3255"/>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黑体" w:hAnsi="黑体" w:eastAsia="黑体" w:cs="黑体"/>
          <w:snapToGrid w:val="0"/>
          <w:color w:val="000000" w:themeColor="text1"/>
          <w:kern w:val="0"/>
          <w:sz w:val="32"/>
          <w:szCs w:val="32"/>
          <w14:textFill>
            <w14:solidFill>
              <w14:schemeClr w14:val="tx1"/>
            </w14:solidFill>
          </w14:textFill>
        </w:rPr>
        <w:t>第六条</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 xml:space="preserve">  </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行政处罚裁量权适用规则所依据的法律、法规、规章作出修改，或者客观情况发生重大变化的，吉林省市场监督管理厅可以进行动态调整。</w:t>
      </w:r>
    </w:p>
    <w:p w14:paraId="517BC8CF">
      <w:pPr>
        <w:keepNext w:val="0"/>
        <w:keepLines w:val="0"/>
        <w:pageBreakBefore w:val="0"/>
        <w:tabs>
          <w:tab w:val="left" w:pos="1440"/>
          <w:tab w:val="left" w:pos="3255"/>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u w:val="single"/>
          <w14:textFill>
            <w14:solidFill>
              <w14:schemeClr w14:val="tx1"/>
            </w14:solidFill>
          </w14:textFill>
        </w:rPr>
      </w:pPr>
      <w:r>
        <w:rPr>
          <w:rFonts w:hint="eastAsia" w:ascii="黑体" w:hAnsi="黑体" w:eastAsia="黑体" w:cs="黑体"/>
          <w:snapToGrid w:val="0"/>
          <w:color w:val="000000" w:themeColor="text1"/>
          <w:kern w:val="0"/>
          <w:sz w:val="32"/>
          <w:szCs w:val="32"/>
          <w14:textFill>
            <w14:solidFill>
              <w14:schemeClr w14:val="tx1"/>
            </w14:solidFill>
          </w14:textFill>
        </w:rPr>
        <w:t xml:space="preserve">第七条 </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 xml:space="preserve"> 同一违法行为违反不同法律法规规章，相关法律法规规章规定不一致的，国家对法律法规规章的适用已有规定的，按照有关规定执行。没有规定的，按以下规则执行：</w:t>
      </w:r>
    </w:p>
    <w:p w14:paraId="0727EF4D">
      <w:pPr>
        <w:keepNext w:val="0"/>
        <w:keepLines w:val="0"/>
        <w:pageBreakBefore w:val="0"/>
        <w:tabs>
          <w:tab w:val="left" w:pos="144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（一）不同位阶法律法规规章均有规定的，优先适用高位阶规定，但低位阶规定系高位阶规定的实施细则等配套规定的除外。</w:t>
      </w:r>
    </w:p>
    <w:p w14:paraId="554D8336">
      <w:pPr>
        <w:keepNext w:val="0"/>
        <w:keepLines w:val="0"/>
        <w:pageBreakBefore w:val="0"/>
        <w:tabs>
          <w:tab w:val="left" w:pos="144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（二）同一机关制定的法律法规规章，特别规定与一般规定不一致的，优先适用特别规定。</w:t>
      </w:r>
    </w:p>
    <w:p w14:paraId="0F1B9F15">
      <w:pPr>
        <w:keepNext w:val="0"/>
        <w:keepLines w:val="0"/>
        <w:pageBreakBefore w:val="0"/>
        <w:tabs>
          <w:tab w:val="left" w:pos="144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三）新的规定与旧的规定均为有效规定，且违法行为发生在新规定生效之后的，适用新规定；违法行为在新规定生效之前已实施终了的，适用旧规定；违法行为发生在新规定生效之前且延续到新规定生效之后的，适用新规定或处罚较轻的规定；新规定生效同时旧规定失效，且违法行为跨越新旧规定的，按照从旧兼从轻的原则适用。</w:t>
      </w:r>
    </w:p>
    <w:p w14:paraId="1BA8671C">
      <w:pPr>
        <w:keepNext w:val="0"/>
        <w:keepLines w:val="0"/>
        <w:pageBreakBefore w:val="0"/>
        <w:tabs>
          <w:tab w:val="left" w:pos="144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（四）地方性法规与部门规章之间、部门规章之间、部门规章与地方政府规章之间、依据授权制定的法规与法律之间、新的一般规定与旧的特别规定之间不一致的，依法提请有权机关裁决。</w:t>
      </w:r>
    </w:p>
    <w:p w14:paraId="45093457">
      <w:pPr>
        <w:keepNext w:val="0"/>
        <w:keepLines w:val="0"/>
        <w:widowControl/>
        <w:suppressLineNumbers w:val="0"/>
        <w:tabs>
          <w:tab w:val="left" w:pos="1440"/>
        </w:tabs>
        <w:spacing w:line="520" w:lineRule="exact"/>
        <w:ind w:firstLine="640" w:firstLineChars="200"/>
        <w:jc w:val="both"/>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黑体" w:hAnsi="黑体" w:eastAsia="黑体" w:cs="黑体"/>
          <w:snapToGrid w:val="0"/>
          <w:color w:val="000000" w:themeColor="text1"/>
          <w:kern w:val="0"/>
          <w:sz w:val="32"/>
          <w:szCs w:val="32"/>
          <w14:textFill>
            <w14:solidFill>
              <w14:schemeClr w14:val="tx1"/>
            </w14:solidFill>
          </w14:textFill>
        </w:rPr>
        <w:t>第</w:t>
      </w:r>
      <w:r>
        <w:rPr>
          <w:rFonts w:hint="eastAsia" w:ascii="黑体" w:hAnsi="黑体" w:eastAsia="黑体" w:cs="黑体"/>
          <w:snapToGrid w:val="0"/>
          <w:color w:val="000000" w:themeColor="text1"/>
          <w:kern w:val="0"/>
          <w:sz w:val="32"/>
          <w:szCs w:val="32"/>
          <w:lang w:eastAsia="zh-CN"/>
          <w14:textFill>
            <w14:solidFill>
              <w14:schemeClr w14:val="tx1"/>
            </w14:solidFill>
          </w14:textFill>
        </w:rPr>
        <w:t>八</w:t>
      </w:r>
      <w:r>
        <w:rPr>
          <w:rFonts w:hint="eastAsia" w:ascii="黑体" w:hAnsi="黑体" w:eastAsia="黑体" w:cs="黑体"/>
          <w:snapToGrid w:val="0"/>
          <w:color w:val="000000" w:themeColor="text1"/>
          <w:kern w:val="0"/>
          <w:sz w:val="32"/>
          <w:szCs w:val="32"/>
          <w14:textFill>
            <w14:solidFill>
              <w14:schemeClr w14:val="tx1"/>
            </w14:solidFill>
          </w14:textFill>
        </w:rPr>
        <w:t>条</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 xml:space="preserve">  </w:t>
      </w:r>
      <w:r>
        <w:rPr>
          <w:rFonts w:hint="eastAsia" w:ascii="仿宋_GB2312" w:hAnsi="仿宋_GB2312" w:eastAsia="仿宋_GB2312" w:cs="仿宋_GB2312"/>
          <w:snapToGrid w:val="0"/>
          <w:color w:val="000000" w:themeColor="text1"/>
          <w:kern w:val="0"/>
          <w:sz w:val="32"/>
          <w:szCs w:val="32"/>
          <w:lang w:val="en-US" w:eastAsia="zh-CN" w:bidi="ar"/>
          <w14:textFill>
            <w14:solidFill>
              <w14:schemeClr w14:val="tx1"/>
            </w14:solidFill>
          </w14:textFill>
        </w:rPr>
        <w:t>不予行政处罚是指因法定原因对特定违法行为不给予行政处罚。</w:t>
      </w:r>
    </w:p>
    <w:p w14:paraId="6C6B8D9B">
      <w:pPr>
        <w:keepNext w:val="0"/>
        <w:keepLines w:val="0"/>
        <w:widowControl/>
        <w:tabs>
          <w:tab w:val="left" w:pos="1440"/>
        </w:tabs>
        <w:spacing w:line="520" w:lineRule="exact"/>
        <w:ind w:firstLine="640" w:firstLineChars="200"/>
        <w:textAlignment w:val="auto"/>
        <w:rPr>
          <w:rFonts w:hint="eastAsia" w:ascii="仿宋_GB2312" w:hAnsi="仿宋_GB2312" w:eastAsia="仿宋_GB2312" w:cs="仿宋_GB2312"/>
          <w:snapToGrid w:val="0"/>
          <w:color w:val="000000" w:themeColor="text1"/>
          <w:kern w:val="0"/>
          <w:sz w:val="32"/>
          <w:szCs w:val="32"/>
          <w:lang w:eastAsia="zh-CN"/>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lang w:val="en-US" w:eastAsia="zh-CN" w:bidi="ar-SA"/>
          <w14:textFill>
            <w14:solidFill>
              <w14:schemeClr w14:val="tx1"/>
            </w14:solidFill>
          </w14:textFill>
        </w:rPr>
        <w:t>减轻行政处罚是少于法定的处罚种类或者低于法定处罚幅度的最低限度给予行政处罚。</w:t>
      </w:r>
    </w:p>
    <w:p w14:paraId="05CA1313">
      <w:pPr>
        <w:keepNext w:val="0"/>
        <w:keepLines w:val="0"/>
        <w:widowControl/>
        <w:suppressLineNumbers w:val="0"/>
        <w:tabs>
          <w:tab w:val="left" w:pos="1440"/>
        </w:tabs>
        <w:spacing w:line="520" w:lineRule="exact"/>
        <w:ind w:firstLine="640" w:firstLineChars="200"/>
        <w:jc w:val="both"/>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lang w:val="en-US" w:eastAsia="zh-CN" w:bidi="ar-SA"/>
          <w14:textFill>
            <w14:solidFill>
              <w14:schemeClr w14:val="tx1"/>
            </w14:solidFill>
          </w14:textFill>
        </w:rPr>
        <w:t>从轻行政处罚是指在依法可以选择的处罚种类和处罚幅度内，适用较轻、较少的处罚种类或者较低的处罚幅度。其中，罚款的数额应当在从最低限到最高限这一幅度中较低的</w:t>
      </w:r>
      <w:r>
        <w:rPr>
          <w:rFonts w:hint="default" w:ascii="Times New Roman" w:hAnsi="Times New Roman" w:eastAsia="宋体" w:cs="Times New Roman"/>
          <w:bCs/>
          <w:snapToGrid/>
          <w:color w:val="000000" w:themeColor="text1"/>
          <w:kern w:val="0"/>
          <w:sz w:val="31"/>
          <w:szCs w:val="31"/>
          <w:lang w:val="en-US" w:eastAsia="zh-CN" w:bidi="ar"/>
          <w14:textFill>
            <w14:solidFill>
              <w14:schemeClr w14:val="tx1"/>
            </w14:solidFill>
          </w14:textFill>
        </w:rPr>
        <w:t>30%</w:t>
      </w:r>
      <w:r>
        <w:rPr>
          <w:rFonts w:hint="eastAsia" w:ascii="仿宋_GB2312" w:hAnsi="仿宋_GB2312" w:eastAsia="仿宋_GB2312" w:cs="仿宋_GB2312"/>
          <w:snapToGrid w:val="0"/>
          <w:color w:val="000000" w:themeColor="text1"/>
          <w:kern w:val="0"/>
          <w:sz w:val="32"/>
          <w:szCs w:val="32"/>
          <w:lang w:val="en-US" w:eastAsia="zh-CN" w:bidi="ar-SA"/>
          <w14:textFill>
            <w14:solidFill>
              <w14:schemeClr w14:val="tx1"/>
            </w14:solidFill>
          </w14:textFill>
        </w:rPr>
        <w:t xml:space="preserve">部分。 </w:t>
      </w:r>
    </w:p>
    <w:p w14:paraId="6A3A583A">
      <w:pPr>
        <w:pStyle w:val="16"/>
        <w:ind w:firstLine="620" w:firstLineChars="200"/>
        <w:rPr>
          <w:rFonts w:hint="eastAsia" w:ascii="仿宋_GB2312" w:hAnsi="仿宋_GB2312" w:eastAsia="仿宋_GB2312" w:cs="仿宋_GB2312"/>
          <w:b w:val="0"/>
          <w:bCs/>
          <w:snapToGrid w:val="0"/>
          <w:color w:val="000000" w:themeColor="text1"/>
          <w:kern w:val="0"/>
          <w:sz w:val="32"/>
          <w:szCs w:val="32"/>
          <w14:textFill>
            <w14:solidFill>
              <w14:schemeClr w14:val="tx1"/>
            </w14:solidFill>
          </w14:textFill>
        </w:rPr>
      </w:pPr>
      <w:r>
        <w:rPr>
          <w:rFonts w:ascii="仿宋_GB2312" w:hAnsi="仿宋_GB2312" w:eastAsia="仿宋_GB2312" w:cs="仿宋_GB2312"/>
          <w:b w:val="0"/>
          <w:bCs/>
          <w:color w:val="000000" w:themeColor="text1"/>
          <w:kern w:val="0"/>
          <w:sz w:val="31"/>
          <w:szCs w:val="31"/>
          <w:lang w:val="en-US" w:eastAsia="zh-CN" w:bidi="ar"/>
          <w14:textFill>
            <w14:solidFill>
              <w14:schemeClr w14:val="tx1"/>
            </w14:solidFill>
          </w14:textFill>
        </w:rPr>
        <w:t>从重行政处罚是指在依法可以选择的处罚种类和处罚幅度内，适用较重、较多的处罚种类或者较高的处罚幅度。其中，罚款的数额应当在从最低限到最高限这一幅度中较高的</w:t>
      </w:r>
      <w:r>
        <w:rPr>
          <w:rFonts w:hint="default" w:ascii="Times New Roman" w:hAnsi="Times New Roman" w:eastAsia="宋体" w:cs="Times New Roman"/>
          <w:b w:val="0"/>
          <w:bCs/>
          <w:color w:val="000000" w:themeColor="text1"/>
          <w:kern w:val="0"/>
          <w:sz w:val="31"/>
          <w:szCs w:val="31"/>
          <w:lang w:val="en-US" w:eastAsia="zh-CN" w:bidi="ar"/>
          <w14:textFill>
            <w14:solidFill>
              <w14:schemeClr w14:val="tx1"/>
            </w14:solidFill>
          </w14:textFill>
        </w:rPr>
        <w:t>30%</w:t>
      </w:r>
      <w:r>
        <w:rPr>
          <w:rFonts w:ascii="仿宋_GB2312" w:hAnsi="仿宋_GB2312" w:eastAsia="仿宋_GB2312" w:cs="仿宋_GB2312"/>
          <w:b w:val="0"/>
          <w:bCs/>
          <w:color w:val="000000" w:themeColor="text1"/>
          <w:kern w:val="0"/>
          <w:sz w:val="31"/>
          <w:szCs w:val="31"/>
          <w:lang w:val="en-US" w:eastAsia="zh-CN" w:bidi="ar"/>
          <w14:textFill>
            <w14:solidFill>
              <w14:schemeClr w14:val="tx1"/>
            </w14:solidFill>
          </w14:textFill>
        </w:rPr>
        <w:t>部分。</w:t>
      </w:r>
    </w:p>
    <w:p w14:paraId="5A4EA56A">
      <w:pPr>
        <w:keepNext w:val="0"/>
        <w:keepLines w:val="0"/>
        <w:pageBreakBefore w:val="0"/>
        <w:tabs>
          <w:tab w:val="left" w:pos="144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黑体" w:hAnsi="黑体" w:eastAsia="黑体" w:cs="黑体"/>
          <w:snapToGrid w:val="0"/>
          <w:color w:val="000000" w:themeColor="text1"/>
          <w:kern w:val="0"/>
          <w:sz w:val="32"/>
          <w:szCs w:val="32"/>
          <w:lang w:val="en-US" w:eastAsia="zh-CN"/>
          <w14:textFill>
            <w14:solidFill>
              <w14:schemeClr w14:val="tx1"/>
            </w14:solidFill>
          </w14:textFill>
        </w:rPr>
        <w:t xml:space="preserve">第九条  </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有下列情形之一的，应当依法不予行政处罚：</w:t>
      </w:r>
    </w:p>
    <w:p w14:paraId="38D905D3">
      <w:pPr>
        <w:keepNext w:val="0"/>
        <w:keepLines w:val="0"/>
        <w:pageBreakBefore w:val="0"/>
        <w:tabs>
          <w:tab w:val="left" w:pos="1440"/>
          <w:tab w:val="left" w:pos="198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（一）不满十四周岁的人有违法行为的；</w:t>
      </w:r>
    </w:p>
    <w:p w14:paraId="412C0FFD">
      <w:pPr>
        <w:keepNext w:val="0"/>
        <w:keepLines w:val="0"/>
        <w:pageBreakBefore w:val="0"/>
        <w:tabs>
          <w:tab w:val="left" w:pos="1440"/>
          <w:tab w:val="left" w:pos="198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（二）精神病人</w:t>
      </w:r>
      <w:r>
        <w:rPr>
          <w:rFonts w:hint="eastAsia" w:ascii="仿宋_GB2312" w:hAnsi="仿宋_GB2312" w:eastAsia="仿宋_GB2312" w:cs="仿宋_GB2312"/>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智力残疾人</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在不能辨认或者不能控制自己行为时实施的违法行为；</w:t>
      </w:r>
    </w:p>
    <w:p w14:paraId="276B97A6">
      <w:pPr>
        <w:keepNext w:val="0"/>
        <w:keepLines w:val="0"/>
        <w:pageBreakBefore w:val="0"/>
        <w:tabs>
          <w:tab w:val="left" w:pos="1440"/>
          <w:tab w:val="left" w:pos="198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（三）违法行为轻微并及时</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改</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正，没有造成危害后果的</w:t>
      </w:r>
      <w:r>
        <w:rPr>
          <w:rFonts w:hint="eastAsia" w:ascii="仿宋_GB2312" w:hAnsi="仿宋_GB2312" w:eastAsia="仿宋_GB2312" w:cs="仿宋_GB2312"/>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 w:val="0"/>
          <w:snapToGrid w:val="0"/>
          <w:color w:val="000000" w:themeColor="text1"/>
          <w:kern w:val="0"/>
          <w:sz w:val="32"/>
          <w:szCs w:val="32"/>
          <w:lang w:val="en-US" w:eastAsia="zh-CN"/>
          <w14:textFill>
            <w14:solidFill>
              <w14:schemeClr w14:val="tx1"/>
            </w14:solidFill>
          </w14:textFill>
        </w:rPr>
        <w:t>具体情形可参考适用</w:t>
      </w:r>
      <w:r>
        <w:rPr>
          <w:rFonts w:hint="eastAsia" w:ascii="仿宋_GB2312" w:hAnsi="仿宋_GB2312" w:eastAsia="仿宋_GB2312" w:cs="仿宋_GB2312"/>
          <w:b w:val="0"/>
          <w:snapToGrid w:val="0"/>
          <w:color w:val="000000" w:themeColor="text1"/>
          <w:kern w:val="0"/>
          <w:sz w:val="32"/>
          <w:szCs w:val="32"/>
          <w14:textFill>
            <w14:solidFill>
              <w14:schemeClr w14:val="tx1"/>
            </w14:solidFill>
          </w14:textFill>
        </w:rPr>
        <w:t>市场监管轻微行政违法行为不予处罚清单</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w:t>
      </w:r>
    </w:p>
    <w:p w14:paraId="278E274A">
      <w:pPr>
        <w:keepNext w:val="0"/>
        <w:keepLines w:val="0"/>
        <w:pageBreakBefore w:val="0"/>
        <w:tabs>
          <w:tab w:val="left" w:pos="1440"/>
          <w:tab w:val="left" w:pos="198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四</w:t>
      </w:r>
      <w:r>
        <w:rPr>
          <w:rFonts w:hint="eastAsia" w:ascii="仿宋_GB2312" w:hAnsi="仿宋_GB2312" w:eastAsia="仿宋_GB2312" w:cs="仿宋_GB2312"/>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除法律、行政法规另有规定外，当事人有证据足以证明没有主观过错的；</w:t>
      </w:r>
    </w:p>
    <w:p w14:paraId="68A10D8A">
      <w:pPr>
        <w:keepNext w:val="0"/>
        <w:keepLines w:val="0"/>
        <w:pageBreakBefore w:val="0"/>
        <w:tabs>
          <w:tab w:val="left" w:pos="1440"/>
          <w:tab w:val="left" w:pos="198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五</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除法律另有规定外，涉及公民生命健康安全、金融安全且有危害后果的</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违法行为</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五年内</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未被发现的</w:t>
      </w:r>
      <w:r>
        <w:rPr>
          <w:rFonts w:hint="eastAsia" w:ascii="仿宋_GB2312" w:hAnsi="仿宋_GB2312" w:eastAsia="仿宋_GB2312" w:cs="仿宋_GB2312"/>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其他违法行为二年内未被发现的</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w:t>
      </w:r>
    </w:p>
    <w:p w14:paraId="5BF11CCA">
      <w:pPr>
        <w:keepNext w:val="0"/>
        <w:keepLines w:val="0"/>
        <w:pageBreakBefore w:val="0"/>
        <w:tabs>
          <w:tab w:val="left" w:pos="1440"/>
          <w:tab w:val="left" w:pos="198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六</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）违法事实不</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能</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成立的；</w:t>
      </w:r>
    </w:p>
    <w:p w14:paraId="2827718F">
      <w:pPr>
        <w:keepNext w:val="0"/>
        <w:keepLines w:val="0"/>
        <w:pageBreakBefore w:val="0"/>
        <w:tabs>
          <w:tab w:val="left" w:pos="1440"/>
          <w:tab w:val="left" w:pos="198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七</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）法律法规规章不予行政处罚的其他情形。</w:t>
      </w:r>
    </w:p>
    <w:p w14:paraId="0D607E79">
      <w:pPr>
        <w:ind w:firstLine="640" w:firstLineChars="200"/>
        <w:rPr>
          <w:rFonts w:hint="eastAsia"/>
          <w:color w:val="000000" w:themeColor="text1"/>
          <w:lang w:val="en-US" w:eastAsia="zh-CN"/>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初次违法且危害后果</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轻微</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并及时改正</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的</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可以不予行政处罚</w:t>
      </w:r>
      <w:r>
        <w:rPr>
          <w:rFonts w:hint="eastAsia" w:ascii="仿宋_GB2312" w:hAnsi="仿宋_GB2312" w:eastAsia="仿宋_GB2312" w:cs="仿宋_GB2312"/>
          <w:snapToGrid w:val="0"/>
          <w:color w:val="000000" w:themeColor="text1"/>
          <w:kern w:val="0"/>
          <w:sz w:val="32"/>
          <w:szCs w:val="32"/>
          <w:lang w:eastAsia="zh-CN"/>
          <w14:textFill>
            <w14:solidFill>
              <w14:schemeClr w14:val="tx1"/>
            </w14:solidFill>
          </w14:textFill>
        </w:rPr>
        <w:t>，具体情形</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可参考适用</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市场监管行政违法行为首违不罚清单</w:t>
      </w:r>
      <w:r>
        <w:rPr>
          <w:rFonts w:hint="eastAsia" w:ascii="仿宋_GB2312" w:hAnsi="仿宋_GB2312" w:eastAsia="仿宋_GB2312" w:cs="仿宋_GB2312"/>
          <w:snapToGrid w:val="0"/>
          <w:color w:val="000000" w:themeColor="text1"/>
          <w:kern w:val="0"/>
          <w:sz w:val="32"/>
          <w:szCs w:val="32"/>
          <w:lang w:eastAsia="zh-CN"/>
          <w14:textFill>
            <w14:solidFill>
              <w14:schemeClr w14:val="tx1"/>
            </w14:solidFill>
          </w14:textFill>
        </w:rPr>
        <w:t>。</w:t>
      </w:r>
    </w:p>
    <w:p w14:paraId="4BB68B55">
      <w:pPr>
        <w:keepNext w:val="0"/>
        <w:keepLines w:val="0"/>
        <w:pageBreakBefore w:val="0"/>
        <w:tabs>
          <w:tab w:val="left" w:pos="1440"/>
          <w:tab w:val="left" w:pos="198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spacing w:val="-6"/>
          <w:kern w:val="0"/>
          <w:sz w:val="32"/>
          <w:szCs w:val="32"/>
          <w14:textFill>
            <w14:solidFill>
              <w14:schemeClr w14:val="tx1"/>
            </w14:solidFill>
          </w14:textFill>
        </w:rPr>
      </w:pPr>
      <w:r>
        <w:rPr>
          <w:rFonts w:hint="eastAsia" w:ascii="黑体" w:hAnsi="黑体" w:eastAsia="黑体" w:cs="黑体"/>
          <w:snapToGrid w:val="0"/>
          <w:color w:val="000000" w:themeColor="text1"/>
          <w:kern w:val="0"/>
          <w:sz w:val="32"/>
          <w:szCs w:val="32"/>
          <w14:textFill>
            <w14:solidFill>
              <w14:schemeClr w14:val="tx1"/>
            </w14:solidFill>
          </w14:textFill>
        </w:rPr>
        <w:t>第十条</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 xml:space="preserve"> </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snapToGrid w:val="0"/>
          <w:color w:val="000000" w:themeColor="text1"/>
          <w:spacing w:val="-6"/>
          <w:kern w:val="0"/>
          <w:sz w:val="32"/>
          <w:szCs w:val="32"/>
          <w14:textFill>
            <w14:solidFill>
              <w14:schemeClr w14:val="tx1"/>
            </w14:solidFill>
          </w14:textFill>
        </w:rPr>
        <w:t>有下列情形之一的，应当依法从轻或者减轻行政处罚：</w:t>
      </w:r>
    </w:p>
    <w:p w14:paraId="6B837FB5">
      <w:pPr>
        <w:keepNext w:val="0"/>
        <w:keepLines w:val="0"/>
        <w:pageBreakBefore w:val="0"/>
        <w:tabs>
          <w:tab w:val="left" w:pos="1440"/>
          <w:tab w:val="left" w:pos="198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spacing w:val="-6"/>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（一）</w:t>
      </w:r>
      <w:r>
        <w:rPr>
          <w:rFonts w:hint="eastAsia" w:ascii="仿宋_GB2312" w:hAnsi="仿宋_GB2312" w:eastAsia="仿宋_GB2312" w:cs="仿宋_GB2312"/>
          <w:snapToGrid w:val="0"/>
          <w:color w:val="000000" w:themeColor="text1"/>
          <w:spacing w:val="-6"/>
          <w:kern w:val="0"/>
          <w:sz w:val="32"/>
          <w:szCs w:val="32"/>
          <w14:textFill>
            <w14:solidFill>
              <w14:schemeClr w14:val="tx1"/>
            </w14:solidFill>
          </w14:textFill>
        </w:rPr>
        <w:t>已满十四周岁不满十八周岁的未成年人有违法行为的；</w:t>
      </w:r>
    </w:p>
    <w:p w14:paraId="5D411E08">
      <w:pPr>
        <w:keepNext w:val="0"/>
        <w:keepLines w:val="0"/>
        <w:pageBreakBefore w:val="0"/>
        <w:tabs>
          <w:tab w:val="left" w:pos="1440"/>
          <w:tab w:val="left" w:pos="198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（二）主动消除或者减轻违法行为危害后果的；</w:t>
      </w:r>
    </w:p>
    <w:p w14:paraId="5BCD0769">
      <w:pPr>
        <w:keepNext w:val="0"/>
        <w:keepLines w:val="0"/>
        <w:pageBreakBefore w:val="0"/>
        <w:tabs>
          <w:tab w:val="left" w:pos="1440"/>
          <w:tab w:val="left" w:pos="198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（三）受他人胁迫或者诱骗实施违法行为的；</w:t>
      </w:r>
    </w:p>
    <w:p w14:paraId="7531B649">
      <w:pPr>
        <w:keepNext w:val="0"/>
        <w:keepLines w:val="0"/>
        <w:pageBreakBefore w:val="0"/>
        <w:tabs>
          <w:tab w:val="left" w:pos="1440"/>
          <w:tab w:val="left" w:pos="198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（四）主动供述市场监管部门尚未掌握的违法行为的；</w:t>
      </w:r>
    </w:p>
    <w:p w14:paraId="1647B157">
      <w:pPr>
        <w:keepNext w:val="0"/>
        <w:keepLines w:val="0"/>
        <w:pageBreakBefore w:val="0"/>
        <w:tabs>
          <w:tab w:val="left" w:pos="1440"/>
          <w:tab w:val="left" w:pos="198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（五）配合市场监管部门查处违法行为有立功表现的，包括但不限于当事人揭发市场监管领域其他重大违法行为或者提供查处市场监管领域其他重大违法行为的关键线索或证据，并经查证属实的；</w:t>
      </w:r>
    </w:p>
    <w:p w14:paraId="7C0164FD">
      <w:pPr>
        <w:keepNext w:val="0"/>
        <w:keepLines w:val="0"/>
        <w:pageBreakBefore w:val="0"/>
        <w:tabs>
          <w:tab w:val="left" w:pos="1440"/>
          <w:tab w:val="left" w:pos="198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（六）其他依法应当从轻或者减轻行政处罚的。</w:t>
      </w:r>
    </w:p>
    <w:p w14:paraId="7CC2C108">
      <w:pPr>
        <w:keepNext w:val="0"/>
        <w:keepLines w:val="0"/>
        <w:pageBreakBefore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黑体" w:hAnsi="黑体" w:eastAsia="黑体" w:cs="黑体"/>
          <w:snapToGrid w:val="0"/>
          <w:color w:val="000000" w:themeColor="text1"/>
          <w:kern w:val="0"/>
          <w:sz w:val="32"/>
          <w:szCs w:val="32"/>
          <w14:textFill>
            <w14:solidFill>
              <w14:schemeClr w14:val="tx1"/>
            </w14:solidFill>
          </w14:textFill>
        </w:rPr>
        <w:t>第十</w:t>
      </w:r>
      <w:r>
        <w:rPr>
          <w:rFonts w:hint="eastAsia" w:ascii="黑体" w:hAnsi="黑体" w:eastAsia="黑体" w:cs="黑体"/>
          <w:snapToGrid w:val="0"/>
          <w:color w:val="000000" w:themeColor="text1"/>
          <w:kern w:val="0"/>
          <w:sz w:val="32"/>
          <w:szCs w:val="32"/>
          <w:lang w:val="en-US" w:eastAsia="zh-CN"/>
          <w14:textFill>
            <w14:solidFill>
              <w14:schemeClr w14:val="tx1"/>
            </w14:solidFill>
          </w14:textFill>
        </w:rPr>
        <w:t>一</w:t>
      </w:r>
      <w:r>
        <w:rPr>
          <w:rFonts w:hint="eastAsia" w:ascii="黑体" w:hAnsi="黑体" w:eastAsia="黑体" w:cs="黑体"/>
          <w:snapToGrid w:val="0"/>
          <w:color w:val="000000" w:themeColor="text1"/>
          <w:kern w:val="0"/>
          <w:sz w:val="32"/>
          <w:szCs w:val="32"/>
          <w14:textFill>
            <w14:solidFill>
              <w14:schemeClr w14:val="tx1"/>
            </w14:solidFill>
          </w14:textFill>
        </w:rPr>
        <w:t>条</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 xml:space="preserve">  有下列情形之一的，可以依法从轻或者减轻行政处罚：　　</w:t>
      </w:r>
    </w:p>
    <w:p w14:paraId="6169CFAE">
      <w:pPr>
        <w:keepNext w:val="0"/>
        <w:keepLines w:val="0"/>
        <w:pageBreakBefore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（一）尚未完全丧失辨认或者控制自己行为能力的精神病人、智力残疾人有违法行为的；　　</w:t>
      </w:r>
    </w:p>
    <w:p w14:paraId="1162864F">
      <w:pPr>
        <w:keepNext w:val="0"/>
        <w:keepLines w:val="0"/>
        <w:pageBreakBefore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（二）积极配合市场监管部门调查并主动提供证据材料的；　　</w:t>
      </w:r>
    </w:p>
    <w:p w14:paraId="7AA762BA">
      <w:pPr>
        <w:keepNext w:val="0"/>
        <w:keepLines w:val="0"/>
        <w:pageBreakBefore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（三）违法行为轻微，社会危害性较小的；　　</w:t>
      </w:r>
    </w:p>
    <w:p w14:paraId="1306FD4A">
      <w:pPr>
        <w:keepNext w:val="0"/>
        <w:keepLines w:val="0"/>
        <w:pageBreakBefore w:val="0"/>
        <w:kinsoku/>
        <w:wordWrap/>
        <w:overflowPunct/>
        <w:topLinePunct w:val="0"/>
        <w:autoSpaceDE/>
        <w:autoSpaceDN/>
        <w:bidi w:val="0"/>
        <w:adjustRightInd/>
        <w:snapToGrid/>
        <w:spacing w:line="520" w:lineRule="exact"/>
        <w:ind w:left="638" w:leftChars="304" w:firstLine="0" w:firstLineChars="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（四）在共同违法行为中起次要或者辅助作用的；</w:t>
      </w:r>
    </w:p>
    <w:p w14:paraId="5920208E">
      <w:pPr>
        <w:keepNext w:val="0"/>
        <w:keepLines w:val="0"/>
        <w:pageBreakBefore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（五）当事人因残疾或者重大疾病等原因生活确有困难的；　　</w:t>
      </w:r>
    </w:p>
    <w:p w14:paraId="44159D40">
      <w:pPr>
        <w:keepNext w:val="0"/>
        <w:keepLines w:val="0"/>
        <w:pageBreakBefore w:val="0"/>
        <w:kinsoku/>
        <w:wordWrap/>
        <w:overflowPunct/>
        <w:topLinePunct w:val="0"/>
        <w:autoSpaceDE/>
        <w:autoSpaceDN/>
        <w:bidi w:val="0"/>
        <w:adjustRightInd/>
        <w:snapToGrid/>
        <w:spacing w:line="520" w:lineRule="exact"/>
        <w:ind w:left="638" w:leftChars="304" w:firstLine="0" w:firstLineChars="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（六）其他依法可以从轻或者减轻行政处罚的。</w:t>
      </w:r>
    </w:p>
    <w:p w14:paraId="76E324F8">
      <w:pPr>
        <w:keepNext w:val="0"/>
        <w:keepLines w:val="0"/>
        <w:pageBreakBefore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黑体" w:hAnsi="黑体" w:eastAsia="黑体" w:cs="黑体"/>
          <w:snapToGrid w:val="0"/>
          <w:color w:val="000000" w:themeColor="text1"/>
          <w:kern w:val="0"/>
          <w:sz w:val="32"/>
          <w:szCs w:val="32"/>
          <w14:textFill>
            <w14:solidFill>
              <w14:schemeClr w14:val="tx1"/>
            </w14:solidFill>
          </w14:textFill>
        </w:rPr>
        <w:t>第十</w:t>
      </w:r>
      <w:r>
        <w:rPr>
          <w:rFonts w:hint="eastAsia" w:ascii="黑体" w:hAnsi="黑体" w:eastAsia="黑体" w:cs="黑体"/>
          <w:snapToGrid w:val="0"/>
          <w:color w:val="000000" w:themeColor="text1"/>
          <w:kern w:val="0"/>
          <w:sz w:val="32"/>
          <w:szCs w:val="32"/>
          <w:lang w:val="en-US" w:eastAsia="zh-CN"/>
          <w14:textFill>
            <w14:solidFill>
              <w14:schemeClr w14:val="tx1"/>
            </w14:solidFill>
          </w14:textFill>
        </w:rPr>
        <w:t>二</w:t>
      </w:r>
      <w:r>
        <w:rPr>
          <w:rFonts w:hint="eastAsia" w:ascii="黑体" w:hAnsi="黑体" w:eastAsia="黑体" w:cs="黑体"/>
          <w:snapToGrid w:val="0"/>
          <w:color w:val="000000" w:themeColor="text1"/>
          <w:kern w:val="0"/>
          <w:sz w:val="32"/>
          <w:szCs w:val="32"/>
          <w14:textFill>
            <w14:solidFill>
              <w14:schemeClr w14:val="tx1"/>
            </w14:solidFill>
          </w14:textFill>
        </w:rPr>
        <w:t>条</w:t>
      </w:r>
      <w:r>
        <w:rPr>
          <w:rFonts w:hint="eastAsia" w:ascii="黑体" w:hAnsi="黑体" w:eastAsia="黑体" w:cs="黑体"/>
          <w:snapToGrid w:val="0"/>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 xml:space="preserve"> 有下列情形之一的，应当依法从重行政处罚：</w:t>
      </w:r>
    </w:p>
    <w:p w14:paraId="2E753A72">
      <w:pPr>
        <w:keepNext w:val="0"/>
        <w:keepLines w:val="0"/>
        <w:pageBreakBefore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（一）在重大传染病疫情等突发事件期间，有违反突发事件应对措施行为的；</w:t>
      </w:r>
    </w:p>
    <w:p w14:paraId="113D3489">
      <w:pPr>
        <w:keepNext w:val="0"/>
        <w:keepLines w:val="0"/>
        <w:pageBreakBefore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（二）其他依法应当从重行政处罚的。</w:t>
      </w:r>
    </w:p>
    <w:p w14:paraId="01B920B2">
      <w:pPr>
        <w:keepNext w:val="0"/>
        <w:keepLines w:val="0"/>
        <w:pageBreakBefore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黑体" w:hAnsi="黑体" w:eastAsia="黑体" w:cs="黑体"/>
          <w:snapToGrid w:val="0"/>
          <w:color w:val="000000" w:themeColor="text1"/>
          <w:kern w:val="0"/>
          <w:sz w:val="32"/>
          <w:szCs w:val="32"/>
          <w14:textFill>
            <w14:solidFill>
              <w14:schemeClr w14:val="tx1"/>
            </w14:solidFill>
          </w14:textFill>
        </w:rPr>
        <w:t>第</w:t>
      </w:r>
      <w:r>
        <w:rPr>
          <w:rFonts w:hint="eastAsia" w:ascii="黑体" w:hAnsi="黑体" w:eastAsia="黑体" w:cs="黑体"/>
          <w:snapToGrid w:val="0"/>
          <w:color w:val="000000" w:themeColor="text1"/>
          <w:kern w:val="0"/>
          <w:sz w:val="32"/>
          <w:szCs w:val="32"/>
          <w:lang w:eastAsia="zh-CN"/>
          <w14:textFill>
            <w14:solidFill>
              <w14:schemeClr w14:val="tx1"/>
            </w14:solidFill>
          </w14:textFill>
        </w:rPr>
        <w:t>十</w:t>
      </w:r>
      <w:r>
        <w:rPr>
          <w:rFonts w:hint="eastAsia" w:ascii="黑体" w:hAnsi="黑体" w:eastAsia="黑体" w:cs="黑体"/>
          <w:snapToGrid w:val="0"/>
          <w:color w:val="000000" w:themeColor="text1"/>
          <w:kern w:val="0"/>
          <w:sz w:val="32"/>
          <w:szCs w:val="32"/>
          <w:lang w:val="en-US" w:eastAsia="zh-CN"/>
          <w14:textFill>
            <w14:solidFill>
              <w14:schemeClr w14:val="tx1"/>
            </w14:solidFill>
          </w14:textFill>
        </w:rPr>
        <w:t>三</w:t>
      </w:r>
      <w:r>
        <w:rPr>
          <w:rFonts w:hint="eastAsia" w:ascii="黑体" w:hAnsi="黑体" w:eastAsia="黑体" w:cs="黑体"/>
          <w:snapToGrid w:val="0"/>
          <w:color w:val="000000" w:themeColor="text1"/>
          <w:kern w:val="0"/>
          <w:sz w:val="32"/>
          <w:szCs w:val="32"/>
          <w14:textFill>
            <w14:solidFill>
              <w14:schemeClr w14:val="tx1"/>
            </w14:solidFill>
          </w14:textFill>
        </w:rPr>
        <w:t>条</w:t>
      </w:r>
      <w:r>
        <w:rPr>
          <w:rFonts w:hint="eastAsia" w:ascii="黑体" w:hAnsi="黑体" w:eastAsia="黑体" w:cs="黑体"/>
          <w:snapToGrid w:val="0"/>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有下列情形之一的，可以依法从重行政处罚：</w:t>
      </w:r>
    </w:p>
    <w:p w14:paraId="59DE4879">
      <w:pPr>
        <w:keepNext w:val="0"/>
        <w:keepLines w:val="0"/>
        <w:pageBreakBefore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（一）违法行为造成他人人身伤亡或者重大财产损失等严重危害后果的；</w:t>
      </w:r>
    </w:p>
    <w:p w14:paraId="74E9291A">
      <w:pPr>
        <w:keepNext w:val="0"/>
        <w:keepLines w:val="0"/>
        <w:pageBreakBefore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（二）教唆、胁迫、诱骗他人实施违法行为的；</w:t>
      </w:r>
    </w:p>
    <w:p w14:paraId="699EFA00">
      <w:pPr>
        <w:keepNext w:val="0"/>
        <w:keepLines w:val="0"/>
        <w:pageBreakBefore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（三）因同一性质的违法行为受过刑事处罚，或者一年内因同一性质的违法行为受过行政处罚的；</w:t>
      </w:r>
    </w:p>
    <w:p w14:paraId="3A43BEC8">
      <w:pPr>
        <w:keepNext w:val="0"/>
        <w:keepLines w:val="0"/>
        <w:pageBreakBefore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（四）阻碍或者拒不配合行政执法人员依法执行职务或者对行政执法人员打击报复的；</w:t>
      </w:r>
    </w:p>
    <w:p w14:paraId="05E16B04">
      <w:pPr>
        <w:keepNext w:val="0"/>
        <w:keepLines w:val="0"/>
        <w:pageBreakBefore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（五）隐藏、转移、损毁、使用、处置市场监管部门依法查封、扣押的财物或者先行登记保存的证据的；</w:t>
      </w:r>
    </w:p>
    <w:p w14:paraId="35DB2F4E">
      <w:pPr>
        <w:keepNext w:val="0"/>
        <w:keepLines w:val="0"/>
        <w:pageBreakBefore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（六）伪造、隐匿、毁灭证据的；</w:t>
      </w:r>
    </w:p>
    <w:p w14:paraId="547A8F61">
      <w:pPr>
        <w:keepNext w:val="0"/>
        <w:keepLines w:val="0"/>
        <w:pageBreakBefore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（七）其他依法可以从重行政处罚的。</w:t>
      </w:r>
    </w:p>
    <w:p w14:paraId="6C84C93F">
      <w:pPr>
        <w:keepNext w:val="0"/>
        <w:keepLines w:val="0"/>
        <w:pageBreakBefore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当事人因前款第四至六项所涉行为已被行政处罚的，该行为不再作为从重行政处罚情节。</w:t>
      </w:r>
    </w:p>
    <w:p w14:paraId="19BE84AF">
      <w:pPr>
        <w:keepNext w:val="0"/>
        <w:keepLines w:val="0"/>
        <w:pageBreakBefore w:val="0"/>
        <w:tabs>
          <w:tab w:val="left" w:pos="144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黑体" w:hAnsi="黑体" w:eastAsia="黑体" w:cs="黑体"/>
          <w:snapToGrid w:val="0"/>
          <w:color w:val="000000" w:themeColor="text1"/>
          <w:kern w:val="0"/>
          <w:sz w:val="32"/>
          <w:szCs w:val="32"/>
          <w14:textFill>
            <w14:solidFill>
              <w14:schemeClr w14:val="tx1"/>
            </w14:solidFill>
          </w14:textFill>
        </w:rPr>
        <w:t>第十</w:t>
      </w:r>
      <w:r>
        <w:rPr>
          <w:rFonts w:hint="eastAsia" w:ascii="黑体" w:hAnsi="黑体" w:eastAsia="黑体" w:cs="黑体"/>
          <w:snapToGrid w:val="0"/>
          <w:color w:val="000000" w:themeColor="text1"/>
          <w:kern w:val="0"/>
          <w:sz w:val="32"/>
          <w:szCs w:val="32"/>
          <w:lang w:val="en-US" w:eastAsia="zh-CN"/>
          <w14:textFill>
            <w14:solidFill>
              <w14:schemeClr w14:val="tx1"/>
            </w14:solidFill>
          </w14:textFill>
        </w:rPr>
        <w:t>四</w:t>
      </w:r>
      <w:r>
        <w:rPr>
          <w:rFonts w:hint="eastAsia" w:ascii="黑体" w:hAnsi="黑体" w:eastAsia="黑体" w:cs="黑体"/>
          <w:snapToGrid w:val="0"/>
          <w:color w:val="000000" w:themeColor="text1"/>
          <w:kern w:val="0"/>
          <w:sz w:val="32"/>
          <w:szCs w:val="32"/>
          <w14:textFill>
            <w14:solidFill>
              <w14:schemeClr w14:val="tx1"/>
            </w14:solidFill>
          </w14:textFill>
        </w:rPr>
        <w:t>条</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 xml:space="preserve">  </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当事人</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既有从轻</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或者减轻行政</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处罚情节，又有从重</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行政</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处罚情节的，应当综合衡量违法行为的事实、性质、情节、社会危害程度以及区域经济发展水平等因素，实施行政处罚。</w:t>
      </w:r>
    </w:p>
    <w:p w14:paraId="56D20037">
      <w:pPr>
        <w:keepNext w:val="0"/>
        <w:keepLines w:val="0"/>
        <w:pageBreakBefore w:val="0"/>
        <w:tabs>
          <w:tab w:val="left" w:pos="144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黑体" w:hAnsi="黑体" w:eastAsia="黑体" w:cs="黑体"/>
          <w:snapToGrid w:val="0"/>
          <w:color w:val="000000" w:themeColor="text1"/>
          <w:kern w:val="0"/>
          <w:sz w:val="32"/>
          <w:szCs w:val="32"/>
          <w:lang w:val="en-US" w:eastAsia="zh-CN"/>
          <w14:textFill>
            <w14:solidFill>
              <w14:schemeClr w14:val="tx1"/>
            </w14:solidFill>
          </w14:textFill>
        </w:rPr>
        <w:t>第十五条</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 xml:space="preserve">  对当事人的同一个违法行为，不得给予两次以上罚款的行政处罚。同一个违法行为违反多个法律规范应当给予罚款处罚的，按照罚款数额高的规定处罚。</w:t>
      </w:r>
    </w:p>
    <w:p w14:paraId="41A084A3">
      <w:pPr>
        <w:keepNext w:val="0"/>
        <w:keepLines w:val="0"/>
        <w:pageBreakBefore w:val="0"/>
        <w:tabs>
          <w:tab w:val="left" w:pos="144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违法行为构成犯罪，人民法院判处罚金</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后</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，行政机关尚未给予当事人罚款的，不再给予罚款</w:t>
      </w:r>
      <w:r>
        <w:rPr>
          <w:rFonts w:hint="eastAsia" w:ascii="仿宋_GB2312" w:hAnsi="仿宋_GB2312" w:eastAsia="仿宋_GB2312" w:cs="仿宋_GB2312"/>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但依法需要给予吊销许可证件、限制从业等其他行政处罚的，市场监督管理部门应当作出相应处罚决定。</w:t>
      </w:r>
    </w:p>
    <w:p w14:paraId="251E75A4">
      <w:pPr>
        <w:keepNext w:val="0"/>
        <w:keepLines w:val="0"/>
        <w:pageBreakBefore w:val="0"/>
        <w:tabs>
          <w:tab w:val="left" w:pos="144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黑体" w:hAnsi="黑体" w:eastAsia="黑体" w:cs="黑体"/>
          <w:snapToGrid w:val="0"/>
          <w:color w:val="000000" w:themeColor="text1"/>
          <w:kern w:val="0"/>
          <w:sz w:val="32"/>
          <w:szCs w:val="32"/>
          <w14:textFill>
            <w14:solidFill>
              <w14:schemeClr w14:val="tx1"/>
            </w14:solidFill>
          </w14:textFill>
        </w:rPr>
        <w:t>第</w:t>
      </w:r>
      <w:r>
        <w:rPr>
          <w:rFonts w:hint="eastAsia" w:ascii="黑体" w:hAnsi="黑体" w:eastAsia="黑体" w:cs="黑体"/>
          <w:snapToGrid w:val="0"/>
          <w:color w:val="000000" w:themeColor="text1"/>
          <w:kern w:val="0"/>
          <w:sz w:val="32"/>
          <w:szCs w:val="32"/>
          <w:lang w:val="en-US" w:eastAsia="zh-CN"/>
          <w14:textFill>
            <w14:solidFill>
              <w14:schemeClr w14:val="tx1"/>
            </w14:solidFill>
          </w14:textFill>
        </w:rPr>
        <w:t>十六</w:t>
      </w:r>
      <w:r>
        <w:rPr>
          <w:rFonts w:hint="eastAsia" w:ascii="黑体" w:hAnsi="黑体" w:eastAsia="黑体" w:cs="黑体"/>
          <w:snapToGrid w:val="0"/>
          <w:color w:val="000000" w:themeColor="text1"/>
          <w:kern w:val="0"/>
          <w:sz w:val="32"/>
          <w:szCs w:val="32"/>
          <w14:textFill>
            <w14:solidFill>
              <w14:schemeClr w14:val="tx1"/>
            </w14:solidFill>
          </w14:textFill>
        </w:rPr>
        <w:t xml:space="preserve">条 </w:t>
      </w:r>
      <w:r>
        <w:rPr>
          <w:rFonts w:hint="eastAsia" w:ascii="仿宋_GB2312" w:hAnsi="仿宋_GB2312" w:eastAsia="仿宋_GB2312" w:cs="仿宋_GB2312"/>
          <w:snapToGrid w:val="0"/>
          <w:color w:val="000000" w:themeColor="text1"/>
          <w:kern w:val="0"/>
          <w:sz w:val="32"/>
          <w:szCs w:val="32"/>
          <w:lang w:val="en"/>
          <w14:textFill>
            <w14:solidFill>
              <w14:schemeClr w14:val="tx1"/>
            </w14:solidFill>
          </w14:textFill>
        </w:rPr>
        <w:t xml:space="preserve"> </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当事人有违法所得，除依法应当退赔的外，应当予以没收，不得通过减轻处罚予以减除。</w:t>
      </w:r>
    </w:p>
    <w:p w14:paraId="1F45951F">
      <w:pPr>
        <w:keepNext w:val="0"/>
        <w:keepLines w:val="0"/>
        <w:pageBreakBefore w:val="0"/>
        <w:tabs>
          <w:tab w:val="left" w:pos="144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黑体" w:hAnsi="黑体" w:eastAsia="黑体" w:cs="黑体"/>
          <w:snapToGrid w:val="0"/>
          <w:color w:val="000000" w:themeColor="text1"/>
          <w:kern w:val="0"/>
          <w:sz w:val="32"/>
          <w:szCs w:val="32"/>
          <w14:textFill>
            <w14:solidFill>
              <w14:schemeClr w14:val="tx1"/>
            </w14:solidFill>
          </w14:textFill>
        </w:rPr>
        <w:t>第十</w:t>
      </w:r>
      <w:r>
        <w:rPr>
          <w:rFonts w:hint="eastAsia" w:ascii="黑体" w:hAnsi="黑体" w:eastAsia="黑体" w:cs="黑体"/>
          <w:snapToGrid w:val="0"/>
          <w:color w:val="000000" w:themeColor="text1"/>
          <w:kern w:val="0"/>
          <w:sz w:val="32"/>
          <w:szCs w:val="32"/>
          <w:lang w:eastAsia="zh-CN"/>
          <w14:textFill>
            <w14:solidFill>
              <w14:schemeClr w14:val="tx1"/>
            </w14:solidFill>
          </w14:textFill>
        </w:rPr>
        <w:t>七</w:t>
      </w:r>
      <w:r>
        <w:rPr>
          <w:rFonts w:hint="eastAsia" w:ascii="黑体" w:hAnsi="黑体" w:eastAsia="黑体" w:cs="黑体"/>
          <w:snapToGrid w:val="0"/>
          <w:color w:val="000000" w:themeColor="text1"/>
          <w:kern w:val="0"/>
          <w:sz w:val="32"/>
          <w:szCs w:val="32"/>
          <w14:textFill>
            <w14:solidFill>
              <w14:schemeClr w14:val="tx1"/>
            </w14:solidFill>
          </w14:textFill>
        </w:rPr>
        <w:t xml:space="preserve">条 </w:t>
      </w:r>
      <w:r>
        <w:rPr>
          <w:rFonts w:hint="eastAsia" w:ascii="仿宋_GB2312" w:hAnsi="仿宋_GB2312" w:eastAsia="仿宋_GB2312" w:cs="仿宋_GB2312"/>
          <w:snapToGrid w:val="0"/>
          <w:color w:val="000000" w:themeColor="text1"/>
          <w:kern w:val="0"/>
          <w:sz w:val="32"/>
          <w:szCs w:val="32"/>
          <w:lang w:val="en"/>
          <w14:textFill>
            <w14:solidFill>
              <w14:schemeClr w14:val="tx1"/>
            </w14:solidFill>
          </w14:textFill>
        </w:rPr>
        <w:t xml:space="preserve"> </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本省各级</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市场监管部门实施行政处罚应当以法律、法规、规章为依据。有行政处罚裁量权基准的，应当在行政处罚案件调查终结报告、行政处罚</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告知</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书</w:t>
      </w:r>
      <w:r>
        <w:rPr>
          <w:rFonts w:hint="eastAsia" w:ascii="仿宋_GB2312" w:hAnsi="仿宋_GB2312" w:eastAsia="仿宋_GB2312" w:cs="仿宋_GB2312"/>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 xml:space="preserve">行政处罚决定书中对行政处罚裁量权基准的适用情况予以明确。 </w:t>
      </w:r>
    </w:p>
    <w:p w14:paraId="30CD6343">
      <w:pPr>
        <w:keepNext w:val="0"/>
        <w:keepLines w:val="0"/>
        <w:pageBreakBefore w:val="0"/>
        <w:tabs>
          <w:tab w:val="left" w:pos="1440"/>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spacing w:val="-6"/>
          <w:kern w:val="0"/>
          <w:sz w:val="32"/>
          <w:szCs w:val="32"/>
          <w14:textFill>
            <w14:solidFill>
              <w14:schemeClr w14:val="tx1"/>
            </w14:solidFill>
          </w14:textFill>
        </w:rPr>
      </w:pPr>
      <w:r>
        <w:rPr>
          <w:rFonts w:hint="eastAsia" w:ascii="黑体" w:hAnsi="黑体" w:eastAsia="黑体" w:cs="黑体"/>
          <w:snapToGrid w:val="0"/>
          <w:color w:val="000000" w:themeColor="text1"/>
          <w:kern w:val="0"/>
          <w:sz w:val="32"/>
          <w:szCs w:val="32"/>
          <w14:textFill>
            <w14:solidFill>
              <w14:schemeClr w14:val="tx1"/>
            </w14:solidFill>
          </w14:textFill>
        </w:rPr>
        <w:t>第十</w:t>
      </w:r>
      <w:r>
        <w:rPr>
          <w:rFonts w:hint="eastAsia" w:ascii="黑体" w:hAnsi="黑体" w:eastAsia="黑体" w:cs="黑体"/>
          <w:snapToGrid w:val="0"/>
          <w:color w:val="000000" w:themeColor="text1"/>
          <w:kern w:val="0"/>
          <w:sz w:val="32"/>
          <w:szCs w:val="32"/>
          <w:lang w:eastAsia="zh-CN"/>
          <w14:textFill>
            <w14:solidFill>
              <w14:schemeClr w14:val="tx1"/>
            </w14:solidFill>
          </w14:textFill>
        </w:rPr>
        <w:t>八</w:t>
      </w:r>
      <w:r>
        <w:rPr>
          <w:rFonts w:hint="eastAsia" w:ascii="黑体" w:hAnsi="黑体" w:eastAsia="黑体" w:cs="黑体"/>
          <w:snapToGrid w:val="0"/>
          <w:color w:val="000000" w:themeColor="text1"/>
          <w:kern w:val="0"/>
          <w:sz w:val="32"/>
          <w:szCs w:val="32"/>
          <w14:textFill>
            <w14:solidFill>
              <w14:schemeClr w14:val="tx1"/>
            </w14:solidFill>
          </w14:textFill>
        </w:rPr>
        <w:t>条</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 xml:space="preserve">  本规则或依据本规则制定的行政处罚裁量标准，</w:t>
      </w:r>
      <w:r>
        <w:rPr>
          <w:rFonts w:hint="eastAsia" w:ascii="仿宋_GB2312" w:hAnsi="仿宋_GB2312" w:eastAsia="仿宋_GB2312" w:cs="仿宋_GB2312"/>
          <w:snapToGrid w:val="0"/>
          <w:color w:val="000000" w:themeColor="text1"/>
          <w:spacing w:val="-6"/>
          <w:kern w:val="0"/>
          <w:sz w:val="32"/>
          <w:szCs w:val="32"/>
          <w14:textFill>
            <w14:solidFill>
              <w14:schemeClr w14:val="tx1"/>
            </w14:solidFill>
          </w14:textFill>
        </w:rPr>
        <w:t>可以作为行政处罚裁量说理的</w:t>
      </w:r>
      <w:r>
        <w:rPr>
          <w:rFonts w:hint="eastAsia" w:ascii="仿宋_GB2312" w:hAnsi="仿宋_GB2312" w:eastAsia="仿宋_GB2312" w:cs="仿宋_GB2312"/>
          <w:snapToGrid w:val="0"/>
          <w:color w:val="000000" w:themeColor="text1"/>
          <w:spacing w:val="-6"/>
          <w:kern w:val="0"/>
          <w:sz w:val="32"/>
          <w:szCs w:val="32"/>
          <w:lang w:val="en-US" w:eastAsia="zh-CN"/>
          <w14:textFill>
            <w14:solidFill>
              <w14:schemeClr w14:val="tx1"/>
            </w14:solidFill>
          </w14:textFill>
        </w:rPr>
        <w:t>参考</w:t>
      </w:r>
      <w:r>
        <w:rPr>
          <w:rFonts w:hint="eastAsia" w:ascii="仿宋_GB2312" w:hAnsi="仿宋_GB2312" w:eastAsia="仿宋_GB2312" w:cs="仿宋_GB2312"/>
          <w:snapToGrid w:val="0"/>
          <w:color w:val="000000" w:themeColor="text1"/>
          <w:spacing w:val="-6"/>
          <w:kern w:val="0"/>
          <w:sz w:val="32"/>
          <w:szCs w:val="32"/>
          <w14:textFill>
            <w14:solidFill>
              <w14:schemeClr w14:val="tx1"/>
            </w14:solidFill>
          </w14:textFill>
        </w:rPr>
        <w:t>，不得直接作为行政处罚的依据。</w:t>
      </w:r>
    </w:p>
    <w:p w14:paraId="3A0701F8">
      <w:pPr>
        <w:keepNext w:val="0"/>
        <w:keepLines w:val="0"/>
        <w:pageBreakBefore w:val="0"/>
        <w:tabs>
          <w:tab w:val="left" w:pos="1440"/>
          <w:tab w:val="left" w:pos="3255"/>
        </w:tabs>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黑体" w:hAnsi="黑体" w:eastAsia="黑体" w:cs="黑体"/>
          <w:snapToGrid w:val="0"/>
          <w:color w:val="000000" w:themeColor="text1"/>
          <w:kern w:val="0"/>
          <w:sz w:val="32"/>
          <w:szCs w:val="32"/>
          <w14:textFill>
            <w14:solidFill>
              <w14:schemeClr w14:val="tx1"/>
            </w14:solidFill>
          </w14:textFill>
        </w:rPr>
        <w:t>第十</w:t>
      </w:r>
      <w:r>
        <w:rPr>
          <w:rFonts w:hint="eastAsia" w:ascii="黑体" w:hAnsi="黑体" w:eastAsia="黑体" w:cs="黑体"/>
          <w:snapToGrid w:val="0"/>
          <w:color w:val="000000" w:themeColor="text1"/>
          <w:kern w:val="0"/>
          <w:sz w:val="32"/>
          <w:szCs w:val="32"/>
          <w:lang w:eastAsia="zh-CN"/>
          <w14:textFill>
            <w14:solidFill>
              <w14:schemeClr w14:val="tx1"/>
            </w14:solidFill>
          </w14:textFill>
        </w:rPr>
        <w:t>九</w:t>
      </w:r>
      <w:r>
        <w:rPr>
          <w:rFonts w:hint="eastAsia" w:ascii="黑体" w:hAnsi="黑体" w:eastAsia="黑体" w:cs="黑体"/>
          <w:snapToGrid w:val="0"/>
          <w:color w:val="000000" w:themeColor="text1"/>
          <w:kern w:val="0"/>
          <w:sz w:val="32"/>
          <w:szCs w:val="32"/>
          <w14:textFill>
            <w14:solidFill>
              <w14:schemeClr w14:val="tx1"/>
            </w14:solidFill>
          </w14:textFill>
        </w:rPr>
        <w:t>条</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 xml:space="preserve">  适用未制定行政处罚裁量</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基</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准的法律法规规章的，参照本规则执行。</w:t>
      </w:r>
    </w:p>
    <w:p w14:paraId="0E3B14B8">
      <w:pPr>
        <w:keepNext w:val="0"/>
        <w:keepLines w:val="0"/>
        <w:pageBreakBefore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黑体" w:hAnsi="黑体" w:eastAsia="黑体" w:cs="黑体"/>
          <w:snapToGrid w:val="0"/>
          <w:color w:val="000000" w:themeColor="text1"/>
          <w:kern w:val="0"/>
          <w:sz w:val="32"/>
          <w:szCs w:val="32"/>
          <w14:textFill>
            <w14:solidFill>
              <w14:schemeClr w14:val="tx1"/>
            </w14:solidFill>
          </w14:textFill>
        </w:rPr>
        <w:t>第</w:t>
      </w:r>
      <w:r>
        <w:rPr>
          <w:rFonts w:hint="eastAsia" w:ascii="黑体" w:hAnsi="黑体" w:eastAsia="黑体" w:cs="黑体"/>
          <w:snapToGrid w:val="0"/>
          <w:color w:val="000000" w:themeColor="text1"/>
          <w:kern w:val="0"/>
          <w:sz w:val="32"/>
          <w:szCs w:val="32"/>
          <w:lang w:eastAsia="zh-CN"/>
          <w14:textFill>
            <w14:solidFill>
              <w14:schemeClr w14:val="tx1"/>
            </w14:solidFill>
          </w14:textFill>
        </w:rPr>
        <w:t>二十</w:t>
      </w:r>
      <w:r>
        <w:rPr>
          <w:rFonts w:hint="eastAsia" w:ascii="黑体" w:hAnsi="黑体" w:eastAsia="黑体" w:cs="黑体"/>
          <w:snapToGrid w:val="0"/>
          <w:color w:val="000000" w:themeColor="text1"/>
          <w:kern w:val="0"/>
          <w:sz w:val="32"/>
          <w:szCs w:val="32"/>
          <w14:textFill>
            <w14:solidFill>
              <w14:schemeClr w14:val="tx1"/>
            </w14:solidFill>
          </w14:textFill>
        </w:rPr>
        <w:t>条</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 xml:space="preserve">  本规则中的“以上”、“</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以</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内”</w:t>
      </w:r>
      <w:r>
        <w:rPr>
          <w:rFonts w:hint="eastAsia" w:ascii="仿宋_GB2312" w:hAnsi="仿宋_GB2312" w:eastAsia="仿宋_GB2312" w:cs="仿宋_GB2312"/>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“内”均含本数</w:t>
      </w:r>
      <w:r>
        <w:rPr>
          <w:rFonts w:hint="eastAsia" w:ascii="仿宋_GB2312" w:hAnsi="仿宋_GB2312" w:eastAsia="仿宋_GB2312" w:cs="仿宋_GB2312"/>
          <w:snapToGrid w:val="0"/>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“以下”不含本数</w:t>
      </w:r>
      <w:r>
        <w:rPr>
          <w:rFonts w:hint="eastAsia" w:ascii="仿宋_GB2312" w:hAnsi="仿宋_GB2312" w:eastAsia="仿宋_GB2312" w:cs="仿宋_GB2312"/>
          <w:snapToGrid w:val="0"/>
          <w:color w:val="000000" w:themeColor="text1"/>
          <w:kern w:val="0"/>
          <w:sz w:val="32"/>
          <w:szCs w:val="32"/>
          <w:lang w:eastAsia="zh-CN"/>
          <w14:textFill>
            <w14:solidFill>
              <w14:schemeClr w14:val="tx1"/>
            </w14:solidFill>
          </w14:textFill>
        </w:rPr>
        <w:t>，但适用法定最高罚款限值的除外</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w:t>
      </w:r>
    </w:p>
    <w:p w14:paraId="1D435776">
      <w:pPr>
        <w:keepNext w:val="0"/>
        <w:keepLines w:val="0"/>
        <w:pageBreakBefore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snapToGrid w:val="0"/>
          <w:color w:val="000000" w:themeColor="text1"/>
          <w:kern w:val="0"/>
          <w:sz w:val="32"/>
          <w:szCs w:val="32"/>
          <w14:textFill>
            <w14:solidFill>
              <w14:schemeClr w14:val="tx1"/>
            </w14:solidFill>
          </w14:textFill>
        </w:rPr>
      </w:pPr>
      <w:r>
        <w:rPr>
          <w:rFonts w:hint="eastAsia" w:ascii="黑体" w:hAnsi="黑体" w:eastAsia="黑体" w:cs="黑体"/>
          <w:snapToGrid w:val="0"/>
          <w:color w:val="000000" w:themeColor="text1"/>
          <w:kern w:val="0"/>
          <w:sz w:val="32"/>
          <w:szCs w:val="32"/>
          <w14:textFill>
            <w14:solidFill>
              <w14:schemeClr w14:val="tx1"/>
            </w14:solidFill>
          </w14:textFill>
        </w:rPr>
        <w:t>第二十</w:t>
      </w:r>
      <w:r>
        <w:rPr>
          <w:rFonts w:hint="eastAsia" w:ascii="黑体" w:hAnsi="黑体" w:eastAsia="黑体" w:cs="黑体"/>
          <w:snapToGrid w:val="0"/>
          <w:color w:val="000000" w:themeColor="text1"/>
          <w:kern w:val="0"/>
          <w:sz w:val="32"/>
          <w:szCs w:val="32"/>
          <w:lang w:eastAsia="zh-CN"/>
          <w14:textFill>
            <w14:solidFill>
              <w14:schemeClr w14:val="tx1"/>
            </w14:solidFill>
          </w14:textFill>
        </w:rPr>
        <w:t>一</w:t>
      </w:r>
      <w:r>
        <w:rPr>
          <w:rFonts w:hint="eastAsia" w:ascii="黑体" w:hAnsi="黑体" w:eastAsia="黑体" w:cs="黑体"/>
          <w:snapToGrid w:val="0"/>
          <w:color w:val="000000" w:themeColor="text1"/>
          <w:kern w:val="0"/>
          <w:sz w:val="32"/>
          <w:szCs w:val="32"/>
          <w14:textFill>
            <w14:solidFill>
              <w14:schemeClr w14:val="tx1"/>
            </w14:solidFill>
          </w14:textFill>
        </w:rPr>
        <w:t xml:space="preserve">条 </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 xml:space="preserve"> </w:t>
      </w:r>
      <w:r>
        <w:rPr>
          <w:rFonts w:hint="eastAsia" w:ascii="仿宋_GB2312" w:hAnsi="仿宋_GB2312" w:eastAsia="仿宋_GB2312" w:cs="仿宋_GB2312"/>
          <w:snapToGrid w:val="0"/>
          <w:color w:val="000000" w:themeColor="text1"/>
          <w:kern w:val="0"/>
          <w:sz w:val="32"/>
          <w:szCs w:val="32"/>
          <w:lang w:val="en-US" w:eastAsia="zh-CN"/>
          <w14:textFill>
            <w14:solidFill>
              <w14:schemeClr w14:val="tx1"/>
            </w14:solidFill>
          </w14:textFill>
        </w:rPr>
        <w:t>吉林省市场监管厅已经制定行政处罚裁量权基准的，市县市场监管局原则上应当直接适用；如不能直接适用，可以结合地区经济社会发展状况，在法律、法规、规章规定的行政处罚裁量权范围内进行合理细化量化，但不能超出划定的阶次或者幅度。</w:t>
      </w:r>
    </w:p>
    <w:p w14:paraId="66C84474">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jc w:val="left"/>
        <w:textAlignment w:val="auto"/>
        <w:outlineLvl w:val="9"/>
        <w:rPr>
          <w:rFonts w:hint="eastAsia" w:ascii="黑体" w:hAnsi="黑体" w:eastAsia="黑体" w:cs="黑体"/>
          <w:snapToGrid w:val="0"/>
          <w:kern w:val="0"/>
          <w:sz w:val="44"/>
          <w:szCs w:val="44"/>
          <w:highlight w:val="none"/>
          <w:lang w:val="en-US" w:eastAsia="zh-CN"/>
        </w:rPr>
      </w:pPr>
      <w:r>
        <w:rPr>
          <w:rFonts w:hint="eastAsia" w:ascii="黑体" w:hAnsi="黑体" w:eastAsia="黑体" w:cs="黑体"/>
          <w:snapToGrid w:val="0"/>
          <w:color w:val="000000" w:themeColor="text1"/>
          <w:kern w:val="0"/>
          <w:sz w:val="32"/>
          <w:szCs w:val="32"/>
          <w14:textFill>
            <w14:solidFill>
              <w14:schemeClr w14:val="tx1"/>
            </w14:solidFill>
          </w14:textFill>
        </w:rPr>
        <w:t>第</w:t>
      </w:r>
      <w:r>
        <w:rPr>
          <w:rFonts w:hint="eastAsia" w:ascii="黑体" w:hAnsi="黑体" w:eastAsia="黑体" w:cs="黑体"/>
          <w:snapToGrid w:val="0"/>
          <w:color w:val="000000" w:themeColor="text1"/>
          <w:kern w:val="0"/>
          <w:sz w:val="32"/>
          <w:szCs w:val="32"/>
          <w:lang w:eastAsia="zh-CN"/>
          <w14:textFill>
            <w14:solidFill>
              <w14:schemeClr w14:val="tx1"/>
            </w14:solidFill>
          </w14:textFill>
        </w:rPr>
        <w:t>二</w:t>
      </w:r>
      <w:r>
        <w:rPr>
          <w:rFonts w:hint="eastAsia" w:ascii="黑体" w:hAnsi="黑体" w:eastAsia="黑体" w:cs="黑体"/>
          <w:snapToGrid w:val="0"/>
          <w:color w:val="000000" w:themeColor="text1"/>
          <w:kern w:val="0"/>
          <w:sz w:val="32"/>
          <w:szCs w:val="32"/>
          <w14:textFill>
            <w14:solidFill>
              <w14:schemeClr w14:val="tx1"/>
            </w14:solidFill>
          </w14:textFill>
        </w:rPr>
        <w:t>十</w:t>
      </w:r>
      <w:r>
        <w:rPr>
          <w:rFonts w:hint="eastAsia" w:ascii="黑体" w:hAnsi="黑体" w:eastAsia="黑体" w:cs="黑体"/>
          <w:snapToGrid w:val="0"/>
          <w:color w:val="000000" w:themeColor="text1"/>
          <w:kern w:val="0"/>
          <w:sz w:val="32"/>
          <w:szCs w:val="32"/>
          <w:lang w:eastAsia="zh-CN"/>
          <w14:textFill>
            <w14:solidFill>
              <w14:schemeClr w14:val="tx1"/>
            </w14:solidFill>
          </w14:textFill>
        </w:rPr>
        <w:t>二</w:t>
      </w:r>
      <w:r>
        <w:rPr>
          <w:rFonts w:hint="eastAsia" w:ascii="黑体" w:hAnsi="黑体" w:eastAsia="黑体" w:cs="黑体"/>
          <w:snapToGrid w:val="0"/>
          <w:color w:val="000000" w:themeColor="text1"/>
          <w:kern w:val="0"/>
          <w:sz w:val="32"/>
          <w:szCs w:val="32"/>
          <w14:textFill>
            <w14:solidFill>
              <w14:schemeClr w14:val="tx1"/>
            </w14:solidFill>
          </w14:textFill>
        </w:rPr>
        <w:t>条</w:t>
      </w:r>
      <w:r>
        <w:rPr>
          <w:rFonts w:hint="eastAsia" w:ascii="仿宋_GB2312" w:hAnsi="仿宋_GB2312" w:eastAsia="仿宋_GB2312" w:cs="仿宋_GB2312"/>
          <w:snapToGrid w:val="0"/>
          <w:color w:val="000000" w:themeColor="text1"/>
          <w:kern w:val="0"/>
          <w:sz w:val="32"/>
          <w:szCs w:val="32"/>
          <w14:textFill>
            <w14:solidFill>
              <w14:schemeClr w14:val="tx1"/>
            </w14:solidFill>
          </w14:textFill>
        </w:rPr>
        <w:t xml:space="preserve"> </w:t>
      </w:r>
      <w:r>
        <w:rPr>
          <w:rFonts w:hint="eastAsia" w:ascii="仿宋_GB2312" w:hAnsi="仿宋_GB2312" w:eastAsia="仿宋_GB2312" w:cs="仿宋_GB2312"/>
          <w:snapToGrid w:val="0"/>
          <w:color w:val="000000" w:themeColor="text1"/>
          <w:kern w:val="0"/>
          <w:sz w:val="32"/>
          <w:szCs w:val="32"/>
          <w:highlight w:val="none"/>
          <w14:textFill>
            <w14:solidFill>
              <w14:schemeClr w14:val="tx1"/>
            </w14:solidFill>
          </w14:textFill>
        </w:rPr>
        <w:t xml:space="preserve"> 本规则自</w:t>
      </w:r>
      <w:r>
        <w:rPr>
          <w:rFonts w:hint="default" w:ascii="仿宋_GB2312" w:hAnsi="仿宋_GB2312" w:eastAsia="仿宋_GB2312" w:cs="仿宋_GB2312"/>
          <w:snapToGrid w:val="0"/>
          <w:color w:val="000000" w:themeColor="text1"/>
          <w:kern w:val="0"/>
          <w:sz w:val="32"/>
          <w:szCs w:val="32"/>
          <w:highlight w:val="none"/>
          <w:lang w:val="en" w:eastAsia="zh-CN"/>
          <w14:textFill>
            <w14:solidFill>
              <w14:schemeClr w14:val="tx1"/>
            </w14:solidFill>
          </w14:textFill>
        </w:rPr>
        <w:t>202</w:t>
      </w:r>
      <w:r>
        <w:rPr>
          <w:rFonts w:hint="eastAsia" w:ascii="仿宋_GB2312" w:hAnsi="仿宋_GB2312" w:eastAsia="仿宋_GB2312" w:cs="仿宋_GB2312"/>
          <w:snapToGrid w:val="0"/>
          <w:color w:val="000000" w:themeColor="text1"/>
          <w:kern w:val="0"/>
          <w:sz w:val="32"/>
          <w:szCs w:val="32"/>
          <w:highlight w:val="none"/>
          <w:lang w:val="en-US" w:eastAsia="zh-CN"/>
          <w14:textFill>
            <w14:solidFill>
              <w14:schemeClr w14:val="tx1"/>
            </w14:solidFill>
          </w14:textFill>
        </w:rPr>
        <w:t>6</w:t>
      </w:r>
      <w:r>
        <w:rPr>
          <w:rFonts w:hint="eastAsia" w:ascii="仿宋_GB2312" w:hAnsi="仿宋_GB2312" w:eastAsia="仿宋_GB2312" w:cs="仿宋_GB2312"/>
          <w:snapToGrid w:val="0"/>
          <w:color w:val="000000" w:themeColor="text1"/>
          <w:kern w:val="0"/>
          <w:sz w:val="32"/>
          <w:szCs w:val="32"/>
          <w:highlight w:val="none"/>
          <w14:textFill>
            <w14:solidFill>
              <w14:schemeClr w14:val="tx1"/>
            </w14:solidFill>
          </w14:textFill>
        </w:rPr>
        <w:t>年</w:t>
      </w:r>
      <w:r>
        <w:rPr>
          <w:rFonts w:hint="eastAsia" w:ascii="仿宋_GB2312" w:hAnsi="仿宋_GB2312" w:eastAsia="仿宋_GB2312" w:cs="仿宋_GB2312"/>
          <w:snapToGrid w:val="0"/>
          <w:color w:val="000000" w:themeColor="text1"/>
          <w:kern w:val="0"/>
          <w:sz w:val="32"/>
          <w:szCs w:val="32"/>
          <w:highlight w:val="none"/>
          <w:lang w:val="en-US" w:eastAsia="zh-CN"/>
          <w14:textFill>
            <w14:solidFill>
              <w14:schemeClr w14:val="tx1"/>
            </w14:solidFill>
          </w14:textFill>
        </w:rPr>
        <w:t>1</w:t>
      </w:r>
      <w:r>
        <w:rPr>
          <w:rFonts w:hint="eastAsia" w:ascii="仿宋_GB2312" w:hAnsi="仿宋_GB2312" w:eastAsia="仿宋_GB2312" w:cs="仿宋_GB2312"/>
          <w:snapToGrid w:val="0"/>
          <w:color w:val="000000" w:themeColor="text1"/>
          <w:kern w:val="0"/>
          <w:sz w:val="32"/>
          <w:szCs w:val="32"/>
          <w:highlight w:val="none"/>
          <w14:textFill>
            <w14:solidFill>
              <w14:schemeClr w14:val="tx1"/>
            </w14:solidFill>
          </w14:textFill>
        </w:rPr>
        <w:t>月</w:t>
      </w:r>
      <w:r>
        <w:rPr>
          <w:rFonts w:hint="eastAsia" w:ascii="仿宋_GB2312" w:hAnsi="仿宋_GB2312" w:eastAsia="仿宋_GB2312" w:cs="仿宋_GB2312"/>
          <w:snapToGrid w:val="0"/>
          <w:color w:val="000000" w:themeColor="text1"/>
          <w:kern w:val="0"/>
          <w:sz w:val="32"/>
          <w:szCs w:val="32"/>
          <w:highlight w:val="none"/>
          <w:lang w:val="en-US" w:eastAsia="zh-CN"/>
          <w14:textFill>
            <w14:solidFill>
              <w14:schemeClr w14:val="tx1"/>
            </w14:solidFill>
          </w14:textFill>
        </w:rPr>
        <w:t>1</w:t>
      </w:r>
      <w:r>
        <w:rPr>
          <w:rFonts w:hint="eastAsia" w:ascii="仿宋_GB2312" w:hAnsi="仿宋_GB2312" w:eastAsia="仿宋_GB2312" w:cs="仿宋_GB2312"/>
          <w:snapToGrid w:val="0"/>
          <w:color w:val="000000" w:themeColor="text1"/>
          <w:kern w:val="0"/>
          <w:sz w:val="32"/>
          <w:szCs w:val="32"/>
          <w:highlight w:val="none"/>
          <w14:textFill>
            <w14:solidFill>
              <w14:schemeClr w14:val="tx1"/>
            </w14:solidFill>
          </w14:textFill>
        </w:rPr>
        <w:t>日起</w:t>
      </w:r>
      <w:r>
        <w:rPr>
          <w:rFonts w:hint="eastAsia" w:ascii="仿宋_GB2312" w:hAnsi="仿宋_GB2312" w:eastAsia="仿宋_GB2312" w:cs="仿宋_GB2312"/>
          <w:snapToGrid w:val="0"/>
          <w:color w:val="000000" w:themeColor="text1"/>
          <w:kern w:val="0"/>
          <w:sz w:val="32"/>
          <w:szCs w:val="32"/>
          <w:highlight w:val="none"/>
          <w:lang w:val="en-US" w:eastAsia="zh-CN"/>
          <w14:textFill>
            <w14:solidFill>
              <w14:schemeClr w14:val="tx1"/>
            </w14:solidFill>
          </w14:textFill>
        </w:rPr>
        <w:t>实施，法律、法规、规章和上级文件另有规定的，从其规定。</w:t>
      </w:r>
    </w:p>
    <w:p w14:paraId="34110396">
      <w:pPr>
        <w:keepNext w:val="0"/>
        <w:keepLines w:val="0"/>
        <w:pageBreakBefore w:val="0"/>
        <w:widowControl/>
        <w:numPr>
          <w:ilvl w:val="-1"/>
          <w:numId w:val="0"/>
        </w:numPr>
        <w:kinsoku/>
        <w:wordWrap/>
        <w:overflowPunct/>
        <w:topLinePunct w:val="0"/>
        <w:autoSpaceDE/>
        <w:autoSpaceDN/>
        <w:bidi w:val="0"/>
        <w:adjustRightInd/>
        <w:snapToGrid/>
        <w:spacing w:line="240" w:lineRule="auto"/>
        <w:jc w:val="left"/>
        <w:textAlignment w:val="auto"/>
        <w:outlineLvl w:val="9"/>
        <w:rPr>
          <w:rFonts w:hint="eastAsia" w:ascii="黑体" w:hAnsi="黑体" w:eastAsia="黑体" w:cs="黑体"/>
          <w:snapToGrid w:val="0"/>
          <w:kern w:val="0"/>
          <w:sz w:val="44"/>
          <w:szCs w:val="44"/>
          <w:lang w:val="en-US" w:eastAsia="zh-CN"/>
        </w:rPr>
        <w:sectPr>
          <w:footerReference r:id="rId5" w:type="default"/>
          <w:pgSz w:w="11906" w:h="16838"/>
          <w:pgMar w:top="1417" w:right="1417" w:bottom="1417" w:left="1417" w:header="851" w:footer="992" w:gutter="0"/>
          <w:pgNumType w:start="1"/>
          <w:cols w:space="0" w:num="1"/>
          <w:rtlGutter w:val="0"/>
          <w:docGrid w:type="lines" w:linePitch="312" w:charSpace="0"/>
        </w:sectPr>
      </w:pPr>
    </w:p>
    <w:p w14:paraId="68A481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黑体" w:hAnsi="黑体" w:eastAsia="黑体" w:cs="黑体"/>
          <w:snapToGrid w:val="0"/>
          <w:kern w:val="0"/>
          <w:sz w:val="44"/>
          <w:szCs w:val="44"/>
          <w:lang w:val="en-US" w:eastAsia="zh-CN"/>
        </w:rPr>
      </w:pPr>
      <w:bookmarkStart w:id="17" w:name="_Toc8429"/>
      <w:bookmarkStart w:id="18" w:name="_Toc13774"/>
      <w:bookmarkStart w:id="19" w:name="_Toc13864"/>
      <w:bookmarkStart w:id="20" w:name="_Toc6728"/>
      <w:r>
        <w:rPr>
          <w:rFonts w:hint="eastAsia" w:ascii="黑体" w:hAnsi="黑体" w:eastAsia="黑体" w:cs="黑体"/>
          <w:snapToGrid w:val="0"/>
          <w:kern w:val="0"/>
          <w:sz w:val="44"/>
          <w:szCs w:val="44"/>
          <w:lang w:val="en-US" w:eastAsia="zh-CN"/>
        </w:rPr>
        <w:t>第二章  分 则</w:t>
      </w:r>
      <w:bookmarkEnd w:id="0"/>
      <w:bookmarkEnd w:id="17"/>
      <w:bookmarkEnd w:id="18"/>
      <w:bookmarkEnd w:id="19"/>
      <w:bookmarkEnd w:id="20"/>
    </w:p>
    <w:p w14:paraId="756325F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黑体" w:hAnsi="宋体" w:eastAsia="黑体" w:cs="黑体"/>
          <w:i w:val="0"/>
          <w:color w:val="000000"/>
          <w:kern w:val="0"/>
          <w:sz w:val="24"/>
          <w:szCs w:val="24"/>
          <w:u w:val="none"/>
          <w:lang w:val="en-US" w:eastAsia="zh-CN" w:bidi="ar"/>
        </w:rPr>
      </w:pPr>
      <w:bookmarkStart w:id="21" w:name="_Toc22644"/>
      <w:bookmarkStart w:id="22" w:name="_Toc11531"/>
      <w:bookmarkStart w:id="23" w:name="_Toc7420"/>
      <w:bookmarkStart w:id="24" w:name="_Toc1078"/>
      <w:bookmarkStart w:id="25" w:name="_Toc9715"/>
      <w:r>
        <w:rPr>
          <w:rFonts w:hint="default" w:ascii="方正小标宋简体" w:hAnsi="方正小标宋简体" w:eastAsia="方正小标宋简体" w:cs="方正小标宋简体"/>
          <w:b w:val="0"/>
          <w:bCs/>
          <w:kern w:val="44"/>
          <w:sz w:val="36"/>
          <w:szCs w:val="20"/>
          <w:lang w:val="en-US" w:eastAsia="zh-CN" w:bidi="ar-SA"/>
        </w:rPr>
        <w:t>第一节 适用市场准入监管法律、法规、规章的裁量标准</w:t>
      </w:r>
      <w:bookmarkEnd w:id="21"/>
      <w:bookmarkEnd w:id="22"/>
      <w:bookmarkEnd w:id="23"/>
      <w:bookmarkEnd w:id="24"/>
      <w:bookmarkEnd w:id="25"/>
    </w:p>
    <w:tbl>
      <w:tblPr>
        <w:tblStyle w:val="10"/>
        <w:tblW w:w="499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7"/>
        <w:gridCol w:w="1547"/>
        <w:gridCol w:w="4127"/>
        <w:gridCol w:w="1199"/>
        <w:gridCol w:w="3752"/>
        <w:gridCol w:w="2940"/>
      </w:tblGrid>
      <w:tr w14:paraId="4F58A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blHeader/>
          <w:jc w:val="center"/>
        </w:trPr>
        <w:tc>
          <w:tcPr>
            <w:tcW w:w="221" w:type="pct"/>
            <w:tcBorders>
              <w:top w:val="single" w:color="000000" w:sz="4" w:space="0"/>
              <w:left w:val="single" w:color="000000" w:sz="4" w:space="0"/>
              <w:bottom w:val="single" w:color="000000" w:sz="4" w:space="0"/>
              <w:right w:val="single" w:color="000000" w:sz="4" w:space="0"/>
            </w:tcBorders>
            <w:noWrap w:val="0"/>
            <w:vAlign w:val="center"/>
          </w:tcPr>
          <w:p w14:paraId="0390E358">
            <w:pPr>
              <w:keepNext w:val="0"/>
              <w:keepLines w:val="0"/>
              <w:pageBreakBefore w:val="0"/>
              <w:widowControl/>
              <w:suppressLineNumbers w:val="0"/>
              <w:kinsoku/>
              <w:wordWrap/>
              <w:overflowPunct/>
              <w:topLinePunct w:val="0"/>
              <w:autoSpaceDE/>
              <w:autoSpaceDN/>
              <w:bidi w:val="0"/>
              <w:adjustRightInd/>
              <w:snapToGrid/>
              <w:spacing w:line="400" w:lineRule="exact"/>
              <w:ind w:left="-105" w:leftChars="-50" w:right="-105" w:rightChars="-50"/>
              <w:jc w:val="center"/>
              <w:textAlignment w:val="center"/>
              <w:rPr>
                <w:rFonts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序</w:t>
            </w:r>
            <w:r>
              <w:rPr>
                <w:rFonts w:hint="default" w:ascii="黑体" w:hAnsi="宋体" w:eastAsia="黑体" w:cs="黑体"/>
                <w:i w:val="0"/>
                <w:color w:val="000000"/>
                <w:kern w:val="0"/>
                <w:sz w:val="24"/>
                <w:szCs w:val="24"/>
                <w:u w:val="none"/>
                <w:lang w:val="en-US" w:eastAsia="zh-CN" w:bidi="ar"/>
              </w:rPr>
              <w:t>号</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14:paraId="189BFF2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jc w:val="center"/>
              <w:textAlignment w:val="center"/>
              <w:rPr>
                <w:rFonts w:hint="default" w:ascii="黑体" w:hAnsi="宋体" w:eastAsia="黑体" w:cs="黑体"/>
                <w:i w:val="0"/>
                <w:color w:val="000000"/>
                <w:sz w:val="24"/>
                <w:szCs w:val="24"/>
                <w:u w:val="none"/>
              </w:rPr>
            </w:pPr>
            <w:r>
              <w:rPr>
                <w:rFonts w:hint="default" w:ascii="黑体" w:hAnsi="宋体" w:eastAsia="黑体" w:cs="黑体"/>
                <w:i w:val="0"/>
                <w:color w:val="000000"/>
                <w:kern w:val="0"/>
                <w:sz w:val="24"/>
                <w:szCs w:val="24"/>
                <w:u w:val="none"/>
                <w:lang w:val="en-US" w:eastAsia="zh-CN" w:bidi="ar"/>
              </w:rPr>
              <w:t>法律名称</w:t>
            </w:r>
          </w:p>
        </w:tc>
        <w:tc>
          <w:tcPr>
            <w:tcW w:w="1453" w:type="pct"/>
            <w:tcBorders>
              <w:top w:val="single" w:color="000000" w:sz="4" w:space="0"/>
              <w:left w:val="single" w:color="000000" w:sz="4" w:space="0"/>
              <w:bottom w:val="single" w:color="000000" w:sz="4" w:space="0"/>
              <w:right w:val="single" w:color="000000" w:sz="4" w:space="0"/>
            </w:tcBorders>
            <w:noWrap w:val="0"/>
            <w:vAlign w:val="center"/>
          </w:tcPr>
          <w:p w14:paraId="184F97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黑体" w:hAnsi="宋体" w:eastAsia="黑体" w:cs="黑体"/>
                <w:i w:val="0"/>
                <w:color w:val="000000"/>
                <w:sz w:val="24"/>
                <w:szCs w:val="24"/>
                <w:u w:val="none"/>
              </w:rPr>
            </w:pPr>
            <w:r>
              <w:rPr>
                <w:rFonts w:hint="default" w:ascii="黑体" w:hAnsi="宋体" w:eastAsia="黑体" w:cs="黑体"/>
                <w:i w:val="0"/>
                <w:color w:val="000000"/>
                <w:kern w:val="0"/>
                <w:sz w:val="24"/>
                <w:szCs w:val="24"/>
                <w:u w:val="none"/>
                <w:lang w:val="en-US" w:eastAsia="zh-CN" w:bidi="ar"/>
              </w:rPr>
              <w:t>法律依据</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07E7E837">
            <w:pPr>
              <w:keepNext w:val="0"/>
              <w:keepLines w:val="0"/>
              <w:pageBreakBefore w:val="0"/>
              <w:widowControl/>
              <w:suppressLineNumbers w:val="0"/>
              <w:kinsoku/>
              <w:wordWrap/>
              <w:overflowPunct/>
              <w:topLinePunct w:val="0"/>
              <w:autoSpaceDE/>
              <w:autoSpaceDN/>
              <w:bidi w:val="0"/>
              <w:adjustRightInd/>
              <w:snapToGrid/>
              <w:spacing w:line="400" w:lineRule="exact"/>
              <w:ind w:left="-105" w:leftChars="-50" w:right="-105" w:rightChars="-50"/>
              <w:jc w:val="center"/>
              <w:textAlignment w:val="center"/>
              <w:rPr>
                <w:rFonts w:hint="default" w:ascii="黑体" w:hAnsi="宋体" w:eastAsia="黑体" w:cs="黑体"/>
                <w:i w:val="0"/>
                <w:color w:val="000000"/>
                <w:sz w:val="24"/>
                <w:szCs w:val="24"/>
                <w:u w:val="none"/>
              </w:rPr>
            </w:pPr>
            <w:r>
              <w:rPr>
                <w:rFonts w:hint="default" w:ascii="黑体" w:hAnsi="宋体" w:eastAsia="黑体" w:cs="黑体"/>
                <w:i w:val="0"/>
                <w:color w:val="000000"/>
                <w:kern w:val="0"/>
                <w:sz w:val="24"/>
                <w:szCs w:val="24"/>
                <w:u w:val="none"/>
                <w:lang w:val="en-US" w:eastAsia="zh-CN" w:bidi="ar"/>
              </w:rPr>
              <w:t>违法程度</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03255B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黑体" w:hAnsi="宋体" w:eastAsia="黑体" w:cs="黑体"/>
                <w:i w:val="0"/>
                <w:color w:val="000000"/>
                <w:sz w:val="24"/>
                <w:szCs w:val="24"/>
                <w:u w:val="none"/>
              </w:rPr>
            </w:pPr>
            <w:r>
              <w:rPr>
                <w:rFonts w:hint="default" w:ascii="黑体" w:hAnsi="宋体" w:eastAsia="黑体" w:cs="黑体"/>
                <w:i w:val="0"/>
                <w:color w:val="000000"/>
                <w:kern w:val="0"/>
                <w:sz w:val="24"/>
                <w:szCs w:val="24"/>
                <w:u w:val="none"/>
                <w:lang w:val="en-US" w:eastAsia="zh-CN" w:bidi="ar"/>
              </w:rPr>
              <w:t>判断基准</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484DDC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黑体" w:hAnsi="宋体" w:eastAsia="黑体" w:cs="黑体"/>
                <w:i w:val="0"/>
                <w:color w:val="000000"/>
                <w:sz w:val="24"/>
                <w:szCs w:val="24"/>
                <w:u w:val="none"/>
              </w:rPr>
            </w:pPr>
            <w:r>
              <w:rPr>
                <w:rFonts w:hint="default" w:ascii="黑体" w:hAnsi="宋体" w:eastAsia="黑体" w:cs="黑体"/>
                <w:i w:val="0"/>
                <w:color w:val="000000"/>
                <w:kern w:val="0"/>
                <w:sz w:val="24"/>
                <w:szCs w:val="24"/>
                <w:u w:val="none"/>
                <w:lang w:val="en-US" w:eastAsia="zh-CN" w:bidi="ar"/>
              </w:rPr>
              <w:t>处罚基准</w:t>
            </w:r>
          </w:p>
        </w:tc>
      </w:tr>
      <w:tr w14:paraId="479A7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7"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7ED6D9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508CD23B">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Style w:val="14"/>
                <w:lang w:val="en-US" w:eastAsia="zh-CN" w:bidi="ar"/>
              </w:rPr>
              <w:t>《中华人民共和国公司法》</w:t>
            </w:r>
            <w:r>
              <w:rPr>
                <w:rStyle w:val="14"/>
                <w:color w:val="auto"/>
                <w:lang w:val="en-US" w:eastAsia="zh-CN" w:bidi="ar"/>
              </w:rPr>
              <w:t>（202</w:t>
            </w:r>
            <w:r>
              <w:rPr>
                <w:rStyle w:val="14"/>
                <w:rFonts w:hint="eastAsia"/>
                <w:color w:val="auto"/>
                <w:lang w:val="en-US" w:eastAsia="zh-CN" w:bidi="ar"/>
              </w:rPr>
              <w:t>4</w:t>
            </w:r>
            <w:r>
              <w:rPr>
                <w:rStyle w:val="14"/>
                <w:color w:val="auto"/>
                <w:lang w:val="en-US" w:eastAsia="zh-CN" w:bidi="ar"/>
              </w:rPr>
              <w:t>年</w:t>
            </w:r>
            <w:r>
              <w:rPr>
                <w:rStyle w:val="14"/>
                <w:rFonts w:hint="eastAsia"/>
                <w:color w:val="auto"/>
                <w:lang w:val="en-US" w:eastAsia="zh-CN" w:bidi="ar"/>
              </w:rPr>
              <w:t>7</w:t>
            </w:r>
            <w:r>
              <w:rPr>
                <w:rStyle w:val="14"/>
                <w:color w:val="auto"/>
                <w:lang w:val="en-US" w:eastAsia="zh-CN" w:bidi="ar"/>
              </w:rPr>
              <w:t>月</w:t>
            </w:r>
            <w:r>
              <w:rPr>
                <w:rStyle w:val="14"/>
                <w:rFonts w:hint="eastAsia"/>
                <w:color w:val="auto"/>
                <w:lang w:val="en-US" w:eastAsia="zh-CN" w:bidi="ar"/>
              </w:rPr>
              <w:t>1</w:t>
            </w:r>
            <w:r>
              <w:rPr>
                <w:rStyle w:val="14"/>
                <w:color w:val="auto"/>
                <w:lang w:val="en-US" w:eastAsia="zh-CN" w:bidi="ar"/>
              </w:rPr>
              <w:t>日</w:t>
            </w:r>
            <w:r>
              <w:rPr>
                <w:rStyle w:val="14"/>
                <w:rFonts w:hint="eastAsia"/>
                <w:color w:val="auto"/>
                <w:lang w:val="en-US" w:eastAsia="zh-CN" w:bidi="ar"/>
              </w:rPr>
              <w:t>起施行</w:t>
            </w:r>
            <w:r>
              <w:rPr>
                <w:rStyle w:val="14"/>
                <w:color w:val="auto"/>
                <w:lang w:val="en-US" w:eastAsia="zh-CN" w:bidi="ar"/>
              </w:rPr>
              <w:t>）</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3AC13EF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第二百五十条</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违反本法规定，虚报注册资本、提交虚假材料或者采取其他欺诈手段隐瞒重要事实取得公司登记的，由公司登记机关责令改正，对虚报注册资本的公司，处以虚报注册资本金额百分之五以上百分之十五以下的罚款；对提交虚假材料或者采取其他欺诈手段隐瞒重要事实的公司，处以五万元以上二百万元以下的罚款；情节严重的，吊销营业执照；对直接负责的主管人员和其他直接责任人员处以三万元以上三十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19B2BB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6E15E85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有限责任公司虚报金额在10万元以下的；股份有限公司虚报金额在100万元以下的。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0DE63F6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处以虚报注册资本金额5%的罚款。</w:t>
            </w:r>
          </w:p>
        </w:tc>
      </w:tr>
      <w:tr w14:paraId="64507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D4B429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117F29">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BF2AF6">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2150EF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5BFD8E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有限责任公司虚报金额在10万元以上30万元以下的；股份有限公司虚报金额在100万元以上300万元以下的。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3B67D65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处以虚报注册资本金额5%以上7%以下的罚款。</w:t>
            </w:r>
          </w:p>
        </w:tc>
      </w:tr>
      <w:tr w14:paraId="4815E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57A45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B5ED5B">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7B4458">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80B70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DB2BCF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有限责任公司虚报金额在30万元以上50万元以下的；股份有限公司虚报金额在300万元以上500万元以下的。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6DFEC7E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处以虚报注册资本金额7%以上10%以下的罚款。</w:t>
            </w:r>
          </w:p>
        </w:tc>
      </w:tr>
      <w:tr w14:paraId="17FAB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B69D8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3E50394">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E2D5D6">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F2323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55A5B7C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有限责任公司虚报金额在50万元以上的；股份有限公司虚报金额在500万元以上的。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456BF22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处以虚报注册资本金额10%以上15%以下的罚款。</w:t>
            </w:r>
          </w:p>
        </w:tc>
      </w:tr>
      <w:tr w14:paraId="48FC9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7"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59BD3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B54B2E">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1634A21">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77F837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特别严重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150B775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造成严重危害后果的。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1B37C1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吊销营业执照。</w:t>
            </w:r>
          </w:p>
        </w:tc>
      </w:tr>
      <w:tr w14:paraId="10B16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exac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7DCA6F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75694C22">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Style w:val="14"/>
                <w:lang w:val="en-US" w:eastAsia="zh-CN" w:bidi="ar"/>
              </w:rPr>
              <w:t>《中华人民共和国公司法》</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475AB9E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第二百五十条</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违反本法规定，虚报注册资本、提交虚假材料或者采取其他欺诈手段隐瞒重要事实取得公司登记的，由公司登记机关责令改正，对虚报注册资本的公司，处以虚报注册资本金额百分之五以上百分之十五以下的罚款；对提交虚假材料或者采取其他欺诈手段隐瞒重要事实的公司，处以五万元以上二百万元以下的罚款；情节严重的，吊销营业执照；对直接负责的主管人员和其他直接责任人员处以三万元以上三十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0BC00C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0B19C8A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提交证明材料形式要件虚假，但与公司的实际情况不相违背的。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288B30E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处以5万元罚款。</w:t>
            </w:r>
          </w:p>
        </w:tc>
      </w:tr>
      <w:tr w14:paraId="1ADED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39C7D9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37F7EA">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9D642D">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77FC53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583248A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提交虚假材料或者采取其他欺诈手段1项，或者危害性较小的。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0CCE3AE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处以5万元以上10万元以下的罚款。</w:t>
            </w:r>
          </w:p>
        </w:tc>
      </w:tr>
      <w:tr w14:paraId="0AF42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00C74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E468C5">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8B668D">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330E02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12B335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提交虚假材料或者采取其他欺诈手段2项，或者危害性较大的。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F2661B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处以10万元以上30万元以下的罚款。</w:t>
            </w:r>
          </w:p>
        </w:tc>
      </w:tr>
      <w:tr w14:paraId="5B27C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9"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14ED1A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6F0BFA">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D93EBA">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4E8AF9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65F8B2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提交虚假材料或者采取其他欺诈手段2项以上，涉及前置审批、注册资金等重要事项，且危害性较大的。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0357DB9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处以30万元以上200万元以下的罚款。</w:t>
            </w:r>
          </w:p>
        </w:tc>
      </w:tr>
      <w:tr w14:paraId="4B684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7"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2446B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9E1B729">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E90EEC">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3CB638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特别严重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BAD934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提交虚假材料或者采取其他欺诈手段隐瞒重要事实取得公司登记，造成严重危害后果的。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9CA0EA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吊销营业执照。</w:t>
            </w:r>
          </w:p>
        </w:tc>
      </w:tr>
      <w:tr w14:paraId="73B6F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5"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3670A7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4D1F87DE">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《中华人民共和国公司法》</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2BE6031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第二百五十条</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违反本法规定，虚报注册资本、提交虚假材料或者采取其他欺诈手段隐瞒重要事实取得公司登记的，由公司登记机关责令改正，对虚报注册资本的公司，处以虚报注册资本金额百分之五以上百分之十五以下的罚款；对提交虚假材料或者采取其他欺诈手段隐瞒重要事实的公司，处以五万元以上二百万元以下的罚款；情节严重的，吊销营业执照；对直接负责的主管人员和其他直接责任人员处以三万元以上三十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36B988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6A7B8A7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直接负责的主管人员和其他直接责任人员虚报注册资本、提交虚假材料或者采取其他欺诈手段隐瞒重要事实取得公司登记的危害后果较轻的。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3F338B9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对相关人员处以</w:t>
            </w:r>
            <w:r>
              <w:rPr>
                <w:rFonts w:hint="eastAsia" w:ascii="宋体" w:hAnsi="宋体" w:eastAsia="宋体" w:cs="宋体"/>
                <w:i w:val="0"/>
                <w:color w:val="000000"/>
                <w:kern w:val="0"/>
                <w:sz w:val="24"/>
                <w:szCs w:val="24"/>
                <w:u w:val="none"/>
                <w:lang w:val="en-US" w:eastAsia="zh-CN" w:bidi="ar"/>
              </w:rPr>
              <w:t>3万元以上11.1万元以下罚款。</w:t>
            </w:r>
          </w:p>
        </w:tc>
      </w:tr>
      <w:tr w14:paraId="6D926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3"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98FC1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444BFB">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01553B">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42C350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18BAE57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直接负责的主管人员和其他直接责任人员虚报注册资本、提交虚假材料或者采取其他欺诈手段隐瞒重要事实取得公司登记的危害后果一般的。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0B9D753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对相关人员处以</w:t>
            </w:r>
            <w:r>
              <w:rPr>
                <w:rFonts w:hint="eastAsia" w:ascii="宋体" w:hAnsi="宋体" w:eastAsia="宋体" w:cs="宋体"/>
                <w:i w:val="0"/>
                <w:color w:val="000000"/>
                <w:kern w:val="0"/>
                <w:sz w:val="24"/>
                <w:szCs w:val="24"/>
                <w:u w:val="none"/>
                <w:lang w:val="en-US" w:eastAsia="zh-CN" w:bidi="ar"/>
              </w:rPr>
              <w:t>11.1万元以上21.9万元以下罚款。</w:t>
            </w:r>
          </w:p>
        </w:tc>
      </w:tr>
      <w:tr w14:paraId="687AA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4"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18BDD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97B91DB">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F0CD4BC">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265E00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287A3A4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直接负责的主管人员和其他直接责任人员虚报注册资本、提交虚假材料或者采取其他欺诈手段隐瞒重要事实取得公司登记的危害后果较重的。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30573A3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对相关人员处以</w:t>
            </w:r>
            <w:r>
              <w:rPr>
                <w:rFonts w:hint="eastAsia" w:ascii="宋体" w:hAnsi="宋体" w:eastAsia="宋体" w:cs="宋体"/>
                <w:i w:val="0"/>
                <w:color w:val="000000"/>
                <w:kern w:val="0"/>
                <w:sz w:val="24"/>
                <w:szCs w:val="24"/>
                <w:u w:val="none"/>
                <w:lang w:val="en-US" w:eastAsia="zh-CN" w:bidi="ar"/>
              </w:rPr>
              <w:t>21.9万元以上30万元以下罚款。</w:t>
            </w:r>
          </w:p>
        </w:tc>
      </w:tr>
      <w:tr w14:paraId="15A77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exac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1E9305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2F1068D0">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《中华人民共和国公司法》</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57657FCC">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第二百五十一条</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公司未依照本法第四十条规定公示有关信息或者不如实公示有关信息的，由公司登记机关责令改正，可以处以一万元以上五万元以下的罚款。情节严重的，处以五万元以上二十万元以下的罚款；对直接负责的主管人员和其他直接责任人员处以一万元以上十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66D2AC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59D6390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公司依法应当公示的信息未全部公示，或者不如实公示信息，造成较轻危害后果的。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6CF96DB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处以1万元以上2.2万元以下罚款。</w:t>
            </w:r>
          </w:p>
        </w:tc>
      </w:tr>
      <w:tr w14:paraId="21F04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A520D9">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841E06">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9F7CA8">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65A7BA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60E7A99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公司依法应当公示的信息未全部公示，或者不如实公示信息，造成一般危害后果的。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FE3F1B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处以2.2万元以上3.8万元以下罚款。</w:t>
            </w:r>
          </w:p>
        </w:tc>
      </w:tr>
      <w:tr w14:paraId="3CAFF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7"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EFB902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B6C4B3">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1EBB2F">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3AF140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A53E68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公司依法应当公示的信息全部未公示，或者不如实公示信息，造成较重危害后果的。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0A5989E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处以3.8万元以上5万元以下罚款。</w:t>
            </w:r>
          </w:p>
        </w:tc>
      </w:tr>
      <w:tr w14:paraId="5AF5A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9348E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F7E71E">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6C117B">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162C65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760470E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公司依法应当公示的信息全部未公示，或者不如实公示有关信息，造成严重危害后果的。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3758BE4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处以5万元以上12.5万元以下罚款。</w:t>
            </w:r>
          </w:p>
        </w:tc>
      </w:tr>
      <w:tr w14:paraId="050F2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1"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E36E4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E6044D4">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548FFC">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02D90C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特别严重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7E158A7C">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公司应当公示的信息全部未公示，或者不如实公示有关信息，造成特别严重危害后果，产生恶劣影响的。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7AD4F8F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处以12.5万元以上20万元以下罚款。</w:t>
            </w:r>
          </w:p>
        </w:tc>
      </w:tr>
      <w:tr w14:paraId="5D5EA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6"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2A4838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3B559644">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《中华人民共和国公司法》</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660BEEE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第二百五十一条</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公司未依照本法第四十条规定公示有关信息或者不如实公示有关信息的，由公司登记机关责令改正，可以处以一万元以上五万元以下的罚款。情节严重的，处以五万元以上二十万元以下的罚款；对直接负责的主管人员和其他直接责任人员处以一万元以上十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257DA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B55F12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公司依法应当公示的信息未全部公示，或者不如实公示信息的直接负责的主管人员和其他直接责任人员。</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84E6DD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对相关人员处以</w:t>
            </w:r>
            <w:r>
              <w:rPr>
                <w:rFonts w:hint="eastAsia" w:ascii="宋体" w:hAnsi="宋体" w:eastAsia="宋体" w:cs="宋体"/>
                <w:i w:val="0"/>
                <w:color w:val="000000"/>
                <w:kern w:val="0"/>
                <w:sz w:val="24"/>
                <w:szCs w:val="24"/>
                <w:u w:val="none"/>
                <w:lang w:val="en-US" w:eastAsia="zh-CN" w:bidi="ar"/>
              </w:rPr>
              <w:t>1万元以上3.7万元以下罚款。</w:t>
            </w:r>
          </w:p>
        </w:tc>
      </w:tr>
      <w:tr w14:paraId="1F5DF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53812B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0268C1">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E5084D">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79A105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575DF3F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公司依法应当公示的信息全部未公示，或者不如实公示信息的直接负责的主管人员和其他直接责任人员。</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2C25C69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对相关人员处以</w:t>
            </w:r>
            <w:r>
              <w:rPr>
                <w:rFonts w:hint="eastAsia" w:ascii="宋体" w:hAnsi="宋体" w:eastAsia="宋体" w:cs="宋体"/>
                <w:i w:val="0"/>
                <w:color w:val="000000"/>
                <w:kern w:val="0"/>
                <w:sz w:val="24"/>
                <w:szCs w:val="24"/>
                <w:u w:val="none"/>
                <w:lang w:val="en-US" w:eastAsia="zh-CN" w:bidi="ar"/>
              </w:rPr>
              <w:t>3.7万元以上7.3万元以下罚款。</w:t>
            </w:r>
          </w:p>
        </w:tc>
      </w:tr>
      <w:tr w14:paraId="4C749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0"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3C0B6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027297">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C0F5D17">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04CA0D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26D57C2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公司依法应当公示的信息全部未公示，或者不如实公示信息造成严重危害后果的直接负责的主管人员和其他直接责任人员。</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2B36226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对相关人员处以</w:t>
            </w:r>
            <w:r>
              <w:rPr>
                <w:rFonts w:hint="eastAsia" w:ascii="宋体" w:hAnsi="宋体" w:eastAsia="宋体" w:cs="宋体"/>
                <w:i w:val="0"/>
                <w:color w:val="000000"/>
                <w:kern w:val="0"/>
                <w:sz w:val="24"/>
                <w:szCs w:val="24"/>
                <w:u w:val="none"/>
                <w:lang w:val="en-US" w:eastAsia="zh-CN" w:bidi="ar"/>
              </w:rPr>
              <w:t>7.3万元以上10万元以下罚款。</w:t>
            </w:r>
          </w:p>
        </w:tc>
      </w:tr>
      <w:tr w14:paraId="2D6B6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0"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48D7CF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23206E92">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《中华人民共和国公司法》</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33D0B3A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第二百五十二条</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公司的发起人、股东虚假出资，未交付或者未按期交付作为出资的货币或者非货币财产的，由公司登记机关责令改正，可以处以五万元以上二十万元以下的罚款；情节严重的，处以虚假出资或者未出资金额百分之五以上百分之十五以下的罚款；对直接负责的主管人员和其他直接责任人员处以一万元以上十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6DB18F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FC7C25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有下列情形之一的：</w:t>
            </w:r>
          </w:p>
          <w:p w14:paraId="7B360C88">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(1)</w:t>
            </w:r>
            <w:r>
              <w:rPr>
                <w:rFonts w:hint="eastAsia" w:ascii="宋体" w:hAnsi="宋体" w:eastAsia="宋体" w:cs="宋体"/>
                <w:i w:val="0"/>
                <w:color w:val="000000"/>
                <w:kern w:val="0"/>
                <w:sz w:val="24"/>
                <w:szCs w:val="24"/>
                <w:u w:val="none"/>
                <w:lang w:val="en-US" w:eastAsia="zh-CN" w:bidi="ar"/>
              </w:rPr>
              <w:t>有限责任公司股东虚假出资数额占其认缴出资额10%以下，或者未给公司、股东、债权人造成直接经济损失的；</w:t>
            </w:r>
          </w:p>
          <w:p w14:paraId="29A9D88E">
            <w:pPr>
              <w:keepNext w:val="0"/>
              <w:keepLines w:val="0"/>
              <w:pageBreakBefore w:val="0"/>
              <w:widowControl/>
              <w:numPr>
                <w:ilvl w:val="-1"/>
                <w:numId w:val="0"/>
              </w:numPr>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(2)</w:t>
            </w:r>
            <w:r>
              <w:rPr>
                <w:rFonts w:hint="eastAsia" w:ascii="宋体" w:hAnsi="宋体" w:eastAsia="宋体" w:cs="宋体"/>
                <w:i w:val="0"/>
                <w:color w:val="000000"/>
                <w:kern w:val="0"/>
                <w:sz w:val="24"/>
                <w:szCs w:val="24"/>
                <w:u w:val="none"/>
                <w:lang w:val="en-US" w:eastAsia="zh-CN" w:bidi="ar"/>
              </w:rPr>
              <w:t>股份有限公司发起人、股东虚假出资数额占其认缴出资数额5%以下，或者未给公司、股东、债权人造成直接经济损失的。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25C4DD1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处以5万元以上</w:t>
            </w:r>
            <w:r>
              <w:rPr>
                <w:rFonts w:hint="eastAsia" w:ascii="宋体" w:hAnsi="宋体" w:cs="宋体"/>
                <w:i w:val="0"/>
                <w:color w:val="000000"/>
                <w:kern w:val="0"/>
                <w:sz w:val="24"/>
                <w:szCs w:val="24"/>
                <w:u w:val="none"/>
                <w:lang w:val="en-US" w:eastAsia="zh-CN" w:bidi="ar"/>
              </w:rPr>
              <w:t>9</w:t>
            </w:r>
            <w:r>
              <w:rPr>
                <w:rFonts w:hint="eastAsia" w:ascii="宋体" w:hAnsi="宋体" w:eastAsia="宋体" w:cs="宋体"/>
                <w:i w:val="0"/>
                <w:color w:val="000000"/>
                <w:kern w:val="0"/>
                <w:sz w:val="24"/>
                <w:szCs w:val="24"/>
                <w:u w:val="none"/>
                <w:lang w:val="en-US" w:eastAsia="zh-CN" w:bidi="ar"/>
              </w:rPr>
              <w:t>.5万元以下的罚款</w:t>
            </w:r>
            <w:r>
              <w:rPr>
                <w:rFonts w:hint="eastAsia" w:ascii="宋体" w:hAnsi="宋体" w:cs="宋体"/>
                <w:i w:val="0"/>
                <w:color w:val="000000"/>
                <w:kern w:val="0"/>
                <w:sz w:val="24"/>
                <w:szCs w:val="24"/>
                <w:u w:val="none"/>
                <w:lang w:val="en-US" w:eastAsia="zh-CN" w:bidi="ar"/>
              </w:rPr>
              <w:t>；对相关人员处以</w:t>
            </w:r>
            <w:r>
              <w:rPr>
                <w:rFonts w:hint="eastAsia" w:ascii="宋体" w:hAnsi="宋体" w:eastAsia="宋体" w:cs="宋体"/>
                <w:i w:val="0"/>
                <w:color w:val="000000"/>
                <w:kern w:val="0"/>
                <w:sz w:val="24"/>
                <w:szCs w:val="24"/>
                <w:u w:val="none"/>
                <w:lang w:val="en-US" w:eastAsia="zh-CN" w:bidi="ar"/>
              </w:rPr>
              <w:t>1万元以上3.7万元以下罚款。</w:t>
            </w:r>
          </w:p>
        </w:tc>
      </w:tr>
      <w:tr w14:paraId="725B9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7"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19BAD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FDD6F9">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4E22DAE">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4F03EC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481D12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有下列情形之一的：</w:t>
            </w:r>
          </w:p>
          <w:p w14:paraId="6BA107D4">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pacing w:val="-6"/>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(1)</w:t>
            </w:r>
            <w:r>
              <w:rPr>
                <w:rFonts w:hint="eastAsia" w:ascii="宋体" w:hAnsi="宋体" w:eastAsia="宋体" w:cs="宋体"/>
                <w:i w:val="0"/>
                <w:color w:val="000000"/>
                <w:kern w:val="0"/>
                <w:sz w:val="24"/>
                <w:szCs w:val="24"/>
                <w:u w:val="none"/>
                <w:lang w:val="en-US" w:eastAsia="zh-CN" w:bidi="ar"/>
              </w:rPr>
              <w:t>有限责任公司股东虚假出资数</w:t>
            </w:r>
            <w:r>
              <w:rPr>
                <w:rFonts w:hint="eastAsia" w:ascii="宋体" w:hAnsi="宋体" w:eastAsia="宋体" w:cs="宋体"/>
                <w:i w:val="0"/>
                <w:color w:val="000000"/>
                <w:spacing w:val="0"/>
                <w:kern w:val="0"/>
                <w:sz w:val="24"/>
                <w:szCs w:val="24"/>
                <w:u w:val="none"/>
                <w:lang w:val="en-US" w:eastAsia="zh-CN" w:bidi="ar"/>
              </w:rPr>
              <w:t>额占其认缴出资额10%以上30%以下的；</w:t>
            </w:r>
          </w:p>
          <w:p w14:paraId="777A4C6A">
            <w:pPr>
              <w:keepNext w:val="0"/>
              <w:keepLines w:val="0"/>
              <w:pageBreakBefore w:val="0"/>
              <w:widowControl/>
              <w:numPr>
                <w:ilvl w:val="-1"/>
                <w:numId w:val="0"/>
              </w:numPr>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(2)</w:t>
            </w:r>
            <w:r>
              <w:rPr>
                <w:rFonts w:hint="eastAsia" w:ascii="宋体" w:hAnsi="宋体" w:eastAsia="宋体" w:cs="宋体"/>
                <w:i w:val="0"/>
                <w:color w:val="000000"/>
                <w:kern w:val="0"/>
                <w:sz w:val="24"/>
                <w:szCs w:val="24"/>
                <w:u w:val="none"/>
                <w:lang w:val="en-US" w:eastAsia="zh-CN" w:bidi="ar"/>
              </w:rPr>
              <w:t>股份有限公司发起人、股东虚假出资数额占其认缴出资数额5%以上10%以下的。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6B06932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w:t>
            </w:r>
            <w:r>
              <w:rPr>
                <w:rFonts w:hint="eastAsia" w:ascii="宋体" w:hAnsi="宋体" w:cs="宋体"/>
                <w:i w:val="0"/>
                <w:color w:val="000000"/>
                <w:kern w:val="0"/>
                <w:sz w:val="24"/>
                <w:szCs w:val="24"/>
                <w:u w:val="none"/>
                <w:lang w:val="en-US" w:eastAsia="zh-CN" w:bidi="ar"/>
              </w:rPr>
              <w:t>9</w:t>
            </w:r>
            <w:r>
              <w:rPr>
                <w:rFonts w:hint="eastAsia" w:ascii="宋体" w:hAnsi="宋体" w:eastAsia="宋体" w:cs="宋体"/>
                <w:i w:val="0"/>
                <w:color w:val="000000"/>
                <w:kern w:val="0"/>
                <w:sz w:val="24"/>
                <w:szCs w:val="24"/>
                <w:u w:val="none"/>
                <w:lang w:val="en-US" w:eastAsia="zh-CN" w:bidi="ar"/>
              </w:rPr>
              <w:t>.5万元以上</w:t>
            </w:r>
            <w:r>
              <w:rPr>
                <w:rFonts w:hint="eastAsia" w:ascii="宋体" w:hAnsi="宋体" w:cs="宋体"/>
                <w:i w:val="0"/>
                <w:color w:val="000000"/>
                <w:kern w:val="0"/>
                <w:sz w:val="24"/>
                <w:szCs w:val="24"/>
                <w:u w:val="none"/>
                <w:lang w:val="en-US" w:eastAsia="zh-CN" w:bidi="ar"/>
              </w:rPr>
              <w:t>15.5</w:t>
            </w:r>
            <w:r>
              <w:rPr>
                <w:rFonts w:hint="eastAsia" w:ascii="宋体" w:hAnsi="宋体" w:eastAsia="宋体" w:cs="宋体"/>
                <w:i w:val="0"/>
                <w:color w:val="000000"/>
                <w:kern w:val="0"/>
                <w:sz w:val="24"/>
                <w:szCs w:val="24"/>
                <w:u w:val="none"/>
                <w:lang w:val="en-US" w:eastAsia="zh-CN" w:bidi="ar"/>
              </w:rPr>
              <w:t>万元以下的罚款</w:t>
            </w:r>
            <w:r>
              <w:rPr>
                <w:rFonts w:hint="eastAsia" w:ascii="宋体" w:hAnsi="宋体" w:cs="宋体"/>
                <w:i w:val="0"/>
                <w:color w:val="000000"/>
                <w:kern w:val="0"/>
                <w:sz w:val="24"/>
                <w:szCs w:val="24"/>
                <w:u w:val="none"/>
                <w:lang w:val="en-US" w:eastAsia="zh-CN" w:bidi="ar"/>
              </w:rPr>
              <w:t>；对相关人员处以</w:t>
            </w:r>
            <w:r>
              <w:rPr>
                <w:rFonts w:hint="eastAsia" w:ascii="宋体" w:hAnsi="宋体" w:eastAsia="宋体" w:cs="宋体"/>
                <w:i w:val="0"/>
                <w:color w:val="000000"/>
                <w:kern w:val="0"/>
                <w:sz w:val="24"/>
                <w:szCs w:val="24"/>
                <w:u w:val="none"/>
                <w:lang w:val="en-US" w:eastAsia="zh-CN" w:bidi="ar"/>
              </w:rPr>
              <w:t>3.7万元以上</w:t>
            </w:r>
            <w:r>
              <w:rPr>
                <w:rFonts w:hint="eastAsia" w:ascii="宋体" w:hAnsi="宋体" w:cs="宋体"/>
                <w:i w:val="0"/>
                <w:color w:val="000000"/>
                <w:kern w:val="0"/>
                <w:sz w:val="24"/>
                <w:szCs w:val="24"/>
                <w:u w:val="none"/>
                <w:lang w:val="en-US" w:eastAsia="zh-CN" w:bidi="ar"/>
              </w:rPr>
              <w:t>5.5</w:t>
            </w:r>
            <w:r>
              <w:rPr>
                <w:rFonts w:hint="eastAsia" w:ascii="宋体" w:hAnsi="宋体" w:eastAsia="宋体" w:cs="宋体"/>
                <w:i w:val="0"/>
                <w:color w:val="000000"/>
                <w:kern w:val="0"/>
                <w:sz w:val="24"/>
                <w:szCs w:val="24"/>
                <w:u w:val="none"/>
                <w:lang w:val="en-US" w:eastAsia="zh-CN" w:bidi="ar"/>
              </w:rPr>
              <w:t>万元以下罚款。</w:t>
            </w:r>
          </w:p>
        </w:tc>
      </w:tr>
      <w:tr w14:paraId="129F3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7"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E89B8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1F21C2">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955B05">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7C06DB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156B568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有下列情形之一的：</w:t>
            </w:r>
          </w:p>
          <w:p w14:paraId="5DB17EAE">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(1)</w:t>
            </w:r>
            <w:r>
              <w:rPr>
                <w:rFonts w:hint="eastAsia" w:ascii="宋体" w:hAnsi="宋体" w:eastAsia="宋体" w:cs="宋体"/>
                <w:i w:val="0"/>
                <w:color w:val="000000"/>
                <w:kern w:val="0"/>
                <w:sz w:val="24"/>
                <w:szCs w:val="24"/>
                <w:u w:val="none"/>
                <w:lang w:val="en-US" w:eastAsia="zh-CN" w:bidi="ar"/>
              </w:rPr>
              <w:t>有限责任公司股东虚假出资数额占其认缴出资额30%以上50%以下的；</w:t>
            </w:r>
          </w:p>
          <w:p w14:paraId="2C3A3055">
            <w:pPr>
              <w:keepNext w:val="0"/>
              <w:keepLines w:val="0"/>
              <w:pageBreakBefore w:val="0"/>
              <w:widowControl/>
              <w:numPr>
                <w:ilvl w:val="-1"/>
                <w:numId w:val="0"/>
              </w:numPr>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(2)</w:t>
            </w:r>
            <w:r>
              <w:rPr>
                <w:rFonts w:hint="eastAsia" w:ascii="宋体" w:hAnsi="宋体" w:eastAsia="宋体" w:cs="宋体"/>
                <w:i w:val="0"/>
                <w:color w:val="000000"/>
                <w:kern w:val="0"/>
                <w:sz w:val="24"/>
                <w:szCs w:val="24"/>
                <w:u w:val="none"/>
                <w:lang w:val="en-US" w:eastAsia="zh-CN" w:bidi="ar"/>
              </w:rPr>
              <w:t>股份有限公司发起人、股东虚假出资数额占其认缴出资数额10%以上20%以下的。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62379C5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处以1</w:t>
            </w:r>
            <w:r>
              <w:rPr>
                <w:rFonts w:hint="eastAsia" w:ascii="宋体" w:hAnsi="宋体" w:cs="宋体"/>
                <w:i w:val="0"/>
                <w:color w:val="000000"/>
                <w:kern w:val="0"/>
                <w:sz w:val="24"/>
                <w:szCs w:val="24"/>
                <w:u w:val="none"/>
                <w:lang w:val="en-US" w:eastAsia="zh-CN" w:bidi="ar"/>
              </w:rPr>
              <w:t>5</w:t>
            </w:r>
            <w:r>
              <w:rPr>
                <w:rFonts w:hint="eastAsia" w:ascii="宋体" w:hAnsi="宋体" w:eastAsia="宋体" w:cs="宋体"/>
                <w:i w:val="0"/>
                <w:color w:val="000000"/>
                <w:kern w:val="0"/>
                <w:sz w:val="24"/>
                <w:szCs w:val="24"/>
                <w:u w:val="none"/>
                <w:lang w:val="en-US" w:eastAsia="zh-CN" w:bidi="ar"/>
              </w:rPr>
              <w:t>.5万元以上20万元以下的罚款</w:t>
            </w:r>
            <w:r>
              <w:rPr>
                <w:rFonts w:hint="eastAsia" w:ascii="宋体" w:hAnsi="宋体" w:cs="宋体"/>
                <w:i w:val="0"/>
                <w:color w:val="000000"/>
                <w:kern w:val="0"/>
                <w:sz w:val="24"/>
                <w:szCs w:val="24"/>
                <w:u w:val="none"/>
                <w:lang w:val="en-US" w:eastAsia="zh-CN" w:bidi="ar"/>
              </w:rPr>
              <w:t>；对相关人员处以5.5</w:t>
            </w:r>
            <w:r>
              <w:rPr>
                <w:rFonts w:hint="eastAsia" w:ascii="宋体" w:hAnsi="宋体" w:eastAsia="宋体" w:cs="宋体"/>
                <w:i w:val="0"/>
                <w:color w:val="000000"/>
                <w:kern w:val="0"/>
                <w:sz w:val="24"/>
                <w:szCs w:val="24"/>
                <w:u w:val="none"/>
                <w:lang w:val="en-US" w:eastAsia="zh-CN" w:bidi="ar"/>
              </w:rPr>
              <w:t>万元以上</w:t>
            </w:r>
            <w:r>
              <w:rPr>
                <w:rFonts w:hint="eastAsia" w:ascii="宋体" w:hAnsi="宋体" w:cs="宋体"/>
                <w:i w:val="0"/>
                <w:color w:val="000000"/>
                <w:kern w:val="0"/>
                <w:sz w:val="24"/>
                <w:szCs w:val="24"/>
                <w:u w:val="none"/>
                <w:lang w:val="en-US" w:eastAsia="zh-CN" w:bidi="ar"/>
              </w:rPr>
              <w:t>7.3</w:t>
            </w:r>
            <w:r>
              <w:rPr>
                <w:rFonts w:hint="eastAsia" w:ascii="宋体" w:hAnsi="宋体" w:eastAsia="宋体" w:cs="宋体"/>
                <w:i w:val="0"/>
                <w:color w:val="000000"/>
                <w:kern w:val="0"/>
                <w:sz w:val="24"/>
                <w:szCs w:val="24"/>
                <w:u w:val="none"/>
                <w:lang w:val="en-US" w:eastAsia="zh-CN" w:bidi="ar"/>
              </w:rPr>
              <w:t>万元以下罚款。</w:t>
            </w:r>
          </w:p>
        </w:tc>
      </w:tr>
      <w:tr w14:paraId="544A4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7"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C84C0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327E7A">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4B5D1E">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01CEBF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62D92B92">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有下列情形之一的：</w:t>
            </w:r>
          </w:p>
          <w:p w14:paraId="219F5CC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(1)</w:t>
            </w:r>
            <w:r>
              <w:rPr>
                <w:rFonts w:hint="eastAsia" w:ascii="宋体" w:hAnsi="宋体" w:eastAsia="宋体" w:cs="宋体"/>
                <w:i w:val="0"/>
                <w:color w:val="000000"/>
                <w:kern w:val="0"/>
                <w:sz w:val="24"/>
                <w:szCs w:val="24"/>
                <w:u w:val="none"/>
                <w:lang w:val="en-US" w:eastAsia="zh-CN" w:bidi="ar"/>
              </w:rPr>
              <w:t>有限责任公司股东虚假出资数额占其认缴出资额</w:t>
            </w:r>
            <w:r>
              <w:rPr>
                <w:rFonts w:hint="eastAsia" w:ascii="宋体" w:hAnsi="宋体" w:cs="宋体"/>
                <w:i w:val="0"/>
                <w:color w:val="000000"/>
                <w:kern w:val="0"/>
                <w:sz w:val="24"/>
                <w:szCs w:val="24"/>
                <w:u w:val="none"/>
                <w:lang w:val="en-US" w:eastAsia="zh-CN" w:bidi="ar"/>
              </w:rPr>
              <w:t>5</w:t>
            </w:r>
            <w:r>
              <w:rPr>
                <w:rFonts w:hint="eastAsia" w:ascii="宋体" w:hAnsi="宋体" w:eastAsia="宋体" w:cs="宋体"/>
                <w:i w:val="0"/>
                <w:color w:val="000000"/>
                <w:kern w:val="0"/>
                <w:sz w:val="24"/>
                <w:szCs w:val="24"/>
                <w:u w:val="none"/>
                <w:lang w:val="en-US" w:eastAsia="zh-CN" w:bidi="ar"/>
              </w:rPr>
              <w:t>0%以上</w:t>
            </w:r>
            <w:r>
              <w:rPr>
                <w:rFonts w:hint="eastAsia" w:ascii="宋体" w:hAnsi="宋体" w:cs="宋体"/>
                <w:i w:val="0"/>
                <w:color w:val="000000"/>
                <w:kern w:val="0"/>
                <w:sz w:val="24"/>
                <w:szCs w:val="24"/>
                <w:u w:val="none"/>
                <w:lang w:val="en-US" w:eastAsia="zh-CN" w:bidi="ar"/>
              </w:rPr>
              <w:t>7</w:t>
            </w:r>
            <w:r>
              <w:rPr>
                <w:rFonts w:hint="eastAsia" w:ascii="宋体" w:hAnsi="宋体" w:eastAsia="宋体" w:cs="宋体"/>
                <w:i w:val="0"/>
                <w:color w:val="000000"/>
                <w:kern w:val="0"/>
                <w:sz w:val="24"/>
                <w:szCs w:val="24"/>
                <w:u w:val="none"/>
                <w:lang w:val="en-US" w:eastAsia="zh-CN" w:bidi="ar"/>
              </w:rPr>
              <w:t>0%以下的；</w:t>
            </w:r>
          </w:p>
          <w:p w14:paraId="76E985BB">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(2)</w:t>
            </w:r>
            <w:r>
              <w:rPr>
                <w:rFonts w:hint="eastAsia" w:ascii="宋体" w:hAnsi="宋体" w:eastAsia="宋体" w:cs="宋体"/>
                <w:i w:val="0"/>
                <w:color w:val="000000"/>
                <w:kern w:val="0"/>
                <w:sz w:val="24"/>
                <w:szCs w:val="24"/>
                <w:u w:val="none"/>
                <w:lang w:val="en-US" w:eastAsia="zh-CN" w:bidi="ar"/>
              </w:rPr>
              <w:t>股份有限公司发起人、股东虚假出资数额占其认缴出资数额</w:t>
            </w:r>
            <w:r>
              <w:rPr>
                <w:rFonts w:hint="eastAsia" w:ascii="宋体" w:hAnsi="宋体" w:cs="宋体"/>
                <w:i w:val="0"/>
                <w:color w:val="000000"/>
                <w:kern w:val="0"/>
                <w:sz w:val="24"/>
                <w:szCs w:val="24"/>
                <w:u w:val="none"/>
                <w:lang w:val="en-US" w:eastAsia="zh-CN" w:bidi="ar"/>
              </w:rPr>
              <w:t>2</w:t>
            </w:r>
            <w:r>
              <w:rPr>
                <w:rFonts w:hint="eastAsia" w:ascii="宋体" w:hAnsi="宋体" w:eastAsia="宋体" w:cs="宋体"/>
                <w:i w:val="0"/>
                <w:color w:val="000000"/>
                <w:kern w:val="0"/>
                <w:sz w:val="24"/>
                <w:szCs w:val="24"/>
                <w:u w:val="none"/>
                <w:lang w:val="en-US" w:eastAsia="zh-CN" w:bidi="ar"/>
              </w:rPr>
              <w:t>0%以上</w:t>
            </w:r>
            <w:r>
              <w:rPr>
                <w:rFonts w:hint="eastAsia" w:ascii="宋体" w:hAnsi="宋体" w:cs="宋体"/>
                <w:i w:val="0"/>
                <w:color w:val="000000"/>
                <w:kern w:val="0"/>
                <w:sz w:val="24"/>
                <w:szCs w:val="24"/>
                <w:u w:val="none"/>
                <w:lang w:val="en-US" w:eastAsia="zh-CN" w:bidi="ar"/>
              </w:rPr>
              <w:t>3</w:t>
            </w:r>
            <w:r>
              <w:rPr>
                <w:rFonts w:hint="eastAsia" w:ascii="宋体" w:hAnsi="宋体" w:eastAsia="宋体" w:cs="宋体"/>
                <w:i w:val="0"/>
                <w:color w:val="000000"/>
                <w:kern w:val="0"/>
                <w:sz w:val="24"/>
                <w:szCs w:val="24"/>
                <w:u w:val="none"/>
                <w:lang w:val="en-US" w:eastAsia="zh-CN" w:bidi="ar"/>
              </w:rPr>
              <w:t>0%以下的。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1DEC233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处以虚假出资或未出资金额5%以上10%以下的罚款</w:t>
            </w:r>
            <w:r>
              <w:rPr>
                <w:rFonts w:hint="eastAsia" w:ascii="宋体" w:hAnsi="宋体" w:cs="宋体"/>
                <w:i w:val="0"/>
                <w:color w:val="000000"/>
                <w:kern w:val="0"/>
                <w:sz w:val="24"/>
                <w:szCs w:val="24"/>
                <w:u w:val="none"/>
                <w:lang w:val="en-US" w:eastAsia="zh-CN" w:bidi="ar"/>
              </w:rPr>
              <w:t>；对相关人员处以</w:t>
            </w:r>
            <w:r>
              <w:rPr>
                <w:rFonts w:hint="eastAsia" w:ascii="宋体" w:hAnsi="宋体" w:eastAsia="宋体" w:cs="宋体"/>
                <w:i w:val="0"/>
                <w:color w:val="000000"/>
                <w:kern w:val="0"/>
                <w:sz w:val="24"/>
                <w:szCs w:val="24"/>
                <w:u w:val="none"/>
                <w:lang w:val="en-US" w:eastAsia="zh-CN" w:bidi="ar"/>
              </w:rPr>
              <w:t>7.3万元以上</w:t>
            </w:r>
            <w:r>
              <w:rPr>
                <w:rFonts w:hint="eastAsia" w:ascii="宋体" w:hAnsi="宋体" w:cs="宋体"/>
                <w:i w:val="0"/>
                <w:color w:val="000000"/>
                <w:kern w:val="0"/>
                <w:sz w:val="24"/>
                <w:szCs w:val="24"/>
                <w:u w:val="none"/>
                <w:lang w:val="en-US" w:eastAsia="zh-CN" w:bidi="ar"/>
              </w:rPr>
              <w:t>8.65</w:t>
            </w:r>
            <w:r>
              <w:rPr>
                <w:rFonts w:hint="eastAsia" w:ascii="宋体" w:hAnsi="宋体" w:eastAsia="宋体" w:cs="宋体"/>
                <w:i w:val="0"/>
                <w:color w:val="000000"/>
                <w:kern w:val="0"/>
                <w:sz w:val="24"/>
                <w:szCs w:val="24"/>
                <w:u w:val="none"/>
                <w:lang w:val="en-US" w:eastAsia="zh-CN" w:bidi="ar"/>
              </w:rPr>
              <w:t>万元以下罚款。</w:t>
            </w:r>
          </w:p>
        </w:tc>
      </w:tr>
      <w:tr w14:paraId="20D3B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4"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0D9E40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32D265">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5F73C8">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271972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特别严重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56F3B17">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有下列情形之一的：</w:t>
            </w:r>
          </w:p>
          <w:p w14:paraId="6A0B480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(1)</w:t>
            </w:r>
            <w:r>
              <w:rPr>
                <w:rFonts w:hint="eastAsia" w:ascii="宋体" w:hAnsi="宋体" w:eastAsia="宋体" w:cs="宋体"/>
                <w:i w:val="0"/>
                <w:color w:val="000000"/>
                <w:kern w:val="0"/>
                <w:sz w:val="24"/>
                <w:szCs w:val="24"/>
                <w:u w:val="none"/>
                <w:lang w:val="en-US" w:eastAsia="zh-CN" w:bidi="ar"/>
              </w:rPr>
              <w:t>有限责任公司股东虚假出资数额占其认缴出资额</w:t>
            </w:r>
            <w:r>
              <w:rPr>
                <w:rFonts w:hint="eastAsia" w:ascii="宋体" w:hAnsi="宋体" w:cs="宋体"/>
                <w:i w:val="0"/>
                <w:color w:val="000000"/>
                <w:kern w:val="0"/>
                <w:sz w:val="24"/>
                <w:szCs w:val="24"/>
                <w:u w:val="none"/>
                <w:lang w:val="en-US" w:eastAsia="zh-CN" w:bidi="ar"/>
              </w:rPr>
              <w:t>7</w:t>
            </w:r>
            <w:r>
              <w:rPr>
                <w:rFonts w:hint="eastAsia" w:ascii="宋体" w:hAnsi="宋体" w:eastAsia="宋体" w:cs="宋体"/>
                <w:i w:val="0"/>
                <w:color w:val="000000"/>
                <w:kern w:val="0"/>
                <w:sz w:val="24"/>
                <w:szCs w:val="24"/>
                <w:u w:val="none"/>
                <w:lang w:val="en-US" w:eastAsia="zh-CN" w:bidi="ar"/>
              </w:rPr>
              <w:t>0%以上的；</w:t>
            </w:r>
          </w:p>
          <w:p w14:paraId="1D364EB8">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(2)</w:t>
            </w:r>
            <w:r>
              <w:rPr>
                <w:rFonts w:hint="eastAsia" w:ascii="宋体" w:hAnsi="宋体" w:eastAsia="宋体" w:cs="宋体"/>
                <w:i w:val="0"/>
                <w:color w:val="000000"/>
                <w:kern w:val="0"/>
                <w:sz w:val="24"/>
                <w:szCs w:val="24"/>
                <w:u w:val="none"/>
                <w:lang w:val="en-US" w:eastAsia="zh-CN" w:bidi="ar"/>
              </w:rPr>
              <w:t>股份有限公司发起人、股东虚假出资数额占其认缴出资数额</w:t>
            </w:r>
            <w:r>
              <w:rPr>
                <w:rFonts w:hint="eastAsia" w:ascii="宋体" w:hAnsi="宋体" w:cs="宋体"/>
                <w:i w:val="0"/>
                <w:color w:val="000000"/>
                <w:kern w:val="0"/>
                <w:sz w:val="24"/>
                <w:szCs w:val="24"/>
                <w:u w:val="none"/>
                <w:lang w:val="en-US" w:eastAsia="zh-CN" w:bidi="ar"/>
              </w:rPr>
              <w:t>3</w:t>
            </w:r>
            <w:r>
              <w:rPr>
                <w:rFonts w:hint="eastAsia" w:ascii="宋体" w:hAnsi="宋体" w:eastAsia="宋体" w:cs="宋体"/>
                <w:i w:val="0"/>
                <w:color w:val="000000"/>
                <w:kern w:val="0"/>
                <w:sz w:val="24"/>
                <w:szCs w:val="24"/>
                <w:u w:val="none"/>
                <w:lang w:val="en-US" w:eastAsia="zh-CN" w:bidi="ar"/>
              </w:rPr>
              <w:t>0%以上的。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6CB103A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处以虚假出资或未出资金额10%以上15%以下的罚款</w:t>
            </w:r>
            <w:r>
              <w:rPr>
                <w:rFonts w:hint="eastAsia" w:ascii="宋体" w:hAnsi="宋体" w:cs="宋体"/>
                <w:i w:val="0"/>
                <w:color w:val="000000"/>
                <w:kern w:val="0"/>
                <w:sz w:val="24"/>
                <w:szCs w:val="24"/>
                <w:u w:val="none"/>
                <w:lang w:val="en-US" w:eastAsia="zh-CN" w:bidi="ar"/>
              </w:rPr>
              <w:t>；对相关人员处以8.65</w:t>
            </w:r>
            <w:r>
              <w:rPr>
                <w:rFonts w:hint="eastAsia" w:ascii="宋体" w:hAnsi="宋体" w:eastAsia="宋体" w:cs="宋体"/>
                <w:i w:val="0"/>
                <w:color w:val="000000"/>
                <w:kern w:val="0"/>
                <w:sz w:val="24"/>
                <w:szCs w:val="24"/>
                <w:u w:val="none"/>
                <w:lang w:val="en-US" w:eastAsia="zh-CN" w:bidi="ar"/>
              </w:rPr>
              <w:t>万元以上10万元以下罚款。</w:t>
            </w:r>
          </w:p>
        </w:tc>
      </w:tr>
      <w:tr w14:paraId="2D1A2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05B01A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7</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3017A81C">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《中华人民共和国公司法》</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38D38CD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第二百五十三条</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公司的发起人、股东在公司成立后，抽逃其出资的，由公司登记机关责令改正，处以所抽逃出资金额百分之五以上百分之十五以下的罚款；对直接负责的主管人员和其他直接责任人员处以三万元以上三十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B8454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A9E9DE4">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有下列情形之一的：</w:t>
            </w:r>
          </w:p>
          <w:p w14:paraId="35CB531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(1)</w:t>
            </w:r>
            <w:r>
              <w:rPr>
                <w:rFonts w:hint="eastAsia" w:ascii="宋体" w:hAnsi="宋体" w:eastAsia="宋体" w:cs="宋体"/>
                <w:i w:val="0"/>
                <w:color w:val="000000"/>
                <w:kern w:val="0"/>
                <w:sz w:val="24"/>
                <w:szCs w:val="24"/>
                <w:u w:val="none"/>
                <w:lang w:val="en-US" w:eastAsia="zh-CN" w:bidi="ar"/>
              </w:rPr>
              <w:t>有限责任公司股东抽逃出资数额占其认缴出额10%以下，或者未给公司、股东、债权人造成直接经济损失的；</w:t>
            </w:r>
          </w:p>
          <w:p w14:paraId="31AD12F0">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(2)</w:t>
            </w:r>
            <w:r>
              <w:rPr>
                <w:rFonts w:hint="eastAsia" w:ascii="宋体" w:hAnsi="宋体" w:eastAsia="宋体" w:cs="宋体"/>
                <w:i w:val="0"/>
                <w:color w:val="000000"/>
                <w:kern w:val="0"/>
                <w:sz w:val="24"/>
                <w:szCs w:val="24"/>
                <w:u w:val="none"/>
                <w:lang w:val="en-US" w:eastAsia="zh-CN" w:bidi="ar"/>
              </w:rPr>
              <w:t>股份有限公司发起人、股东抽逃出资数额占其认缴出资数额5%以下，或者未给公司、股东、债权人造成直接经济损失的。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BB025A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处以抽逃出资额5%的罚款</w:t>
            </w:r>
            <w:r>
              <w:rPr>
                <w:rFonts w:hint="eastAsia" w:ascii="宋体" w:hAnsi="宋体" w:cs="宋体"/>
                <w:i w:val="0"/>
                <w:color w:val="000000"/>
                <w:kern w:val="0"/>
                <w:sz w:val="24"/>
                <w:szCs w:val="24"/>
                <w:u w:val="none"/>
                <w:lang w:val="en-US" w:eastAsia="zh-CN" w:bidi="ar"/>
              </w:rPr>
              <w:t>；对相关人员</w:t>
            </w:r>
            <w:r>
              <w:rPr>
                <w:rFonts w:hint="eastAsia" w:ascii="宋体" w:hAnsi="宋体" w:eastAsia="宋体" w:cs="宋体"/>
                <w:i w:val="0"/>
                <w:color w:val="000000"/>
                <w:kern w:val="0"/>
                <w:sz w:val="24"/>
                <w:szCs w:val="24"/>
                <w:u w:val="none"/>
                <w:lang w:val="en-US" w:eastAsia="zh-CN" w:bidi="ar"/>
              </w:rPr>
              <w:t>处以3万元以上11.1万元以下的罚款。</w:t>
            </w:r>
          </w:p>
        </w:tc>
      </w:tr>
      <w:tr w14:paraId="56797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6"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EAA4C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DE5099B">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72F1C19">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BE57F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198350EC">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有下列情形之一的：</w:t>
            </w:r>
          </w:p>
          <w:p w14:paraId="5EEBDB8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(1)</w:t>
            </w:r>
            <w:r>
              <w:rPr>
                <w:rFonts w:hint="eastAsia" w:ascii="宋体" w:hAnsi="宋体" w:eastAsia="宋体" w:cs="宋体"/>
                <w:i w:val="0"/>
                <w:color w:val="000000"/>
                <w:kern w:val="0"/>
                <w:sz w:val="24"/>
                <w:szCs w:val="24"/>
                <w:u w:val="none"/>
                <w:lang w:val="en-US" w:eastAsia="zh-CN" w:bidi="ar"/>
              </w:rPr>
              <w:t>有限责任公司股东抽逃出资数额占其认缴出额10%以上30%以下的；</w:t>
            </w:r>
          </w:p>
          <w:p w14:paraId="62772A25">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(2)</w:t>
            </w:r>
            <w:r>
              <w:rPr>
                <w:rFonts w:hint="eastAsia" w:ascii="宋体" w:hAnsi="宋体" w:eastAsia="宋体" w:cs="宋体"/>
                <w:i w:val="0"/>
                <w:color w:val="000000"/>
                <w:kern w:val="0"/>
                <w:sz w:val="24"/>
                <w:szCs w:val="24"/>
                <w:u w:val="none"/>
                <w:lang w:val="en-US" w:eastAsia="zh-CN" w:bidi="ar"/>
              </w:rPr>
              <w:t>股份有限公司发起人、股东抽逃出资数额占其认缴出资数额5%以上10%以下的。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51BFC4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处以抽逃出资额5%以上7%以下的罚款</w:t>
            </w:r>
            <w:r>
              <w:rPr>
                <w:rFonts w:hint="eastAsia" w:ascii="宋体" w:hAnsi="宋体" w:cs="宋体"/>
                <w:i w:val="0"/>
                <w:color w:val="000000"/>
                <w:kern w:val="0"/>
                <w:sz w:val="24"/>
                <w:szCs w:val="24"/>
                <w:u w:val="none"/>
                <w:lang w:val="en-US" w:eastAsia="zh-CN" w:bidi="ar"/>
              </w:rPr>
              <w:t>；对相关人员</w:t>
            </w:r>
            <w:r>
              <w:rPr>
                <w:rFonts w:hint="eastAsia" w:ascii="宋体" w:hAnsi="宋体" w:eastAsia="宋体" w:cs="宋体"/>
                <w:i w:val="0"/>
                <w:color w:val="000000"/>
                <w:kern w:val="0"/>
                <w:sz w:val="24"/>
                <w:szCs w:val="24"/>
                <w:u w:val="none"/>
                <w:lang w:val="en-US" w:eastAsia="zh-CN" w:bidi="ar"/>
              </w:rPr>
              <w:t>处以11.1万元以上</w:t>
            </w:r>
            <w:r>
              <w:rPr>
                <w:rFonts w:hint="eastAsia" w:ascii="宋体" w:hAnsi="宋体" w:cs="宋体"/>
                <w:i w:val="0"/>
                <w:color w:val="000000"/>
                <w:kern w:val="0"/>
                <w:sz w:val="24"/>
                <w:szCs w:val="24"/>
                <w:u w:val="none"/>
                <w:lang w:val="en-US" w:eastAsia="zh-CN" w:bidi="ar"/>
              </w:rPr>
              <w:t>16.5</w:t>
            </w:r>
            <w:r>
              <w:rPr>
                <w:rFonts w:hint="eastAsia" w:ascii="宋体" w:hAnsi="宋体" w:eastAsia="宋体" w:cs="宋体"/>
                <w:i w:val="0"/>
                <w:color w:val="000000"/>
                <w:kern w:val="0"/>
                <w:sz w:val="24"/>
                <w:szCs w:val="24"/>
                <w:u w:val="none"/>
                <w:lang w:val="en-US" w:eastAsia="zh-CN" w:bidi="ar"/>
              </w:rPr>
              <w:t>万元以下的罚款。</w:t>
            </w:r>
          </w:p>
        </w:tc>
      </w:tr>
      <w:tr w14:paraId="5AE14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3"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022AD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0FA4E3">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C21178">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6F96C4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17E5F675">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有下列情形之一的：</w:t>
            </w:r>
          </w:p>
          <w:p w14:paraId="0B0946E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(1)</w:t>
            </w:r>
            <w:r>
              <w:rPr>
                <w:rFonts w:hint="eastAsia" w:ascii="宋体" w:hAnsi="宋体" w:eastAsia="宋体" w:cs="宋体"/>
                <w:i w:val="0"/>
                <w:color w:val="000000"/>
                <w:kern w:val="0"/>
                <w:sz w:val="24"/>
                <w:szCs w:val="24"/>
                <w:u w:val="none"/>
                <w:lang w:val="en-US" w:eastAsia="zh-CN" w:bidi="ar"/>
              </w:rPr>
              <w:t>有限责任公司股东抽逃出资数额占其认缴出额30%以上50%以下的；</w:t>
            </w:r>
          </w:p>
          <w:p w14:paraId="4077B307">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(2)</w:t>
            </w:r>
            <w:r>
              <w:rPr>
                <w:rFonts w:hint="eastAsia" w:ascii="宋体" w:hAnsi="宋体" w:eastAsia="宋体" w:cs="宋体"/>
                <w:i w:val="0"/>
                <w:color w:val="000000"/>
                <w:kern w:val="0"/>
                <w:sz w:val="24"/>
                <w:szCs w:val="24"/>
                <w:u w:val="none"/>
                <w:lang w:val="en-US" w:eastAsia="zh-CN" w:bidi="ar"/>
              </w:rPr>
              <w:t>股份有限公司发起人、股东抽逃出资数额占其认缴出资数额10%以上20%以下的。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4515B47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处以抽逃出资额7%以上10%的罚款</w:t>
            </w:r>
            <w:r>
              <w:rPr>
                <w:rFonts w:hint="eastAsia" w:ascii="宋体" w:hAnsi="宋体" w:cs="宋体"/>
                <w:i w:val="0"/>
                <w:color w:val="000000"/>
                <w:kern w:val="0"/>
                <w:sz w:val="24"/>
                <w:szCs w:val="24"/>
                <w:u w:val="none"/>
                <w:lang w:val="en-US" w:eastAsia="zh-CN" w:bidi="ar"/>
              </w:rPr>
              <w:t>；对相关人员</w:t>
            </w:r>
            <w:r>
              <w:rPr>
                <w:rFonts w:hint="eastAsia" w:ascii="宋体" w:hAnsi="宋体" w:eastAsia="宋体" w:cs="宋体"/>
                <w:i w:val="0"/>
                <w:color w:val="000000"/>
                <w:kern w:val="0"/>
                <w:sz w:val="24"/>
                <w:szCs w:val="24"/>
                <w:u w:val="none"/>
                <w:lang w:val="en-US" w:eastAsia="zh-CN" w:bidi="ar"/>
              </w:rPr>
              <w:t>处以1</w:t>
            </w:r>
            <w:r>
              <w:rPr>
                <w:rFonts w:hint="eastAsia" w:ascii="宋体" w:hAnsi="宋体" w:cs="宋体"/>
                <w:i w:val="0"/>
                <w:color w:val="000000"/>
                <w:kern w:val="0"/>
                <w:sz w:val="24"/>
                <w:szCs w:val="24"/>
                <w:u w:val="none"/>
                <w:lang w:val="en-US" w:eastAsia="zh-CN" w:bidi="ar"/>
              </w:rPr>
              <w:t>6</w:t>
            </w:r>
            <w:r>
              <w:rPr>
                <w:rFonts w:hint="eastAsia" w:ascii="宋体" w:hAnsi="宋体" w:eastAsia="宋体" w:cs="宋体"/>
                <w:i w:val="0"/>
                <w:color w:val="000000"/>
                <w:kern w:val="0"/>
                <w:sz w:val="24"/>
                <w:szCs w:val="24"/>
                <w:u w:val="none"/>
                <w:lang w:val="en-US" w:eastAsia="zh-CN" w:bidi="ar"/>
              </w:rPr>
              <w:t>.</w:t>
            </w:r>
            <w:r>
              <w:rPr>
                <w:rFonts w:hint="eastAsia" w:ascii="宋体" w:hAnsi="宋体" w:cs="宋体"/>
                <w:i w:val="0"/>
                <w:color w:val="000000"/>
                <w:kern w:val="0"/>
                <w:sz w:val="24"/>
                <w:szCs w:val="24"/>
                <w:u w:val="none"/>
                <w:lang w:val="en-US" w:eastAsia="zh-CN" w:bidi="ar"/>
              </w:rPr>
              <w:t>5</w:t>
            </w:r>
            <w:r>
              <w:rPr>
                <w:rFonts w:hint="eastAsia" w:ascii="宋体" w:hAnsi="宋体" w:eastAsia="宋体" w:cs="宋体"/>
                <w:i w:val="0"/>
                <w:color w:val="000000"/>
                <w:kern w:val="0"/>
                <w:sz w:val="24"/>
                <w:szCs w:val="24"/>
                <w:u w:val="none"/>
                <w:lang w:val="en-US" w:eastAsia="zh-CN" w:bidi="ar"/>
              </w:rPr>
              <w:t>万元以上</w:t>
            </w:r>
            <w:r>
              <w:rPr>
                <w:rFonts w:hint="eastAsia" w:ascii="宋体" w:hAnsi="宋体" w:cs="宋体"/>
                <w:i w:val="0"/>
                <w:color w:val="000000"/>
                <w:kern w:val="0"/>
                <w:sz w:val="24"/>
                <w:szCs w:val="24"/>
                <w:u w:val="none"/>
                <w:lang w:val="en-US" w:eastAsia="zh-CN" w:bidi="ar"/>
              </w:rPr>
              <w:t>21.9</w:t>
            </w:r>
            <w:r>
              <w:rPr>
                <w:rFonts w:hint="eastAsia" w:ascii="宋体" w:hAnsi="宋体" w:eastAsia="宋体" w:cs="宋体"/>
                <w:i w:val="0"/>
                <w:color w:val="000000"/>
                <w:kern w:val="0"/>
                <w:sz w:val="24"/>
                <w:szCs w:val="24"/>
                <w:u w:val="none"/>
                <w:lang w:val="en-US" w:eastAsia="zh-CN" w:bidi="ar"/>
              </w:rPr>
              <w:t>万元以下的罚款。</w:t>
            </w:r>
          </w:p>
        </w:tc>
      </w:tr>
      <w:tr w14:paraId="6F470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3"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E9F7B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DE81F13">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EA8C55">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187433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6AB365B">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有下列情形之一的：</w:t>
            </w:r>
          </w:p>
          <w:p w14:paraId="27F2659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(1)</w:t>
            </w:r>
            <w:r>
              <w:rPr>
                <w:rFonts w:hint="eastAsia" w:ascii="宋体" w:hAnsi="宋体" w:eastAsia="宋体" w:cs="宋体"/>
                <w:i w:val="0"/>
                <w:color w:val="000000"/>
                <w:kern w:val="0"/>
                <w:sz w:val="24"/>
                <w:szCs w:val="24"/>
                <w:u w:val="none"/>
                <w:lang w:val="en-US" w:eastAsia="zh-CN" w:bidi="ar"/>
              </w:rPr>
              <w:t>有限责任公司股东抽逃出资数额占其认缴出额50%以上的；</w:t>
            </w:r>
          </w:p>
          <w:p w14:paraId="700BF839">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(2)</w:t>
            </w:r>
            <w:r>
              <w:rPr>
                <w:rFonts w:hint="eastAsia" w:ascii="宋体" w:hAnsi="宋体" w:eastAsia="宋体" w:cs="宋体"/>
                <w:i w:val="0"/>
                <w:color w:val="000000"/>
                <w:kern w:val="0"/>
                <w:sz w:val="24"/>
                <w:szCs w:val="24"/>
                <w:u w:val="none"/>
                <w:lang w:val="en-US" w:eastAsia="zh-CN" w:bidi="ar"/>
              </w:rPr>
              <w:t>股份有限公司发起人、股东抽逃出资数额占其认缴出资数额20%以上的。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CB5492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处以抽逃出资额10%以上15%以下的罚款</w:t>
            </w:r>
            <w:r>
              <w:rPr>
                <w:rFonts w:hint="eastAsia" w:ascii="宋体" w:hAnsi="宋体" w:cs="宋体"/>
                <w:i w:val="0"/>
                <w:color w:val="000000"/>
                <w:kern w:val="0"/>
                <w:sz w:val="24"/>
                <w:szCs w:val="24"/>
                <w:u w:val="none"/>
                <w:lang w:val="en-US" w:eastAsia="zh-CN" w:bidi="ar"/>
              </w:rPr>
              <w:t>；对相关人员</w:t>
            </w:r>
            <w:r>
              <w:rPr>
                <w:rFonts w:hint="eastAsia" w:ascii="宋体" w:hAnsi="宋体" w:eastAsia="宋体" w:cs="宋体"/>
                <w:i w:val="0"/>
                <w:color w:val="000000"/>
                <w:kern w:val="0"/>
                <w:sz w:val="24"/>
                <w:szCs w:val="24"/>
                <w:u w:val="none"/>
                <w:lang w:val="en-US" w:eastAsia="zh-CN" w:bidi="ar"/>
              </w:rPr>
              <w:t>处以21.9万元以上30万元以下的罚款。</w:t>
            </w:r>
          </w:p>
        </w:tc>
      </w:tr>
      <w:tr w14:paraId="38B42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6"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0D9411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8</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733BBD93">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《中华人民共和国公司法》</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1818D47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第二百五十五条</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公司在合并、分立、减少注册资本或者进行清算时，不依照本法规定通知或者公告债权人的，由公司登记机关责令改正，对公司处以一万元以上十万元以下的罚款。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6DE8D9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0186383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逾期</w:t>
            </w:r>
            <w:r>
              <w:rPr>
                <w:rFonts w:hint="eastAsia" w:ascii="宋体" w:hAnsi="宋体" w:cs="宋体"/>
                <w:i w:val="0"/>
                <w:color w:val="000000"/>
                <w:kern w:val="0"/>
                <w:sz w:val="24"/>
                <w:szCs w:val="24"/>
                <w:u w:val="none"/>
                <w:lang w:val="en-US" w:eastAsia="zh-CN" w:bidi="ar"/>
              </w:rPr>
              <w:t>不超过</w:t>
            </w:r>
            <w:r>
              <w:rPr>
                <w:rFonts w:hint="eastAsia" w:ascii="宋体" w:hAnsi="宋体" w:eastAsia="宋体" w:cs="宋体"/>
                <w:i w:val="0"/>
                <w:color w:val="000000"/>
                <w:kern w:val="0"/>
                <w:sz w:val="24"/>
                <w:szCs w:val="24"/>
                <w:u w:val="none"/>
                <w:lang w:val="en-US" w:eastAsia="zh-CN" w:bidi="ar"/>
              </w:rPr>
              <w:t>30日通知或者公告债权人的。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2128B5C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处以1万元罚款。</w:t>
            </w:r>
          </w:p>
        </w:tc>
      </w:tr>
      <w:tr w14:paraId="1AC93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2"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00786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5EEB097">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22E099">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358C57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6D7BA90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逾期30日以上90日以</w:t>
            </w:r>
            <w:r>
              <w:rPr>
                <w:rFonts w:hint="eastAsia" w:ascii="宋体" w:hAnsi="宋体" w:cs="宋体"/>
                <w:i w:val="0"/>
                <w:color w:val="000000"/>
                <w:kern w:val="0"/>
                <w:sz w:val="24"/>
                <w:szCs w:val="24"/>
                <w:u w:val="none"/>
                <w:lang w:val="en-US" w:eastAsia="zh-CN" w:bidi="ar"/>
              </w:rPr>
              <w:t>下</w:t>
            </w:r>
            <w:r>
              <w:rPr>
                <w:rFonts w:hint="eastAsia" w:ascii="宋体" w:hAnsi="宋体" w:eastAsia="宋体" w:cs="宋体"/>
                <w:i w:val="0"/>
                <w:color w:val="000000"/>
                <w:kern w:val="0"/>
                <w:sz w:val="24"/>
                <w:szCs w:val="24"/>
                <w:u w:val="none"/>
                <w:lang w:val="en-US" w:eastAsia="zh-CN" w:bidi="ar"/>
              </w:rPr>
              <w:t>通知或者公告债权人的。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C2FD30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处以1万元以上3万元以下的罚款。</w:t>
            </w:r>
          </w:p>
        </w:tc>
      </w:tr>
      <w:tr w14:paraId="7EA8F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7EE0B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9C1EC94">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C4C0E2">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DF964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641620D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逾期90日以上180日以</w:t>
            </w:r>
            <w:r>
              <w:rPr>
                <w:rFonts w:hint="eastAsia" w:ascii="宋体" w:hAnsi="宋体" w:cs="宋体"/>
                <w:i w:val="0"/>
                <w:color w:val="000000"/>
                <w:kern w:val="0"/>
                <w:sz w:val="24"/>
                <w:szCs w:val="24"/>
                <w:u w:val="none"/>
                <w:lang w:val="en-US" w:eastAsia="zh-CN" w:bidi="ar"/>
              </w:rPr>
              <w:t>下</w:t>
            </w:r>
            <w:r>
              <w:rPr>
                <w:rFonts w:hint="eastAsia" w:ascii="宋体" w:hAnsi="宋体" w:eastAsia="宋体" w:cs="宋体"/>
                <w:i w:val="0"/>
                <w:color w:val="000000"/>
                <w:kern w:val="0"/>
                <w:sz w:val="24"/>
                <w:szCs w:val="24"/>
                <w:u w:val="none"/>
                <w:lang w:val="en-US" w:eastAsia="zh-CN" w:bidi="ar"/>
              </w:rPr>
              <w:t>通知或者公告债权人的。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221FA2B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处以3万元以上5万元以下的罚款。</w:t>
            </w:r>
          </w:p>
        </w:tc>
      </w:tr>
      <w:tr w14:paraId="5671F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3"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70B336">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75C5AF">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D948D4">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252ED1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6800C41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逾期180日以上通知或者公告债权人的，或者涉及债权金额50万元以上的，或者给公司、股东、债权人造成直接经济损失累计数额10万元以上的。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16066356">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对公司</w:t>
            </w:r>
            <w:r>
              <w:rPr>
                <w:rFonts w:hint="eastAsia" w:ascii="宋体" w:hAnsi="宋体" w:eastAsia="宋体" w:cs="宋体"/>
                <w:i w:val="0"/>
                <w:color w:val="000000"/>
                <w:kern w:val="0"/>
                <w:sz w:val="24"/>
                <w:szCs w:val="24"/>
                <w:u w:val="none"/>
                <w:lang w:val="en-US" w:eastAsia="zh-CN" w:bidi="ar"/>
              </w:rPr>
              <w:t>处以5万元以上10万元以下的罚款。</w:t>
            </w:r>
          </w:p>
        </w:tc>
      </w:tr>
      <w:tr w14:paraId="20988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4"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022AED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9</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2F654271">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《中华人民共和国公司法》</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5CACF9C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第二百五十六条</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公司在进行清算时，隐匿财产，对资产负债表或者财产清单作虚假记载，或者在未清偿债务前分配公司财产的，由公司登记机关责令改正，对公司处以隐匿财产或者未清偿债务前分配公司财产金额百分之五以上百分之十以下的罚款；对直接负责的主管人员和其他直接责任人员处以一万元以上十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17C471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6F5E14A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隐匿财产或者未清偿债务前分配公司财产金额在10万元以下的。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107DE24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Style w:val="15"/>
                <w:lang w:val="en-US" w:eastAsia="zh-CN" w:bidi="ar"/>
              </w:rPr>
              <w:t>对公司处以隐匿财产或者未清偿债务前分配公司财产金额的5%以上7%以下的罚款；对</w:t>
            </w:r>
            <w:r>
              <w:rPr>
                <w:rStyle w:val="15"/>
                <w:rFonts w:hint="eastAsia"/>
                <w:lang w:val="en-US" w:eastAsia="zh-CN" w:bidi="ar"/>
              </w:rPr>
              <w:t>相关</w:t>
            </w:r>
            <w:r>
              <w:rPr>
                <w:rStyle w:val="15"/>
                <w:lang w:val="en-US" w:eastAsia="zh-CN" w:bidi="ar"/>
              </w:rPr>
              <w:t>人员处以1万元以上3.7万元以下的罚款。</w:t>
            </w:r>
          </w:p>
        </w:tc>
      </w:tr>
      <w:tr w14:paraId="58D10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0"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8A7032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7D960ED">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782E04">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4C0587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50E449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隐匿财产或者未清偿债务前分配公司财产金额在10万元以上50万元以下的。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16C9C44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对公司处以隐匿财产或者未清偿债务前分配公司财产金额的7%以上9%以下的罚款；对</w:t>
            </w:r>
            <w:r>
              <w:rPr>
                <w:rStyle w:val="15"/>
                <w:rFonts w:hint="eastAsia"/>
                <w:lang w:val="en-US" w:eastAsia="zh-CN" w:bidi="ar"/>
              </w:rPr>
              <w:t>相关</w:t>
            </w:r>
            <w:r>
              <w:rPr>
                <w:rFonts w:hint="eastAsia" w:ascii="宋体" w:hAnsi="宋体" w:eastAsia="宋体" w:cs="宋体"/>
                <w:i w:val="0"/>
                <w:color w:val="000000"/>
                <w:kern w:val="0"/>
                <w:sz w:val="24"/>
                <w:szCs w:val="24"/>
                <w:u w:val="none"/>
                <w:lang w:val="en-US" w:eastAsia="zh-CN" w:bidi="ar"/>
              </w:rPr>
              <w:t>人员</w:t>
            </w:r>
            <w:r>
              <w:rPr>
                <w:rFonts w:hint="eastAsia" w:ascii="宋体" w:hAnsi="宋体" w:eastAsia="宋体" w:cs="宋体"/>
                <w:i w:val="0"/>
                <w:color w:val="000000"/>
                <w:spacing w:val="-6"/>
                <w:kern w:val="0"/>
                <w:sz w:val="24"/>
                <w:szCs w:val="24"/>
                <w:u w:val="none"/>
                <w:lang w:val="en-US" w:eastAsia="zh-CN" w:bidi="ar"/>
              </w:rPr>
              <w:t>处以3.7万元以上7.3万元以下的罚款。</w:t>
            </w:r>
          </w:p>
        </w:tc>
      </w:tr>
      <w:tr w14:paraId="19AB6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3"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396E26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783D1F">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341002">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1F9C7F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2056A1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隐匿财产或者未清偿债务前分配公司财产金额在50万元以上的。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0F18E80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对公司处以隐匿财产或者未清偿债务前分配公司财产金额的9%以上10%以下的罚款；对</w:t>
            </w:r>
            <w:r>
              <w:rPr>
                <w:rStyle w:val="15"/>
                <w:rFonts w:hint="eastAsia"/>
                <w:lang w:val="en-US" w:eastAsia="zh-CN" w:bidi="ar"/>
              </w:rPr>
              <w:t>相关</w:t>
            </w:r>
            <w:r>
              <w:rPr>
                <w:rFonts w:hint="eastAsia" w:ascii="宋体" w:hAnsi="宋体" w:eastAsia="宋体" w:cs="宋体"/>
                <w:i w:val="0"/>
                <w:color w:val="000000"/>
                <w:kern w:val="0"/>
                <w:sz w:val="24"/>
                <w:szCs w:val="24"/>
                <w:u w:val="none"/>
                <w:lang w:val="en-US" w:eastAsia="zh-CN" w:bidi="ar"/>
              </w:rPr>
              <w:t>人员处以7.3万元以上10万元以下的罚款。</w:t>
            </w:r>
          </w:p>
        </w:tc>
      </w:tr>
      <w:tr w14:paraId="01D3B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25D91B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r>
              <w:rPr>
                <w:rFonts w:hint="eastAsia" w:ascii="宋体" w:hAnsi="宋体" w:cs="宋体"/>
                <w:i w:val="0"/>
                <w:color w:val="000000"/>
                <w:kern w:val="0"/>
                <w:sz w:val="24"/>
                <w:szCs w:val="24"/>
                <w:u w:val="none"/>
                <w:lang w:val="en-US" w:eastAsia="zh-CN" w:bidi="ar"/>
              </w:rPr>
              <w:t>0</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51246E50">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《中华人民共和国公司法》</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46DA56F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第二百五十九条</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未依法登记为有限责任公司或者股份有限公司，而冒用有限责任公司或者股份有限公司名义的，或者未依法登记为有限责任公司或者股份有限公司的分公司，而冒用有限责任公司或者股份有限公司的分公司名义的，由公司登记机关责令改正或者予以取缔，可以并处十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4A609F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2930DCA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非法经营额在3万元以下，或者冒用公司或者分公司名义</w:t>
            </w:r>
            <w:r>
              <w:rPr>
                <w:rFonts w:hint="eastAsia" w:ascii="宋体" w:hAnsi="宋体" w:cs="宋体"/>
                <w:i w:val="0"/>
                <w:color w:val="000000"/>
                <w:kern w:val="0"/>
                <w:sz w:val="24"/>
                <w:szCs w:val="24"/>
                <w:u w:val="none"/>
                <w:lang w:val="en-US" w:eastAsia="zh-CN" w:bidi="ar"/>
              </w:rPr>
              <w:t>不超过</w:t>
            </w:r>
            <w:r>
              <w:rPr>
                <w:rFonts w:hint="eastAsia" w:ascii="宋体" w:hAnsi="宋体" w:eastAsia="宋体" w:cs="宋体"/>
                <w:i w:val="0"/>
                <w:color w:val="000000"/>
                <w:kern w:val="0"/>
                <w:sz w:val="24"/>
                <w:szCs w:val="24"/>
                <w:u w:val="none"/>
                <w:lang w:val="en-US" w:eastAsia="zh-CN" w:bidi="ar"/>
              </w:rPr>
              <w:t>1个月的。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74C599C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处以1万元以下罚款。</w:t>
            </w:r>
          </w:p>
        </w:tc>
      </w:tr>
      <w:tr w14:paraId="08FC2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6"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A85BC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C3006A">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6EEB60">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3FCFBF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6BC8E97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非法经营额在3万元以上5万元以下，或冒用公司或者分公司名义1个月以上2个月以</w:t>
            </w:r>
            <w:r>
              <w:rPr>
                <w:rFonts w:hint="eastAsia" w:ascii="宋体" w:hAnsi="宋体" w:cs="宋体"/>
                <w:i w:val="0"/>
                <w:color w:val="000000"/>
                <w:kern w:val="0"/>
                <w:sz w:val="24"/>
                <w:szCs w:val="24"/>
                <w:u w:val="none"/>
                <w:lang w:val="en-US" w:eastAsia="zh-CN" w:bidi="ar"/>
              </w:rPr>
              <w:t>下</w:t>
            </w:r>
            <w:r>
              <w:rPr>
                <w:rFonts w:hint="eastAsia" w:ascii="宋体" w:hAnsi="宋体" w:eastAsia="宋体" w:cs="宋体"/>
                <w:i w:val="0"/>
                <w:color w:val="000000"/>
                <w:kern w:val="0"/>
                <w:sz w:val="24"/>
                <w:szCs w:val="24"/>
                <w:u w:val="none"/>
                <w:lang w:val="en-US" w:eastAsia="zh-CN" w:bidi="ar"/>
              </w:rPr>
              <w:t>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228BD07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处以1万元以上3万元以下罚款。</w:t>
            </w:r>
          </w:p>
        </w:tc>
      </w:tr>
      <w:tr w14:paraId="14486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2"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6474F1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79784A">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93532C">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144ABB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AC9AF4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非法经营额在5万元以上10万元以下，或冒用公司或者分公司名义2个月以上3个月以</w:t>
            </w:r>
            <w:r>
              <w:rPr>
                <w:rFonts w:hint="eastAsia" w:ascii="宋体" w:hAnsi="宋体" w:cs="宋体"/>
                <w:i w:val="0"/>
                <w:color w:val="000000"/>
                <w:kern w:val="0"/>
                <w:sz w:val="24"/>
                <w:szCs w:val="24"/>
                <w:u w:val="none"/>
                <w:lang w:val="en-US" w:eastAsia="zh-CN" w:bidi="ar"/>
              </w:rPr>
              <w:t>下</w:t>
            </w:r>
            <w:r>
              <w:rPr>
                <w:rFonts w:hint="eastAsia" w:ascii="宋体" w:hAnsi="宋体" w:eastAsia="宋体" w:cs="宋体"/>
                <w:i w:val="0"/>
                <w:color w:val="000000"/>
                <w:kern w:val="0"/>
                <w:sz w:val="24"/>
                <w:szCs w:val="24"/>
                <w:u w:val="none"/>
                <w:lang w:val="en-US" w:eastAsia="zh-CN" w:bidi="ar"/>
              </w:rPr>
              <w:t>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449D174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处以3万元以上5万元以下的罚款。</w:t>
            </w:r>
          </w:p>
        </w:tc>
      </w:tr>
      <w:tr w14:paraId="45222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899DC6">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DD0A69">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07F4E0">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0F732E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637671C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非法经营额在10万元以上，或冒用公司或者分公司名义3个月以上的。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1D13D5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处以5万元以上10万元以下的罚款。</w:t>
            </w:r>
          </w:p>
        </w:tc>
      </w:tr>
      <w:tr w14:paraId="66A3D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7"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039BAF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r>
              <w:rPr>
                <w:rFonts w:hint="eastAsia" w:ascii="宋体" w:hAnsi="宋体" w:cs="宋体"/>
                <w:i w:val="0"/>
                <w:color w:val="000000"/>
                <w:kern w:val="0"/>
                <w:sz w:val="24"/>
                <w:szCs w:val="24"/>
                <w:u w:val="none"/>
                <w:lang w:val="en-US" w:eastAsia="zh-CN" w:bidi="ar"/>
              </w:rPr>
              <w:t>1</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0561837B">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《中华人民共和国公司法》</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591948D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第二百六十条第二款</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公司登记事项发生变更时，未依照本法规定办理有关变更登记的，由公司登记机关责令限期登记；逾期不登记的，处以一万元以上十万元以下的罚款。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7CB072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086AC6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逾期90日内未办理的。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1B09546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处以1万元以上3.7万元以下的罚款。</w:t>
            </w:r>
          </w:p>
        </w:tc>
      </w:tr>
      <w:tr w14:paraId="45D99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1205A5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6B09A1">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3653368">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1D9BB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2A386BC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逾期90日以上180日以</w:t>
            </w:r>
            <w:r>
              <w:rPr>
                <w:rFonts w:hint="eastAsia" w:ascii="宋体" w:hAnsi="宋体" w:cs="宋体"/>
                <w:i w:val="0"/>
                <w:color w:val="000000"/>
                <w:kern w:val="0"/>
                <w:sz w:val="24"/>
                <w:szCs w:val="24"/>
                <w:u w:val="none"/>
                <w:lang w:val="en-US" w:eastAsia="zh-CN" w:bidi="ar"/>
              </w:rPr>
              <w:t>下</w:t>
            </w:r>
            <w:r>
              <w:rPr>
                <w:rFonts w:hint="eastAsia" w:ascii="宋体" w:hAnsi="宋体" w:eastAsia="宋体" w:cs="宋体"/>
                <w:i w:val="0"/>
                <w:color w:val="000000"/>
                <w:kern w:val="0"/>
                <w:sz w:val="24"/>
                <w:szCs w:val="24"/>
                <w:u w:val="none"/>
                <w:lang w:val="en-US" w:eastAsia="zh-CN" w:bidi="ar"/>
              </w:rPr>
              <w:t>未办理的。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78E208F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处以3.7万元以上7.3万元以下的罚款。</w:t>
            </w:r>
          </w:p>
        </w:tc>
      </w:tr>
      <w:tr w14:paraId="2EE91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7371F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D0BBCBD">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3F514AC">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391C78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11560E9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逾期180日以上未办理的，或者在未变更登记期间从事违法活动造成危害后果的。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4632E9F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处以7.3万元以上10万元以下的罚款。</w:t>
            </w:r>
          </w:p>
        </w:tc>
      </w:tr>
      <w:tr w14:paraId="3585D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2"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02104D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r>
              <w:rPr>
                <w:rFonts w:hint="eastAsia" w:ascii="宋体" w:hAnsi="宋体" w:cs="宋体"/>
                <w:i w:val="0"/>
                <w:color w:val="000000"/>
                <w:kern w:val="0"/>
                <w:sz w:val="24"/>
                <w:szCs w:val="24"/>
                <w:u w:val="none"/>
                <w:lang w:val="en-US" w:eastAsia="zh-CN" w:bidi="ar"/>
              </w:rPr>
              <w:t>2</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7CA2E64E">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《中华人民共和国公司法》</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3CC1128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第二百六十一条</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外国公司违反本法规定，擅自在中华人民共和国境内设立分支机构的，由公司登记机关责令改正或者关闭，可以并处五万元以上二十万元以下的罚款。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1F52C4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5380D7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非法经营额在5万元以下且设立时间</w:t>
            </w:r>
            <w:r>
              <w:rPr>
                <w:rFonts w:hint="eastAsia" w:ascii="宋体" w:hAnsi="宋体" w:cs="宋体"/>
                <w:i w:val="0"/>
                <w:color w:val="000000"/>
                <w:kern w:val="0"/>
                <w:sz w:val="24"/>
                <w:szCs w:val="24"/>
                <w:u w:val="none"/>
                <w:lang w:val="en-US" w:eastAsia="zh-CN" w:bidi="ar"/>
              </w:rPr>
              <w:t>不超过</w:t>
            </w:r>
            <w:r>
              <w:rPr>
                <w:rFonts w:hint="eastAsia" w:ascii="宋体" w:hAnsi="宋体" w:eastAsia="宋体" w:cs="宋体"/>
                <w:i w:val="0"/>
                <w:color w:val="000000"/>
                <w:kern w:val="0"/>
                <w:sz w:val="24"/>
                <w:szCs w:val="24"/>
                <w:u w:val="none"/>
                <w:lang w:val="en-US" w:eastAsia="zh-CN" w:bidi="ar"/>
              </w:rPr>
              <w:t>1个月的。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29188736">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处以5万元以上9.5万元以下的罚款。</w:t>
            </w:r>
          </w:p>
        </w:tc>
      </w:tr>
      <w:tr w14:paraId="55E49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9"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B916B8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B329C2">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026034">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09DE0C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510BA48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非法经营额在5万元以上10万元以下，或者设立时间在1个月以上3个月以</w:t>
            </w:r>
            <w:r>
              <w:rPr>
                <w:rFonts w:hint="eastAsia" w:ascii="宋体" w:hAnsi="宋体" w:cs="宋体"/>
                <w:i w:val="0"/>
                <w:color w:val="000000"/>
                <w:kern w:val="0"/>
                <w:sz w:val="24"/>
                <w:szCs w:val="24"/>
                <w:u w:val="none"/>
                <w:lang w:val="en-US" w:eastAsia="zh-CN" w:bidi="ar"/>
              </w:rPr>
              <w:t>下</w:t>
            </w:r>
            <w:r>
              <w:rPr>
                <w:rFonts w:hint="eastAsia" w:ascii="宋体" w:hAnsi="宋体" w:eastAsia="宋体" w:cs="宋体"/>
                <w:i w:val="0"/>
                <w:color w:val="000000"/>
                <w:kern w:val="0"/>
                <w:sz w:val="24"/>
                <w:szCs w:val="24"/>
                <w:u w:val="none"/>
                <w:lang w:val="en-US" w:eastAsia="zh-CN" w:bidi="ar"/>
              </w:rPr>
              <w:t>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0E6BB39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处以9.5万元以上15.5万元以下的罚款。</w:t>
            </w:r>
          </w:p>
        </w:tc>
      </w:tr>
      <w:tr w14:paraId="0FA6C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5"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C1C20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D3E523">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8CBE343">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04B9DE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18CDBAD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非法经营额在10万元以上，或者设立时间3个月以上的。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7AF78BD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处以15.5万元以上20万元以下的罚款。</w:t>
            </w:r>
          </w:p>
        </w:tc>
      </w:tr>
      <w:tr w14:paraId="23FBD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4C2B24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r>
              <w:rPr>
                <w:rFonts w:hint="eastAsia" w:ascii="宋体" w:hAnsi="宋体" w:cs="宋体"/>
                <w:i w:val="0"/>
                <w:color w:val="000000"/>
                <w:kern w:val="0"/>
                <w:sz w:val="24"/>
                <w:szCs w:val="24"/>
                <w:u w:val="none"/>
                <w:lang w:val="en-US" w:eastAsia="zh-CN" w:bidi="ar"/>
              </w:rPr>
              <w:t>3</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528496F3">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outlineLvl w:val="1"/>
              <w:rPr>
                <w:rFonts w:hint="eastAsia" w:ascii="宋体" w:hAnsi="宋体" w:eastAsia="宋体" w:cs="宋体"/>
                <w:i w:val="0"/>
                <w:color w:val="000000"/>
                <w:sz w:val="24"/>
                <w:szCs w:val="24"/>
                <w:u w:val="none"/>
              </w:rPr>
            </w:pPr>
            <w:bookmarkStart w:id="26" w:name="_Toc4639"/>
            <w:bookmarkStart w:id="27" w:name="_Toc31967"/>
            <w:bookmarkStart w:id="28" w:name="_Toc10771"/>
            <w:bookmarkStart w:id="29" w:name="_Toc24013"/>
            <w:r>
              <w:rPr>
                <w:rFonts w:hint="eastAsia" w:ascii="宋体" w:hAnsi="宋体" w:eastAsia="宋体" w:cs="宋体"/>
                <w:i w:val="0"/>
                <w:color w:val="000000"/>
                <w:kern w:val="0"/>
                <w:sz w:val="24"/>
                <w:szCs w:val="24"/>
                <w:u w:val="none"/>
                <w:lang w:val="en-US" w:eastAsia="zh-CN" w:bidi="ar"/>
              </w:rPr>
              <w:t>《中华人民共和国个人独资企业法》(</w:t>
            </w:r>
            <w:r>
              <w:rPr>
                <w:rFonts w:hint="eastAsia" w:ascii="宋体" w:hAnsi="宋体" w:cs="宋体"/>
                <w:i w:val="0"/>
                <w:color w:val="000000"/>
                <w:kern w:val="0"/>
                <w:sz w:val="24"/>
                <w:szCs w:val="24"/>
                <w:u w:val="none"/>
                <w:lang w:val="en-US" w:eastAsia="zh-CN" w:bidi="ar"/>
              </w:rPr>
              <w:t>2000</w:t>
            </w:r>
            <w:r>
              <w:rPr>
                <w:rFonts w:hint="eastAsia" w:ascii="宋体" w:hAnsi="宋体" w:eastAsia="宋体" w:cs="宋体"/>
                <w:i w:val="0"/>
                <w:color w:val="000000"/>
                <w:kern w:val="0"/>
                <w:sz w:val="24"/>
                <w:szCs w:val="24"/>
                <w:u w:val="none"/>
                <w:lang w:val="en-US" w:eastAsia="zh-CN" w:bidi="ar"/>
              </w:rPr>
              <w:t>年</w:t>
            </w:r>
            <w:r>
              <w:rPr>
                <w:rFonts w:hint="eastAsia" w:ascii="宋体" w:hAnsi="宋体" w:cs="宋体"/>
                <w:i w:val="0"/>
                <w:color w:val="000000"/>
                <w:kern w:val="0"/>
                <w:sz w:val="24"/>
                <w:szCs w:val="24"/>
                <w:u w:val="none"/>
                <w:lang w:val="en-US" w:eastAsia="zh-CN" w:bidi="ar"/>
              </w:rPr>
              <w:t>1</w:t>
            </w:r>
            <w:r>
              <w:rPr>
                <w:rFonts w:hint="eastAsia" w:ascii="宋体" w:hAnsi="宋体" w:eastAsia="宋体" w:cs="宋体"/>
                <w:i w:val="0"/>
                <w:color w:val="000000"/>
                <w:kern w:val="0"/>
                <w:sz w:val="24"/>
                <w:szCs w:val="24"/>
                <w:u w:val="none"/>
                <w:lang w:val="en-US" w:eastAsia="zh-CN" w:bidi="ar"/>
              </w:rPr>
              <w:t>月</w:t>
            </w:r>
            <w:r>
              <w:rPr>
                <w:rFonts w:hint="eastAsia" w:ascii="宋体" w:hAnsi="宋体" w:cs="宋体"/>
                <w:i w:val="0"/>
                <w:color w:val="000000"/>
                <w:kern w:val="0"/>
                <w:sz w:val="24"/>
                <w:szCs w:val="24"/>
                <w:u w:val="none"/>
                <w:lang w:val="en-US" w:eastAsia="zh-CN" w:bidi="ar"/>
              </w:rPr>
              <w:t>1</w:t>
            </w:r>
            <w:r>
              <w:rPr>
                <w:rFonts w:hint="eastAsia" w:ascii="宋体" w:hAnsi="宋体" w:eastAsia="宋体" w:cs="宋体"/>
                <w:i w:val="0"/>
                <w:color w:val="000000"/>
                <w:kern w:val="0"/>
                <w:sz w:val="24"/>
                <w:szCs w:val="24"/>
                <w:u w:val="none"/>
                <w:lang w:val="en-US" w:eastAsia="zh-CN" w:bidi="ar"/>
              </w:rPr>
              <w:t>日</w:t>
            </w:r>
            <w:r>
              <w:rPr>
                <w:rFonts w:hint="eastAsia" w:ascii="宋体" w:hAnsi="宋体" w:cs="宋体"/>
                <w:i w:val="0"/>
                <w:color w:val="000000"/>
                <w:kern w:val="0"/>
                <w:sz w:val="24"/>
                <w:szCs w:val="24"/>
                <w:u w:val="none"/>
                <w:lang w:val="en-US" w:eastAsia="zh-CN" w:bidi="ar"/>
              </w:rPr>
              <w:t>起施行</w:t>
            </w:r>
            <w:r>
              <w:rPr>
                <w:rFonts w:hint="eastAsia" w:ascii="宋体" w:hAnsi="宋体" w:eastAsia="宋体" w:cs="宋体"/>
                <w:i w:val="0"/>
                <w:color w:val="000000"/>
                <w:kern w:val="0"/>
                <w:sz w:val="24"/>
                <w:szCs w:val="24"/>
                <w:u w:val="none"/>
                <w:lang w:val="en-US" w:eastAsia="zh-CN" w:bidi="ar"/>
              </w:rPr>
              <w:t>）</w:t>
            </w:r>
            <w:bookmarkEnd w:id="26"/>
            <w:bookmarkEnd w:id="27"/>
            <w:bookmarkEnd w:id="28"/>
            <w:bookmarkEnd w:id="29"/>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63635B0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第三十三条</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违反本法规定，提交虚假文件或采取其他欺骗手段，取得企业登记的，责令改正，处以五千元以下的罚款；情节严重的，并处吊销营业执照。</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08DE8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75BD628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提交证明材料形式要件虚假，但与实际情况不相违背的。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815591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处以1000元以下罚款。</w:t>
            </w:r>
          </w:p>
        </w:tc>
      </w:tr>
      <w:tr w14:paraId="297B8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8F00C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F4C2545">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9007C5">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0E3649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67EE23A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提交虚假材料或者采取其他欺诈手段1项，或者危害性较小的。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2E791D9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处以1000元以上2000元以下罚款。</w:t>
            </w:r>
          </w:p>
        </w:tc>
      </w:tr>
      <w:tr w14:paraId="100BD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C71D5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254E7A">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FC27C54">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A1E84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056A3B2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提交虚假材料或者采取其他欺诈手段2项或2项以上，或者危害性较大的。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5099D3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处以2000元以上3000元以下罚款。</w:t>
            </w:r>
          </w:p>
        </w:tc>
      </w:tr>
      <w:tr w14:paraId="5751E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3"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2F022A6">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B240AB">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57B0F9">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0F22FB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5341466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提交虚假材料或者采取其他欺诈手段隐瞒重要事实取得登记，造成严重危害后果的。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11A44DC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处以3000元以上5000元以下罚款，吊销营业执照。</w:t>
            </w:r>
          </w:p>
        </w:tc>
      </w:tr>
      <w:tr w14:paraId="0E2F6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60A0FF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r>
              <w:rPr>
                <w:rFonts w:hint="eastAsia" w:ascii="宋体" w:hAnsi="宋体" w:cs="宋体"/>
                <w:i w:val="0"/>
                <w:color w:val="000000"/>
                <w:kern w:val="0"/>
                <w:sz w:val="24"/>
                <w:szCs w:val="24"/>
                <w:u w:val="none"/>
                <w:lang w:val="en-US" w:eastAsia="zh-CN" w:bidi="ar"/>
              </w:rPr>
              <w:t>4</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062F8D7E">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《中华人民共和国个人独资企业法》</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7FED4AB6">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第三十四条</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违反本法规定，个人独资企业使用的名称与其在登记机关登记的名称不相符合的，责令限期改正，处以二千元以下的罚款。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2A511F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558437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spacing w:val="-6"/>
                <w:kern w:val="0"/>
                <w:sz w:val="24"/>
                <w:szCs w:val="24"/>
                <w:u w:val="none"/>
                <w:lang w:val="en-US" w:eastAsia="zh-CN" w:bidi="ar"/>
              </w:rPr>
              <w:t>使用不相符的企业名称</w:t>
            </w:r>
            <w:r>
              <w:rPr>
                <w:rFonts w:hint="eastAsia" w:ascii="宋体" w:hAnsi="宋体" w:cs="宋体"/>
                <w:i w:val="0"/>
                <w:color w:val="000000"/>
                <w:spacing w:val="-6"/>
                <w:kern w:val="0"/>
                <w:sz w:val="24"/>
                <w:szCs w:val="24"/>
                <w:u w:val="none"/>
                <w:lang w:val="en-US" w:eastAsia="zh-CN" w:bidi="ar"/>
              </w:rPr>
              <w:t>不超过</w:t>
            </w:r>
            <w:r>
              <w:rPr>
                <w:rFonts w:hint="eastAsia" w:ascii="宋体" w:hAnsi="宋体" w:eastAsia="宋体" w:cs="宋体"/>
                <w:i w:val="0"/>
                <w:color w:val="000000"/>
                <w:spacing w:val="-6"/>
                <w:kern w:val="0"/>
                <w:sz w:val="24"/>
                <w:szCs w:val="24"/>
                <w:u w:val="none"/>
                <w:lang w:val="en-US" w:eastAsia="zh-CN" w:bidi="ar"/>
              </w:rPr>
              <w:t>1个月的。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03EA4E6">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处以600元以下罚款。</w:t>
            </w:r>
          </w:p>
        </w:tc>
      </w:tr>
      <w:tr w14:paraId="3CEF1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246EE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56D3CF">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D471670">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1A0091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59798E2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使用不相符的企业名称1个月以上3个月以</w:t>
            </w:r>
            <w:r>
              <w:rPr>
                <w:rFonts w:hint="eastAsia" w:ascii="宋体" w:hAnsi="宋体" w:cs="宋体"/>
                <w:i w:val="0"/>
                <w:color w:val="000000"/>
                <w:kern w:val="0"/>
                <w:sz w:val="24"/>
                <w:szCs w:val="24"/>
                <w:u w:val="none"/>
                <w:lang w:val="en-US" w:eastAsia="zh-CN" w:bidi="ar"/>
              </w:rPr>
              <w:t>下</w:t>
            </w:r>
            <w:r>
              <w:rPr>
                <w:rFonts w:hint="eastAsia" w:ascii="宋体" w:hAnsi="宋体" w:eastAsia="宋体" w:cs="宋体"/>
                <w:i w:val="0"/>
                <w:color w:val="000000"/>
                <w:kern w:val="0"/>
                <w:sz w:val="24"/>
                <w:szCs w:val="24"/>
                <w:u w:val="none"/>
                <w:lang w:val="en-US" w:eastAsia="zh-CN" w:bidi="ar"/>
              </w:rPr>
              <w:t>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FAC05E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处以600元以上1400元以下罚款。</w:t>
            </w:r>
          </w:p>
        </w:tc>
      </w:tr>
      <w:tr w14:paraId="53B97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DB756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9007EE">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FA09020">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304BBA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048FE6F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spacing w:val="-6"/>
                <w:kern w:val="0"/>
                <w:sz w:val="24"/>
                <w:szCs w:val="24"/>
                <w:u w:val="none"/>
                <w:lang w:val="en-US" w:eastAsia="zh-CN" w:bidi="ar"/>
              </w:rPr>
              <w:t>使用不相符的企业名称3个月以上的。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046703C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处以1400元以上2000元以下罚款。</w:t>
            </w:r>
          </w:p>
        </w:tc>
      </w:tr>
      <w:tr w14:paraId="0B88A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2"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7D1C96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r>
              <w:rPr>
                <w:rFonts w:hint="eastAsia" w:ascii="宋体" w:hAnsi="宋体" w:cs="宋体"/>
                <w:i w:val="0"/>
                <w:color w:val="000000"/>
                <w:kern w:val="0"/>
                <w:sz w:val="24"/>
                <w:szCs w:val="24"/>
                <w:u w:val="none"/>
                <w:lang w:val="en-US" w:eastAsia="zh-CN" w:bidi="ar"/>
              </w:rPr>
              <w:t>5</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56EB8A46">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《中华人民共和国个人独资企业法》</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6335B0B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第三十五条第一款</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涂改、出租、转让营业执照的，责令改正，没收违法所得，处以三千元以下的罚款；情节严重的，吊销营业执照。</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2AE72B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7792D7A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被涂改、出租、转让的营业执照尚未用于非法目的的，或者违法所得在1000元以下的。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1A72D0D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没收违法所得，处以900元以下罚款。</w:t>
            </w:r>
          </w:p>
        </w:tc>
      </w:tr>
      <w:tr w14:paraId="2004B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6"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EE091F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E85DFD">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E3C01D4">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6ED586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70B2E36">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被涂改、出租、转让的营业执照已用于非法目的，但社会危害性较轻的，或者违法所得在1000元以上3000元以下的。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4681D62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没收违法所得，处以900元以上2100元以下罚款。</w:t>
            </w:r>
          </w:p>
        </w:tc>
      </w:tr>
      <w:tr w14:paraId="63452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7"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E78821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F9B1AA">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15E581">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4449F5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12C5E0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被涂改、出租、转让的营业执照已用于非法目的，但社会危害性较重的，或者违法所得在3000元以上的。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65ADDBA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没收违法所得，处以2100元以上3000元以下罚款。</w:t>
            </w:r>
          </w:p>
        </w:tc>
      </w:tr>
      <w:tr w14:paraId="5EDF4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8"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700247">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9C7F62">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151D6A">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07B6AB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879D85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因涂改、出租、转让营业执照造成严重危害后果的。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61104E3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吊销营业执照。</w:t>
            </w:r>
          </w:p>
        </w:tc>
      </w:tr>
      <w:tr w14:paraId="59081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6"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5BAA6D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r>
              <w:rPr>
                <w:rFonts w:hint="eastAsia" w:ascii="宋体" w:hAnsi="宋体" w:cs="宋体"/>
                <w:i w:val="0"/>
                <w:color w:val="000000"/>
                <w:kern w:val="0"/>
                <w:sz w:val="24"/>
                <w:szCs w:val="24"/>
                <w:u w:val="none"/>
                <w:lang w:val="en-US" w:eastAsia="zh-CN" w:bidi="ar"/>
              </w:rPr>
              <w:t>6</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7152082D">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《中华人民共和国个人独资企业法》</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575EFC1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第三十五条第二款</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伪造营业执照的，责令停业，没收违法所得，处以五千元以下的罚款。构成犯罪的，依法追究刑事责任。</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60B1E8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13F780C6">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被伪造的营业执照尚未用于非法目的的。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752BE04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责令停业，没收违法所得，处以1500元以下罚款。</w:t>
            </w:r>
          </w:p>
        </w:tc>
      </w:tr>
      <w:tr w14:paraId="3763D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2"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CF9F9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233D29">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B15DA2">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70C762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7A401CDC">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被伪造的营业执照已用于非法目的，但社会危害性较轻的。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1C6D9FF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责令停业，没收违法所得，处以1500元以上3500元以下罚款。</w:t>
            </w:r>
          </w:p>
        </w:tc>
      </w:tr>
      <w:tr w14:paraId="41BB4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3"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2F9A2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764F0E">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CC708C4">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7329F4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706246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被伪造的营业执照已用于非法目的，且社会危害性较重的。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4A55F4B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责令停业，没收违法所得，处以3500元以上5000元以下罚款。</w:t>
            </w:r>
          </w:p>
        </w:tc>
      </w:tr>
      <w:tr w14:paraId="55081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9"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3D974D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r>
              <w:rPr>
                <w:rFonts w:hint="eastAsia" w:ascii="宋体" w:hAnsi="宋体" w:cs="宋体"/>
                <w:i w:val="0"/>
                <w:color w:val="000000"/>
                <w:kern w:val="0"/>
                <w:sz w:val="24"/>
                <w:szCs w:val="24"/>
                <w:u w:val="none"/>
                <w:lang w:val="en-US" w:eastAsia="zh-CN" w:bidi="ar"/>
              </w:rPr>
              <w:t>7</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09D55107">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《中华人民共和国个人独资企业法》</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28A49A8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第三十七条第一款</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违反本法规定，未领取营业执照，以个人独资企业名义从事经营活动的，责令停止经营活动，处以三千元以下的罚款。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892AB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5F56915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经营时间</w:t>
            </w:r>
            <w:r>
              <w:rPr>
                <w:rFonts w:hint="eastAsia" w:ascii="宋体" w:hAnsi="宋体" w:cs="宋体"/>
                <w:i w:val="0"/>
                <w:color w:val="000000"/>
                <w:kern w:val="0"/>
                <w:sz w:val="24"/>
                <w:szCs w:val="24"/>
                <w:u w:val="none"/>
                <w:lang w:val="en-US" w:eastAsia="zh-CN" w:bidi="ar"/>
              </w:rPr>
              <w:t>不超过</w:t>
            </w:r>
            <w:r>
              <w:rPr>
                <w:rFonts w:hint="eastAsia" w:ascii="宋体" w:hAnsi="宋体" w:eastAsia="宋体" w:cs="宋体"/>
                <w:i w:val="0"/>
                <w:color w:val="000000"/>
                <w:kern w:val="0"/>
                <w:sz w:val="24"/>
                <w:szCs w:val="24"/>
                <w:u w:val="none"/>
                <w:lang w:val="en-US" w:eastAsia="zh-CN" w:bidi="ar"/>
              </w:rPr>
              <w:t>1个月的，或者非法经营额在1万元以下的。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685C3DE6">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处以900元以下罚款。</w:t>
            </w:r>
          </w:p>
        </w:tc>
      </w:tr>
      <w:tr w14:paraId="721FC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2D5F2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60B4FFE">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F8BA3BB">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11A901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2F18B5C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经营时间在1个月以上3个月以</w:t>
            </w:r>
            <w:r>
              <w:rPr>
                <w:rFonts w:hint="eastAsia" w:ascii="宋体" w:hAnsi="宋体" w:cs="宋体"/>
                <w:i w:val="0"/>
                <w:color w:val="000000"/>
                <w:kern w:val="0"/>
                <w:sz w:val="24"/>
                <w:szCs w:val="24"/>
                <w:u w:val="none"/>
                <w:lang w:val="en-US" w:eastAsia="zh-CN" w:bidi="ar"/>
              </w:rPr>
              <w:t>下</w:t>
            </w:r>
            <w:r>
              <w:rPr>
                <w:rFonts w:hint="eastAsia" w:ascii="宋体" w:hAnsi="宋体" w:eastAsia="宋体" w:cs="宋体"/>
                <w:i w:val="0"/>
                <w:color w:val="000000"/>
                <w:kern w:val="0"/>
                <w:sz w:val="24"/>
                <w:szCs w:val="24"/>
                <w:u w:val="none"/>
                <w:lang w:val="en-US" w:eastAsia="zh-CN" w:bidi="ar"/>
              </w:rPr>
              <w:t>的，或者非法经营额在1万元以上2万元以下的。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6D8B61E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处以900元以上2100元以下罚款。</w:t>
            </w:r>
          </w:p>
        </w:tc>
      </w:tr>
      <w:tr w14:paraId="1AE78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4E265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C9CBB76">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1AAEFA">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3F6662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B38B286">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经营时间在3个月以上的，或者非法经营额在2万元以上的。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38812F5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处以2100元以上3000元以下罚款。</w:t>
            </w:r>
          </w:p>
        </w:tc>
      </w:tr>
      <w:tr w14:paraId="4029B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00BEB6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18</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4C694A2B">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《中华人民共和国个人独资企业法》</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69E5EFD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Style w:val="15"/>
                <w:lang w:val="en-US" w:eastAsia="zh-CN" w:bidi="ar"/>
              </w:rPr>
              <w:t>第三十七条第二款</w:t>
            </w:r>
            <w:r>
              <w:rPr>
                <w:rStyle w:val="15"/>
                <w:rFonts w:hint="eastAsia"/>
                <w:lang w:val="en-US" w:eastAsia="zh-CN" w:bidi="ar"/>
              </w:rPr>
              <w:t xml:space="preserve"> </w:t>
            </w:r>
            <w:r>
              <w:rPr>
                <w:rStyle w:val="15"/>
                <w:lang w:val="en-US" w:eastAsia="zh-CN" w:bidi="ar"/>
              </w:rPr>
              <w:t>个人独资企业登记事项发生变更时，未按本法规定办理有关变更登记的，责令限期办理变更登记；逾期不办理的，处以二千元以下的罚款。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2D9C54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7F0EE95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逾期</w:t>
            </w:r>
            <w:r>
              <w:rPr>
                <w:rFonts w:hint="eastAsia" w:ascii="宋体" w:hAnsi="宋体" w:cs="宋体"/>
                <w:i w:val="0"/>
                <w:color w:val="000000"/>
                <w:kern w:val="0"/>
                <w:sz w:val="24"/>
                <w:szCs w:val="24"/>
                <w:u w:val="none"/>
                <w:lang w:val="en-US" w:eastAsia="zh-CN" w:bidi="ar"/>
              </w:rPr>
              <w:t>不超过</w:t>
            </w:r>
            <w:r>
              <w:rPr>
                <w:rFonts w:hint="eastAsia" w:ascii="宋体" w:hAnsi="宋体" w:eastAsia="宋体" w:cs="宋体"/>
                <w:i w:val="0"/>
                <w:color w:val="000000"/>
                <w:kern w:val="0"/>
                <w:sz w:val="24"/>
                <w:szCs w:val="24"/>
                <w:u w:val="none"/>
                <w:lang w:val="en-US" w:eastAsia="zh-CN" w:bidi="ar"/>
              </w:rPr>
              <w:t>30日未办理的。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311558A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处以600元以下罚款。</w:t>
            </w:r>
          </w:p>
        </w:tc>
      </w:tr>
      <w:tr w14:paraId="430EB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1"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30A8A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7DA3D30">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4A56D6">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1CCAAA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A7D51DC">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逾期30日以上90日以</w:t>
            </w:r>
            <w:r>
              <w:rPr>
                <w:rFonts w:hint="eastAsia" w:ascii="宋体" w:hAnsi="宋体" w:cs="宋体"/>
                <w:i w:val="0"/>
                <w:color w:val="000000"/>
                <w:kern w:val="0"/>
                <w:sz w:val="24"/>
                <w:szCs w:val="24"/>
                <w:u w:val="none"/>
                <w:lang w:val="en-US" w:eastAsia="zh-CN" w:bidi="ar"/>
              </w:rPr>
              <w:t>下</w:t>
            </w:r>
            <w:r>
              <w:rPr>
                <w:rFonts w:hint="eastAsia" w:ascii="宋体" w:hAnsi="宋体" w:eastAsia="宋体" w:cs="宋体"/>
                <w:i w:val="0"/>
                <w:color w:val="000000"/>
                <w:kern w:val="0"/>
                <w:sz w:val="24"/>
                <w:szCs w:val="24"/>
                <w:u w:val="none"/>
                <w:lang w:val="en-US" w:eastAsia="zh-CN" w:bidi="ar"/>
              </w:rPr>
              <w:t>未办理的。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7F3A756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处以600元以上1400元以下罚款。</w:t>
            </w:r>
          </w:p>
        </w:tc>
      </w:tr>
      <w:tr w14:paraId="46C64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BCCFF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B511CE">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C04F2B6">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627C62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2457421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逾期90日以上未办理的。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09646F2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处以1400元以上2000元以下罚款。</w:t>
            </w:r>
          </w:p>
        </w:tc>
      </w:tr>
      <w:tr w14:paraId="65A6B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exac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21BED3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19</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72560BF3">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right="-63" w:rightChars="-30"/>
              <w:jc w:val="both"/>
              <w:textAlignment w:val="center"/>
              <w:outlineLvl w:val="1"/>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r>
              <w:rPr>
                <w:rFonts w:hint="eastAsia" w:ascii="宋体" w:hAnsi="宋体" w:eastAsia="宋体" w:cs="宋体"/>
                <w:i w:val="0"/>
                <w:color w:val="000000"/>
                <w:spacing w:val="-6"/>
                <w:kern w:val="0"/>
                <w:sz w:val="24"/>
                <w:szCs w:val="24"/>
                <w:u w:val="none"/>
                <w:lang w:val="en-US" w:eastAsia="zh-CN" w:bidi="ar"/>
              </w:rPr>
              <w:t>中华人民共和国合伙企业法》（200</w:t>
            </w:r>
            <w:r>
              <w:rPr>
                <w:rFonts w:hint="eastAsia" w:ascii="宋体" w:hAnsi="宋体" w:cs="宋体"/>
                <w:i w:val="0"/>
                <w:color w:val="000000"/>
                <w:spacing w:val="-6"/>
                <w:kern w:val="0"/>
                <w:sz w:val="24"/>
                <w:szCs w:val="24"/>
                <w:u w:val="none"/>
                <w:lang w:val="en-US" w:eastAsia="zh-CN" w:bidi="ar"/>
              </w:rPr>
              <w:t>7</w:t>
            </w:r>
            <w:r>
              <w:rPr>
                <w:rFonts w:hint="eastAsia" w:ascii="宋体" w:hAnsi="宋体" w:eastAsia="宋体" w:cs="宋体"/>
                <w:i w:val="0"/>
                <w:color w:val="000000"/>
                <w:spacing w:val="-6"/>
                <w:kern w:val="0"/>
                <w:sz w:val="24"/>
                <w:szCs w:val="24"/>
                <w:u w:val="none"/>
                <w:lang w:val="en-US" w:eastAsia="zh-CN" w:bidi="ar"/>
              </w:rPr>
              <w:t>年</w:t>
            </w:r>
            <w:r>
              <w:rPr>
                <w:rFonts w:hint="eastAsia" w:ascii="宋体" w:hAnsi="宋体" w:cs="宋体"/>
                <w:i w:val="0"/>
                <w:color w:val="000000"/>
                <w:spacing w:val="-6"/>
                <w:kern w:val="0"/>
                <w:sz w:val="24"/>
                <w:szCs w:val="24"/>
                <w:u w:val="none"/>
                <w:lang w:val="en-US" w:eastAsia="zh-CN" w:bidi="ar"/>
              </w:rPr>
              <w:t>6</w:t>
            </w:r>
            <w:r>
              <w:rPr>
                <w:rFonts w:hint="eastAsia" w:ascii="宋体" w:hAnsi="宋体" w:eastAsia="宋体" w:cs="宋体"/>
                <w:i w:val="0"/>
                <w:color w:val="000000"/>
                <w:spacing w:val="-6"/>
                <w:kern w:val="0"/>
                <w:sz w:val="24"/>
                <w:szCs w:val="24"/>
                <w:u w:val="none"/>
                <w:lang w:val="en-US" w:eastAsia="zh-CN" w:bidi="ar"/>
              </w:rPr>
              <w:t>月</w:t>
            </w:r>
            <w:r>
              <w:rPr>
                <w:rFonts w:hint="eastAsia" w:ascii="宋体" w:hAnsi="宋体" w:cs="宋体"/>
                <w:i w:val="0"/>
                <w:color w:val="000000"/>
                <w:spacing w:val="-6"/>
                <w:kern w:val="0"/>
                <w:sz w:val="24"/>
                <w:szCs w:val="24"/>
                <w:u w:val="none"/>
                <w:lang w:val="en-US" w:eastAsia="zh-CN" w:bidi="ar"/>
              </w:rPr>
              <w:t>1</w:t>
            </w:r>
            <w:r>
              <w:rPr>
                <w:rFonts w:hint="eastAsia" w:ascii="宋体" w:hAnsi="宋体" w:eastAsia="宋体" w:cs="宋体"/>
                <w:i w:val="0"/>
                <w:color w:val="000000"/>
                <w:spacing w:val="-6"/>
                <w:kern w:val="0"/>
                <w:sz w:val="24"/>
                <w:szCs w:val="24"/>
                <w:u w:val="none"/>
                <w:lang w:val="en-US" w:eastAsia="zh-CN" w:bidi="ar"/>
              </w:rPr>
              <w:t>日</w:t>
            </w:r>
            <w:r>
              <w:rPr>
                <w:rFonts w:hint="eastAsia" w:ascii="宋体" w:hAnsi="宋体" w:cs="宋体"/>
                <w:i w:val="0"/>
                <w:color w:val="000000"/>
                <w:spacing w:val="-6"/>
                <w:kern w:val="0"/>
                <w:sz w:val="24"/>
                <w:szCs w:val="24"/>
                <w:u w:val="none"/>
                <w:lang w:val="en-US" w:eastAsia="zh-CN" w:bidi="ar"/>
              </w:rPr>
              <w:t>起施行</w:t>
            </w:r>
            <w:r>
              <w:rPr>
                <w:rFonts w:hint="eastAsia" w:ascii="宋体" w:hAnsi="宋体" w:eastAsia="宋体" w:cs="宋体"/>
                <w:i w:val="0"/>
                <w:color w:val="000000"/>
                <w:spacing w:val="-6"/>
                <w:kern w:val="0"/>
                <w:sz w:val="24"/>
                <w:szCs w:val="24"/>
                <w:u w:val="none"/>
                <w:lang w:val="en-US" w:eastAsia="zh-CN" w:bidi="ar"/>
              </w:rPr>
              <w:t>）</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2F6956C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第九十三条</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违反本法规定，提交虚假文件或者采取其他欺骗手段，取得合伙企业登记的，由企业登记机关责令改正，处以五千元以上五万元以下的罚款；情节严重的，撤销企业登记，并处以五万元以上二十万元以下的罚款。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248CFD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70FE184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提交证明材料形式要件虚假，但与企业的实际情况不相违背的。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248380A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处以5000元以上1万元以下罚款。</w:t>
            </w:r>
          </w:p>
        </w:tc>
      </w:tr>
      <w:tr w14:paraId="4410E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11B8FE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F85B5A">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4D7D377">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3F79E0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0C4FA84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提交虚假材料或者采取其他欺诈手段1项，或者危害性较小的。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067092DC">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处以1万元以上3万元以下罚款。</w:t>
            </w:r>
          </w:p>
        </w:tc>
      </w:tr>
      <w:tr w14:paraId="3D21B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256C12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76C4038">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1EC7D5B">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FE5E9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1EFDAC2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提交虚假材料或者采取其他欺诈手段2项，或者危害性较大的。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2CDB1FE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处以3万元以上5万元以下罚款。</w:t>
            </w:r>
          </w:p>
        </w:tc>
      </w:tr>
      <w:tr w14:paraId="510D1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DB60D2">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2019104">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E57BCA9">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6C8099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743F5A7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提交虚假材料或者采取其他欺诈手段2项以上，或者危害性大的。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0B36A56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撤销企业登记，处以5万</w:t>
            </w:r>
            <w:r>
              <w:rPr>
                <w:rFonts w:hint="eastAsia" w:ascii="宋体" w:hAnsi="宋体" w:eastAsia="宋体" w:cs="宋体"/>
                <w:i w:val="0"/>
                <w:color w:val="000000"/>
                <w:spacing w:val="-6"/>
                <w:kern w:val="0"/>
                <w:sz w:val="24"/>
                <w:szCs w:val="24"/>
                <w:u w:val="none"/>
                <w:lang w:val="en-US" w:eastAsia="zh-CN" w:bidi="ar"/>
              </w:rPr>
              <w:t>元以上10万元以下的罚款。</w:t>
            </w:r>
          </w:p>
        </w:tc>
      </w:tr>
      <w:tr w14:paraId="6E5A7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4D9614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19149B">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2AD7E73">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6309B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特别严重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837E5F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提交虚假材料或者采取其他欺诈手段2项以上，隐瞒重要事实取得登记，或者涉及前置审批、注册资金等重要事项，或者造成严重危害后果的。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3C7DB7C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撤销企业登记，处以10万元以上20万元以下的罚款。</w:t>
            </w:r>
          </w:p>
        </w:tc>
      </w:tr>
      <w:tr w14:paraId="05B70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exac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6E73BA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color w:val="000000"/>
                <w:sz w:val="24"/>
                <w:szCs w:val="24"/>
                <w:u w:val="none"/>
                <w:lang w:val="en-US"/>
              </w:rPr>
            </w:pPr>
            <w:r>
              <w:rPr>
                <w:rFonts w:hint="eastAsia" w:ascii="宋体" w:hAnsi="宋体" w:cs="宋体"/>
                <w:i w:val="0"/>
                <w:color w:val="000000"/>
                <w:kern w:val="0"/>
                <w:sz w:val="24"/>
                <w:szCs w:val="24"/>
                <w:u w:val="none"/>
                <w:lang w:val="en-US" w:eastAsia="zh-CN" w:bidi="ar"/>
              </w:rPr>
              <w:t>20</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2234520D">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《中华人民共和国合伙企业法》</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46D33FA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第九十四条</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违反本法规定，合伙企业未在其名称中标明“普通合伙”、“特殊普通合伙”或者“有限合伙”字样的，由企业登记机关责令限期改正，处以二千元以上一万元以下的罚款。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2AFE0C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14D8D20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取得营业执照之日起经营时间</w:t>
            </w:r>
            <w:r>
              <w:rPr>
                <w:rFonts w:hint="eastAsia" w:ascii="宋体" w:hAnsi="宋体" w:cs="宋体"/>
                <w:i w:val="0"/>
                <w:color w:val="000000"/>
                <w:kern w:val="0"/>
                <w:sz w:val="24"/>
                <w:szCs w:val="24"/>
                <w:u w:val="none"/>
                <w:lang w:val="en-US" w:eastAsia="zh-CN" w:bidi="ar"/>
              </w:rPr>
              <w:t>不超过</w:t>
            </w:r>
            <w:r>
              <w:rPr>
                <w:rFonts w:hint="eastAsia" w:ascii="宋体" w:hAnsi="宋体" w:eastAsia="宋体" w:cs="宋体"/>
                <w:i w:val="0"/>
                <w:color w:val="000000"/>
                <w:kern w:val="0"/>
                <w:sz w:val="24"/>
                <w:szCs w:val="24"/>
                <w:u w:val="none"/>
                <w:lang w:val="en-US" w:eastAsia="zh-CN" w:bidi="ar"/>
              </w:rPr>
              <w:t>1个月的。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E2A515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处以2000元以上4400元以下的罚款。</w:t>
            </w:r>
          </w:p>
        </w:tc>
      </w:tr>
      <w:tr w14:paraId="5F612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3E8E36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49D02E">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0086DE7">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3E0BE5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28DD61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取得营业执照之日起经营时间1个月以上6个月以</w:t>
            </w:r>
            <w:r>
              <w:rPr>
                <w:rFonts w:hint="eastAsia" w:ascii="宋体" w:hAnsi="宋体" w:cs="宋体"/>
                <w:i w:val="0"/>
                <w:color w:val="000000"/>
                <w:kern w:val="0"/>
                <w:sz w:val="24"/>
                <w:szCs w:val="24"/>
                <w:u w:val="none"/>
                <w:lang w:val="en-US" w:eastAsia="zh-CN" w:bidi="ar"/>
              </w:rPr>
              <w:t>下</w:t>
            </w:r>
            <w:r>
              <w:rPr>
                <w:rFonts w:hint="eastAsia" w:ascii="宋体" w:hAnsi="宋体" w:eastAsia="宋体" w:cs="宋体"/>
                <w:i w:val="0"/>
                <w:color w:val="000000"/>
                <w:kern w:val="0"/>
                <w:sz w:val="24"/>
                <w:szCs w:val="24"/>
                <w:u w:val="none"/>
                <w:lang w:val="en-US" w:eastAsia="zh-CN" w:bidi="ar"/>
              </w:rPr>
              <w:t>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6B998B9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处以4400元以上7600元以下的罚款。</w:t>
            </w:r>
          </w:p>
        </w:tc>
      </w:tr>
      <w:tr w14:paraId="5D884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F3B73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3D1C327">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EFB7E19">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65D582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2B81511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取得营业执照之日起经营时间6个月以上的。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472D8B8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处以7600元以上1万元以下的罚款。</w:t>
            </w:r>
          </w:p>
        </w:tc>
      </w:tr>
      <w:tr w14:paraId="226BA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4"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69DDD5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r>
              <w:rPr>
                <w:rFonts w:hint="eastAsia" w:ascii="宋体" w:hAnsi="宋体" w:cs="宋体"/>
                <w:i w:val="0"/>
                <w:color w:val="000000"/>
                <w:kern w:val="0"/>
                <w:sz w:val="24"/>
                <w:szCs w:val="24"/>
                <w:u w:val="none"/>
                <w:lang w:val="en-US" w:eastAsia="zh-CN" w:bidi="ar"/>
              </w:rPr>
              <w:t>1</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6D9CDF0D">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《中华人民共和国合伙企业法》</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2266B20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第九十五条第一款</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违反本法规定，未领取营业执照，而以合伙企业或者合伙企业分支机构名义从事合伙业务的，由企业登记机关责令停止，处以五千元以上五万元以下的罚款。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4F9585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28A4F53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从事合伙业务时间不超过1个月，或者非法经营额1万元以下的。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2B39696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处以</w:t>
            </w:r>
            <w:r>
              <w:rPr>
                <w:rFonts w:hint="eastAsia" w:ascii="宋体" w:hAnsi="宋体" w:eastAsia="宋体" w:cs="宋体"/>
                <w:i w:val="0"/>
                <w:color w:val="000000"/>
                <w:kern w:val="0"/>
                <w:sz w:val="24"/>
                <w:szCs w:val="24"/>
                <w:u w:val="none"/>
                <w:lang w:val="en-US" w:eastAsia="zh-CN" w:bidi="ar"/>
              </w:rPr>
              <w:t>5000元以上1万元以下的罚款。</w:t>
            </w:r>
          </w:p>
        </w:tc>
      </w:tr>
      <w:tr w14:paraId="4B865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3AC2B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6E276B">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9FBFFF6">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423CA5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CA1E45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从事合伙业务时间1个月以上2个月以</w:t>
            </w:r>
            <w:r>
              <w:rPr>
                <w:rFonts w:hint="eastAsia" w:ascii="宋体" w:hAnsi="宋体" w:cs="宋体"/>
                <w:i w:val="0"/>
                <w:color w:val="000000"/>
                <w:kern w:val="0"/>
                <w:sz w:val="24"/>
                <w:szCs w:val="24"/>
                <w:u w:val="none"/>
                <w:lang w:val="en-US" w:eastAsia="zh-CN" w:bidi="ar"/>
              </w:rPr>
              <w:t>下</w:t>
            </w:r>
            <w:r>
              <w:rPr>
                <w:rFonts w:hint="eastAsia" w:ascii="宋体" w:hAnsi="宋体" w:eastAsia="宋体" w:cs="宋体"/>
                <w:i w:val="0"/>
                <w:color w:val="000000"/>
                <w:kern w:val="0"/>
                <w:sz w:val="24"/>
                <w:szCs w:val="24"/>
                <w:u w:val="none"/>
                <w:lang w:val="en-US" w:eastAsia="zh-CN" w:bidi="ar"/>
              </w:rPr>
              <w:t>，或者非法经营额1万元以上</w:t>
            </w:r>
            <w:r>
              <w:rPr>
                <w:rFonts w:hint="eastAsia" w:ascii="宋体" w:hAnsi="宋体" w:cs="宋体"/>
                <w:i w:val="0"/>
                <w:color w:val="000000"/>
                <w:kern w:val="0"/>
                <w:sz w:val="24"/>
                <w:szCs w:val="24"/>
                <w:u w:val="none"/>
                <w:lang w:val="en-US" w:eastAsia="zh-CN" w:bidi="ar"/>
              </w:rPr>
              <w:t>3</w:t>
            </w:r>
            <w:r>
              <w:rPr>
                <w:rFonts w:hint="eastAsia" w:ascii="宋体" w:hAnsi="宋体" w:eastAsia="宋体" w:cs="宋体"/>
                <w:i w:val="0"/>
                <w:color w:val="000000"/>
                <w:kern w:val="0"/>
                <w:sz w:val="24"/>
                <w:szCs w:val="24"/>
                <w:u w:val="none"/>
                <w:lang w:val="en-US" w:eastAsia="zh-CN" w:bidi="ar"/>
              </w:rPr>
              <w:t>万元以下的。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3EAA7D8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w:t>
            </w:r>
            <w:r>
              <w:rPr>
                <w:rFonts w:hint="eastAsia" w:ascii="宋体" w:hAnsi="宋体" w:cs="宋体"/>
                <w:i w:val="0"/>
                <w:color w:val="000000"/>
                <w:kern w:val="0"/>
                <w:sz w:val="24"/>
                <w:szCs w:val="24"/>
                <w:u w:val="none"/>
                <w:lang w:val="en-US" w:eastAsia="zh-CN" w:bidi="ar"/>
              </w:rPr>
              <w:t>以</w:t>
            </w:r>
            <w:r>
              <w:rPr>
                <w:rFonts w:hint="eastAsia" w:ascii="宋体" w:hAnsi="宋体" w:eastAsia="宋体" w:cs="宋体"/>
                <w:i w:val="0"/>
                <w:color w:val="000000"/>
                <w:kern w:val="0"/>
                <w:sz w:val="24"/>
                <w:szCs w:val="24"/>
                <w:u w:val="none"/>
                <w:lang w:val="en-US" w:eastAsia="zh-CN" w:bidi="ar"/>
              </w:rPr>
              <w:t>1万元以上2万元以下的罚款。</w:t>
            </w:r>
          </w:p>
        </w:tc>
      </w:tr>
      <w:tr w14:paraId="15D20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E7562E">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E19376">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20624D">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7E5391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7DE584C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从事合伙业务2个月以上3个月以</w:t>
            </w:r>
            <w:r>
              <w:rPr>
                <w:rFonts w:hint="eastAsia" w:ascii="宋体" w:hAnsi="宋体" w:cs="宋体"/>
                <w:i w:val="0"/>
                <w:color w:val="000000"/>
                <w:kern w:val="0"/>
                <w:sz w:val="24"/>
                <w:szCs w:val="24"/>
                <w:u w:val="none"/>
                <w:lang w:val="en-US" w:eastAsia="zh-CN" w:bidi="ar"/>
              </w:rPr>
              <w:t>下</w:t>
            </w:r>
            <w:r>
              <w:rPr>
                <w:rFonts w:hint="eastAsia" w:ascii="宋体" w:hAnsi="宋体" w:eastAsia="宋体" w:cs="宋体"/>
                <w:i w:val="0"/>
                <w:color w:val="000000"/>
                <w:kern w:val="0"/>
                <w:sz w:val="24"/>
                <w:szCs w:val="24"/>
                <w:u w:val="none"/>
                <w:lang w:val="en-US" w:eastAsia="zh-CN" w:bidi="ar"/>
              </w:rPr>
              <w:t>，或者非法经营额在3万元以上4万元以下的。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306031C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w:t>
            </w:r>
            <w:r>
              <w:rPr>
                <w:rFonts w:hint="eastAsia" w:ascii="宋体" w:hAnsi="宋体" w:cs="宋体"/>
                <w:i w:val="0"/>
                <w:color w:val="000000"/>
                <w:kern w:val="0"/>
                <w:sz w:val="24"/>
                <w:szCs w:val="24"/>
                <w:u w:val="none"/>
                <w:lang w:val="en-US" w:eastAsia="zh-CN" w:bidi="ar"/>
              </w:rPr>
              <w:t>以</w:t>
            </w:r>
            <w:r>
              <w:rPr>
                <w:rFonts w:hint="eastAsia" w:ascii="宋体" w:hAnsi="宋体" w:eastAsia="宋体" w:cs="宋体"/>
                <w:i w:val="0"/>
                <w:color w:val="000000"/>
                <w:kern w:val="0"/>
                <w:sz w:val="24"/>
                <w:szCs w:val="24"/>
                <w:u w:val="none"/>
                <w:lang w:val="en-US" w:eastAsia="zh-CN" w:bidi="ar"/>
              </w:rPr>
              <w:t>2万元以上3万元以下的罚款。</w:t>
            </w:r>
          </w:p>
        </w:tc>
      </w:tr>
      <w:tr w14:paraId="59AF7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93C10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986CE9">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5CB8C3">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66299E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056A07F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从事合伙业务3个月以上6个月以</w:t>
            </w:r>
            <w:r>
              <w:rPr>
                <w:rFonts w:hint="eastAsia" w:ascii="宋体" w:hAnsi="宋体" w:cs="宋体"/>
                <w:i w:val="0"/>
                <w:color w:val="000000"/>
                <w:kern w:val="0"/>
                <w:sz w:val="24"/>
                <w:szCs w:val="24"/>
                <w:u w:val="none"/>
                <w:lang w:val="en-US" w:eastAsia="zh-CN" w:bidi="ar"/>
              </w:rPr>
              <w:t>下</w:t>
            </w:r>
            <w:r>
              <w:rPr>
                <w:rFonts w:hint="eastAsia" w:ascii="宋体" w:hAnsi="宋体" w:eastAsia="宋体" w:cs="宋体"/>
                <w:i w:val="0"/>
                <w:color w:val="000000"/>
                <w:kern w:val="0"/>
                <w:sz w:val="24"/>
                <w:szCs w:val="24"/>
                <w:u w:val="none"/>
                <w:lang w:val="en-US" w:eastAsia="zh-CN" w:bidi="ar"/>
              </w:rPr>
              <w:t>，或者非法经营额在4万元以上5万元以下的。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6132CDB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w:t>
            </w:r>
            <w:r>
              <w:rPr>
                <w:rFonts w:hint="eastAsia" w:ascii="宋体" w:hAnsi="宋体" w:cs="宋体"/>
                <w:i w:val="0"/>
                <w:color w:val="000000"/>
                <w:kern w:val="0"/>
                <w:sz w:val="24"/>
                <w:szCs w:val="24"/>
                <w:u w:val="none"/>
                <w:lang w:val="en-US" w:eastAsia="zh-CN" w:bidi="ar"/>
              </w:rPr>
              <w:t>以</w:t>
            </w:r>
            <w:r>
              <w:rPr>
                <w:rFonts w:hint="eastAsia" w:ascii="宋体" w:hAnsi="宋体" w:eastAsia="宋体" w:cs="宋体"/>
                <w:i w:val="0"/>
                <w:color w:val="000000"/>
                <w:kern w:val="0"/>
                <w:sz w:val="24"/>
                <w:szCs w:val="24"/>
                <w:u w:val="none"/>
                <w:lang w:val="en-US" w:eastAsia="zh-CN" w:bidi="ar"/>
              </w:rPr>
              <w:t>3万元以上4万元以下的罚款。</w:t>
            </w:r>
          </w:p>
        </w:tc>
      </w:tr>
      <w:tr w14:paraId="23A6B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F4B6A9">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CD32DC">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5BA8B5">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219D38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特别严重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07DDC9B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从事合伙业务6个月以上的，或者非法经营额在5万元以上的。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7FF9908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w:t>
            </w:r>
            <w:r>
              <w:rPr>
                <w:rFonts w:hint="eastAsia" w:ascii="宋体" w:hAnsi="宋体" w:cs="宋体"/>
                <w:i w:val="0"/>
                <w:color w:val="000000"/>
                <w:kern w:val="0"/>
                <w:sz w:val="24"/>
                <w:szCs w:val="24"/>
                <w:u w:val="none"/>
                <w:lang w:val="en-US" w:eastAsia="zh-CN" w:bidi="ar"/>
              </w:rPr>
              <w:t>以</w:t>
            </w:r>
            <w:r>
              <w:rPr>
                <w:rFonts w:hint="eastAsia" w:ascii="宋体" w:hAnsi="宋体" w:eastAsia="宋体" w:cs="宋体"/>
                <w:i w:val="0"/>
                <w:color w:val="000000"/>
                <w:kern w:val="0"/>
                <w:sz w:val="24"/>
                <w:szCs w:val="24"/>
                <w:u w:val="none"/>
                <w:lang w:val="en-US" w:eastAsia="zh-CN" w:bidi="ar"/>
              </w:rPr>
              <w:t>4万元以上5万元以下的罚款。</w:t>
            </w:r>
          </w:p>
        </w:tc>
      </w:tr>
      <w:tr w14:paraId="675FF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509FD5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r>
              <w:rPr>
                <w:rFonts w:hint="eastAsia" w:ascii="宋体" w:hAnsi="宋体" w:cs="宋体"/>
                <w:i w:val="0"/>
                <w:color w:val="000000"/>
                <w:kern w:val="0"/>
                <w:sz w:val="24"/>
                <w:szCs w:val="24"/>
                <w:u w:val="none"/>
                <w:lang w:val="en-US" w:eastAsia="zh-CN" w:bidi="ar"/>
              </w:rPr>
              <w:t>2</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3CACE619">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《中华人民共和国合伙企业法》</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3417FE6C">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Style w:val="15"/>
                <w:lang w:val="en-US" w:eastAsia="zh-CN" w:bidi="ar"/>
              </w:rPr>
              <w:t>第九十五条第二款</w:t>
            </w:r>
            <w:r>
              <w:rPr>
                <w:rStyle w:val="15"/>
                <w:rFonts w:hint="eastAsia"/>
                <w:lang w:val="en-US" w:eastAsia="zh-CN" w:bidi="ar"/>
              </w:rPr>
              <w:t xml:space="preserve"> </w:t>
            </w:r>
            <w:r>
              <w:rPr>
                <w:rStyle w:val="15"/>
                <w:lang w:val="en-US" w:eastAsia="zh-CN" w:bidi="ar"/>
              </w:rPr>
              <w:t>合伙企业登记事项发生变更时，未依照本法规定办理变更登记的，由企业登记机关责令限期登记；逾期不登记的，处以二千元以上二万元以下的罚款。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08B710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6118D7C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逾期</w:t>
            </w:r>
            <w:r>
              <w:rPr>
                <w:rFonts w:hint="eastAsia" w:ascii="宋体" w:hAnsi="宋体" w:cs="宋体"/>
                <w:i w:val="0"/>
                <w:color w:val="000000"/>
                <w:kern w:val="0"/>
                <w:sz w:val="24"/>
                <w:szCs w:val="24"/>
                <w:u w:val="none"/>
                <w:lang w:val="en-US" w:eastAsia="zh-CN" w:bidi="ar"/>
              </w:rPr>
              <w:t>不超过</w:t>
            </w:r>
            <w:r>
              <w:rPr>
                <w:rFonts w:hint="eastAsia" w:ascii="宋体" w:hAnsi="宋体" w:eastAsia="宋体" w:cs="宋体"/>
                <w:i w:val="0"/>
                <w:color w:val="000000"/>
                <w:kern w:val="0"/>
                <w:sz w:val="24"/>
                <w:szCs w:val="24"/>
                <w:u w:val="none"/>
                <w:lang w:val="en-US" w:eastAsia="zh-CN" w:bidi="ar"/>
              </w:rPr>
              <w:t>30日未办理的。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06200CC">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w:t>
            </w:r>
            <w:r>
              <w:rPr>
                <w:rFonts w:hint="eastAsia" w:ascii="宋体" w:hAnsi="宋体" w:cs="宋体"/>
                <w:i w:val="0"/>
                <w:color w:val="000000"/>
                <w:kern w:val="0"/>
                <w:sz w:val="24"/>
                <w:szCs w:val="24"/>
                <w:u w:val="none"/>
                <w:lang w:val="en-US" w:eastAsia="zh-CN" w:bidi="ar"/>
              </w:rPr>
              <w:t>以</w:t>
            </w:r>
            <w:r>
              <w:rPr>
                <w:rFonts w:hint="eastAsia" w:ascii="宋体" w:hAnsi="宋体" w:eastAsia="宋体" w:cs="宋体"/>
                <w:i w:val="0"/>
                <w:color w:val="000000"/>
                <w:kern w:val="0"/>
                <w:sz w:val="24"/>
                <w:szCs w:val="24"/>
                <w:u w:val="none"/>
                <w:lang w:val="en-US" w:eastAsia="zh-CN" w:bidi="ar"/>
              </w:rPr>
              <w:t>2000元以上7400元以下罚款。</w:t>
            </w:r>
          </w:p>
        </w:tc>
      </w:tr>
      <w:tr w14:paraId="4B2DE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93236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E1599FD">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761F31">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7971F5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09AE720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逾期30日以上90日以</w:t>
            </w:r>
            <w:r>
              <w:rPr>
                <w:rFonts w:hint="eastAsia" w:ascii="宋体" w:hAnsi="宋体" w:cs="宋体"/>
                <w:i w:val="0"/>
                <w:color w:val="000000"/>
                <w:kern w:val="0"/>
                <w:sz w:val="24"/>
                <w:szCs w:val="24"/>
                <w:u w:val="none"/>
                <w:lang w:val="en-US" w:eastAsia="zh-CN" w:bidi="ar"/>
              </w:rPr>
              <w:t>下</w:t>
            </w:r>
            <w:r>
              <w:rPr>
                <w:rFonts w:hint="eastAsia" w:ascii="宋体" w:hAnsi="宋体" w:eastAsia="宋体" w:cs="宋体"/>
                <w:i w:val="0"/>
                <w:color w:val="000000"/>
                <w:kern w:val="0"/>
                <w:sz w:val="24"/>
                <w:szCs w:val="24"/>
                <w:u w:val="none"/>
                <w:lang w:val="en-US" w:eastAsia="zh-CN" w:bidi="ar"/>
              </w:rPr>
              <w:t>未办理的。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5F0B3A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w:t>
            </w:r>
            <w:r>
              <w:rPr>
                <w:rFonts w:hint="eastAsia" w:ascii="宋体" w:hAnsi="宋体" w:cs="宋体"/>
                <w:i w:val="0"/>
                <w:color w:val="000000"/>
                <w:kern w:val="0"/>
                <w:sz w:val="24"/>
                <w:szCs w:val="24"/>
                <w:u w:val="none"/>
                <w:lang w:val="en-US" w:eastAsia="zh-CN" w:bidi="ar"/>
              </w:rPr>
              <w:t>以</w:t>
            </w:r>
            <w:r>
              <w:rPr>
                <w:rFonts w:hint="eastAsia" w:ascii="宋体" w:hAnsi="宋体" w:eastAsia="宋体" w:cs="宋体"/>
                <w:i w:val="0"/>
                <w:color w:val="000000"/>
                <w:kern w:val="0"/>
                <w:sz w:val="24"/>
                <w:szCs w:val="24"/>
                <w:u w:val="none"/>
                <w:lang w:val="en-US" w:eastAsia="zh-CN" w:bidi="ar"/>
              </w:rPr>
              <w:t>7400元以上1.46万元以下的罚款。</w:t>
            </w:r>
          </w:p>
        </w:tc>
      </w:tr>
      <w:tr w14:paraId="5B762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933FB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912DA7D">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92776B">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478F89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2320FD0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逾期90日以上未办理的。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198E468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w:t>
            </w:r>
            <w:r>
              <w:rPr>
                <w:rFonts w:hint="eastAsia" w:ascii="宋体" w:hAnsi="宋体" w:cs="宋体"/>
                <w:i w:val="0"/>
                <w:color w:val="000000"/>
                <w:kern w:val="0"/>
                <w:sz w:val="24"/>
                <w:szCs w:val="24"/>
                <w:u w:val="none"/>
                <w:lang w:val="en-US" w:eastAsia="zh-CN" w:bidi="ar"/>
              </w:rPr>
              <w:t>以</w:t>
            </w:r>
            <w:r>
              <w:rPr>
                <w:rFonts w:hint="eastAsia" w:ascii="宋体" w:hAnsi="宋体" w:eastAsia="宋体" w:cs="宋体"/>
                <w:i w:val="0"/>
                <w:color w:val="000000"/>
                <w:kern w:val="0"/>
                <w:sz w:val="24"/>
                <w:szCs w:val="24"/>
                <w:u w:val="none"/>
                <w:lang w:val="en-US" w:eastAsia="zh-CN" w:bidi="ar"/>
              </w:rPr>
              <w:t>1.46万元以上2万元以下的罚款。</w:t>
            </w:r>
          </w:p>
        </w:tc>
      </w:tr>
      <w:tr w14:paraId="3C025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0A283F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r>
              <w:rPr>
                <w:rFonts w:hint="eastAsia" w:ascii="宋体" w:hAnsi="宋体" w:cs="宋体"/>
                <w:i w:val="0"/>
                <w:color w:val="000000"/>
                <w:kern w:val="0"/>
                <w:sz w:val="24"/>
                <w:szCs w:val="24"/>
                <w:u w:val="none"/>
                <w:lang w:val="en-US" w:eastAsia="zh-CN" w:bidi="ar"/>
              </w:rPr>
              <w:t>3</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4C3263AE">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outlineLvl w:val="1"/>
              <w:rPr>
                <w:rFonts w:hint="eastAsia" w:ascii="宋体" w:hAnsi="宋体" w:eastAsia="宋体" w:cs="宋体"/>
                <w:i w:val="0"/>
                <w:color w:val="000000"/>
                <w:sz w:val="24"/>
                <w:szCs w:val="24"/>
                <w:u w:val="none"/>
              </w:rPr>
            </w:pPr>
            <w:bookmarkStart w:id="30" w:name="_Toc27311"/>
            <w:bookmarkStart w:id="31" w:name="_Toc12855"/>
            <w:bookmarkStart w:id="32" w:name="_Toc18829"/>
            <w:bookmarkStart w:id="33" w:name="_Toc31927"/>
            <w:r>
              <w:rPr>
                <w:rFonts w:hint="eastAsia" w:ascii="宋体" w:hAnsi="宋体" w:eastAsia="宋体" w:cs="宋体"/>
                <w:i w:val="0"/>
                <w:color w:val="000000"/>
                <w:kern w:val="0"/>
                <w:sz w:val="24"/>
                <w:szCs w:val="24"/>
                <w:u w:val="none"/>
                <w:lang w:val="en-US" w:eastAsia="zh-CN" w:bidi="ar"/>
              </w:rPr>
              <w:t>《中华人民共和国农民专业合作社法》（201</w:t>
            </w:r>
            <w:r>
              <w:rPr>
                <w:rFonts w:hint="eastAsia" w:ascii="宋体" w:hAnsi="宋体" w:cs="宋体"/>
                <w:i w:val="0"/>
                <w:color w:val="000000"/>
                <w:kern w:val="0"/>
                <w:sz w:val="24"/>
                <w:szCs w:val="24"/>
                <w:u w:val="none"/>
                <w:lang w:val="en-US" w:eastAsia="zh-CN" w:bidi="ar"/>
              </w:rPr>
              <w:t>8</w:t>
            </w:r>
            <w:r>
              <w:rPr>
                <w:rFonts w:hint="eastAsia" w:ascii="宋体" w:hAnsi="宋体" w:eastAsia="宋体" w:cs="宋体"/>
                <w:i w:val="0"/>
                <w:color w:val="000000"/>
                <w:kern w:val="0"/>
                <w:sz w:val="24"/>
                <w:szCs w:val="24"/>
                <w:u w:val="none"/>
                <w:lang w:val="en-US" w:eastAsia="zh-CN" w:bidi="ar"/>
              </w:rPr>
              <w:t>年</w:t>
            </w:r>
            <w:r>
              <w:rPr>
                <w:rFonts w:hint="eastAsia" w:ascii="宋体" w:hAnsi="宋体" w:cs="宋体"/>
                <w:i w:val="0"/>
                <w:color w:val="000000"/>
                <w:kern w:val="0"/>
                <w:sz w:val="24"/>
                <w:szCs w:val="24"/>
                <w:u w:val="none"/>
                <w:lang w:val="en-US" w:eastAsia="zh-CN" w:bidi="ar"/>
              </w:rPr>
              <w:t>7</w:t>
            </w:r>
            <w:r>
              <w:rPr>
                <w:rFonts w:hint="eastAsia" w:ascii="宋体" w:hAnsi="宋体" w:eastAsia="宋体" w:cs="宋体"/>
                <w:i w:val="0"/>
                <w:color w:val="000000"/>
                <w:kern w:val="0"/>
                <w:sz w:val="24"/>
                <w:szCs w:val="24"/>
                <w:u w:val="none"/>
                <w:lang w:val="en-US" w:eastAsia="zh-CN" w:bidi="ar"/>
              </w:rPr>
              <w:t>月</w:t>
            </w:r>
            <w:r>
              <w:rPr>
                <w:rFonts w:hint="eastAsia" w:ascii="宋体" w:hAnsi="宋体" w:cs="宋体"/>
                <w:i w:val="0"/>
                <w:color w:val="000000"/>
                <w:kern w:val="0"/>
                <w:sz w:val="24"/>
                <w:szCs w:val="24"/>
                <w:u w:val="none"/>
                <w:lang w:val="en-US" w:eastAsia="zh-CN" w:bidi="ar"/>
              </w:rPr>
              <w:t>1</w:t>
            </w:r>
            <w:r>
              <w:rPr>
                <w:rFonts w:hint="eastAsia" w:ascii="宋体" w:hAnsi="宋体" w:eastAsia="宋体" w:cs="宋体"/>
                <w:i w:val="0"/>
                <w:color w:val="000000"/>
                <w:kern w:val="0"/>
                <w:sz w:val="24"/>
                <w:szCs w:val="24"/>
                <w:u w:val="none"/>
                <w:lang w:val="en-US" w:eastAsia="zh-CN" w:bidi="ar"/>
              </w:rPr>
              <w:t>日</w:t>
            </w:r>
            <w:r>
              <w:rPr>
                <w:rFonts w:hint="eastAsia" w:ascii="宋体" w:hAnsi="宋体" w:cs="宋体"/>
                <w:i w:val="0"/>
                <w:color w:val="000000"/>
                <w:kern w:val="0"/>
                <w:sz w:val="24"/>
                <w:szCs w:val="24"/>
                <w:u w:val="none"/>
                <w:lang w:val="en-US" w:eastAsia="zh-CN" w:bidi="ar"/>
              </w:rPr>
              <w:t>起施行</w:t>
            </w:r>
            <w:r>
              <w:rPr>
                <w:rFonts w:hint="eastAsia" w:ascii="宋体" w:hAnsi="宋体" w:eastAsia="宋体" w:cs="宋体"/>
                <w:i w:val="0"/>
                <w:color w:val="000000"/>
                <w:kern w:val="0"/>
                <w:sz w:val="24"/>
                <w:szCs w:val="24"/>
                <w:u w:val="none"/>
                <w:lang w:val="en-US" w:eastAsia="zh-CN" w:bidi="ar"/>
              </w:rPr>
              <w:t>）</w:t>
            </w:r>
            <w:bookmarkEnd w:id="30"/>
            <w:bookmarkEnd w:id="31"/>
            <w:bookmarkEnd w:id="32"/>
            <w:bookmarkEnd w:id="33"/>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47C7303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第七十条</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农民专业合作社向登记机关提供虚假登记材料或者采取其他欺诈手段取得登记的，由登记机关责令改正，可以处五千元以下罚款；情节严重的，撤销登记或者吊销营业执照。</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4215D0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89E7B6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提交证明材料形式要件虚假，但与实际情况不相违背的。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4C7F30A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处1500元以下罚款。</w:t>
            </w:r>
          </w:p>
        </w:tc>
      </w:tr>
      <w:tr w14:paraId="6A5A1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A8186B9">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7A5EBD">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0743D7">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44545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575A55D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提交虚假材料或者采取其他欺诈手段1项，或者危害性较小的。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4FF71E3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处1500元以上3500元以下罚款。</w:t>
            </w:r>
          </w:p>
        </w:tc>
      </w:tr>
      <w:tr w14:paraId="6DD7B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1232D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3CBDCA">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10B6C82">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73DD47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2CD0AF2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提交虚假材料或者采取其他欺诈手段2项以上，或者危害性较大的。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798D0C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处3500元以上5000元以下罚款。</w:t>
            </w:r>
          </w:p>
        </w:tc>
      </w:tr>
      <w:tr w14:paraId="770CA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8"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DC8BE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26B5BD">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01E5E4">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1466D7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5B07A8D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提交虚假材料或者采取其他欺诈手段隐瞒重要事实取得登记，造成严重危害后果的。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70407FA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Style w:val="15"/>
                <w:lang w:val="en-US" w:eastAsia="zh-CN" w:bidi="ar"/>
              </w:rPr>
              <w:t>撤销登记或者吊销营业执照。</w:t>
            </w:r>
          </w:p>
        </w:tc>
      </w:tr>
      <w:tr w14:paraId="2C53E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8"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59D49D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r>
              <w:rPr>
                <w:rFonts w:hint="eastAsia" w:ascii="宋体" w:hAnsi="宋体" w:cs="宋体"/>
                <w:i w:val="0"/>
                <w:color w:val="000000"/>
                <w:kern w:val="0"/>
                <w:sz w:val="24"/>
                <w:szCs w:val="24"/>
                <w:u w:val="none"/>
                <w:lang w:val="en-US" w:eastAsia="zh-CN" w:bidi="ar"/>
              </w:rPr>
              <w:t>4</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6950C2C9">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outlineLvl w:val="1"/>
              <w:rPr>
                <w:rFonts w:hint="eastAsia" w:ascii="宋体" w:hAnsi="宋体" w:eastAsia="宋体" w:cs="宋体"/>
                <w:i w:val="0"/>
                <w:color w:val="000000"/>
                <w:sz w:val="24"/>
                <w:szCs w:val="24"/>
                <w:u w:val="none"/>
              </w:rPr>
            </w:pPr>
            <w:bookmarkStart w:id="34" w:name="_Toc8675"/>
            <w:bookmarkStart w:id="35" w:name="_Toc22559"/>
            <w:bookmarkStart w:id="36" w:name="_Toc9826"/>
            <w:bookmarkStart w:id="37" w:name="_Toc19483"/>
            <w:r>
              <w:rPr>
                <w:rFonts w:hint="eastAsia" w:ascii="宋体" w:hAnsi="宋体" w:eastAsia="宋体" w:cs="宋体"/>
                <w:i w:val="0"/>
                <w:color w:val="000000"/>
                <w:kern w:val="0"/>
                <w:sz w:val="24"/>
                <w:szCs w:val="24"/>
                <w:u w:val="none"/>
                <w:lang w:val="en-US" w:eastAsia="zh-CN" w:bidi="ar"/>
              </w:rPr>
              <w:t>《中华人民共和国市场主体登记管理条例》（202</w:t>
            </w:r>
            <w:r>
              <w:rPr>
                <w:rFonts w:hint="eastAsia" w:ascii="宋体" w:hAnsi="宋体" w:cs="宋体"/>
                <w:i w:val="0"/>
                <w:color w:val="000000"/>
                <w:kern w:val="0"/>
                <w:sz w:val="24"/>
                <w:szCs w:val="24"/>
                <w:u w:val="none"/>
                <w:lang w:val="en-US" w:eastAsia="zh-CN" w:bidi="ar"/>
              </w:rPr>
              <w:t>2</w:t>
            </w:r>
            <w:r>
              <w:rPr>
                <w:rFonts w:hint="eastAsia" w:ascii="宋体" w:hAnsi="宋体" w:eastAsia="宋体" w:cs="宋体"/>
                <w:i w:val="0"/>
                <w:color w:val="000000"/>
                <w:kern w:val="0"/>
                <w:sz w:val="24"/>
                <w:szCs w:val="24"/>
                <w:u w:val="none"/>
                <w:lang w:val="en-US" w:eastAsia="zh-CN" w:bidi="ar"/>
              </w:rPr>
              <w:t>年</w:t>
            </w:r>
            <w:r>
              <w:rPr>
                <w:rFonts w:hint="eastAsia" w:ascii="宋体" w:hAnsi="宋体" w:cs="宋体"/>
                <w:i w:val="0"/>
                <w:color w:val="000000"/>
                <w:kern w:val="0"/>
                <w:sz w:val="24"/>
                <w:szCs w:val="24"/>
                <w:u w:val="none"/>
                <w:lang w:val="en-US" w:eastAsia="zh-CN" w:bidi="ar"/>
              </w:rPr>
              <w:t>3</w:t>
            </w:r>
            <w:r>
              <w:rPr>
                <w:rFonts w:hint="eastAsia" w:ascii="宋体" w:hAnsi="宋体" w:eastAsia="宋体" w:cs="宋体"/>
                <w:i w:val="0"/>
                <w:color w:val="000000"/>
                <w:kern w:val="0"/>
                <w:sz w:val="24"/>
                <w:szCs w:val="24"/>
                <w:u w:val="none"/>
                <w:lang w:val="en-US" w:eastAsia="zh-CN" w:bidi="ar"/>
              </w:rPr>
              <w:t>月</w:t>
            </w:r>
            <w:r>
              <w:rPr>
                <w:rFonts w:hint="eastAsia" w:ascii="宋体" w:hAnsi="宋体" w:cs="宋体"/>
                <w:i w:val="0"/>
                <w:color w:val="000000"/>
                <w:kern w:val="0"/>
                <w:sz w:val="24"/>
                <w:szCs w:val="24"/>
                <w:u w:val="none"/>
                <w:lang w:val="en-US" w:eastAsia="zh-CN" w:bidi="ar"/>
              </w:rPr>
              <w:t>1</w:t>
            </w:r>
            <w:r>
              <w:rPr>
                <w:rFonts w:hint="eastAsia" w:ascii="宋体" w:hAnsi="宋体" w:eastAsia="宋体" w:cs="宋体"/>
                <w:i w:val="0"/>
                <w:color w:val="000000"/>
                <w:kern w:val="0"/>
                <w:sz w:val="24"/>
                <w:szCs w:val="24"/>
                <w:u w:val="none"/>
                <w:lang w:val="en-US" w:eastAsia="zh-CN" w:bidi="ar"/>
              </w:rPr>
              <w:t>日</w:t>
            </w:r>
            <w:r>
              <w:rPr>
                <w:rFonts w:hint="eastAsia" w:ascii="宋体" w:hAnsi="宋体" w:cs="宋体"/>
                <w:i w:val="0"/>
                <w:color w:val="000000"/>
                <w:kern w:val="0"/>
                <w:sz w:val="24"/>
                <w:szCs w:val="24"/>
                <w:u w:val="none"/>
                <w:lang w:val="en-US" w:eastAsia="zh-CN" w:bidi="ar"/>
              </w:rPr>
              <w:t>起施行</w:t>
            </w:r>
            <w:r>
              <w:rPr>
                <w:rFonts w:hint="eastAsia" w:ascii="宋体" w:hAnsi="宋体" w:eastAsia="宋体" w:cs="宋体"/>
                <w:i w:val="0"/>
                <w:color w:val="000000"/>
                <w:kern w:val="0"/>
                <w:sz w:val="24"/>
                <w:szCs w:val="24"/>
                <w:u w:val="none"/>
                <w:lang w:val="en-US" w:eastAsia="zh-CN" w:bidi="ar"/>
              </w:rPr>
              <w:t>）</w:t>
            </w:r>
            <w:bookmarkEnd w:id="34"/>
            <w:bookmarkEnd w:id="35"/>
            <w:bookmarkEnd w:id="36"/>
            <w:bookmarkEnd w:id="37"/>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2829B7F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第四十三条</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未经设立登记从事经营活动的，由登记机关责令改正，没收违法所得；拒不改正的，处1万元以上10万元以下的罚款；情节严重的，依法责令关闭停业，并处10万元以上50万元以下的罚款。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4D68C0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19C1F8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拒不改正，有下列情形之一的：</w:t>
            </w:r>
          </w:p>
          <w:p w14:paraId="55DBC168">
            <w:pPr>
              <w:keepNext w:val="0"/>
              <w:keepLines w:val="0"/>
              <w:pageBreakBefore w:val="0"/>
              <w:widowControl/>
              <w:numPr>
                <w:ilvl w:val="-1"/>
                <w:numId w:val="0"/>
              </w:numPr>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(1)</w:t>
            </w:r>
            <w:r>
              <w:rPr>
                <w:rFonts w:hint="eastAsia" w:ascii="宋体" w:hAnsi="宋体" w:eastAsia="宋体" w:cs="宋体"/>
                <w:i w:val="0"/>
                <w:color w:val="000000"/>
                <w:kern w:val="0"/>
                <w:sz w:val="24"/>
                <w:szCs w:val="24"/>
                <w:u w:val="none"/>
                <w:lang w:val="en-US" w:eastAsia="zh-CN" w:bidi="ar"/>
              </w:rPr>
              <w:t>未经设立登记从事经营活动3个月以</w:t>
            </w:r>
            <w:r>
              <w:rPr>
                <w:rFonts w:hint="eastAsia" w:ascii="宋体" w:hAnsi="宋体" w:cs="宋体"/>
                <w:i w:val="0"/>
                <w:color w:val="000000"/>
                <w:kern w:val="0"/>
                <w:sz w:val="24"/>
                <w:szCs w:val="24"/>
                <w:u w:val="none"/>
                <w:lang w:val="en-US" w:eastAsia="zh-CN" w:bidi="ar"/>
              </w:rPr>
              <w:t>下</w:t>
            </w:r>
            <w:r>
              <w:rPr>
                <w:rFonts w:hint="eastAsia" w:ascii="宋体" w:hAnsi="宋体" w:eastAsia="宋体" w:cs="宋体"/>
                <w:i w:val="0"/>
                <w:color w:val="000000"/>
                <w:kern w:val="0"/>
                <w:sz w:val="24"/>
                <w:szCs w:val="24"/>
                <w:u w:val="none"/>
                <w:lang w:val="en-US" w:eastAsia="zh-CN" w:bidi="ar"/>
              </w:rPr>
              <w:t>的；</w:t>
            </w:r>
          </w:p>
          <w:p w14:paraId="7F84900E">
            <w:pPr>
              <w:keepNext w:val="0"/>
              <w:keepLines w:val="0"/>
              <w:pageBreakBefore w:val="0"/>
              <w:widowControl/>
              <w:numPr>
                <w:ilvl w:val="-1"/>
                <w:numId w:val="0"/>
              </w:numPr>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pacing w:val="-6"/>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(2)</w:t>
            </w:r>
            <w:r>
              <w:rPr>
                <w:rFonts w:hint="eastAsia" w:ascii="宋体" w:hAnsi="宋体" w:eastAsia="宋体" w:cs="宋体"/>
                <w:i w:val="0"/>
                <w:color w:val="000000"/>
                <w:spacing w:val="-6"/>
                <w:kern w:val="0"/>
                <w:sz w:val="24"/>
                <w:szCs w:val="24"/>
                <w:u w:val="none"/>
                <w:lang w:val="en-US" w:eastAsia="zh-CN" w:bidi="ar"/>
              </w:rPr>
              <w:t>非法经营额在5000元以下的；</w:t>
            </w:r>
          </w:p>
          <w:p w14:paraId="0260C26B">
            <w:pPr>
              <w:keepNext w:val="0"/>
              <w:keepLines w:val="0"/>
              <w:pageBreakBefore w:val="0"/>
              <w:widowControl/>
              <w:numPr>
                <w:ilvl w:val="-1"/>
                <w:numId w:val="0"/>
              </w:numPr>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(3)</w:t>
            </w:r>
            <w:r>
              <w:rPr>
                <w:rFonts w:hint="eastAsia" w:ascii="宋体" w:hAnsi="宋体" w:eastAsia="宋体" w:cs="宋体"/>
                <w:i w:val="0"/>
                <w:color w:val="000000"/>
                <w:kern w:val="0"/>
                <w:sz w:val="24"/>
                <w:szCs w:val="24"/>
                <w:u w:val="none"/>
                <w:lang w:val="en-US" w:eastAsia="zh-CN" w:bidi="ar"/>
              </w:rPr>
              <w:t>违法所得在2000元以下的。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7E12F55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处1万元以上3.7万元以下罚款。</w:t>
            </w:r>
          </w:p>
        </w:tc>
      </w:tr>
      <w:tr w14:paraId="463C2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A25CA6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2F950D2">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0F77AA">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B3ADF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0F74B55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拒不改正，有下列情形之一的：</w:t>
            </w:r>
          </w:p>
          <w:p w14:paraId="5BA71BA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(1)</w:t>
            </w:r>
            <w:r>
              <w:rPr>
                <w:rFonts w:hint="eastAsia" w:ascii="宋体" w:hAnsi="宋体" w:eastAsia="宋体" w:cs="宋体"/>
                <w:i w:val="0"/>
                <w:color w:val="000000"/>
                <w:kern w:val="0"/>
                <w:sz w:val="24"/>
                <w:szCs w:val="24"/>
                <w:u w:val="none"/>
                <w:lang w:val="en-US" w:eastAsia="zh-CN" w:bidi="ar"/>
              </w:rPr>
              <w:t>未经设立登记从事经营活动3个月以上6个月以下的；</w:t>
            </w:r>
          </w:p>
          <w:p w14:paraId="5AD1C6B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(2)</w:t>
            </w:r>
            <w:r>
              <w:rPr>
                <w:rFonts w:hint="eastAsia" w:ascii="宋体" w:hAnsi="宋体" w:eastAsia="宋体" w:cs="宋体"/>
                <w:i w:val="0"/>
                <w:color w:val="000000"/>
                <w:kern w:val="0"/>
                <w:sz w:val="24"/>
                <w:szCs w:val="24"/>
                <w:u w:val="none"/>
                <w:lang w:val="en-US" w:eastAsia="zh-CN" w:bidi="ar"/>
              </w:rPr>
              <w:t>非法经营额在5000元以上1</w:t>
            </w:r>
            <w:r>
              <w:rPr>
                <w:rFonts w:hint="eastAsia" w:ascii="宋体" w:hAnsi="宋体" w:cs="宋体"/>
                <w:i w:val="0"/>
                <w:color w:val="000000"/>
                <w:kern w:val="0"/>
                <w:sz w:val="24"/>
                <w:szCs w:val="24"/>
                <w:u w:val="none"/>
                <w:lang w:val="en-US" w:eastAsia="zh-CN" w:bidi="ar"/>
              </w:rPr>
              <w:t>万</w:t>
            </w:r>
            <w:r>
              <w:rPr>
                <w:rFonts w:hint="eastAsia" w:ascii="宋体" w:hAnsi="宋体" w:eastAsia="宋体" w:cs="宋体"/>
                <w:i w:val="0"/>
                <w:color w:val="000000"/>
                <w:kern w:val="0"/>
                <w:sz w:val="24"/>
                <w:szCs w:val="24"/>
                <w:u w:val="none"/>
                <w:lang w:val="en-US" w:eastAsia="zh-CN" w:bidi="ar"/>
              </w:rPr>
              <w:t>元以下的；</w:t>
            </w:r>
          </w:p>
          <w:p w14:paraId="1BBE536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(3)</w:t>
            </w:r>
            <w:r>
              <w:rPr>
                <w:rFonts w:hint="eastAsia" w:ascii="宋体" w:hAnsi="宋体" w:eastAsia="宋体" w:cs="宋体"/>
                <w:i w:val="0"/>
                <w:color w:val="000000"/>
                <w:kern w:val="0"/>
                <w:sz w:val="24"/>
                <w:szCs w:val="24"/>
                <w:u w:val="none"/>
                <w:lang w:val="en-US" w:eastAsia="zh-CN" w:bidi="ar"/>
              </w:rPr>
              <w:t>违法所得在2000元以上5000元以下的。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4EB1B5B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处3.7万元以上7.3万元以下罚款。</w:t>
            </w:r>
          </w:p>
        </w:tc>
      </w:tr>
      <w:tr w14:paraId="7DD3F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C59A6B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AFDB3C">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95A391">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33E586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35C1A9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拒不改正，有下列情形之一的：</w:t>
            </w:r>
          </w:p>
          <w:p w14:paraId="63EFED5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(1)</w:t>
            </w:r>
            <w:r>
              <w:rPr>
                <w:rFonts w:hint="eastAsia" w:ascii="宋体" w:hAnsi="宋体" w:eastAsia="宋体" w:cs="宋体"/>
                <w:i w:val="0"/>
                <w:color w:val="000000"/>
                <w:kern w:val="0"/>
                <w:sz w:val="24"/>
                <w:szCs w:val="24"/>
                <w:u w:val="none"/>
                <w:lang w:val="en-US" w:eastAsia="zh-CN" w:bidi="ar"/>
              </w:rPr>
              <w:t>未经设立登记从事经营活动6个月以上的；</w:t>
            </w:r>
          </w:p>
          <w:p w14:paraId="62370E8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pacing w:val="-6"/>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(2)</w:t>
            </w:r>
            <w:r>
              <w:rPr>
                <w:rFonts w:hint="eastAsia" w:ascii="宋体" w:hAnsi="宋体" w:eastAsia="宋体" w:cs="宋体"/>
                <w:i w:val="0"/>
                <w:color w:val="000000"/>
                <w:spacing w:val="-6"/>
                <w:kern w:val="0"/>
                <w:sz w:val="24"/>
                <w:szCs w:val="24"/>
                <w:u w:val="none"/>
                <w:lang w:val="en-US" w:eastAsia="zh-CN" w:bidi="ar"/>
              </w:rPr>
              <w:t>非法经营额在1</w:t>
            </w:r>
            <w:r>
              <w:rPr>
                <w:rFonts w:hint="eastAsia" w:ascii="宋体" w:hAnsi="宋体" w:cs="宋体"/>
                <w:i w:val="0"/>
                <w:color w:val="000000"/>
                <w:spacing w:val="-6"/>
                <w:kern w:val="0"/>
                <w:sz w:val="24"/>
                <w:szCs w:val="24"/>
                <w:u w:val="none"/>
                <w:lang w:val="en-US" w:eastAsia="zh-CN" w:bidi="ar"/>
              </w:rPr>
              <w:t>万</w:t>
            </w:r>
            <w:r>
              <w:rPr>
                <w:rFonts w:hint="eastAsia" w:ascii="宋体" w:hAnsi="宋体" w:eastAsia="宋体" w:cs="宋体"/>
                <w:i w:val="0"/>
                <w:color w:val="000000"/>
                <w:spacing w:val="-6"/>
                <w:kern w:val="0"/>
                <w:sz w:val="24"/>
                <w:szCs w:val="24"/>
                <w:u w:val="none"/>
                <w:lang w:val="en-US" w:eastAsia="zh-CN" w:bidi="ar"/>
              </w:rPr>
              <w:t>元以上的；</w:t>
            </w:r>
          </w:p>
          <w:p w14:paraId="58FD7D7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(3)</w:t>
            </w:r>
            <w:r>
              <w:rPr>
                <w:rFonts w:hint="eastAsia" w:ascii="宋体" w:hAnsi="宋体" w:eastAsia="宋体" w:cs="宋体"/>
                <w:i w:val="0"/>
                <w:color w:val="000000"/>
                <w:kern w:val="0"/>
                <w:sz w:val="24"/>
                <w:szCs w:val="24"/>
                <w:u w:val="none"/>
                <w:lang w:val="en-US" w:eastAsia="zh-CN" w:bidi="ar"/>
              </w:rPr>
              <w:t>违法所得在5000元以上的。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7FDEBB3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处7.3万元以上10万元以下罚款。</w:t>
            </w:r>
          </w:p>
        </w:tc>
      </w:tr>
      <w:tr w14:paraId="3149C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9"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1C44D7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8A0EBA">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1E8F80">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A448D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53B94F3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未经设立登记从事经营活动造成严重危害后果的。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433EFB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依法责令关闭停业，并处10万元以上50万元以下罚款。</w:t>
            </w:r>
          </w:p>
        </w:tc>
      </w:tr>
      <w:tr w14:paraId="616C6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37FFDD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r>
              <w:rPr>
                <w:rFonts w:hint="eastAsia" w:ascii="宋体" w:hAnsi="宋体" w:cs="宋体"/>
                <w:i w:val="0"/>
                <w:color w:val="000000"/>
                <w:kern w:val="0"/>
                <w:sz w:val="24"/>
                <w:szCs w:val="24"/>
                <w:u w:val="none"/>
                <w:lang w:val="en-US" w:eastAsia="zh-CN" w:bidi="ar"/>
              </w:rPr>
              <w:t>5</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1FD1BE87">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《中华人民共和国市场主体登记管理条例》</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4698C93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第四十四条</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提交虚假材料或者采取其他欺诈手段隐瞒重要事实取得市场主体登记的，由登记机关责令改正，没收违法所得，并处5万元以上20万元以下的罚款；情节严重的，处20万元以上100万元以下的罚款，吊销营业执照。</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ABD2F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83AC9AC">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提交证明材料形式要件虚假，但与实际情况不相违背的。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26ADB09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由登记机关责令改正，没收违法所得，并处5万元以上9.5万元以下罚款。</w:t>
            </w:r>
          </w:p>
        </w:tc>
      </w:tr>
      <w:tr w14:paraId="6DE74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7"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EA680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81560B4">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551CACC">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3017B1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09D9C18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提交虚假材料或者采取其他欺诈手段1项，或者危害性较小的。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327B32F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Style w:val="15"/>
                <w:lang w:val="en-US" w:eastAsia="zh-CN" w:bidi="ar"/>
              </w:rPr>
              <w:t>由登记机关责令改正，没收违法所得，并处9.5万元以上15.5万元以下罚款。</w:t>
            </w:r>
          </w:p>
        </w:tc>
      </w:tr>
      <w:tr w14:paraId="41BB5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8"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EB146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8304EE4">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A39CD4">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25DC25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A24B1B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提交虚假材料或者采取其他欺诈手段2项以上，或者危害性较大的。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64EF42C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Style w:val="15"/>
                <w:lang w:val="en-US" w:eastAsia="zh-CN" w:bidi="ar"/>
              </w:rPr>
              <w:t>由登记机关责令改正，没收违法所得，并处15.5万元以上20万元以下罚款。</w:t>
            </w:r>
          </w:p>
        </w:tc>
      </w:tr>
      <w:tr w14:paraId="02880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1"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114427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D533D3">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AA41B4A">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708D41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0EB97CC">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提交虚假材料或者采取其他欺诈手段隐瞒重要事实取得登记，造成严重危害后果的。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32BB84A7">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处20万元以上100万元以下的罚款，吊销营业执照。</w:t>
            </w:r>
          </w:p>
        </w:tc>
      </w:tr>
      <w:tr w14:paraId="14AFB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1"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36B956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r>
              <w:rPr>
                <w:rFonts w:hint="eastAsia" w:ascii="宋体" w:hAnsi="宋体" w:cs="宋体"/>
                <w:i w:val="0"/>
                <w:color w:val="000000"/>
                <w:kern w:val="0"/>
                <w:sz w:val="24"/>
                <w:szCs w:val="24"/>
                <w:u w:val="none"/>
                <w:lang w:val="en-US" w:eastAsia="zh-CN" w:bidi="ar"/>
              </w:rPr>
              <w:t>6</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69B821E9">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《中华人民共和国市场主体登记管理条例》</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34FE742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第四十五条第一款</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实行注册资本实缴登记制的市场主体虚报注册资本取得市场主体登记的，由登记机关责令改正，处虚报注册资本金额5%以上15%以下的罚款；情节严重的，吊销营业执照。</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209C57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50D49A36">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除依据《公司法》设立的市场主体以外的其他市场主体虚报金额在10万元以下的</w:t>
            </w:r>
            <w:r>
              <w:rPr>
                <w:rFonts w:hint="eastAsia" w:ascii="宋体" w:hAnsi="宋体" w:cs="宋体"/>
                <w:i w:val="0"/>
                <w:color w:val="000000"/>
                <w:kern w:val="0"/>
                <w:sz w:val="24"/>
                <w:szCs w:val="24"/>
                <w:u w:val="none"/>
                <w:lang w:val="en-US" w:eastAsia="zh-CN" w:bidi="ar"/>
              </w:rPr>
              <w:t>。</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3713288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由登记机关责令改正，处虚报注册资本金额5%的罚款。</w:t>
            </w:r>
          </w:p>
        </w:tc>
      </w:tr>
      <w:tr w14:paraId="69CF4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4"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22B590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F58B59">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FB4A03E">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12234B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CE9B3E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除依据《公司法》设立的市场主体以外的其他市场主体虚报金额在10万元以上30万元以下的</w:t>
            </w:r>
            <w:r>
              <w:rPr>
                <w:rFonts w:hint="eastAsia" w:ascii="宋体" w:hAnsi="宋体" w:cs="宋体"/>
                <w:i w:val="0"/>
                <w:color w:val="000000"/>
                <w:kern w:val="0"/>
                <w:sz w:val="24"/>
                <w:szCs w:val="24"/>
                <w:u w:val="none"/>
                <w:lang w:val="en-US" w:eastAsia="zh-CN" w:bidi="ar"/>
              </w:rPr>
              <w:t>。</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63CCF12C">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由登记机关责令改正，处虚报注册资本金额5%以上7%以下的罚款。</w:t>
            </w:r>
          </w:p>
        </w:tc>
      </w:tr>
      <w:tr w14:paraId="0F609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5"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7A4B9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A6F8CF">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CA2F14B">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093652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8644A9C">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除依据《公司法》设立的市场主体以外的其他市场主体虚报金额在30万元以上50万元以下的</w:t>
            </w:r>
            <w:r>
              <w:rPr>
                <w:rFonts w:hint="eastAsia" w:ascii="宋体" w:hAnsi="宋体" w:cs="宋体"/>
                <w:i w:val="0"/>
                <w:color w:val="000000"/>
                <w:kern w:val="0"/>
                <w:sz w:val="24"/>
                <w:szCs w:val="24"/>
                <w:u w:val="none"/>
                <w:lang w:val="en-US" w:eastAsia="zh-CN" w:bidi="ar"/>
              </w:rPr>
              <w:t>。</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792C03B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由登记机关责令改正，处虚报注册资本金额7%以上10%以下的罚款。</w:t>
            </w:r>
          </w:p>
        </w:tc>
      </w:tr>
      <w:tr w14:paraId="01725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3"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82ADE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85B9E9">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BF9E20">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F48A9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68D65C9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除依据《公司法》设立的市场主体以外的其他市场主体虚报金额在50万元以上的</w:t>
            </w:r>
            <w:r>
              <w:rPr>
                <w:rFonts w:hint="eastAsia" w:ascii="宋体" w:hAnsi="宋体" w:cs="宋体"/>
                <w:i w:val="0"/>
                <w:color w:val="000000"/>
                <w:kern w:val="0"/>
                <w:sz w:val="24"/>
                <w:szCs w:val="24"/>
                <w:u w:val="none"/>
                <w:lang w:val="en-US" w:eastAsia="zh-CN" w:bidi="ar"/>
              </w:rPr>
              <w:t>。</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3674F0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由登记机关责令改正，处虚报注册资本金额10%以上15%以下的罚款。</w:t>
            </w:r>
          </w:p>
        </w:tc>
      </w:tr>
      <w:tr w14:paraId="45421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9569B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E1D0387">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BD984F0">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41F8E6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特别严重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014BE0E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造成严重危害后果的。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070AA88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吊销营业执照。</w:t>
            </w:r>
          </w:p>
        </w:tc>
      </w:tr>
      <w:tr w14:paraId="618D9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3"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318002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r>
              <w:rPr>
                <w:rFonts w:hint="eastAsia" w:ascii="宋体" w:hAnsi="宋体" w:cs="宋体"/>
                <w:i w:val="0"/>
                <w:color w:val="000000"/>
                <w:kern w:val="0"/>
                <w:sz w:val="24"/>
                <w:szCs w:val="24"/>
                <w:u w:val="none"/>
                <w:lang w:val="en-US" w:eastAsia="zh-CN" w:bidi="ar"/>
              </w:rPr>
              <w:t>7</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3D0E0F6B">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《中华人民共和国市场主体登记管理条例》</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15BA190C">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Style w:val="15"/>
                <w:lang w:val="en-US" w:eastAsia="zh-CN" w:bidi="ar"/>
              </w:rPr>
              <w:t>第四十五条第二款</w:t>
            </w:r>
            <w:r>
              <w:rPr>
                <w:rStyle w:val="15"/>
                <w:rFonts w:hint="eastAsia"/>
                <w:lang w:val="en-US" w:eastAsia="zh-CN" w:bidi="ar"/>
              </w:rPr>
              <w:t xml:space="preserve"> </w:t>
            </w:r>
            <w:r>
              <w:rPr>
                <w:rStyle w:val="15"/>
                <w:lang w:val="en-US" w:eastAsia="zh-CN" w:bidi="ar"/>
              </w:rPr>
              <w:t>实行注册资本实缴登记制的市场主体的发起人、股东虚假出资，未交付或者未按期交付作为出资的货币或者非货币财产的，或者在市场主体成立后抽逃出资的，由登记机关责令改正，处虚假出资金额5%以上15%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42F243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70C3262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除依据《公司法》设立的市场主体以外的其他市场主体股东虚假出资数额</w:t>
            </w:r>
            <w:r>
              <w:rPr>
                <w:rFonts w:hint="eastAsia" w:ascii="宋体" w:hAnsi="宋体" w:eastAsia="宋体" w:cs="宋体"/>
                <w:i w:val="0"/>
                <w:color w:val="000000"/>
                <w:spacing w:val="-6"/>
                <w:kern w:val="0"/>
                <w:sz w:val="24"/>
                <w:szCs w:val="24"/>
                <w:u w:val="none"/>
                <w:lang w:val="en-US" w:eastAsia="zh-CN" w:bidi="ar"/>
              </w:rPr>
              <w:t>占其应缴出资额10%以下，或者未给公司、股东、债权人造成直接经济损失的</w:t>
            </w:r>
            <w:r>
              <w:rPr>
                <w:rFonts w:hint="eastAsia" w:ascii="宋体" w:hAnsi="宋体" w:cs="宋体"/>
                <w:i w:val="0"/>
                <w:color w:val="000000"/>
                <w:spacing w:val="-6"/>
                <w:kern w:val="0"/>
                <w:sz w:val="24"/>
                <w:szCs w:val="24"/>
                <w:u w:val="none"/>
                <w:lang w:val="en-US" w:eastAsia="zh-CN" w:bidi="ar"/>
              </w:rPr>
              <w:t>。</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68CA4C7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由登记机关责令改正，处虚假出资额5%的罚款。</w:t>
            </w:r>
          </w:p>
        </w:tc>
      </w:tr>
      <w:tr w14:paraId="13154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4"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B731E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13377C">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A92C55">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075069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5CF2C09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除依据《公司法》设立的市场主体以外的其他市场主体股东虚假出资数额占其应缴出资额10%以上30%以下的</w:t>
            </w:r>
            <w:r>
              <w:rPr>
                <w:rFonts w:hint="eastAsia" w:ascii="宋体" w:hAnsi="宋体" w:cs="宋体"/>
                <w:i w:val="0"/>
                <w:color w:val="000000"/>
                <w:kern w:val="0"/>
                <w:sz w:val="24"/>
                <w:szCs w:val="24"/>
                <w:u w:val="none"/>
                <w:lang w:val="en-US" w:eastAsia="zh-CN" w:bidi="ar"/>
              </w:rPr>
              <w:t>。</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6F90FF7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由登记机关责令改正，处虚假出资额5%以上7%以下的罚款。</w:t>
            </w:r>
          </w:p>
        </w:tc>
      </w:tr>
      <w:tr w14:paraId="0EF2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0"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A4B9E3">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7605CD">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0A7DD4">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3B02D3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701A825C">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除依据《公司法》设立的市场主体以外的其他市场主体股东虚假出资数额占其应缴出资额30%以上50%以下的</w:t>
            </w:r>
            <w:r>
              <w:rPr>
                <w:rFonts w:hint="eastAsia" w:ascii="宋体" w:hAnsi="宋体" w:cs="宋体"/>
                <w:i w:val="0"/>
                <w:color w:val="000000"/>
                <w:kern w:val="0"/>
                <w:sz w:val="24"/>
                <w:szCs w:val="24"/>
                <w:u w:val="none"/>
                <w:lang w:val="en-US" w:eastAsia="zh-CN" w:bidi="ar"/>
              </w:rPr>
              <w:t>。</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015EE1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由登记机关责令改正，处虚假出资额7%以上10%的罚款。</w:t>
            </w:r>
          </w:p>
        </w:tc>
      </w:tr>
      <w:tr w14:paraId="1DD9F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7"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7EB80C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42B34E5">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CE8F59">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1DE569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7A476D8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除依据《公司法》设立的市场主体以外的其他市场主体股东虚假出资数额占其应缴出资额50%以上的</w:t>
            </w:r>
            <w:r>
              <w:rPr>
                <w:rFonts w:hint="eastAsia" w:ascii="宋体" w:hAnsi="宋体" w:cs="宋体"/>
                <w:i w:val="0"/>
                <w:color w:val="000000"/>
                <w:kern w:val="0"/>
                <w:sz w:val="24"/>
                <w:szCs w:val="24"/>
                <w:u w:val="none"/>
                <w:lang w:val="en-US" w:eastAsia="zh-CN" w:bidi="ar"/>
              </w:rPr>
              <w:t>。</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2261125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由登记机关责令改正，处虚假出资额10%以上15%以下的罚款。</w:t>
            </w:r>
          </w:p>
        </w:tc>
      </w:tr>
      <w:tr w14:paraId="768C0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40A0DA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28</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4772BBF4">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《中华人民共和国市场主体登记管理条例》</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4D90F31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第四十六条</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市场主体未依照本条例办理变更登记的，由登记机关责令改正；拒不改正的，处1万元以上10万元以下的罚款；情节严重的，吊销营业执照。</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03479D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57C48C1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逾期</w:t>
            </w:r>
            <w:r>
              <w:rPr>
                <w:rFonts w:hint="eastAsia" w:ascii="宋体" w:hAnsi="宋体" w:cs="宋体"/>
                <w:i w:val="0"/>
                <w:color w:val="000000"/>
                <w:kern w:val="0"/>
                <w:sz w:val="24"/>
                <w:szCs w:val="24"/>
                <w:u w:val="none"/>
                <w:lang w:val="en-US" w:eastAsia="zh-CN" w:bidi="ar"/>
              </w:rPr>
              <w:t>不超过</w:t>
            </w:r>
            <w:r>
              <w:rPr>
                <w:rFonts w:hint="eastAsia" w:ascii="宋体" w:hAnsi="宋体" w:eastAsia="宋体" w:cs="宋体"/>
                <w:i w:val="0"/>
                <w:color w:val="000000"/>
                <w:kern w:val="0"/>
                <w:sz w:val="24"/>
                <w:szCs w:val="24"/>
                <w:u w:val="none"/>
                <w:lang w:val="en-US" w:eastAsia="zh-CN" w:bidi="ar"/>
              </w:rPr>
              <w:t>90日未办理的。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39952AA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处1万元以上3.7万元以下的罚款。</w:t>
            </w:r>
          </w:p>
        </w:tc>
      </w:tr>
      <w:tr w14:paraId="6924E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85B19B6">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8EF75FC">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60EE4F">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DF9A4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7E08439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逾期90日以上180日以</w:t>
            </w:r>
            <w:r>
              <w:rPr>
                <w:rFonts w:hint="eastAsia" w:ascii="宋体" w:hAnsi="宋体" w:cs="宋体"/>
                <w:i w:val="0"/>
                <w:color w:val="000000"/>
                <w:kern w:val="0"/>
                <w:sz w:val="24"/>
                <w:szCs w:val="24"/>
                <w:u w:val="none"/>
                <w:lang w:val="en-US" w:eastAsia="zh-CN" w:bidi="ar"/>
              </w:rPr>
              <w:t>下</w:t>
            </w:r>
            <w:r>
              <w:rPr>
                <w:rFonts w:hint="eastAsia" w:ascii="宋体" w:hAnsi="宋体" w:eastAsia="宋体" w:cs="宋体"/>
                <w:i w:val="0"/>
                <w:color w:val="000000"/>
                <w:kern w:val="0"/>
                <w:sz w:val="24"/>
                <w:szCs w:val="24"/>
                <w:u w:val="none"/>
                <w:lang w:val="en-US" w:eastAsia="zh-CN" w:bidi="ar"/>
              </w:rPr>
              <w:t>未办理的。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E2C3F6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处3.7万元以上7.3万元以下的罚款。</w:t>
            </w:r>
          </w:p>
        </w:tc>
      </w:tr>
      <w:tr w14:paraId="50E66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7"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15B6A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DF9FF79">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331D706">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370435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1D5A801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逾期180日以上未办理的。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2D283BC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处7.3万元以上10万元以下的罚款。</w:t>
            </w:r>
          </w:p>
        </w:tc>
      </w:tr>
      <w:tr w14:paraId="31D26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4"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D8A75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4ABEC1">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F985B0E">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392963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0E9438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在未变更登记期间从事违法活动造成危害后果的。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0EF9C42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吊销营业执照。</w:t>
            </w:r>
          </w:p>
        </w:tc>
      </w:tr>
      <w:tr w14:paraId="58C3E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74BEF5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29</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2879FC41">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《中华人民共和国市场主体登记管理条例》</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44DDE05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第四十七条</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市场主体未依照本条例办理备案的，由登记机关责令改正；拒不改正的，处5万元以下的罚款。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A3F91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2249EF8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逾期</w:t>
            </w:r>
            <w:r>
              <w:rPr>
                <w:rFonts w:hint="eastAsia" w:ascii="宋体" w:hAnsi="宋体" w:cs="宋体"/>
                <w:i w:val="0"/>
                <w:color w:val="000000"/>
                <w:kern w:val="0"/>
                <w:sz w:val="24"/>
                <w:szCs w:val="24"/>
                <w:u w:val="none"/>
                <w:lang w:val="en-US" w:eastAsia="zh-CN" w:bidi="ar"/>
              </w:rPr>
              <w:t>不超过</w:t>
            </w:r>
            <w:r>
              <w:rPr>
                <w:rFonts w:hint="eastAsia" w:ascii="宋体" w:hAnsi="宋体" w:eastAsia="宋体" w:cs="宋体"/>
                <w:i w:val="0"/>
                <w:color w:val="000000"/>
                <w:kern w:val="0"/>
                <w:sz w:val="24"/>
                <w:szCs w:val="24"/>
                <w:u w:val="none"/>
                <w:lang w:val="en-US" w:eastAsia="zh-CN" w:bidi="ar"/>
              </w:rPr>
              <w:t>90日未办理的。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1E5A8D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处1.5万元以下的罚款。</w:t>
            </w:r>
          </w:p>
        </w:tc>
      </w:tr>
      <w:tr w14:paraId="02437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9F6C30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E8BA5F">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0823AE">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330408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E4F532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逾期90日以上180日以</w:t>
            </w:r>
            <w:r>
              <w:rPr>
                <w:rFonts w:hint="eastAsia" w:ascii="宋体" w:hAnsi="宋体" w:cs="宋体"/>
                <w:i w:val="0"/>
                <w:color w:val="000000"/>
                <w:kern w:val="0"/>
                <w:sz w:val="24"/>
                <w:szCs w:val="24"/>
                <w:u w:val="none"/>
                <w:lang w:val="en-US" w:eastAsia="zh-CN" w:bidi="ar"/>
              </w:rPr>
              <w:t>下</w:t>
            </w:r>
            <w:r>
              <w:rPr>
                <w:rFonts w:hint="eastAsia" w:ascii="宋体" w:hAnsi="宋体" w:eastAsia="宋体" w:cs="宋体"/>
                <w:i w:val="0"/>
                <w:color w:val="000000"/>
                <w:kern w:val="0"/>
                <w:sz w:val="24"/>
                <w:szCs w:val="24"/>
                <w:u w:val="none"/>
                <w:lang w:val="en-US" w:eastAsia="zh-CN" w:bidi="ar"/>
              </w:rPr>
              <w:t>未办理的。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2508895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处1.5万元以上3.5万元以下的罚款。</w:t>
            </w:r>
          </w:p>
        </w:tc>
      </w:tr>
      <w:tr w14:paraId="207F9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D8935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FC10C2">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86A1ECF">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492325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11A831B6">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逾期180日以上未办理的。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37DF06B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处3.5万元以上5万元以下的罚款。</w:t>
            </w:r>
          </w:p>
        </w:tc>
      </w:tr>
      <w:tr w14:paraId="25759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3D3AF4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r>
              <w:rPr>
                <w:rFonts w:hint="eastAsia" w:ascii="宋体" w:hAnsi="宋体" w:cs="宋体"/>
                <w:i w:val="0"/>
                <w:color w:val="000000"/>
                <w:kern w:val="0"/>
                <w:sz w:val="24"/>
                <w:szCs w:val="24"/>
                <w:u w:val="none"/>
                <w:lang w:val="en-US" w:eastAsia="zh-CN" w:bidi="ar"/>
              </w:rPr>
              <w:t>0</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7661B7C3">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《中华人民共和国市场主体登记管理条例》</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2E77A8A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Style w:val="15"/>
                <w:lang w:val="en-US" w:eastAsia="zh-CN" w:bidi="ar"/>
              </w:rPr>
              <w:t>第四十八条第三款</w:t>
            </w:r>
            <w:r>
              <w:rPr>
                <w:rStyle w:val="15"/>
                <w:rFonts w:hint="eastAsia"/>
                <w:lang w:val="en-US" w:eastAsia="zh-CN" w:bidi="ar"/>
              </w:rPr>
              <w:t xml:space="preserve"> </w:t>
            </w:r>
            <w:r>
              <w:rPr>
                <w:rStyle w:val="15"/>
                <w:lang w:val="en-US" w:eastAsia="zh-CN" w:bidi="ar"/>
              </w:rPr>
              <w:t>市场主体伪造、涂改、出租、出借、转让营业执照的，由登记机关没收违法所得，处10万元以下的罚款；情节严重的，处10万元以上50万元以下的罚款，吊销营业执照。</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61DA2C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647FF4A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伪造、涂改、出租、出借、转让的营业执照尚未用于非法目的的，或者违法所得在5000元以下的。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77CB76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没收违法所得，处3万元以下罚款。</w:t>
            </w:r>
          </w:p>
        </w:tc>
      </w:tr>
      <w:tr w14:paraId="0932D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0"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2D555DF">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B533FD">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C29C0A">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EF776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0DD59B7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伪造、涂改、出租、出借、转让的营业执照已用于非法目的，但社会危害性较轻的，或者违法所得在5000元以上1万元以下的。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156F13F6">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没收违法所得，处3万元以上7万元以下罚款。</w:t>
            </w:r>
          </w:p>
        </w:tc>
      </w:tr>
      <w:tr w14:paraId="15C0C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0"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0F6CD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87E237">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D76F0B1">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6AF7C8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FBF2C9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伪造、涂改、出租、出借、转让的营业执照已用于非法目的，但社会危害性较重的，或者违法所得在1万元以上的。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223712C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没收违法所得，处7万元以上10万元以下罚款。</w:t>
            </w:r>
          </w:p>
        </w:tc>
      </w:tr>
      <w:tr w14:paraId="57B5C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2"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D35D47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D5B227">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CA2C6E">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20AD2A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2441E8E6">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伪造、涂改、出租、出借、转让营业执照造成严重危害后果的。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7384E22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处10万元以上50万元以下罚款，吊销营业执照。</w:t>
            </w:r>
          </w:p>
        </w:tc>
      </w:tr>
      <w:tr w14:paraId="50116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3"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548B2D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r>
              <w:rPr>
                <w:rFonts w:hint="eastAsia" w:ascii="宋体" w:hAnsi="宋体" w:cs="宋体"/>
                <w:i w:val="0"/>
                <w:color w:val="000000"/>
                <w:kern w:val="0"/>
                <w:sz w:val="24"/>
                <w:szCs w:val="24"/>
                <w:u w:val="none"/>
                <w:lang w:val="en-US" w:eastAsia="zh-CN" w:bidi="ar"/>
              </w:rPr>
              <w:t>1</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166695C4">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outlineLvl w:val="1"/>
              <w:rPr>
                <w:rFonts w:hint="eastAsia" w:ascii="宋体" w:hAnsi="宋体" w:eastAsia="宋体" w:cs="宋体"/>
                <w:i w:val="0"/>
                <w:color w:val="000000"/>
                <w:sz w:val="24"/>
                <w:szCs w:val="24"/>
                <w:u w:val="none"/>
              </w:rPr>
            </w:pPr>
            <w:bookmarkStart w:id="38" w:name="_Toc31306"/>
            <w:bookmarkStart w:id="39" w:name="_Toc25018"/>
            <w:bookmarkStart w:id="40" w:name="_Toc1244"/>
            <w:bookmarkStart w:id="41" w:name="_Toc18679"/>
            <w:r>
              <w:rPr>
                <w:rStyle w:val="15"/>
                <w:lang w:val="en-US" w:eastAsia="zh-CN" w:bidi="ar"/>
              </w:rPr>
              <w:t>《中华人民共和国市场主体登记管理条例》《中华人民共和国市场主体登记管理条例实施细则》（</w:t>
            </w:r>
            <w:r>
              <w:rPr>
                <w:rStyle w:val="14"/>
                <w:lang w:val="en-US" w:eastAsia="zh-CN" w:bidi="ar"/>
              </w:rPr>
              <w:t>2022年3月1日</w:t>
            </w:r>
            <w:r>
              <w:rPr>
                <w:rStyle w:val="14"/>
                <w:rFonts w:hint="eastAsia"/>
                <w:lang w:val="en-US" w:eastAsia="zh-CN" w:bidi="ar"/>
              </w:rPr>
              <w:t>起施行</w:t>
            </w:r>
            <w:r>
              <w:rPr>
                <w:rStyle w:val="15"/>
                <w:lang w:val="en-US" w:eastAsia="zh-CN" w:bidi="ar"/>
              </w:rPr>
              <w:t>）</w:t>
            </w:r>
            <w:bookmarkEnd w:id="38"/>
            <w:bookmarkEnd w:id="39"/>
            <w:bookmarkEnd w:id="40"/>
            <w:bookmarkEnd w:id="41"/>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3D0D396F">
            <w:pPr>
              <w:keepNext w:val="0"/>
              <w:keepLines w:val="0"/>
              <w:pageBreakBefore w:val="0"/>
              <w:widowControl/>
              <w:suppressLineNumbers w:val="0"/>
              <w:kinsoku/>
              <w:wordWrap/>
              <w:overflowPunct/>
              <w:topLinePunct w:val="0"/>
              <w:autoSpaceDE/>
              <w:autoSpaceDN/>
              <w:bidi w:val="0"/>
              <w:adjustRightInd/>
              <w:snapToGrid/>
              <w:spacing w:line="360" w:lineRule="exact"/>
              <w:ind w:left="-21" w:leftChars="-10" w:right="-21" w:rightChars="-10"/>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spacing w:val="-6"/>
                <w:kern w:val="0"/>
                <w:sz w:val="24"/>
                <w:szCs w:val="24"/>
                <w:u w:val="none"/>
                <w:lang w:val="en-US" w:eastAsia="zh-CN" w:bidi="ar"/>
              </w:rPr>
              <w:t>《</w:t>
            </w:r>
            <w:r>
              <w:rPr>
                <w:rFonts w:hint="eastAsia" w:ascii="宋体" w:hAnsi="宋体" w:eastAsia="宋体" w:cs="宋体"/>
                <w:i w:val="0"/>
                <w:color w:val="000000"/>
                <w:spacing w:val="0"/>
                <w:kern w:val="0"/>
                <w:sz w:val="24"/>
                <w:szCs w:val="24"/>
                <w:u w:val="none"/>
                <w:lang w:val="en-US" w:eastAsia="zh-CN" w:bidi="ar"/>
              </w:rPr>
              <w:t>中华人民共和国市场主体登记管理条例》第三十五条 市场主体应当按照国家有关规定公示年度报告和登记相关信息</w:t>
            </w:r>
            <w:r>
              <w:rPr>
                <w:rFonts w:hint="eastAsia" w:ascii="宋体" w:hAnsi="宋体" w:eastAsia="宋体" w:cs="宋体"/>
                <w:i w:val="0"/>
                <w:color w:val="000000"/>
                <w:kern w:val="0"/>
                <w:sz w:val="24"/>
                <w:szCs w:val="24"/>
                <w:u w:val="none"/>
                <w:lang w:val="en-US" w:eastAsia="zh-CN" w:bidi="ar"/>
              </w:rPr>
              <w:t>。</w:t>
            </w:r>
          </w:p>
          <w:p w14:paraId="3425028F">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《中华人民共和国市场主体登记管理条例实施细则》第六十三条 市场主体应当于每年1月1日至6月30日，通过国家企业信用信息公示系统报送上一年度年度报告，并向社会公示。</w:t>
            </w:r>
          </w:p>
          <w:p w14:paraId="3C434771">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第七十条 市场主体未按照法律、行政法规规定的期限公示或者报送年度报告的，由登记机关列入经营异常名录，可以处1万元以下的罚款。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108461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129D376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pacing w:val="-6"/>
                <w:sz w:val="24"/>
                <w:szCs w:val="24"/>
                <w:u w:val="none"/>
              </w:rPr>
            </w:pPr>
            <w:r>
              <w:rPr>
                <w:rFonts w:hint="eastAsia" w:ascii="宋体" w:hAnsi="宋体" w:eastAsia="宋体" w:cs="宋体"/>
                <w:i w:val="0"/>
                <w:color w:val="000000"/>
                <w:spacing w:val="6"/>
                <w:kern w:val="0"/>
                <w:sz w:val="24"/>
                <w:szCs w:val="24"/>
                <w:u w:val="none"/>
                <w:lang w:val="en-US" w:eastAsia="zh-CN" w:bidi="ar"/>
              </w:rPr>
              <w:t>市场主体仅有1个年度未报送年报的。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424C423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pacing w:val="-6"/>
                <w:sz w:val="24"/>
                <w:szCs w:val="24"/>
                <w:u w:val="none"/>
              </w:rPr>
            </w:pPr>
            <w:r>
              <w:rPr>
                <w:rFonts w:hint="eastAsia" w:ascii="宋体" w:hAnsi="宋体" w:eastAsia="宋体" w:cs="宋体"/>
                <w:i w:val="0"/>
                <w:color w:val="000000"/>
                <w:spacing w:val="-6"/>
                <w:kern w:val="0"/>
                <w:sz w:val="24"/>
                <w:szCs w:val="24"/>
                <w:u w:val="none"/>
                <w:lang w:val="en-US" w:eastAsia="zh-CN" w:bidi="ar"/>
              </w:rPr>
              <w:t>可以处3000元以下罚款。</w:t>
            </w:r>
          </w:p>
        </w:tc>
      </w:tr>
      <w:tr w14:paraId="552C8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4"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ED504B">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516E0C">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7C89EC">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5971A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5A2548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市场主体2个年度未报送年报的。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6655B26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可以处3000元以上7000元以下罚款。</w:t>
            </w:r>
          </w:p>
        </w:tc>
      </w:tr>
      <w:tr w14:paraId="61910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AD218BA">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E98CBC8">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0DD61C2">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44F896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7619FF7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市场主体3个以上（含3个）年度未报送年报的。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36A969E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可以处7000元以上1万元以下罚款。</w:t>
            </w:r>
          </w:p>
        </w:tc>
      </w:tr>
      <w:tr w14:paraId="49DA3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6C7288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r>
              <w:rPr>
                <w:rFonts w:hint="eastAsia" w:ascii="宋体" w:hAnsi="宋体" w:cs="宋体"/>
                <w:i w:val="0"/>
                <w:color w:val="000000"/>
                <w:kern w:val="0"/>
                <w:sz w:val="24"/>
                <w:szCs w:val="24"/>
                <w:u w:val="none"/>
                <w:lang w:val="en-US" w:eastAsia="zh-CN" w:bidi="ar"/>
              </w:rPr>
              <w:t>2</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64E27101">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outlineLvl w:val="1"/>
              <w:rPr>
                <w:rFonts w:hint="eastAsia" w:ascii="宋体" w:hAnsi="宋体" w:eastAsia="宋体" w:cs="宋体"/>
                <w:i w:val="0"/>
                <w:color w:val="000000"/>
                <w:sz w:val="24"/>
                <w:szCs w:val="24"/>
                <w:u w:val="none"/>
              </w:rPr>
            </w:pPr>
            <w:bookmarkStart w:id="42" w:name="_Toc26390"/>
            <w:bookmarkStart w:id="43" w:name="_Toc10019"/>
            <w:bookmarkStart w:id="44" w:name="_Toc26775"/>
            <w:bookmarkStart w:id="45" w:name="_Toc768"/>
            <w:r>
              <w:rPr>
                <w:rFonts w:hint="eastAsia" w:ascii="宋体" w:hAnsi="宋体" w:eastAsia="宋体" w:cs="宋体"/>
                <w:i w:val="0"/>
                <w:color w:val="000000"/>
                <w:kern w:val="0"/>
                <w:sz w:val="24"/>
                <w:szCs w:val="24"/>
                <w:u w:val="none"/>
                <w:lang w:val="en-US" w:eastAsia="zh-CN" w:bidi="ar"/>
              </w:rPr>
              <w:t>《中华人民共和国市场主体登记管理条例实施细则》</w:t>
            </w:r>
            <w:bookmarkEnd w:id="42"/>
            <w:bookmarkEnd w:id="43"/>
            <w:bookmarkEnd w:id="44"/>
            <w:bookmarkEnd w:id="45"/>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6B404D66">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第七十一条第二款 明知或者应当知道申请人提交虚假材料或者采取其他欺诈手段隐瞒重要事实进行市场主体登记，仍接受委托代为办理，或者协助其进行虚假登记的，由登记机关没收违法所得，处10万元以下的罚款。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ED5E8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E29D93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违法所得1000元以下的。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A45D475">
            <w:pPr>
              <w:keepNext w:val="0"/>
              <w:keepLines w:val="0"/>
              <w:pageBreakBefore w:val="0"/>
              <w:widowControl/>
              <w:suppressLineNumbers w:val="0"/>
              <w:kinsoku/>
              <w:wordWrap/>
              <w:overflowPunct/>
              <w:topLinePunct w:val="0"/>
              <w:autoSpaceDE/>
              <w:autoSpaceDN/>
              <w:bidi w:val="0"/>
              <w:adjustRightInd/>
              <w:snapToGrid/>
              <w:spacing w:line="34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spacing w:val="-6"/>
                <w:kern w:val="0"/>
                <w:sz w:val="24"/>
                <w:szCs w:val="24"/>
                <w:u w:val="none"/>
                <w:lang w:val="en-US" w:eastAsia="zh-CN" w:bidi="ar"/>
              </w:rPr>
              <w:t>由登记机关没收违法所得，处1万元以下罚款。</w:t>
            </w:r>
          </w:p>
        </w:tc>
      </w:tr>
      <w:tr w14:paraId="2159F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CC1A5C0">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C721CA">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C0E370F">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623AB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3D79A1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pacing w:val="6"/>
                <w:sz w:val="24"/>
                <w:szCs w:val="24"/>
                <w:u w:val="none"/>
              </w:rPr>
            </w:pPr>
            <w:r>
              <w:rPr>
                <w:rFonts w:hint="eastAsia" w:ascii="宋体" w:hAnsi="宋体" w:eastAsia="宋体" w:cs="宋体"/>
                <w:i w:val="0"/>
                <w:color w:val="000000"/>
                <w:spacing w:val="6"/>
                <w:kern w:val="0"/>
                <w:sz w:val="24"/>
                <w:szCs w:val="24"/>
                <w:u w:val="none"/>
                <w:lang w:val="en-US" w:eastAsia="zh-CN" w:bidi="ar"/>
              </w:rPr>
              <w:t>违法所得1000元以上5000元以下的。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18C08A22">
            <w:pPr>
              <w:keepNext w:val="0"/>
              <w:keepLines w:val="0"/>
              <w:pageBreakBefore w:val="0"/>
              <w:widowControl/>
              <w:suppressLineNumbers w:val="0"/>
              <w:kinsoku/>
              <w:wordWrap/>
              <w:overflowPunct/>
              <w:topLinePunct w:val="0"/>
              <w:autoSpaceDE/>
              <w:autoSpaceDN/>
              <w:bidi w:val="0"/>
              <w:adjustRightInd/>
              <w:snapToGrid/>
              <w:spacing w:line="34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由登记机关没收违法所得，处1万元以上3万元以下罚款。</w:t>
            </w:r>
          </w:p>
        </w:tc>
      </w:tr>
      <w:tr w14:paraId="2E76B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5"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5C165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E749E9">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091337">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191D70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BFD4CF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pacing w:val="6"/>
                <w:sz w:val="24"/>
                <w:szCs w:val="24"/>
                <w:u w:val="none"/>
              </w:rPr>
            </w:pPr>
            <w:r>
              <w:rPr>
                <w:rFonts w:hint="eastAsia" w:ascii="宋体" w:hAnsi="宋体" w:eastAsia="宋体" w:cs="宋体"/>
                <w:i w:val="0"/>
                <w:color w:val="000000"/>
                <w:spacing w:val="6"/>
                <w:kern w:val="0"/>
                <w:sz w:val="24"/>
                <w:szCs w:val="24"/>
                <w:u w:val="none"/>
                <w:lang w:val="en-US" w:eastAsia="zh-CN" w:bidi="ar"/>
              </w:rPr>
              <w:t>违法所得5000元以上1万元以下的。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1E985587">
            <w:pPr>
              <w:keepNext w:val="0"/>
              <w:keepLines w:val="0"/>
              <w:pageBreakBefore w:val="0"/>
              <w:widowControl/>
              <w:suppressLineNumbers w:val="0"/>
              <w:kinsoku/>
              <w:wordWrap/>
              <w:overflowPunct/>
              <w:topLinePunct w:val="0"/>
              <w:autoSpaceDE/>
              <w:autoSpaceDN/>
              <w:bidi w:val="0"/>
              <w:adjustRightInd/>
              <w:snapToGrid/>
              <w:spacing w:line="34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由登记机关没收违法所得，处3万元以上7万元以下罚款。</w:t>
            </w:r>
          </w:p>
        </w:tc>
      </w:tr>
      <w:tr w14:paraId="6AF56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FB4B34">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7F541F8">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CBE17F">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2EEBD6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严重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08316C8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违法所得1万元以上的。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13BC0AF">
            <w:pPr>
              <w:keepNext w:val="0"/>
              <w:keepLines w:val="0"/>
              <w:pageBreakBefore w:val="0"/>
              <w:widowControl/>
              <w:suppressLineNumbers w:val="0"/>
              <w:kinsoku/>
              <w:wordWrap/>
              <w:overflowPunct/>
              <w:topLinePunct w:val="0"/>
              <w:autoSpaceDE/>
              <w:autoSpaceDN/>
              <w:bidi w:val="0"/>
              <w:adjustRightInd/>
              <w:snapToGrid/>
              <w:spacing w:line="34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由登记机关没收违法所得，处7万元以上10万元以下罚款。</w:t>
            </w:r>
          </w:p>
        </w:tc>
      </w:tr>
      <w:tr w14:paraId="2944F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5"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145D5B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r>
              <w:rPr>
                <w:rFonts w:hint="eastAsia" w:ascii="宋体" w:hAnsi="宋体" w:cs="宋体"/>
                <w:i w:val="0"/>
                <w:color w:val="000000"/>
                <w:kern w:val="0"/>
                <w:sz w:val="24"/>
                <w:szCs w:val="24"/>
                <w:u w:val="none"/>
                <w:lang w:val="en-US" w:eastAsia="zh-CN" w:bidi="ar"/>
              </w:rPr>
              <w:t>3</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7196F9F6">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《中华人民共和国市场主体登记管理条例实施细则》</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5D1DE1CA">
            <w:pPr>
              <w:keepNext w:val="0"/>
              <w:keepLines w:val="0"/>
              <w:pageBreakBefore w:val="0"/>
              <w:widowControl/>
              <w:suppressLineNumbers w:val="0"/>
              <w:kinsoku/>
              <w:wordWrap/>
              <w:overflowPunct/>
              <w:topLinePunct w:val="0"/>
              <w:autoSpaceDE/>
              <w:autoSpaceDN/>
              <w:bidi w:val="0"/>
              <w:adjustRightInd/>
              <w:snapToGrid/>
              <w:spacing w:line="380" w:lineRule="exact"/>
              <w:ind w:right="-84" w:rightChars="-40"/>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第七十四条 市场主体未按照本实施细则第四十二条规定公示终止歇业的，由登记机关责令改正；拒不改正的，处3万元以下的罚款。</w:t>
            </w:r>
          </w:p>
          <w:p w14:paraId="05344B32">
            <w:pPr>
              <w:keepNext w:val="0"/>
              <w:keepLines w:val="0"/>
              <w:pageBreakBefore w:val="0"/>
              <w:widowControl/>
              <w:suppressLineNumbers w:val="0"/>
              <w:kinsoku/>
              <w:wordWrap/>
              <w:overflowPunct/>
              <w:topLinePunct w:val="0"/>
              <w:autoSpaceDE/>
              <w:autoSpaceDN/>
              <w:bidi w:val="0"/>
              <w:adjustRightInd/>
              <w:snapToGrid/>
              <w:spacing w:line="380" w:lineRule="exact"/>
              <w:ind w:right="-84" w:rightChars="-4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第四十二条 市场主体办理歇业备案后，自主决定开展或者已实际开展经营活动的，应当于30日内在国家企业信用信息公示系统上公示终止歇业。市场主体恢复营业时，登记、备案事项发生变化的，应当及时办理变更登记或者备案。以法律文书送达地址代替住所（主要经营场所、经营场所）的，应当及时办理住所（主要经营场所、经营场所）变更登记。市场主体备案的歇业期限届满，或者累计歇业满3年，视为自动恢复经营，决定不再经营的，应当及时办理注销登记。</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102D2B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0B9D63E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超过责令改正期限10日</w:t>
            </w:r>
            <w:r>
              <w:rPr>
                <w:rFonts w:hint="eastAsia" w:ascii="宋体" w:hAnsi="宋体" w:cs="宋体"/>
                <w:i w:val="0"/>
                <w:color w:val="000000"/>
                <w:kern w:val="0"/>
                <w:sz w:val="24"/>
                <w:szCs w:val="24"/>
                <w:u w:val="none"/>
                <w:lang w:val="en-US" w:eastAsia="zh-CN" w:bidi="ar"/>
              </w:rPr>
              <w:t>以下</w:t>
            </w:r>
            <w:r>
              <w:rPr>
                <w:rFonts w:hint="eastAsia" w:ascii="宋体" w:hAnsi="宋体" w:eastAsia="宋体" w:cs="宋体"/>
                <w:i w:val="0"/>
                <w:color w:val="000000"/>
                <w:kern w:val="0"/>
                <w:sz w:val="24"/>
                <w:szCs w:val="24"/>
                <w:u w:val="none"/>
                <w:lang w:val="en-US" w:eastAsia="zh-CN" w:bidi="ar"/>
              </w:rPr>
              <w:t>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0959201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处9000元以下罚款。</w:t>
            </w:r>
          </w:p>
        </w:tc>
      </w:tr>
      <w:tr w14:paraId="75673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4F17E8">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E27AD5B">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1ACCB7E">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138EC0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4DD928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超过责令改正期限10日以上30日以</w:t>
            </w:r>
            <w:r>
              <w:rPr>
                <w:rFonts w:hint="eastAsia" w:ascii="宋体" w:hAnsi="宋体" w:cs="宋体"/>
                <w:i w:val="0"/>
                <w:color w:val="000000"/>
                <w:kern w:val="0"/>
                <w:sz w:val="24"/>
                <w:szCs w:val="24"/>
                <w:u w:val="none"/>
                <w:lang w:val="en-US" w:eastAsia="zh-CN" w:bidi="ar"/>
              </w:rPr>
              <w:t>下</w:t>
            </w:r>
            <w:r>
              <w:rPr>
                <w:rFonts w:hint="eastAsia" w:ascii="宋体" w:hAnsi="宋体" w:eastAsia="宋体" w:cs="宋体"/>
                <w:i w:val="0"/>
                <w:color w:val="000000"/>
                <w:kern w:val="0"/>
                <w:sz w:val="24"/>
                <w:szCs w:val="24"/>
                <w:u w:val="none"/>
                <w:lang w:val="en-US" w:eastAsia="zh-CN" w:bidi="ar"/>
              </w:rPr>
              <w:t>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176FA0F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处9000元以上2.1万元以下罚款。</w:t>
            </w:r>
          </w:p>
        </w:tc>
      </w:tr>
      <w:tr w14:paraId="5F2D8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8"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E2CC1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35F50669">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082650">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400899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12B2D4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超过责令改正期限30日以上的。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09D7CE7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处2.1万元以上3万元以下的罚款。</w:t>
            </w:r>
          </w:p>
        </w:tc>
      </w:tr>
      <w:tr w14:paraId="590CA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4BA22C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r>
              <w:rPr>
                <w:rFonts w:hint="eastAsia" w:ascii="宋体" w:hAnsi="宋体" w:cs="宋体"/>
                <w:i w:val="0"/>
                <w:color w:val="000000"/>
                <w:kern w:val="0"/>
                <w:sz w:val="24"/>
                <w:szCs w:val="24"/>
                <w:u w:val="none"/>
                <w:lang w:val="en-US" w:eastAsia="zh-CN" w:bidi="ar"/>
              </w:rPr>
              <w:t>4</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1E42EA54">
            <w:pPr>
              <w:keepNext w:val="0"/>
              <w:keepLines w:val="0"/>
              <w:pageBreakBefore w:val="0"/>
              <w:widowControl/>
              <w:suppressLineNumbers w:val="0"/>
              <w:kinsoku/>
              <w:wordWrap/>
              <w:overflowPunct/>
              <w:topLinePunct w:val="0"/>
              <w:autoSpaceDE/>
              <w:autoSpaceDN/>
              <w:bidi w:val="0"/>
              <w:adjustRightInd/>
              <w:snapToGrid/>
              <w:spacing w:line="38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《中华人民共和国市场主体登记管理条例实施细则》</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0A9194E7">
            <w:pPr>
              <w:keepNext w:val="0"/>
              <w:keepLines w:val="0"/>
              <w:pageBreakBefore w:val="0"/>
              <w:widowControl/>
              <w:suppressLineNumbers w:val="0"/>
              <w:kinsoku/>
              <w:wordWrap/>
              <w:overflowPunct/>
              <w:topLinePunct w:val="0"/>
              <w:autoSpaceDE/>
              <w:autoSpaceDN/>
              <w:bidi w:val="0"/>
              <w:adjustRightInd/>
              <w:snapToGrid/>
              <w:spacing w:line="38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第七十五条 市场主体未按规定将营业执照置于住所（主要经营场所、经营场所）醒目位置的，由登记机关责令改正；拒不改正的，处3万元以下的罚款。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16C33B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58AC2CF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超过责令改正期限10日</w:t>
            </w:r>
            <w:r>
              <w:rPr>
                <w:rFonts w:hint="eastAsia" w:ascii="宋体" w:hAnsi="宋体" w:cs="宋体"/>
                <w:i w:val="0"/>
                <w:color w:val="000000"/>
                <w:kern w:val="0"/>
                <w:sz w:val="24"/>
                <w:szCs w:val="24"/>
                <w:u w:val="none"/>
                <w:lang w:val="en-US" w:eastAsia="zh-CN" w:bidi="ar"/>
              </w:rPr>
              <w:t>以下</w:t>
            </w:r>
            <w:r>
              <w:rPr>
                <w:rFonts w:hint="eastAsia" w:ascii="宋体" w:hAnsi="宋体" w:eastAsia="宋体" w:cs="宋体"/>
                <w:i w:val="0"/>
                <w:color w:val="000000"/>
                <w:kern w:val="0"/>
                <w:sz w:val="24"/>
                <w:szCs w:val="24"/>
                <w:u w:val="none"/>
                <w:lang w:val="en-US" w:eastAsia="zh-CN" w:bidi="ar"/>
              </w:rPr>
              <w:t>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032EFC36">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处9000元以下罚款。</w:t>
            </w:r>
          </w:p>
        </w:tc>
      </w:tr>
      <w:tr w14:paraId="3E460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066B679D">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8D5B82">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FA5A0B">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0AF801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1F344B3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超过责令改正期限10日以上30日以</w:t>
            </w:r>
            <w:r>
              <w:rPr>
                <w:rFonts w:hint="eastAsia" w:ascii="宋体" w:hAnsi="宋体" w:cs="宋体"/>
                <w:i w:val="0"/>
                <w:color w:val="000000"/>
                <w:kern w:val="0"/>
                <w:sz w:val="24"/>
                <w:szCs w:val="24"/>
                <w:u w:val="none"/>
                <w:lang w:val="en-US" w:eastAsia="zh-CN" w:bidi="ar"/>
              </w:rPr>
              <w:t>下</w:t>
            </w:r>
            <w:r>
              <w:rPr>
                <w:rFonts w:hint="eastAsia" w:ascii="宋体" w:hAnsi="宋体" w:eastAsia="宋体" w:cs="宋体"/>
                <w:i w:val="0"/>
                <w:color w:val="000000"/>
                <w:kern w:val="0"/>
                <w:sz w:val="24"/>
                <w:szCs w:val="24"/>
                <w:u w:val="none"/>
                <w:lang w:val="en-US" w:eastAsia="zh-CN" w:bidi="ar"/>
              </w:rPr>
              <w:t>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362610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处9000元以上2.1万元以下罚款。</w:t>
            </w:r>
          </w:p>
        </w:tc>
      </w:tr>
      <w:tr w14:paraId="226DC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C85A6C">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322112C">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36FA200">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08345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1683CC3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超过责令改正期限30日以上的。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43988C6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处2.1万元以上3万元以下的罚款。</w:t>
            </w:r>
          </w:p>
        </w:tc>
      </w:tr>
      <w:tr w14:paraId="49BCF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0" w:hRule="atLeas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4D2A0B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r>
              <w:rPr>
                <w:rFonts w:hint="eastAsia" w:ascii="宋体" w:hAnsi="宋体" w:cs="宋体"/>
                <w:i w:val="0"/>
                <w:color w:val="000000"/>
                <w:kern w:val="0"/>
                <w:sz w:val="24"/>
                <w:szCs w:val="24"/>
                <w:u w:val="none"/>
                <w:lang w:val="en-US" w:eastAsia="zh-CN" w:bidi="ar"/>
              </w:rPr>
              <w:t>5</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41506441">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outlineLvl w:val="1"/>
              <w:rPr>
                <w:rFonts w:hint="eastAsia" w:ascii="宋体" w:hAnsi="宋体" w:eastAsia="宋体" w:cs="宋体"/>
                <w:i w:val="0"/>
                <w:color w:val="000000"/>
                <w:sz w:val="24"/>
                <w:szCs w:val="24"/>
                <w:u w:val="none"/>
              </w:rPr>
            </w:pPr>
            <w:bookmarkStart w:id="46" w:name="_Toc28647"/>
            <w:bookmarkStart w:id="47" w:name="_Toc24065"/>
            <w:bookmarkStart w:id="48" w:name="_Toc5502"/>
            <w:bookmarkStart w:id="49" w:name="_Toc21117"/>
            <w:r>
              <w:rPr>
                <w:rFonts w:hint="eastAsia" w:ascii="宋体" w:hAnsi="宋体" w:eastAsia="宋体" w:cs="宋体"/>
                <w:i w:val="0"/>
                <w:color w:val="000000"/>
                <w:kern w:val="0"/>
                <w:sz w:val="24"/>
                <w:szCs w:val="24"/>
                <w:u w:val="none"/>
                <w:lang w:val="en-US" w:eastAsia="zh-CN" w:bidi="ar"/>
              </w:rPr>
              <w:t>《无证无照经营查处办法》</w:t>
            </w:r>
            <w:r>
              <w:rPr>
                <w:rStyle w:val="15"/>
                <w:lang w:val="en-US" w:eastAsia="zh-CN" w:bidi="ar"/>
              </w:rPr>
              <w:t>（</w:t>
            </w:r>
            <w:r>
              <w:rPr>
                <w:rStyle w:val="14"/>
                <w:lang w:val="en-US" w:eastAsia="zh-CN" w:bidi="ar"/>
              </w:rPr>
              <w:t>20</w:t>
            </w:r>
            <w:r>
              <w:rPr>
                <w:rStyle w:val="14"/>
                <w:rFonts w:hint="eastAsia"/>
                <w:lang w:val="en-US" w:eastAsia="zh-CN" w:bidi="ar"/>
              </w:rPr>
              <w:t>17</w:t>
            </w:r>
            <w:r>
              <w:rPr>
                <w:rStyle w:val="14"/>
                <w:lang w:val="en-US" w:eastAsia="zh-CN" w:bidi="ar"/>
              </w:rPr>
              <w:t>年</w:t>
            </w:r>
            <w:r>
              <w:rPr>
                <w:rStyle w:val="14"/>
                <w:rFonts w:hint="eastAsia"/>
                <w:lang w:val="en-US" w:eastAsia="zh-CN" w:bidi="ar"/>
              </w:rPr>
              <w:t>10</w:t>
            </w:r>
            <w:r>
              <w:rPr>
                <w:rStyle w:val="14"/>
                <w:lang w:val="en-US" w:eastAsia="zh-CN" w:bidi="ar"/>
              </w:rPr>
              <w:t>月1日</w:t>
            </w:r>
            <w:r>
              <w:rPr>
                <w:rStyle w:val="14"/>
                <w:rFonts w:hint="eastAsia"/>
                <w:lang w:val="en-US" w:eastAsia="zh-CN" w:bidi="ar"/>
              </w:rPr>
              <w:t>起施行</w:t>
            </w:r>
            <w:r>
              <w:rPr>
                <w:rStyle w:val="15"/>
                <w:lang w:val="en-US" w:eastAsia="zh-CN" w:bidi="ar"/>
              </w:rPr>
              <w:t>）</w:t>
            </w:r>
            <w:bookmarkEnd w:id="46"/>
            <w:bookmarkEnd w:id="47"/>
            <w:bookmarkEnd w:id="48"/>
            <w:bookmarkEnd w:id="49"/>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1791C42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Style w:val="15"/>
                <w:lang w:val="en-US" w:eastAsia="zh-CN" w:bidi="ar"/>
              </w:rPr>
              <w:t>第十三条 从事无照经营的，由工商行政管理部门依照相关法律、行政法规的规定予以处罚。法律、行政法规对无照经营的处罚没有明确规定的，由工商行政管理部门责令停止违法行为，没收违法所得，并处1万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481E58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1A317C44">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有下列情形之一的：</w:t>
            </w:r>
          </w:p>
          <w:p w14:paraId="26FF766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spacing w:val="6"/>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(1)</w:t>
            </w:r>
            <w:r>
              <w:rPr>
                <w:rFonts w:hint="eastAsia" w:ascii="宋体" w:hAnsi="宋体" w:eastAsia="宋体" w:cs="宋体"/>
                <w:i w:val="0"/>
                <w:color w:val="000000"/>
                <w:spacing w:val="6"/>
                <w:kern w:val="0"/>
                <w:sz w:val="24"/>
                <w:szCs w:val="24"/>
                <w:u w:val="none"/>
                <w:lang w:val="en-US" w:eastAsia="zh-CN" w:bidi="ar"/>
              </w:rPr>
              <w:t>无照经营时间</w:t>
            </w:r>
            <w:r>
              <w:rPr>
                <w:rFonts w:hint="eastAsia" w:ascii="宋体" w:hAnsi="宋体" w:cs="宋体"/>
                <w:i w:val="0"/>
                <w:color w:val="000000"/>
                <w:spacing w:val="6"/>
                <w:kern w:val="0"/>
                <w:sz w:val="24"/>
                <w:szCs w:val="24"/>
                <w:u w:val="none"/>
                <w:lang w:val="en-US" w:eastAsia="zh-CN" w:bidi="ar"/>
              </w:rPr>
              <w:t>不超过</w:t>
            </w:r>
            <w:r>
              <w:rPr>
                <w:rFonts w:hint="eastAsia" w:ascii="宋体" w:hAnsi="宋体" w:eastAsia="宋体" w:cs="宋体"/>
                <w:i w:val="0"/>
                <w:color w:val="000000"/>
                <w:spacing w:val="6"/>
                <w:kern w:val="0"/>
                <w:sz w:val="24"/>
                <w:szCs w:val="24"/>
                <w:u w:val="none"/>
                <w:lang w:val="en-US" w:eastAsia="zh-CN" w:bidi="ar"/>
              </w:rPr>
              <w:t>3个月的；</w:t>
            </w:r>
          </w:p>
          <w:p w14:paraId="49A348E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spacing w:val="6"/>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(2)</w:t>
            </w:r>
            <w:r>
              <w:rPr>
                <w:rFonts w:hint="eastAsia" w:ascii="宋体" w:hAnsi="宋体" w:eastAsia="宋体" w:cs="宋体"/>
                <w:i w:val="0"/>
                <w:color w:val="000000"/>
                <w:spacing w:val="6"/>
                <w:kern w:val="0"/>
                <w:sz w:val="24"/>
                <w:szCs w:val="24"/>
                <w:u w:val="none"/>
                <w:lang w:val="en-US" w:eastAsia="zh-CN" w:bidi="ar"/>
              </w:rPr>
              <w:t>非法经营额在3000元以下的；</w:t>
            </w:r>
          </w:p>
          <w:p w14:paraId="10404F85">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(3)</w:t>
            </w:r>
            <w:r>
              <w:rPr>
                <w:rFonts w:hint="eastAsia" w:ascii="宋体" w:hAnsi="宋体" w:eastAsia="宋体" w:cs="宋体"/>
                <w:i w:val="0"/>
                <w:color w:val="000000"/>
                <w:kern w:val="0"/>
                <w:sz w:val="24"/>
                <w:szCs w:val="24"/>
                <w:u w:val="none"/>
                <w:lang w:val="en-US" w:eastAsia="zh-CN" w:bidi="ar"/>
              </w:rPr>
              <w:t>违法所得在1000元以下的。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656E8E2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责令停止违法行为，没收违法所得，处3000元以下罚款。</w:t>
            </w:r>
          </w:p>
        </w:tc>
      </w:tr>
      <w:tr w14:paraId="0CB82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3"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AAD619">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8BC531">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DFC992">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64ABBF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56EACCB8">
            <w:pPr>
              <w:keepNext w:val="0"/>
              <w:keepLines w:val="0"/>
              <w:pageBreakBefore w:val="0"/>
              <w:widowControl/>
              <w:suppressLineNumbers w:val="0"/>
              <w:kinsoku/>
              <w:wordWrap/>
              <w:overflowPunct/>
              <w:topLinePunct w:val="0"/>
              <w:autoSpaceDE/>
              <w:autoSpaceDN/>
              <w:bidi w:val="0"/>
              <w:adjustRightInd/>
              <w:snapToGrid/>
              <w:spacing w:line="34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有下列情形之一的：</w:t>
            </w:r>
          </w:p>
          <w:p w14:paraId="56DB1576">
            <w:pPr>
              <w:keepNext w:val="0"/>
              <w:keepLines w:val="0"/>
              <w:pageBreakBefore w:val="0"/>
              <w:widowControl/>
              <w:numPr>
                <w:ilvl w:val="0"/>
                <w:numId w:val="0"/>
              </w:numPr>
              <w:suppressLineNumbers w:val="0"/>
              <w:kinsoku/>
              <w:wordWrap/>
              <w:overflowPunct/>
              <w:topLinePunct w:val="0"/>
              <w:autoSpaceDE/>
              <w:autoSpaceDN/>
              <w:bidi w:val="0"/>
              <w:adjustRightInd/>
              <w:snapToGrid/>
              <w:spacing w:line="34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(1)</w:t>
            </w:r>
            <w:r>
              <w:rPr>
                <w:rFonts w:hint="eastAsia" w:ascii="宋体" w:hAnsi="宋体" w:eastAsia="宋体" w:cs="宋体"/>
                <w:i w:val="0"/>
                <w:color w:val="000000"/>
                <w:kern w:val="0"/>
                <w:sz w:val="24"/>
                <w:szCs w:val="24"/>
                <w:u w:val="none"/>
                <w:lang w:val="en-US" w:eastAsia="zh-CN" w:bidi="ar"/>
              </w:rPr>
              <w:t>无照经营时间在3个月以上6个月以下的；</w:t>
            </w:r>
          </w:p>
          <w:p w14:paraId="31D1945C">
            <w:pPr>
              <w:keepNext w:val="0"/>
              <w:keepLines w:val="0"/>
              <w:pageBreakBefore w:val="0"/>
              <w:widowControl/>
              <w:numPr>
                <w:ilvl w:val="0"/>
                <w:numId w:val="0"/>
              </w:numPr>
              <w:suppressLineNumbers w:val="0"/>
              <w:kinsoku/>
              <w:wordWrap/>
              <w:overflowPunct/>
              <w:topLinePunct w:val="0"/>
              <w:autoSpaceDE/>
              <w:autoSpaceDN/>
              <w:bidi w:val="0"/>
              <w:adjustRightInd/>
              <w:snapToGrid/>
              <w:spacing w:line="34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(2)</w:t>
            </w:r>
            <w:r>
              <w:rPr>
                <w:rFonts w:hint="eastAsia" w:ascii="宋体" w:hAnsi="宋体" w:eastAsia="宋体" w:cs="宋体"/>
                <w:i w:val="0"/>
                <w:color w:val="000000"/>
                <w:kern w:val="0"/>
                <w:sz w:val="24"/>
                <w:szCs w:val="24"/>
                <w:u w:val="none"/>
                <w:lang w:val="en-US" w:eastAsia="zh-CN" w:bidi="ar"/>
              </w:rPr>
              <w:t>非法经营额在3000元以上7000元以下的；</w:t>
            </w:r>
          </w:p>
          <w:p w14:paraId="6FEFC717">
            <w:pPr>
              <w:keepNext w:val="0"/>
              <w:keepLines w:val="0"/>
              <w:pageBreakBefore w:val="0"/>
              <w:widowControl/>
              <w:numPr>
                <w:ilvl w:val="-1"/>
                <w:numId w:val="0"/>
              </w:numPr>
              <w:suppressLineNumbers w:val="0"/>
              <w:kinsoku/>
              <w:wordWrap/>
              <w:overflowPunct/>
              <w:topLinePunct w:val="0"/>
              <w:autoSpaceDE/>
              <w:autoSpaceDN/>
              <w:bidi w:val="0"/>
              <w:adjustRightInd/>
              <w:snapToGrid/>
              <w:spacing w:line="34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(3)</w:t>
            </w:r>
            <w:r>
              <w:rPr>
                <w:rFonts w:hint="eastAsia" w:ascii="宋体" w:hAnsi="宋体" w:eastAsia="宋体" w:cs="宋体"/>
                <w:i w:val="0"/>
                <w:color w:val="000000"/>
                <w:kern w:val="0"/>
                <w:sz w:val="24"/>
                <w:szCs w:val="24"/>
                <w:u w:val="none"/>
                <w:lang w:val="en-US" w:eastAsia="zh-CN" w:bidi="ar"/>
              </w:rPr>
              <w:t>违法所得在1000元以上2500元以下的。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7B5963C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责令停止违法行为，没收违法所得，处3000元以上7000元以下罚款。</w:t>
            </w:r>
          </w:p>
        </w:tc>
      </w:tr>
      <w:tr w14:paraId="221AD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3" w:hRule="atLeas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84F781">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F0FDEB">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27B75E85">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619B63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3BB71B1E">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有下列情形之一的：</w:t>
            </w:r>
          </w:p>
          <w:p w14:paraId="5F77DDD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spacing w:val="6"/>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(1)</w:t>
            </w:r>
            <w:r>
              <w:rPr>
                <w:rFonts w:hint="eastAsia" w:ascii="宋体" w:hAnsi="宋体" w:eastAsia="宋体" w:cs="宋体"/>
                <w:i w:val="0"/>
                <w:color w:val="000000"/>
                <w:spacing w:val="6"/>
                <w:kern w:val="0"/>
                <w:sz w:val="24"/>
                <w:szCs w:val="24"/>
                <w:u w:val="none"/>
                <w:lang w:val="en-US" w:eastAsia="zh-CN" w:bidi="ar"/>
              </w:rPr>
              <w:t>无照经营时间在6个月以上的；</w:t>
            </w:r>
          </w:p>
          <w:p w14:paraId="4362DC1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spacing w:val="6"/>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(2)</w:t>
            </w:r>
            <w:r>
              <w:rPr>
                <w:rFonts w:hint="eastAsia" w:ascii="宋体" w:hAnsi="宋体" w:eastAsia="宋体" w:cs="宋体"/>
                <w:i w:val="0"/>
                <w:color w:val="000000"/>
                <w:spacing w:val="6"/>
                <w:kern w:val="0"/>
                <w:sz w:val="24"/>
                <w:szCs w:val="24"/>
                <w:u w:val="none"/>
                <w:lang w:val="en-US" w:eastAsia="zh-CN" w:bidi="ar"/>
              </w:rPr>
              <w:t>非法经营额在7000元以上的；</w:t>
            </w:r>
          </w:p>
          <w:p w14:paraId="797C6160">
            <w:pPr>
              <w:keepNext w:val="0"/>
              <w:keepLines w:val="0"/>
              <w:pageBreakBefore w:val="0"/>
              <w:widowControl/>
              <w:numPr>
                <w:ilvl w:val="-1"/>
                <w:numId w:val="0"/>
              </w:numPr>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sz w:val="24"/>
                <w:szCs w:val="24"/>
                <w:u w:val="none"/>
              </w:rPr>
            </w:pPr>
            <w:r>
              <w:rPr>
                <w:rFonts w:hint="eastAsia" w:ascii="宋体" w:hAnsi="宋体" w:cs="宋体"/>
                <w:i w:val="0"/>
                <w:color w:val="000000"/>
                <w:kern w:val="0"/>
                <w:sz w:val="24"/>
                <w:szCs w:val="24"/>
                <w:u w:val="none"/>
                <w:lang w:val="en-US" w:eastAsia="zh-CN" w:bidi="ar"/>
              </w:rPr>
              <w:t>(3)</w:t>
            </w:r>
            <w:r>
              <w:rPr>
                <w:rFonts w:hint="eastAsia" w:ascii="宋体" w:hAnsi="宋体" w:eastAsia="宋体" w:cs="宋体"/>
                <w:i w:val="0"/>
                <w:color w:val="000000"/>
                <w:kern w:val="0"/>
                <w:sz w:val="24"/>
                <w:szCs w:val="24"/>
                <w:u w:val="none"/>
                <w:lang w:val="en-US" w:eastAsia="zh-CN" w:bidi="ar"/>
              </w:rPr>
              <w:t>违法所得在2500元以上的。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5AA7AFB">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责令停止违法行为，没收违法所得，处7000</w:t>
            </w:r>
            <w:r>
              <w:rPr>
                <w:rFonts w:hint="eastAsia" w:ascii="宋体" w:hAnsi="宋体" w:eastAsia="宋体" w:cs="宋体"/>
                <w:i w:val="0"/>
                <w:color w:val="000000"/>
                <w:spacing w:val="-11"/>
                <w:kern w:val="0"/>
                <w:sz w:val="24"/>
                <w:szCs w:val="24"/>
                <w:u w:val="none"/>
                <w:lang w:val="en-US" w:eastAsia="zh-CN" w:bidi="ar"/>
              </w:rPr>
              <w:t>元以上1万元以下罚款。</w:t>
            </w:r>
          </w:p>
        </w:tc>
      </w:tr>
      <w:tr w14:paraId="15E6E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4" w:hRule="exact"/>
          <w:jc w:val="center"/>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27F5AF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r>
              <w:rPr>
                <w:rFonts w:hint="eastAsia" w:ascii="宋体" w:hAnsi="宋体" w:cs="宋体"/>
                <w:i w:val="0"/>
                <w:color w:val="000000"/>
                <w:kern w:val="0"/>
                <w:sz w:val="24"/>
                <w:szCs w:val="24"/>
                <w:u w:val="none"/>
                <w:lang w:val="en-US" w:eastAsia="zh-CN" w:bidi="ar"/>
              </w:rPr>
              <w:t>6</w:t>
            </w:r>
          </w:p>
        </w:tc>
        <w:tc>
          <w:tcPr>
            <w:tcW w:w="545" w:type="pct"/>
            <w:vMerge w:val="restart"/>
            <w:tcBorders>
              <w:top w:val="single" w:color="000000" w:sz="4" w:space="0"/>
              <w:left w:val="single" w:color="000000" w:sz="4" w:space="0"/>
              <w:bottom w:val="single" w:color="000000" w:sz="4" w:space="0"/>
              <w:right w:val="single" w:color="000000" w:sz="4" w:space="0"/>
            </w:tcBorders>
            <w:noWrap w:val="0"/>
            <w:vAlign w:val="center"/>
          </w:tcPr>
          <w:p w14:paraId="5DC45EA0">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《无证无照经营查处办法》</w:t>
            </w:r>
          </w:p>
        </w:tc>
        <w:tc>
          <w:tcPr>
            <w:tcW w:w="1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1606483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第十四条</w:t>
            </w:r>
            <w:r>
              <w:rPr>
                <w:rFonts w:hint="eastAsia" w:ascii="宋体" w:hAnsi="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明知属于无照经营而为经营者提供经营场所，或者提供运输、保管、仓储等条件的，由工商行政管理部门责令停止违法行为，没收违法所得，可以处5000元以下的罚款。</w:t>
            </w: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3BD1A4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较轻</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4169CA6">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违法所得在1500元以下的。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277D5B36">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责令停止违法行为，没收违法所得，处1500元以下罚款。</w:t>
            </w:r>
          </w:p>
        </w:tc>
      </w:tr>
      <w:tr w14:paraId="558E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1"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379FF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3A66342">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246D296">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681598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一般</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78E06843">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违法所得在1500元以上3500元以下的。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5A5FF8DE">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spacing w:val="-6"/>
                <w:kern w:val="0"/>
                <w:sz w:val="24"/>
                <w:szCs w:val="24"/>
                <w:u w:val="none"/>
                <w:lang w:val="en-US" w:eastAsia="zh-CN" w:bidi="ar"/>
              </w:rPr>
              <w:t>责令停止违法行为，没</w:t>
            </w:r>
            <w:r>
              <w:rPr>
                <w:rFonts w:hint="eastAsia" w:ascii="宋体" w:hAnsi="宋体" w:eastAsia="宋体" w:cs="宋体"/>
                <w:i w:val="0"/>
                <w:color w:val="000000"/>
                <w:spacing w:val="-11"/>
                <w:kern w:val="0"/>
                <w:sz w:val="24"/>
                <w:szCs w:val="24"/>
                <w:u w:val="none"/>
                <w:lang w:val="en-US" w:eastAsia="zh-CN" w:bidi="ar"/>
              </w:rPr>
              <w:t>收违法所得，处1500元以上350</w:t>
            </w:r>
            <w:r>
              <w:rPr>
                <w:rFonts w:hint="eastAsia" w:ascii="宋体" w:hAnsi="宋体" w:eastAsia="宋体" w:cs="宋体"/>
                <w:i w:val="0"/>
                <w:color w:val="000000"/>
                <w:spacing w:val="-6"/>
                <w:kern w:val="0"/>
                <w:sz w:val="24"/>
                <w:szCs w:val="24"/>
                <w:u w:val="none"/>
                <w:lang w:val="en-US" w:eastAsia="zh-CN" w:bidi="ar"/>
              </w:rPr>
              <w:t>0元以下罚款。</w:t>
            </w:r>
          </w:p>
        </w:tc>
      </w:tr>
      <w:tr w14:paraId="6712D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1" w:hRule="exact"/>
          <w:jc w:val="center"/>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9B8985">
            <w:pPr>
              <w:keepNext w:val="0"/>
              <w:keepLines w:val="0"/>
              <w:pageBreakBefore w:val="0"/>
              <w:widowControl/>
              <w:kinsoku/>
              <w:wordWrap/>
              <w:overflowPunct/>
              <w:topLinePunct w:val="0"/>
              <w:autoSpaceDE/>
              <w:autoSpaceDN/>
              <w:bidi w:val="0"/>
              <w:adjustRightInd/>
              <w:snapToGrid/>
              <w:spacing w:line="400" w:lineRule="exact"/>
              <w:jc w:val="center"/>
              <w:rPr>
                <w:rFonts w:hint="eastAsia" w:ascii="宋体" w:hAnsi="宋体" w:eastAsia="宋体" w:cs="宋体"/>
                <w:i w:val="0"/>
                <w:color w:val="000000"/>
                <w:sz w:val="24"/>
                <w:szCs w:val="24"/>
                <w:u w:val="none"/>
              </w:rPr>
            </w:pPr>
          </w:p>
        </w:tc>
        <w:tc>
          <w:tcPr>
            <w:tcW w:w="5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C2EEEC">
            <w:pPr>
              <w:keepNext w:val="0"/>
              <w:keepLines w:val="0"/>
              <w:pageBreakBefore w:val="0"/>
              <w:widowControl/>
              <w:kinsoku/>
              <w:wordWrap/>
              <w:overflowPunct/>
              <w:topLinePunct w:val="0"/>
              <w:autoSpaceDE/>
              <w:autoSpaceDN/>
              <w:bidi w:val="0"/>
              <w:adjustRightInd/>
              <w:snapToGrid/>
              <w:spacing w:line="400" w:lineRule="exact"/>
              <w:ind w:left="42" w:leftChars="20"/>
              <w:jc w:val="both"/>
              <w:rPr>
                <w:rFonts w:hint="eastAsia" w:ascii="宋体" w:hAnsi="宋体" w:eastAsia="宋体" w:cs="宋体"/>
                <w:i w:val="0"/>
                <w:color w:val="000000"/>
                <w:sz w:val="24"/>
                <w:szCs w:val="24"/>
                <w:u w:val="none"/>
              </w:rPr>
            </w:pPr>
          </w:p>
        </w:tc>
        <w:tc>
          <w:tcPr>
            <w:tcW w:w="1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0635F05">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color w:val="000000"/>
                <w:sz w:val="24"/>
                <w:szCs w:val="24"/>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6C0941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较重</w:t>
            </w:r>
          </w:p>
        </w:tc>
        <w:tc>
          <w:tcPr>
            <w:tcW w:w="1321" w:type="pct"/>
            <w:tcBorders>
              <w:top w:val="single" w:color="000000" w:sz="4" w:space="0"/>
              <w:left w:val="single" w:color="000000" w:sz="4" w:space="0"/>
              <w:bottom w:val="single" w:color="000000" w:sz="4" w:space="0"/>
              <w:right w:val="single" w:color="000000" w:sz="4" w:space="0"/>
            </w:tcBorders>
            <w:noWrap w:val="0"/>
            <w:vAlign w:val="center"/>
          </w:tcPr>
          <w:p w14:paraId="4F85231B">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违法所得在3500元以上的。</w:t>
            </w:r>
          </w:p>
        </w:tc>
        <w:tc>
          <w:tcPr>
            <w:tcW w:w="1035" w:type="pct"/>
            <w:tcBorders>
              <w:top w:val="single" w:color="000000" w:sz="4" w:space="0"/>
              <w:left w:val="single" w:color="000000" w:sz="4" w:space="0"/>
              <w:bottom w:val="single" w:color="000000" w:sz="4" w:space="0"/>
              <w:right w:val="single" w:color="000000" w:sz="4" w:space="0"/>
            </w:tcBorders>
            <w:noWrap w:val="0"/>
            <w:vAlign w:val="center"/>
          </w:tcPr>
          <w:p w14:paraId="1E4DCB5B">
            <w:pPr>
              <w:keepNext w:val="0"/>
              <w:keepLines w:val="0"/>
              <w:pageBreakBefore w:val="0"/>
              <w:widowControl/>
              <w:suppressLineNumbers w:val="0"/>
              <w:kinsoku/>
              <w:wordWrap/>
              <w:overflowPunct/>
              <w:topLinePunct w:val="0"/>
              <w:autoSpaceDE/>
              <w:autoSpaceDN/>
              <w:bidi w:val="0"/>
              <w:adjustRightInd/>
              <w:snapToGrid/>
              <w:spacing w:line="350" w:lineRule="exac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责令停止违法行为，没</w:t>
            </w:r>
            <w:r>
              <w:rPr>
                <w:rFonts w:hint="eastAsia" w:ascii="宋体" w:hAnsi="宋体" w:eastAsia="宋体" w:cs="宋体"/>
                <w:i w:val="0"/>
                <w:color w:val="000000"/>
                <w:spacing w:val="-11"/>
                <w:kern w:val="0"/>
                <w:sz w:val="24"/>
                <w:szCs w:val="24"/>
                <w:u w:val="none"/>
                <w:lang w:val="en-US" w:eastAsia="zh-CN" w:bidi="ar"/>
              </w:rPr>
              <w:t>收违法所得，处3500元以上5000</w:t>
            </w:r>
            <w:r>
              <w:rPr>
                <w:rFonts w:hint="eastAsia" w:ascii="宋体" w:hAnsi="宋体" w:eastAsia="宋体" w:cs="宋体"/>
                <w:i w:val="0"/>
                <w:color w:val="000000"/>
                <w:spacing w:val="-6"/>
                <w:kern w:val="0"/>
                <w:sz w:val="24"/>
                <w:szCs w:val="24"/>
                <w:u w:val="none"/>
                <w:lang w:val="en-US" w:eastAsia="zh-CN" w:bidi="ar"/>
              </w:rPr>
              <w:t>元以下罚款。</w:t>
            </w:r>
          </w:p>
        </w:tc>
      </w:tr>
    </w:tbl>
    <w:p w14:paraId="167D7EE8">
      <w:pPr>
        <w:keepNext w:val="0"/>
        <w:keepLines w:val="0"/>
        <w:pageBreakBefore w:val="0"/>
        <w:kinsoku/>
        <w:overflowPunct/>
        <w:topLinePunct w:val="0"/>
        <w:bidi w:val="0"/>
        <w:adjustRightInd/>
        <w:snapToGrid/>
        <w:spacing w:line="240" w:lineRule="auto"/>
        <w:jc w:val="left"/>
        <w:outlineLvl w:val="9"/>
        <w:rPr>
          <w:rFonts w:hint="default" w:ascii="方正小标宋简体" w:hAnsi="方正小标宋简体" w:eastAsia="方正小标宋简体" w:cs="方正小标宋简体"/>
          <w:b w:val="0"/>
          <w:bCs/>
          <w:kern w:val="44"/>
          <w:sz w:val="36"/>
          <w:szCs w:val="20"/>
          <w:lang w:val="en-US" w:eastAsia="zh-CN" w:bidi="ar-SA"/>
        </w:rPr>
      </w:pPr>
      <w:bookmarkStart w:id="50" w:name="_Toc30302"/>
      <w:r>
        <w:rPr>
          <w:rFonts w:hint="default" w:ascii="方正小标宋简体" w:hAnsi="方正小标宋简体" w:eastAsia="方正小标宋简体" w:cs="方正小标宋简体"/>
          <w:b w:val="0"/>
          <w:bCs/>
          <w:kern w:val="44"/>
          <w:sz w:val="36"/>
          <w:szCs w:val="20"/>
          <w:lang w:val="en-US" w:eastAsia="zh-CN" w:bidi="ar-SA"/>
        </w:rPr>
        <w:br w:type="page"/>
      </w:r>
    </w:p>
    <w:p w14:paraId="2EB652FF">
      <w:pPr>
        <w:keepNext w:val="0"/>
        <w:keepLines w:val="0"/>
        <w:pageBreakBefore w:val="0"/>
        <w:kinsoku/>
        <w:overflowPunct/>
        <w:topLinePunct w:val="0"/>
        <w:bidi w:val="0"/>
        <w:adjustRightInd/>
        <w:snapToGrid/>
        <w:spacing w:line="240" w:lineRule="auto"/>
        <w:jc w:val="center"/>
        <w:outlineLvl w:val="1"/>
        <w:rPr>
          <w:rFonts w:hint="default" w:ascii="方正小标宋简体" w:hAnsi="方正小标宋简体" w:eastAsia="方正小标宋简体" w:cs="方正小标宋简体"/>
          <w:b w:val="0"/>
          <w:bCs/>
          <w:kern w:val="44"/>
          <w:sz w:val="36"/>
          <w:szCs w:val="20"/>
          <w:lang w:val="en-US" w:eastAsia="zh-CN" w:bidi="ar-SA"/>
        </w:rPr>
      </w:pPr>
      <w:bookmarkStart w:id="51" w:name="_Toc4931"/>
      <w:bookmarkStart w:id="52" w:name="_Toc8144"/>
      <w:bookmarkStart w:id="53" w:name="_Toc31981"/>
      <w:bookmarkStart w:id="54" w:name="_Toc436"/>
      <w:r>
        <w:rPr>
          <w:rFonts w:hint="default" w:ascii="方正小标宋简体" w:hAnsi="方正小标宋简体" w:eastAsia="方正小标宋简体" w:cs="方正小标宋简体"/>
          <w:b w:val="0"/>
          <w:bCs/>
          <w:kern w:val="44"/>
          <w:sz w:val="36"/>
          <w:szCs w:val="20"/>
          <w:lang w:val="en-US" w:eastAsia="zh-CN" w:bidi="ar-SA"/>
        </w:rPr>
        <w:t>第二节  适用广告监管法律、法规、规章的裁量标准</w:t>
      </w:r>
      <w:bookmarkEnd w:id="50"/>
      <w:bookmarkEnd w:id="51"/>
      <w:bookmarkEnd w:id="52"/>
      <w:bookmarkEnd w:id="53"/>
      <w:bookmarkEnd w:id="54"/>
    </w:p>
    <w:tbl>
      <w:tblPr>
        <w:tblStyle w:val="10"/>
        <w:tblW w:w="14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512"/>
        <w:gridCol w:w="4200"/>
        <w:gridCol w:w="1123"/>
        <w:gridCol w:w="3345"/>
        <w:gridCol w:w="3300"/>
      </w:tblGrid>
      <w:tr w14:paraId="64F54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blHeader/>
          <w:jc w:val="center"/>
        </w:trPr>
        <w:tc>
          <w:tcPr>
            <w:tcW w:w="643" w:type="dxa"/>
            <w:tcBorders>
              <w:tl2br w:val="nil"/>
              <w:tr2bl w:val="nil"/>
            </w:tcBorders>
            <w:noWrap w:val="0"/>
            <w:vAlign w:val="center"/>
          </w:tcPr>
          <w:p w14:paraId="74CD35E8">
            <w:pPr>
              <w:keepNext w:val="0"/>
              <w:keepLines w:val="0"/>
              <w:pageBreakBefore w:val="0"/>
              <w:widowControl/>
              <w:kinsoku/>
              <w:wordWrap/>
              <w:overflowPunct/>
              <w:topLinePunct w:val="0"/>
              <w:autoSpaceDE/>
              <w:autoSpaceDN/>
              <w:bidi w:val="0"/>
              <w:adjustRightInd/>
              <w:snapToGrid/>
              <w:spacing w:line="420" w:lineRule="exact"/>
              <w:ind w:left="-105" w:leftChars="-50" w:right="-105" w:rightChars="-50"/>
              <w:jc w:val="center"/>
              <w:textAlignment w:val="auto"/>
              <w:rPr>
                <w:rFonts w:hint="eastAsia" w:ascii="黑体" w:hAnsi="黑体" w:eastAsia="黑体" w:cs="黑体"/>
                <w:b w:val="0"/>
                <w:bCs w:val="0"/>
                <w:sz w:val="24"/>
                <w:szCs w:val="24"/>
                <w:lang w:eastAsia="zh-CN"/>
              </w:rPr>
            </w:pPr>
            <w:r>
              <w:rPr>
                <w:rFonts w:hint="eastAsia" w:ascii="黑体" w:hAnsi="黑体" w:eastAsia="黑体" w:cs="黑体"/>
                <w:b w:val="0"/>
                <w:bCs w:val="0"/>
                <w:sz w:val="24"/>
                <w:szCs w:val="24"/>
                <w:lang w:eastAsia="zh-CN"/>
              </w:rPr>
              <w:t>序号</w:t>
            </w:r>
          </w:p>
        </w:tc>
        <w:tc>
          <w:tcPr>
            <w:tcW w:w="1512" w:type="dxa"/>
            <w:tcBorders>
              <w:tl2br w:val="nil"/>
              <w:tr2bl w:val="nil"/>
            </w:tcBorders>
            <w:noWrap w:val="0"/>
            <w:vAlign w:val="center"/>
          </w:tcPr>
          <w:p w14:paraId="6F5B43E3">
            <w:pPr>
              <w:keepNext w:val="0"/>
              <w:keepLines w:val="0"/>
              <w:pageBreakBefore w:val="0"/>
              <w:widowControl/>
              <w:kinsoku/>
              <w:wordWrap/>
              <w:overflowPunct/>
              <w:topLinePunct w:val="0"/>
              <w:autoSpaceDE/>
              <w:autoSpaceDN/>
              <w:bidi w:val="0"/>
              <w:adjustRightInd/>
              <w:snapToGrid/>
              <w:spacing w:line="420" w:lineRule="exact"/>
              <w:ind w:left="0" w:leftChars="0"/>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法律名称</w:t>
            </w:r>
          </w:p>
        </w:tc>
        <w:tc>
          <w:tcPr>
            <w:tcW w:w="4200" w:type="dxa"/>
            <w:tcBorders>
              <w:tl2br w:val="nil"/>
              <w:tr2bl w:val="nil"/>
            </w:tcBorders>
            <w:noWrap w:val="0"/>
            <w:vAlign w:val="center"/>
          </w:tcPr>
          <w:p w14:paraId="708E0D90">
            <w:pPr>
              <w:keepNext w:val="0"/>
              <w:keepLines w:val="0"/>
              <w:pageBreakBefore w:val="0"/>
              <w:widowControl/>
              <w:kinsoku/>
              <w:wordWrap/>
              <w:overflowPunct/>
              <w:topLinePunct w:val="0"/>
              <w:autoSpaceDE/>
              <w:autoSpaceDN/>
              <w:bidi w:val="0"/>
              <w:adjustRightInd/>
              <w:snapToGrid/>
              <w:spacing w:line="42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法律依据</w:t>
            </w:r>
          </w:p>
        </w:tc>
        <w:tc>
          <w:tcPr>
            <w:tcW w:w="1123" w:type="dxa"/>
            <w:tcBorders>
              <w:tl2br w:val="nil"/>
              <w:tr2bl w:val="nil"/>
            </w:tcBorders>
            <w:noWrap w:val="0"/>
            <w:vAlign w:val="center"/>
          </w:tcPr>
          <w:p w14:paraId="314CE330">
            <w:pPr>
              <w:keepNext w:val="0"/>
              <w:keepLines w:val="0"/>
              <w:pageBreakBefore w:val="0"/>
              <w:widowControl/>
              <w:kinsoku/>
              <w:wordWrap/>
              <w:overflowPunct/>
              <w:topLinePunct w:val="0"/>
              <w:autoSpaceDE/>
              <w:autoSpaceDN/>
              <w:bidi w:val="0"/>
              <w:adjustRightInd/>
              <w:snapToGrid/>
              <w:spacing w:line="420" w:lineRule="exact"/>
              <w:ind w:left="-105" w:leftChars="-50" w:right="-105" w:rightChars="-50"/>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rPr>
              <w:t>违法程度</w:t>
            </w:r>
          </w:p>
        </w:tc>
        <w:tc>
          <w:tcPr>
            <w:tcW w:w="3345" w:type="dxa"/>
            <w:tcBorders>
              <w:tl2br w:val="nil"/>
              <w:tr2bl w:val="nil"/>
            </w:tcBorders>
            <w:noWrap w:val="0"/>
            <w:vAlign w:val="center"/>
          </w:tcPr>
          <w:p w14:paraId="27BD7B90">
            <w:pPr>
              <w:keepNext w:val="0"/>
              <w:keepLines w:val="0"/>
              <w:pageBreakBefore w:val="0"/>
              <w:widowControl/>
              <w:kinsoku/>
              <w:wordWrap/>
              <w:overflowPunct/>
              <w:topLinePunct w:val="0"/>
              <w:autoSpaceDE/>
              <w:autoSpaceDN/>
              <w:bidi w:val="0"/>
              <w:adjustRightInd/>
              <w:snapToGrid/>
              <w:spacing w:line="420" w:lineRule="exact"/>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rPr>
              <w:t>判断基准</w:t>
            </w:r>
          </w:p>
        </w:tc>
        <w:tc>
          <w:tcPr>
            <w:tcW w:w="3300" w:type="dxa"/>
            <w:tcBorders>
              <w:tl2br w:val="nil"/>
              <w:tr2bl w:val="nil"/>
            </w:tcBorders>
            <w:noWrap w:val="0"/>
            <w:vAlign w:val="center"/>
          </w:tcPr>
          <w:p w14:paraId="52E7173C">
            <w:pPr>
              <w:keepNext w:val="0"/>
              <w:keepLines w:val="0"/>
              <w:pageBreakBefore w:val="0"/>
              <w:widowControl/>
              <w:kinsoku/>
              <w:wordWrap/>
              <w:overflowPunct/>
              <w:topLinePunct w:val="0"/>
              <w:autoSpaceDE/>
              <w:autoSpaceDN/>
              <w:bidi w:val="0"/>
              <w:adjustRightInd/>
              <w:snapToGrid/>
              <w:spacing w:line="420" w:lineRule="exact"/>
              <w:jc w:val="center"/>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rPr>
              <w:t>处罚基准</w:t>
            </w:r>
          </w:p>
        </w:tc>
      </w:tr>
      <w:tr w14:paraId="0C64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643" w:type="dxa"/>
            <w:vMerge w:val="restart"/>
            <w:tcBorders>
              <w:tl2br w:val="nil"/>
              <w:tr2bl w:val="nil"/>
            </w:tcBorders>
            <w:noWrap w:val="0"/>
            <w:vAlign w:val="center"/>
          </w:tcPr>
          <w:p w14:paraId="79872D07">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37</w:t>
            </w:r>
          </w:p>
        </w:tc>
        <w:tc>
          <w:tcPr>
            <w:tcW w:w="1512" w:type="dxa"/>
            <w:vMerge w:val="restart"/>
            <w:tcBorders>
              <w:tl2br w:val="nil"/>
              <w:tr2bl w:val="nil"/>
            </w:tcBorders>
            <w:noWrap w:val="0"/>
            <w:vAlign w:val="center"/>
          </w:tcPr>
          <w:p w14:paraId="634F06EE">
            <w:pPr>
              <w:keepNext w:val="0"/>
              <w:keepLines w:val="0"/>
              <w:pageBreakBefore w:val="0"/>
              <w:kinsoku/>
              <w:wordWrap/>
              <w:overflowPunct/>
              <w:topLinePunct w:val="0"/>
              <w:autoSpaceDE/>
              <w:autoSpaceDN/>
              <w:bidi w:val="0"/>
              <w:adjustRightInd/>
              <w:snapToGrid/>
              <w:spacing w:line="420" w:lineRule="exact"/>
              <w:ind w:left="42" w:leftChars="20"/>
              <w:jc w:val="both"/>
              <w:textAlignment w:val="auto"/>
              <w:outlineLvl w:val="2"/>
              <w:rPr>
                <w:rFonts w:hint="eastAsia" w:ascii="宋体" w:hAnsi="宋体" w:eastAsia="宋体" w:cs="宋体"/>
                <w:b w:val="0"/>
                <w:bCs w:val="0"/>
                <w:color w:val="000000"/>
                <w:sz w:val="24"/>
                <w:szCs w:val="24"/>
                <w:highlight w:val="none"/>
              </w:rPr>
            </w:pPr>
            <w:bookmarkStart w:id="55" w:name="_Toc15835"/>
            <w:bookmarkStart w:id="56" w:name="_Toc13503"/>
            <w:bookmarkStart w:id="57" w:name="_Toc9320"/>
            <w:bookmarkStart w:id="58" w:name="_Toc19177"/>
            <w:bookmarkStart w:id="59" w:name="_Toc25848"/>
            <w:r>
              <w:rPr>
                <w:rFonts w:hint="eastAsia" w:ascii="宋体" w:hAnsi="宋体" w:eastAsia="宋体" w:cs="宋体"/>
                <w:b w:val="0"/>
                <w:bCs w:val="0"/>
                <w:color w:val="000000"/>
                <w:sz w:val="24"/>
                <w:szCs w:val="24"/>
                <w:highlight w:val="none"/>
              </w:rPr>
              <w:t>《中华人民共和国广告法》</w:t>
            </w:r>
            <w:bookmarkEnd w:id="55"/>
            <w:bookmarkEnd w:id="56"/>
            <w:bookmarkEnd w:id="57"/>
            <w:bookmarkEnd w:id="58"/>
            <w:bookmarkEnd w:id="59"/>
            <w:bookmarkStart w:id="60" w:name="_Toc388"/>
            <w:bookmarkStart w:id="61" w:name="_Toc11957"/>
            <w:bookmarkStart w:id="62" w:name="_Toc16229"/>
            <w:bookmarkStart w:id="63" w:name="_Toc22918"/>
            <w:r>
              <w:rPr>
                <w:rFonts w:hint="eastAsia" w:ascii="宋体" w:hAnsi="宋体" w:eastAsia="宋体" w:cs="宋体"/>
                <w:b w:val="0"/>
                <w:bCs w:val="0"/>
                <w:color w:val="000000"/>
                <w:sz w:val="24"/>
                <w:szCs w:val="24"/>
                <w:highlight w:val="none"/>
                <w:lang w:val="en-US" w:eastAsia="zh-CN"/>
              </w:rPr>
              <w:t>（2021年4月29日</w:t>
            </w:r>
            <w:r>
              <w:rPr>
                <w:rFonts w:hint="eastAsia" w:ascii="宋体" w:hAnsi="宋体" w:cs="宋体"/>
                <w:b w:val="0"/>
                <w:bCs w:val="0"/>
                <w:color w:val="000000"/>
                <w:sz w:val="24"/>
                <w:szCs w:val="24"/>
                <w:highlight w:val="none"/>
                <w:lang w:val="en-US" w:eastAsia="zh-CN"/>
              </w:rPr>
              <w:t>起施行</w:t>
            </w:r>
            <w:r>
              <w:rPr>
                <w:rFonts w:hint="eastAsia" w:ascii="宋体" w:hAnsi="宋体" w:eastAsia="宋体" w:cs="宋体"/>
                <w:b w:val="0"/>
                <w:bCs w:val="0"/>
                <w:color w:val="000000"/>
                <w:sz w:val="24"/>
                <w:szCs w:val="24"/>
                <w:highlight w:val="none"/>
                <w:lang w:val="en-US" w:eastAsia="zh-CN"/>
              </w:rPr>
              <w:t>）</w:t>
            </w:r>
            <w:bookmarkEnd w:id="60"/>
            <w:bookmarkEnd w:id="61"/>
            <w:bookmarkEnd w:id="62"/>
            <w:bookmarkEnd w:id="63"/>
          </w:p>
          <w:p w14:paraId="54BF2535">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color w:val="000000"/>
                <w:sz w:val="24"/>
                <w:szCs w:val="24"/>
                <w:highlight w:val="none"/>
              </w:rPr>
            </w:pPr>
          </w:p>
        </w:tc>
        <w:tc>
          <w:tcPr>
            <w:tcW w:w="4200" w:type="dxa"/>
            <w:vMerge w:val="restart"/>
            <w:tcBorders>
              <w:tl2br w:val="nil"/>
              <w:tr2bl w:val="nil"/>
            </w:tcBorders>
            <w:noWrap w:val="0"/>
            <w:vAlign w:val="center"/>
          </w:tcPr>
          <w:p w14:paraId="0223B495">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第五十五条第一款</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w:t>
            </w:r>
          </w:p>
        </w:tc>
        <w:tc>
          <w:tcPr>
            <w:tcW w:w="1123" w:type="dxa"/>
            <w:tcBorders>
              <w:tl2br w:val="nil"/>
              <w:tr2bl w:val="nil"/>
            </w:tcBorders>
            <w:noWrap w:val="0"/>
            <w:vAlign w:val="center"/>
          </w:tcPr>
          <w:p w14:paraId="416BB15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rPr>
              <w:t>较轻</w:t>
            </w:r>
          </w:p>
        </w:tc>
        <w:tc>
          <w:tcPr>
            <w:tcW w:w="3345" w:type="dxa"/>
            <w:tcBorders>
              <w:tl2br w:val="nil"/>
              <w:tr2bl w:val="nil"/>
            </w:tcBorders>
            <w:noWrap w:val="0"/>
            <w:vAlign w:val="center"/>
          </w:tcPr>
          <w:p w14:paraId="1A62368F">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有下列情形之一的：</w:t>
            </w:r>
          </w:p>
          <w:p w14:paraId="6E18B095">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⑴影响较小，广告费用在10万元以下的；</w:t>
            </w:r>
          </w:p>
          <w:p w14:paraId="7E9202D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rPr>
              <w:t>⑵影响小，广告费用无法计算或者明显偏低的。</w:t>
            </w:r>
          </w:p>
        </w:tc>
        <w:tc>
          <w:tcPr>
            <w:tcW w:w="3300" w:type="dxa"/>
            <w:tcBorders>
              <w:tl2br w:val="nil"/>
              <w:tr2bl w:val="nil"/>
            </w:tcBorders>
            <w:noWrap w:val="0"/>
            <w:vAlign w:val="center"/>
          </w:tcPr>
          <w:p w14:paraId="71487528">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rPr>
              <w:t>责令停止发布广告，在相应范围内消除影响，处广告费用3倍的罚款；广告费用无法计算或者明显偏低的，处20万元以上40万元以下的罚款。</w:t>
            </w:r>
          </w:p>
        </w:tc>
      </w:tr>
      <w:tr w14:paraId="4492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643" w:type="dxa"/>
            <w:vMerge w:val="continue"/>
            <w:tcBorders>
              <w:tl2br w:val="nil"/>
              <w:tr2bl w:val="nil"/>
            </w:tcBorders>
            <w:noWrap w:val="0"/>
            <w:vAlign w:val="center"/>
          </w:tcPr>
          <w:p w14:paraId="798885E6">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356915B7">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color w:val="000000"/>
                <w:sz w:val="24"/>
                <w:szCs w:val="24"/>
                <w:highlight w:val="none"/>
              </w:rPr>
            </w:pPr>
          </w:p>
        </w:tc>
        <w:tc>
          <w:tcPr>
            <w:tcW w:w="4200" w:type="dxa"/>
            <w:vMerge w:val="continue"/>
            <w:tcBorders>
              <w:tl2br w:val="nil"/>
              <w:tr2bl w:val="nil"/>
            </w:tcBorders>
            <w:noWrap w:val="0"/>
            <w:vAlign w:val="center"/>
          </w:tcPr>
          <w:p w14:paraId="2676B114">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000000"/>
                <w:sz w:val="24"/>
                <w:szCs w:val="24"/>
                <w:highlight w:val="none"/>
              </w:rPr>
            </w:pPr>
          </w:p>
        </w:tc>
        <w:tc>
          <w:tcPr>
            <w:tcW w:w="1123" w:type="dxa"/>
            <w:tcBorders>
              <w:tl2br w:val="nil"/>
              <w:tr2bl w:val="nil"/>
            </w:tcBorders>
            <w:noWrap w:val="0"/>
            <w:vAlign w:val="center"/>
          </w:tcPr>
          <w:p w14:paraId="0129443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rPr>
              <w:t>一般</w:t>
            </w:r>
          </w:p>
        </w:tc>
        <w:tc>
          <w:tcPr>
            <w:tcW w:w="3345" w:type="dxa"/>
            <w:tcBorders>
              <w:tl2br w:val="nil"/>
              <w:tr2bl w:val="nil"/>
            </w:tcBorders>
            <w:noWrap w:val="0"/>
            <w:vAlign w:val="center"/>
          </w:tcPr>
          <w:p w14:paraId="491AB03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有下列情形之一的：</w:t>
            </w:r>
          </w:p>
          <w:p w14:paraId="77B8561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⑴影响小，广告费用在10万元以上20万元以下的；</w:t>
            </w:r>
          </w:p>
          <w:p w14:paraId="3C42A65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rPr>
              <w:t>⑵影响较大，广告费用无法计算或者明显偏低的。</w:t>
            </w:r>
          </w:p>
        </w:tc>
        <w:tc>
          <w:tcPr>
            <w:tcW w:w="3300" w:type="dxa"/>
            <w:tcBorders>
              <w:tl2br w:val="nil"/>
              <w:tr2bl w:val="nil"/>
            </w:tcBorders>
            <w:noWrap w:val="0"/>
            <w:vAlign w:val="center"/>
          </w:tcPr>
          <w:p w14:paraId="3AAEC3C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rPr>
              <w:t>责令停止发布广告，在相应范围内消除影响，处广告费用3倍以上4倍以下的罚款；广告费用无法计算或者明显偏低的，处40万元以上70万元以下的罚款。</w:t>
            </w:r>
          </w:p>
        </w:tc>
      </w:tr>
      <w:tr w14:paraId="5EBC3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43" w:type="dxa"/>
            <w:vMerge w:val="continue"/>
            <w:tcBorders>
              <w:tl2br w:val="nil"/>
              <w:tr2bl w:val="nil"/>
            </w:tcBorders>
            <w:noWrap w:val="0"/>
            <w:vAlign w:val="center"/>
          </w:tcPr>
          <w:p w14:paraId="2CD0D592">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7F13459A">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color w:val="000000"/>
                <w:sz w:val="24"/>
                <w:szCs w:val="24"/>
                <w:highlight w:val="none"/>
              </w:rPr>
            </w:pPr>
          </w:p>
        </w:tc>
        <w:tc>
          <w:tcPr>
            <w:tcW w:w="4200" w:type="dxa"/>
            <w:vMerge w:val="continue"/>
            <w:tcBorders>
              <w:tl2br w:val="nil"/>
              <w:tr2bl w:val="nil"/>
            </w:tcBorders>
            <w:noWrap w:val="0"/>
            <w:vAlign w:val="center"/>
          </w:tcPr>
          <w:p w14:paraId="58BD7CAE">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000000"/>
                <w:sz w:val="24"/>
                <w:szCs w:val="24"/>
                <w:highlight w:val="none"/>
              </w:rPr>
            </w:pPr>
          </w:p>
        </w:tc>
        <w:tc>
          <w:tcPr>
            <w:tcW w:w="1123" w:type="dxa"/>
            <w:tcBorders>
              <w:tl2br w:val="nil"/>
              <w:tr2bl w:val="nil"/>
            </w:tcBorders>
            <w:noWrap w:val="0"/>
            <w:vAlign w:val="center"/>
          </w:tcPr>
          <w:p w14:paraId="4D92DE7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较重</w:t>
            </w:r>
          </w:p>
        </w:tc>
        <w:tc>
          <w:tcPr>
            <w:tcW w:w="3345" w:type="dxa"/>
            <w:tcBorders>
              <w:tl2br w:val="nil"/>
              <w:tr2bl w:val="nil"/>
            </w:tcBorders>
            <w:noWrap w:val="0"/>
            <w:vAlign w:val="center"/>
          </w:tcPr>
          <w:p w14:paraId="0C36DD2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有下列情形之一的：</w:t>
            </w:r>
          </w:p>
          <w:p w14:paraId="085CC5A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⑴影响较大</w:t>
            </w:r>
            <w:r>
              <w:rPr>
                <w:rFonts w:hint="eastAsia" w:ascii="宋体" w:hAnsi="宋体" w:eastAsia="宋体" w:cs="宋体"/>
                <w:b w:val="0"/>
                <w:bCs w:val="0"/>
                <w:color w:val="000000"/>
                <w:sz w:val="24"/>
                <w:szCs w:val="24"/>
                <w:highlight w:val="none"/>
                <w:lang w:val="en-US" w:eastAsia="zh-CN"/>
              </w:rPr>
              <w:t>，</w:t>
            </w:r>
            <w:r>
              <w:rPr>
                <w:rFonts w:hint="eastAsia" w:ascii="宋体" w:hAnsi="宋体" w:eastAsia="宋体" w:cs="宋体"/>
                <w:b w:val="0"/>
                <w:bCs w:val="0"/>
                <w:color w:val="000000"/>
                <w:sz w:val="24"/>
                <w:szCs w:val="24"/>
                <w:highlight w:val="none"/>
              </w:rPr>
              <w:t>广告费用在20万元以上的；</w:t>
            </w:r>
          </w:p>
          <w:p w14:paraId="690A545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⑵影响大，广告费用无法计算或者明显偏低的。</w:t>
            </w:r>
          </w:p>
        </w:tc>
        <w:tc>
          <w:tcPr>
            <w:tcW w:w="3300" w:type="dxa"/>
            <w:tcBorders>
              <w:tl2br w:val="nil"/>
              <w:tr2bl w:val="nil"/>
            </w:tcBorders>
            <w:noWrap w:val="0"/>
            <w:vAlign w:val="center"/>
          </w:tcPr>
          <w:p w14:paraId="46F495F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责令停止发布广告，在相应范围内消除影响，处广告费用4倍以上5倍以下的罚款；广告费用无法计算或者明显偏低的，处70万元以上100万元以下的罚款。</w:t>
            </w:r>
          </w:p>
        </w:tc>
      </w:tr>
      <w:tr w14:paraId="3EB7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dxa"/>
            <w:vMerge w:val="continue"/>
            <w:tcBorders>
              <w:tl2br w:val="nil"/>
              <w:tr2bl w:val="nil"/>
            </w:tcBorders>
            <w:noWrap w:val="0"/>
            <w:vAlign w:val="center"/>
          </w:tcPr>
          <w:p w14:paraId="1692C541">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1E88E107">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color w:val="000000"/>
                <w:sz w:val="24"/>
                <w:szCs w:val="24"/>
                <w:highlight w:val="none"/>
              </w:rPr>
            </w:pPr>
          </w:p>
        </w:tc>
        <w:tc>
          <w:tcPr>
            <w:tcW w:w="4200" w:type="dxa"/>
            <w:vMerge w:val="continue"/>
            <w:tcBorders>
              <w:tl2br w:val="nil"/>
              <w:tr2bl w:val="nil"/>
            </w:tcBorders>
            <w:noWrap w:val="0"/>
            <w:vAlign w:val="center"/>
          </w:tcPr>
          <w:p w14:paraId="62C60B28">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000000"/>
                <w:sz w:val="24"/>
                <w:szCs w:val="24"/>
                <w:highlight w:val="none"/>
              </w:rPr>
            </w:pPr>
          </w:p>
        </w:tc>
        <w:tc>
          <w:tcPr>
            <w:tcW w:w="1123" w:type="dxa"/>
            <w:tcBorders>
              <w:tl2br w:val="nil"/>
              <w:tr2bl w:val="nil"/>
            </w:tcBorders>
            <w:noWrap w:val="0"/>
            <w:vAlign w:val="center"/>
          </w:tcPr>
          <w:p w14:paraId="668569D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严重</w:t>
            </w:r>
          </w:p>
        </w:tc>
        <w:tc>
          <w:tcPr>
            <w:tcW w:w="3345" w:type="dxa"/>
            <w:tcBorders>
              <w:tl2br w:val="nil"/>
              <w:tr2bl w:val="nil"/>
            </w:tcBorders>
            <w:noWrap w:val="0"/>
            <w:vAlign w:val="center"/>
          </w:tcPr>
          <w:p w14:paraId="391060DD">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2年内有3次以上违法行为或者有其他严重情节的。</w:t>
            </w:r>
          </w:p>
        </w:tc>
        <w:tc>
          <w:tcPr>
            <w:tcW w:w="3300" w:type="dxa"/>
            <w:tcBorders>
              <w:tl2br w:val="nil"/>
              <w:tr2bl w:val="nil"/>
            </w:tcBorders>
            <w:noWrap w:val="0"/>
            <w:vAlign w:val="center"/>
          </w:tcPr>
          <w:p w14:paraId="6E1A296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b w:val="0"/>
                <w:bCs w:val="0"/>
                <w:color w:val="000000"/>
                <w:sz w:val="24"/>
                <w:szCs w:val="24"/>
                <w:highlight w:val="none"/>
                <w:lang w:val="en" w:eastAsia="zh-CN"/>
              </w:rPr>
            </w:pPr>
            <w:r>
              <w:rPr>
                <w:rFonts w:hint="eastAsia" w:ascii="宋体" w:hAnsi="宋体" w:eastAsia="宋体" w:cs="宋体"/>
                <w:b w:val="0"/>
                <w:bCs w:val="0"/>
                <w:color w:val="000000"/>
                <w:sz w:val="24"/>
                <w:szCs w:val="24"/>
                <w:highlight w:val="none"/>
              </w:rPr>
              <w:t>责令停止发布广告，在相应范围内消除影响，处广告费用5倍以上10倍以下的罚款；广告费用无法计算或者明显偏低的，处100万元以上200万元以下的罚款，可以吊销营业执照</w:t>
            </w:r>
            <w:r>
              <w:rPr>
                <w:rFonts w:hint="eastAsia" w:ascii="宋体" w:hAnsi="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t>并由广告审查机关撤销广告审查批准文件、一年内不受理其广告审查申请。</w:t>
            </w:r>
          </w:p>
        </w:tc>
      </w:tr>
      <w:tr w14:paraId="6007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643" w:type="dxa"/>
            <w:vMerge w:val="restart"/>
            <w:tcBorders>
              <w:tl2br w:val="nil"/>
              <w:tr2bl w:val="nil"/>
            </w:tcBorders>
            <w:noWrap w:val="0"/>
            <w:vAlign w:val="center"/>
          </w:tcPr>
          <w:p w14:paraId="78DBEF33">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38</w:t>
            </w:r>
          </w:p>
        </w:tc>
        <w:tc>
          <w:tcPr>
            <w:tcW w:w="1512" w:type="dxa"/>
            <w:vMerge w:val="restart"/>
            <w:tcBorders>
              <w:tl2br w:val="nil"/>
              <w:tr2bl w:val="nil"/>
            </w:tcBorders>
            <w:noWrap w:val="0"/>
            <w:vAlign w:val="center"/>
          </w:tcPr>
          <w:p w14:paraId="3C5CF71E">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《中华人民共和国广告法》</w:t>
            </w:r>
          </w:p>
        </w:tc>
        <w:tc>
          <w:tcPr>
            <w:tcW w:w="4200" w:type="dxa"/>
            <w:vMerge w:val="restart"/>
            <w:tcBorders>
              <w:tl2br w:val="nil"/>
              <w:tr2bl w:val="nil"/>
            </w:tcBorders>
            <w:noWrap w:val="0"/>
            <w:vAlign w:val="center"/>
          </w:tcPr>
          <w:p w14:paraId="3BC8AC15">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第五十五条第三款</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广告经营者、广告发布者明知或者应知广告虚假仍设计、制作、代理、发布的，由市场监督管理部门没收广告费用，并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并可以由有关部门暂停广告发布业务、吊销营业执照。</w:t>
            </w:r>
          </w:p>
        </w:tc>
        <w:tc>
          <w:tcPr>
            <w:tcW w:w="1123" w:type="dxa"/>
            <w:tcBorders>
              <w:tl2br w:val="nil"/>
              <w:tr2bl w:val="nil"/>
            </w:tcBorders>
            <w:noWrap w:val="0"/>
            <w:vAlign w:val="center"/>
          </w:tcPr>
          <w:p w14:paraId="1EC8474B">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较轻</w:t>
            </w:r>
          </w:p>
        </w:tc>
        <w:tc>
          <w:tcPr>
            <w:tcW w:w="3345" w:type="dxa"/>
            <w:tcBorders>
              <w:tl2br w:val="nil"/>
              <w:tr2bl w:val="nil"/>
            </w:tcBorders>
            <w:noWrap w:val="0"/>
            <w:vAlign w:val="center"/>
          </w:tcPr>
          <w:p w14:paraId="7F3D2375">
            <w:pPr>
              <w:keepNext w:val="0"/>
              <w:keepLines w:val="0"/>
              <w:pageBreakBefore w:val="0"/>
              <w:widowControl w:val="0"/>
              <w:kinsoku/>
              <w:wordWrap/>
              <w:overflowPunct/>
              <w:topLinePunct w:val="0"/>
              <w:autoSpaceDE/>
              <w:autoSpaceDN/>
              <w:bidi w:val="0"/>
              <w:adjustRightInd/>
              <w:snapToGrid/>
              <w:spacing w:line="31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有下列情形之一的：</w:t>
            </w:r>
          </w:p>
          <w:p w14:paraId="6C9E3DD8">
            <w:pPr>
              <w:keepNext w:val="0"/>
              <w:keepLines w:val="0"/>
              <w:pageBreakBefore w:val="0"/>
              <w:widowControl w:val="0"/>
              <w:kinsoku/>
              <w:wordWrap/>
              <w:overflowPunct/>
              <w:topLinePunct w:val="0"/>
              <w:autoSpaceDE/>
              <w:autoSpaceDN/>
              <w:bidi w:val="0"/>
              <w:adjustRightInd/>
              <w:snapToGrid/>
              <w:spacing w:line="31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⑴影响较小，广告费用在10万元以下的；</w:t>
            </w:r>
          </w:p>
          <w:p w14:paraId="1249B1A8">
            <w:pPr>
              <w:keepNext w:val="0"/>
              <w:keepLines w:val="0"/>
              <w:pageBreakBefore w:val="0"/>
              <w:widowControl w:val="0"/>
              <w:kinsoku/>
              <w:wordWrap/>
              <w:overflowPunct/>
              <w:topLinePunct w:val="0"/>
              <w:autoSpaceDE/>
              <w:autoSpaceDN/>
              <w:bidi w:val="0"/>
              <w:adjustRightInd/>
              <w:snapToGrid/>
              <w:spacing w:line="31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⑵影响小，广告费用无法计算或者明显偏低的。</w:t>
            </w:r>
          </w:p>
        </w:tc>
        <w:tc>
          <w:tcPr>
            <w:tcW w:w="3300" w:type="dxa"/>
            <w:tcBorders>
              <w:tl2br w:val="nil"/>
              <w:tr2bl w:val="nil"/>
            </w:tcBorders>
            <w:noWrap w:val="0"/>
            <w:vAlign w:val="center"/>
          </w:tcPr>
          <w:p w14:paraId="42A2D77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没收广告费用，处广告费用3倍的罚款；广告费用无法计算或者明显偏低的，处20万元以上40万元以下的罚款。</w:t>
            </w:r>
          </w:p>
        </w:tc>
      </w:tr>
      <w:tr w14:paraId="7F42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643" w:type="dxa"/>
            <w:vMerge w:val="continue"/>
            <w:tcBorders>
              <w:tl2br w:val="nil"/>
              <w:tr2bl w:val="nil"/>
            </w:tcBorders>
            <w:noWrap w:val="0"/>
            <w:vAlign w:val="center"/>
          </w:tcPr>
          <w:p w14:paraId="7B20CC7E">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5FEC52CC">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3112047E">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01B35D6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一般</w:t>
            </w:r>
          </w:p>
        </w:tc>
        <w:tc>
          <w:tcPr>
            <w:tcW w:w="3345" w:type="dxa"/>
            <w:tcBorders>
              <w:tl2br w:val="nil"/>
              <w:tr2bl w:val="nil"/>
            </w:tcBorders>
            <w:noWrap w:val="0"/>
            <w:vAlign w:val="center"/>
          </w:tcPr>
          <w:p w14:paraId="2ECA499E">
            <w:pPr>
              <w:keepNext w:val="0"/>
              <w:keepLines w:val="0"/>
              <w:pageBreakBefore w:val="0"/>
              <w:widowControl w:val="0"/>
              <w:kinsoku/>
              <w:wordWrap/>
              <w:overflowPunct/>
              <w:topLinePunct w:val="0"/>
              <w:autoSpaceDE/>
              <w:autoSpaceDN/>
              <w:bidi w:val="0"/>
              <w:adjustRightInd/>
              <w:snapToGrid/>
              <w:spacing w:line="31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有下列情形之一的：</w:t>
            </w:r>
          </w:p>
          <w:p w14:paraId="21689895">
            <w:pPr>
              <w:keepNext w:val="0"/>
              <w:keepLines w:val="0"/>
              <w:pageBreakBefore w:val="0"/>
              <w:widowControl w:val="0"/>
              <w:kinsoku/>
              <w:wordWrap/>
              <w:overflowPunct/>
              <w:topLinePunct w:val="0"/>
              <w:autoSpaceDE/>
              <w:autoSpaceDN/>
              <w:bidi w:val="0"/>
              <w:adjustRightInd/>
              <w:snapToGrid/>
              <w:spacing w:line="31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⑴影响小，广告费用在10万元以上20万元以下的；</w:t>
            </w:r>
          </w:p>
          <w:p w14:paraId="78DC6982">
            <w:pPr>
              <w:keepNext w:val="0"/>
              <w:keepLines w:val="0"/>
              <w:pageBreakBefore w:val="0"/>
              <w:widowControl w:val="0"/>
              <w:kinsoku/>
              <w:wordWrap/>
              <w:overflowPunct/>
              <w:topLinePunct w:val="0"/>
              <w:autoSpaceDE/>
              <w:autoSpaceDN/>
              <w:bidi w:val="0"/>
              <w:adjustRightInd/>
              <w:snapToGrid/>
              <w:spacing w:line="31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⑵影响较大，广告费用无法计算或者明显偏低的。</w:t>
            </w:r>
          </w:p>
        </w:tc>
        <w:tc>
          <w:tcPr>
            <w:tcW w:w="3300" w:type="dxa"/>
            <w:tcBorders>
              <w:tl2br w:val="nil"/>
              <w:tr2bl w:val="nil"/>
            </w:tcBorders>
            <w:noWrap w:val="0"/>
            <w:vAlign w:val="center"/>
          </w:tcPr>
          <w:p w14:paraId="291A3DB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没收广告费用，处广告费用3倍以上4倍以下的罚款；广告费用无法计算或者明显偏低的，处40万元以上70万元以下的罚款。处违法所得2倍以上3倍以下的罚款，但不超过3万元；没有违法所得的，处7000元以上1万元以下的罚款。</w:t>
            </w:r>
          </w:p>
        </w:tc>
      </w:tr>
      <w:tr w14:paraId="05FB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43" w:type="dxa"/>
            <w:vMerge w:val="continue"/>
            <w:tcBorders>
              <w:tl2br w:val="nil"/>
              <w:tr2bl w:val="nil"/>
            </w:tcBorders>
            <w:noWrap w:val="0"/>
            <w:vAlign w:val="center"/>
          </w:tcPr>
          <w:p w14:paraId="691E0D15">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1B67B07B">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083A74BC">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2840F9B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较重</w:t>
            </w:r>
          </w:p>
        </w:tc>
        <w:tc>
          <w:tcPr>
            <w:tcW w:w="3345" w:type="dxa"/>
            <w:tcBorders>
              <w:tl2br w:val="nil"/>
              <w:tr2bl w:val="nil"/>
            </w:tcBorders>
            <w:noWrap w:val="0"/>
            <w:vAlign w:val="center"/>
          </w:tcPr>
          <w:p w14:paraId="6F07EE63">
            <w:pPr>
              <w:keepNext w:val="0"/>
              <w:keepLines w:val="0"/>
              <w:pageBreakBefore w:val="0"/>
              <w:widowControl w:val="0"/>
              <w:kinsoku/>
              <w:wordWrap/>
              <w:overflowPunct/>
              <w:topLinePunct w:val="0"/>
              <w:autoSpaceDE/>
              <w:autoSpaceDN/>
              <w:bidi w:val="0"/>
              <w:adjustRightInd/>
              <w:snapToGrid/>
              <w:spacing w:line="31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有下列情形之一的：</w:t>
            </w:r>
          </w:p>
          <w:p w14:paraId="459BA995">
            <w:pPr>
              <w:keepNext w:val="0"/>
              <w:keepLines w:val="0"/>
              <w:pageBreakBefore w:val="0"/>
              <w:widowControl w:val="0"/>
              <w:kinsoku/>
              <w:wordWrap/>
              <w:overflowPunct/>
              <w:topLinePunct w:val="0"/>
              <w:autoSpaceDE/>
              <w:autoSpaceDN/>
              <w:bidi w:val="0"/>
              <w:adjustRightInd/>
              <w:snapToGrid/>
              <w:spacing w:line="31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⑴影响较大，广告费用在20万元以上的；</w:t>
            </w:r>
          </w:p>
          <w:p w14:paraId="56B1B503">
            <w:pPr>
              <w:keepNext w:val="0"/>
              <w:keepLines w:val="0"/>
              <w:pageBreakBefore w:val="0"/>
              <w:widowControl w:val="0"/>
              <w:kinsoku/>
              <w:wordWrap/>
              <w:overflowPunct/>
              <w:topLinePunct w:val="0"/>
              <w:autoSpaceDE/>
              <w:autoSpaceDN/>
              <w:bidi w:val="0"/>
              <w:adjustRightInd/>
              <w:snapToGrid/>
              <w:spacing w:line="31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⑵影响大，广告费用无法计算或者明显偏低的。</w:t>
            </w:r>
          </w:p>
        </w:tc>
        <w:tc>
          <w:tcPr>
            <w:tcW w:w="3300" w:type="dxa"/>
            <w:tcBorders>
              <w:tl2br w:val="nil"/>
              <w:tr2bl w:val="nil"/>
            </w:tcBorders>
            <w:noWrap w:val="0"/>
            <w:vAlign w:val="center"/>
          </w:tcPr>
          <w:p w14:paraId="1D0242B0">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没收广告费用，处广告费用4倍以上5倍以下的罚款；广告费用无法计算或者明显偏低的，处70万元以上100万元以下的罚款。</w:t>
            </w:r>
          </w:p>
        </w:tc>
      </w:tr>
      <w:tr w14:paraId="5892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643" w:type="dxa"/>
            <w:vMerge w:val="continue"/>
            <w:tcBorders>
              <w:tl2br w:val="nil"/>
              <w:tr2bl w:val="nil"/>
            </w:tcBorders>
            <w:noWrap w:val="0"/>
            <w:vAlign w:val="center"/>
          </w:tcPr>
          <w:p w14:paraId="3A9A8199">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0296FBF8">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68D8FB63">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5B1CD58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严重</w:t>
            </w:r>
          </w:p>
        </w:tc>
        <w:tc>
          <w:tcPr>
            <w:tcW w:w="3345" w:type="dxa"/>
            <w:tcBorders>
              <w:tl2br w:val="nil"/>
              <w:tr2bl w:val="nil"/>
            </w:tcBorders>
            <w:noWrap w:val="0"/>
            <w:vAlign w:val="center"/>
          </w:tcPr>
          <w:p w14:paraId="0F620232">
            <w:pPr>
              <w:keepNext w:val="0"/>
              <w:keepLines w:val="0"/>
              <w:pageBreakBefore w:val="0"/>
              <w:widowControl w:val="0"/>
              <w:kinsoku/>
              <w:wordWrap/>
              <w:overflowPunct/>
              <w:topLinePunct w:val="0"/>
              <w:autoSpaceDE/>
              <w:autoSpaceDN/>
              <w:bidi w:val="0"/>
              <w:adjustRightInd/>
              <w:snapToGrid/>
              <w:spacing w:line="31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2年内有3次以上违法行为或者有其他严重情节的。</w:t>
            </w:r>
          </w:p>
        </w:tc>
        <w:tc>
          <w:tcPr>
            <w:tcW w:w="3300" w:type="dxa"/>
            <w:tcBorders>
              <w:tl2br w:val="nil"/>
              <w:tr2bl w:val="nil"/>
            </w:tcBorders>
            <w:noWrap w:val="0"/>
            <w:vAlign w:val="center"/>
          </w:tcPr>
          <w:p w14:paraId="5652FFA8">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没收广告费用，处广告费用5倍以上10倍以下的罚款；广告费用无法计算或者明显偏低的，处100万元以上200万元以下的罚款，并可以由有关部门暂停广告发布业务、吊销营业执照。</w:t>
            </w:r>
          </w:p>
        </w:tc>
      </w:tr>
      <w:tr w14:paraId="6967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exact"/>
          <w:jc w:val="center"/>
        </w:trPr>
        <w:tc>
          <w:tcPr>
            <w:tcW w:w="643" w:type="dxa"/>
            <w:vMerge w:val="restart"/>
            <w:tcBorders>
              <w:tl2br w:val="nil"/>
              <w:tr2bl w:val="nil"/>
            </w:tcBorders>
            <w:noWrap w:val="0"/>
            <w:vAlign w:val="center"/>
          </w:tcPr>
          <w:p w14:paraId="5D1439A7">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39</w:t>
            </w:r>
          </w:p>
        </w:tc>
        <w:tc>
          <w:tcPr>
            <w:tcW w:w="1512" w:type="dxa"/>
            <w:vMerge w:val="restart"/>
            <w:tcBorders>
              <w:tl2br w:val="nil"/>
              <w:tr2bl w:val="nil"/>
            </w:tcBorders>
            <w:noWrap w:val="0"/>
            <w:vAlign w:val="center"/>
          </w:tcPr>
          <w:p w14:paraId="782C93CB">
            <w:pPr>
              <w:keepNext w:val="0"/>
              <w:keepLines w:val="0"/>
              <w:pageBreakBefore w:val="0"/>
              <w:widowControl w:val="0"/>
              <w:kinsoku/>
              <w:wordWrap/>
              <w:overflowPunct/>
              <w:topLinePunct w:val="0"/>
              <w:autoSpaceDE/>
              <w:autoSpaceDN/>
              <w:bidi w:val="0"/>
              <w:adjustRightInd/>
              <w:snapToGrid/>
              <w:spacing w:line="440" w:lineRule="exact"/>
              <w:ind w:left="42" w:leftChars="2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《中华人民共和国广告法》</w:t>
            </w:r>
          </w:p>
        </w:tc>
        <w:tc>
          <w:tcPr>
            <w:tcW w:w="4200" w:type="dxa"/>
            <w:vMerge w:val="restart"/>
            <w:tcBorders>
              <w:tl2br w:val="nil"/>
              <w:tr2bl w:val="nil"/>
            </w:tcBorders>
            <w:noWrap w:val="0"/>
            <w:vAlign w:val="center"/>
          </w:tcPr>
          <w:p w14:paraId="27DCF62A">
            <w:pPr>
              <w:keepNext w:val="0"/>
              <w:keepLines w:val="0"/>
              <w:pageBreakBefore w:val="0"/>
              <w:widowControl w:val="0"/>
              <w:kinsoku/>
              <w:wordWrap/>
              <w:overflowPunct/>
              <w:topLinePunct w:val="0"/>
              <w:autoSpaceDE/>
              <w:autoSpaceDN/>
              <w:bidi w:val="0"/>
              <w:adjustRightInd/>
              <w:snapToGrid/>
              <w:spacing w:line="326" w:lineRule="exact"/>
              <w:ind w:right="-84" w:rightChars="-40"/>
              <w:jc w:val="both"/>
              <w:textAlignment w:val="auto"/>
              <w:rPr>
                <w:rFonts w:hint="eastAsia" w:ascii="宋体" w:hAnsi="宋体" w:eastAsia="宋体" w:cs="宋体"/>
                <w:b w:val="0"/>
                <w:bCs w:val="0"/>
                <w:color w:val="auto"/>
                <w:spacing w:val="-6"/>
                <w:sz w:val="24"/>
                <w:szCs w:val="24"/>
              </w:rPr>
            </w:pPr>
            <w:r>
              <w:rPr>
                <w:rFonts w:hint="eastAsia" w:ascii="宋体" w:hAnsi="宋体" w:eastAsia="宋体" w:cs="宋体"/>
                <w:b w:val="0"/>
                <w:bCs w:val="0"/>
                <w:color w:val="auto"/>
                <w:sz w:val="24"/>
                <w:szCs w:val="24"/>
              </w:rPr>
              <w:t>第</w:t>
            </w:r>
            <w:r>
              <w:rPr>
                <w:rFonts w:hint="eastAsia" w:ascii="宋体" w:hAnsi="宋体" w:eastAsia="宋体" w:cs="宋体"/>
                <w:b w:val="0"/>
                <w:bCs w:val="0"/>
                <w:color w:val="auto"/>
                <w:spacing w:val="-6"/>
                <w:sz w:val="24"/>
                <w:szCs w:val="24"/>
              </w:rPr>
              <w:t>五十七条</w:t>
            </w:r>
            <w:r>
              <w:rPr>
                <w:rFonts w:hint="eastAsia" w:ascii="宋体" w:hAnsi="宋体" w:cs="宋体"/>
                <w:b w:val="0"/>
                <w:bCs w:val="0"/>
                <w:color w:val="auto"/>
                <w:spacing w:val="-6"/>
                <w:sz w:val="24"/>
                <w:szCs w:val="24"/>
                <w:lang w:val="en-US" w:eastAsia="zh-CN"/>
              </w:rPr>
              <w:t xml:space="preserve"> </w:t>
            </w:r>
            <w:r>
              <w:rPr>
                <w:rFonts w:hint="eastAsia" w:ascii="宋体" w:hAnsi="宋体" w:eastAsia="宋体" w:cs="宋体"/>
                <w:b w:val="0"/>
                <w:bCs w:val="0"/>
                <w:color w:val="auto"/>
                <w:spacing w:val="-6"/>
                <w:sz w:val="24"/>
                <w:szCs w:val="24"/>
              </w:rPr>
              <w:t>有下列行为之一的，由市场监督管理部门责令停止发布广告，对广告主处二十万元以上一百万元以下的罚款，由广告审查机关撤销广告审查批准文件、一年内不受理其广告审查申请；对广告经营者、发布者，由市场监督管理部门没收广告费用，处二十万元以上一百万元以下</w:t>
            </w:r>
            <w:r>
              <w:rPr>
                <w:rFonts w:hint="eastAsia" w:ascii="宋体" w:hAnsi="宋体" w:eastAsia="宋体" w:cs="宋体"/>
                <w:b w:val="0"/>
                <w:bCs w:val="0"/>
                <w:color w:val="auto"/>
                <w:spacing w:val="-11"/>
                <w:sz w:val="24"/>
                <w:szCs w:val="24"/>
              </w:rPr>
              <w:t>的罚款，情节严重的，并可以吊销营业执照：</w:t>
            </w:r>
          </w:p>
          <w:p w14:paraId="44009DA4">
            <w:pPr>
              <w:keepNext w:val="0"/>
              <w:keepLines w:val="0"/>
              <w:pageBreakBefore w:val="0"/>
              <w:widowControl w:val="0"/>
              <w:kinsoku/>
              <w:wordWrap/>
              <w:overflowPunct/>
              <w:topLinePunct w:val="0"/>
              <w:autoSpaceDE/>
              <w:autoSpaceDN/>
              <w:bidi w:val="0"/>
              <w:adjustRightInd/>
              <w:snapToGrid/>
              <w:spacing w:line="326" w:lineRule="exact"/>
              <w:ind w:right="-84" w:rightChars="-40"/>
              <w:jc w:val="both"/>
              <w:textAlignment w:val="auto"/>
              <w:rPr>
                <w:rFonts w:hint="eastAsia" w:ascii="宋体" w:hAnsi="宋体" w:eastAsia="宋体" w:cs="宋体"/>
                <w:b w:val="0"/>
                <w:bCs w:val="0"/>
                <w:color w:val="auto"/>
                <w:spacing w:val="-6"/>
                <w:sz w:val="24"/>
                <w:szCs w:val="24"/>
              </w:rPr>
            </w:pPr>
            <w:r>
              <w:rPr>
                <w:rFonts w:hint="eastAsia" w:ascii="宋体" w:hAnsi="宋体" w:eastAsia="宋体" w:cs="宋体"/>
                <w:b w:val="0"/>
                <w:bCs w:val="0"/>
                <w:color w:val="auto"/>
                <w:spacing w:val="-6"/>
                <w:sz w:val="24"/>
                <w:szCs w:val="24"/>
              </w:rPr>
              <w:t>(一)发布有本法第九条、第十条规定的禁止情形的广告的；</w:t>
            </w:r>
          </w:p>
          <w:p w14:paraId="5C2C8D5C">
            <w:pPr>
              <w:keepNext w:val="0"/>
              <w:keepLines w:val="0"/>
              <w:pageBreakBefore w:val="0"/>
              <w:widowControl w:val="0"/>
              <w:kinsoku/>
              <w:wordWrap/>
              <w:overflowPunct/>
              <w:topLinePunct w:val="0"/>
              <w:autoSpaceDE/>
              <w:autoSpaceDN/>
              <w:bidi w:val="0"/>
              <w:adjustRightInd/>
              <w:snapToGrid/>
              <w:spacing w:line="326" w:lineRule="exact"/>
              <w:ind w:right="-84" w:rightChars="-40"/>
              <w:jc w:val="both"/>
              <w:textAlignment w:val="auto"/>
              <w:rPr>
                <w:rFonts w:hint="eastAsia" w:ascii="宋体" w:hAnsi="宋体" w:eastAsia="宋体" w:cs="宋体"/>
                <w:b w:val="0"/>
                <w:bCs w:val="0"/>
                <w:color w:val="auto"/>
                <w:spacing w:val="-6"/>
                <w:sz w:val="24"/>
                <w:szCs w:val="24"/>
              </w:rPr>
            </w:pPr>
            <w:r>
              <w:rPr>
                <w:rFonts w:hint="eastAsia" w:ascii="宋体" w:hAnsi="宋体" w:eastAsia="宋体" w:cs="宋体"/>
                <w:b w:val="0"/>
                <w:bCs w:val="0"/>
                <w:color w:val="auto"/>
                <w:spacing w:val="-6"/>
                <w:sz w:val="24"/>
                <w:szCs w:val="24"/>
              </w:rPr>
              <w:t>(二)违反本法第十五条规定发布处方药广告、药品类易制毒化学品广告、戒毒治疗的医疗器械和治疗方法广告的；</w:t>
            </w:r>
          </w:p>
          <w:p w14:paraId="3EFFC924">
            <w:pPr>
              <w:keepNext w:val="0"/>
              <w:keepLines w:val="0"/>
              <w:pageBreakBefore w:val="0"/>
              <w:widowControl w:val="0"/>
              <w:kinsoku/>
              <w:wordWrap/>
              <w:overflowPunct/>
              <w:topLinePunct w:val="0"/>
              <w:autoSpaceDE/>
              <w:autoSpaceDN/>
              <w:bidi w:val="0"/>
              <w:adjustRightInd/>
              <w:snapToGrid/>
              <w:spacing w:line="326" w:lineRule="exact"/>
              <w:ind w:right="-84" w:rightChars="-40"/>
              <w:jc w:val="both"/>
              <w:textAlignment w:val="auto"/>
              <w:rPr>
                <w:rFonts w:hint="eastAsia" w:ascii="宋体" w:hAnsi="宋体" w:eastAsia="宋体" w:cs="宋体"/>
                <w:b w:val="0"/>
                <w:bCs w:val="0"/>
                <w:color w:val="auto"/>
                <w:spacing w:val="-6"/>
                <w:sz w:val="24"/>
                <w:szCs w:val="24"/>
              </w:rPr>
            </w:pPr>
            <w:r>
              <w:rPr>
                <w:rFonts w:hint="eastAsia" w:ascii="宋体" w:hAnsi="宋体" w:eastAsia="宋体" w:cs="宋体"/>
                <w:b w:val="0"/>
                <w:bCs w:val="0"/>
                <w:color w:val="auto"/>
                <w:spacing w:val="-6"/>
                <w:sz w:val="24"/>
                <w:szCs w:val="24"/>
              </w:rPr>
              <w:t>(三)违反本法第二十条规定，发布声称全部或者部分替代母乳的婴儿乳制品、饮料和其他食品广告的；</w:t>
            </w:r>
          </w:p>
          <w:p w14:paraId="10442971">
            <w:pPr>
              <w:keepNext w:val="0"/>
              <w:keepLines w:val="0"/>
              <w:pageBreakBefore w:val="0"/>
              <w:widowControl w:val="0"/>
              <w:kinsoku/>
              <w:wordWrap/>
              <w:overflowPunct/>
              <w:topLinePunct w:val="0"/>
              <w:autoSpaceDE/>
              <w:autoSpaceDN/>
              <w:bidi w:val="0"/>
              <w:adjustRightInd/>
              <w:snapToGrid/>
              <w:spacing w:line="326" w:lineRule="exact"/>
              <w:ind w:right="-84" w:rightChars="-40"/>
              <w:jc w:val="both"/>
              <w:textAlignment w:val="auto"/>
              <w:rPr>
                <w:rFonts w:hint="eastAsia" w:ascii="宋体" w:hAnsi="宋体" w:eastAsia="宋体" w:cs="宋体"/>
                <w:b w:val="0"/>
                <w:bCs w:val="0"/>
                <w:color w:val="auto"/>
                <w:spacing w:val="-6"/>
                <w:sz w:val="24"/>
                <w:szCs w:val="24"/>
              </w:rPr>
            </w:pPr>
            <w:r>
              <w:rPr>
                <w:rFonts w:hint="eastAsia" w:ascii="宋体" w:hAnsi="宋体" w:eastAsia="宋体" w:cs="宋体"/>
                <w:b w:val="0"/>
                <w:bCs w:val="0"/>
                <w:color w:val="auto"/>
                <w:spacing w:val="-6"/>
                <w:sz w:val="24"/>
                <w:szCs w:val="24"/>
              </w:rPr>
              <w:t>(四)违反本法第二十二条规定发布烟草广告的；</w:t>
            </w:r>
          </w:p>
          <w:p w14:paraId="4DE0AE9F">
            <w:pPr>
              <w:keepNext w:val="0"/>
              <w:keepLines w:val="0"/>
              <w:pageBreakBefore w:val="0"/>
              <w:widowControl w:val="0"/>
              <w:kinsoku/>
              <w:wordWrap/>
              <w:overflowPunct/>
              <w:topLinePunct w:val="0"/>
              <w:autoSpaceDE/>
              <w:autoSpaceDN/>
              <w:bidi w:val="0"/>
              <w:adjustRightInd/>
              <w:snapToGrid/>
              <w:spacing w:line="326" w:lineRule="exact"/>
              <w:ind w:right="-84" w:rightChars="-40"/>
              <w:jc w:val="both"/>
              <w:textAlignment w:val="auto"/>
              <w:rPr>
                <w:rFonts w:hint="eastAsia" w:ascii="宋体" w:hAnsi="宋体" w:eastAsia="宋体" w:cs="宋体"/>
                <w:b w:val="0"/>
                <w:bCs w:val="0"/>
                <w:color w:val="auto"/>
                <w:spacing w:val="-6"/>
                <w:sz w:val="24"/>
                <w:szCs w:val="24"/>
              </w:rPr>
            </w:pPr>
            <w:r>
              <w:rPr>
                <w:rFonts w:hint="eastAsia" w:ascii="宋体" w:hAnsi="宋体" w:eastAsia="宋体" w:cs="宋体"/>
                <w:b w:val="0"/>
                <w:bCs w:val="0"/>
                <w:color w:val="auto"/>
                <w:spacing w:val="-6"/>
                <w:sz w:val="24"/>
                <w:szCs w:val="24"/>
              </w:rPr>
              <w:t>(五)违反本法第三十七条规定，利用广告推销禁止生产、销售的产品或者提供的服</w:t>
            </w:r>
            <w:r>
              <w:rPr>
                <w:rFonts w:hint="eastAsia" w:ascii="宋体" w:hAnsi="宋体" w:eastAsia="宋体" w:cs="宋体"/>
                <w:b w:val="0"/>
                <w:bCs w:val="0"/>
                <w:color w:val="auto"/>
                <w:spacing w:val="-11"/>
                <w:sz w:val="24"/>
                <w:szCs w:val="24"/>
              </w:rPr>
              <w:t>务，或者禁止发布广告的商品或者服务的；</w:t>
            </w:r>
          </w:p>
          <w:p w14:paraId="66A71155">
            <w:pPr>
              <w:keepNext w:val="0"/>
              <w:keepLines w:val="0"/>
              <w:pageBreakBefore w:val="0"/>
              <w:widowControl w:val="0"/>
              <w:kinsoku/>
              <w:wordWrap/>
              <w:overflowPunct/>
              <w:topLinePunct w:val="0"/>
              <w:autoSpaceDE/>
              <w:autoSpaceDN/>
              <w:bidi w:val="0"/>
              <w:adjustRightInd/>
              <w:snapToGrid/>
              <w:spacing w:line="326" w:lineRule="exact"/>
              <w:ind w:right="-84" w:rightChars="-40"/>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pacing w:val="-6"/>
                <w:sz w:val="24"/>
                <w:szCs w:val="24"/>
              </w:rPr>
              <w:t>(六)违反本法第四十条第一款规定，在针对未成年人的大众传播媒介上发布医疗、药品、保健食品、医疗器械、化妆品、酒类、美容广告，以及不利于</w:t>
            </w:r>
            <w:r>
              <w:rPr>
                <w:rFonts w:hint="eastAsia" w:ascii="宋体" w:hAnsi="宋体" w:eastAsia="宋体" w:cs="宋体"/>
                <w:b w:val="0"/>
                <w:bCs w:val="0"/>
                <w:color w:val="auto"/>
                <w:sz w:val="24"/>
                <w:szCs w:val="24"/>
              </w:rPr>
              <w:t>未成年人身心健康的网络游戏广告的。</w:t>
            </w:r>
          </w:p>
          <w:p w14:paraId="1E0DF661">
            <w:pPr>
              <w:pStyle w:val="16"/>
              <w:spacing w:line="340" w:lineRule="exact"/>
              <w:rPr>
                <w:rFonts w:hint="eastAsia" w:ascii="宋体" w:hAnsi="宋体" w:eastAsia="宋体" w:cs="宋体"/>
                <w:b w:val="0"/>
                <w:bCs w:val="0"/>
                <w:color w:val="auto"/>
                <w:sz w:val="24"/>
                <w:szCs w:val="24"/>
              </w:rPr>
            </w:pPr>
          </w:p>
          <w:p w14:paraId="1542478E">
            <w:pPr>
              <w:spacing w:line="340" w:lineRule="exact"/>
              <w:rPr>
                <w:rFonts w:hint="eastAsia" w:ascii="宋体" w:hAnsi="宋体" w:cs="宋体"/>
                <w:b w:val="0"/>
                <w:bCs w:val="0"/>
                <w:color w:val="auto"/>
                <w:sz w:val="24"/>
                <w:szCs w:val="24"/>
                <w:lang w:val="en-US" w:eastAsia="zh-CN"/>
              </w:rPr>
            </w:pPr>
          </w:p>
          <w:p w14:paraId="20C9BA10">
            <w:pPr>
              <w:spacing w:line="340" w:lineRule="exact"/>
              <w:rPr>
                <w:rFonts w:hint="eastAsia" w:ascii="宋体" w:hAnsi="宋体" w:cs="宋体"/>
                <w:b w:val="0"/>
                <w:bCs w:val="0"/>
                <w:color w:val="auto"/>
                <w:sz w:val="24"/>
                <w:szCs w:val="24"/>
                <w:lang w:val="en-US" w:eastAsia="zh-CN"/>
              </w:rPr>
            </w:pPr>
          </w:p>
          <w:p w14:paraId="75035A94">
            <w:pPr>
              <w:spacing w:line="340" w:lineRule="exact"/>
              <w:rPr>
                <w:rFonts w:hint="eastAsia" w:ascii="宋体" w:hAnsi="宋体" w:cs="宋体"/>
                <w:b w:val="0"/>
                <w:bCs w:val="0"/>
                <w:color w:val="auto"/>
                <w:sz w:val="24"/>
                <w:szCs w:val="24"/>
                <w:lang w:val="en-US" w:eastAsia="zh-CN"/>
              </w:rPr>
            </w:pPr>
          </w:p>
          <w:p w14:paraId="70741C1F">
            <w:pPr>
              <w:spacing w:line="340" w:lineRule="exact"/>
              <w:rPr>
                <w:rFonts w:hint="eastAsia"/>
                <w:color w:val="C00000"/>
                <w:sz w:val="24"/>
                <w:szCs w:val="24"/>
                <w:lang w:val="en-US" w:eastAsia="zh-CN"/>
              </w:rPr>
            </w:pPr>
          </w:p>
          <w:p w14:paraId="27C356E9">
            <w:pPr>
              <w:spacing w:line="340" w:lineRule="exact"/>
              <w:rPr>
                <w:rFonts w:hint="eastAsia"/>
                <w:color w:val="C00000"/>
                <w:sz w:val="24"/>
                <w:szCs w:val="24"/>
                <w:lang w:val="en-US" w:eastAsia="zh-CN"/>
              </w:rPr>
            </w:pPr>
          </w:p>
          <w:p w14:paraId="071AB6BA">
            <w:pPr>
              <w:spacing w:line="340" w:lineRule="exact"/>
              <w:rPr>
                <w:rFonts w:hint="eastAsia"/>
                <w:color w:val="C00000"/>
                <w:sz w:val="24"/>
                <w:szCs w:val="24"/>
                <w:lang w:val="en-US" w:eastAsia="zh-CN"/>
              </w:rPr>
            </w:pPr>
          </w:p>
          <w:p w14:paraId="3B58333B">
            <w:pPr>
              <w:spacing w:line="340" w:lineRule="exact"/>
              <w:rPr>
                <w:rFonts w:hint="eastAsia"/>
                <w:color w:val="C00000"/>
                <w:sz w:val="24"/>
                <w:szCs w:val="24"/>
                <w:lang w:val="en-US" w:eastAsia="zh-CN"/>
              </w:rPr>
            </w:pPr>
          </w:p>
          <w:p w14:paraId="1E766277">
            <w:pPr>
              <w:spacing w:line="340" w:lineRule="exact"/>
              <w:rPr>
                <w:rFonts w:hint="eastAsia"/>
                <w:color w:val="C00000"/>
                <w:sz w:val="24"/>
                <w:szCs w:val="24"/>
                <w:lang w:val="en-US" w:eastAsia="zh-CN"/>
              </w:rPr>
            </w:pPr>
          </w:p>
          <w:p w14:paraId="4F9E9DEF">
            <w:pPr>
              <w:spacing w:line="340" w:lineRule="exact"/>
              <w:rPr>
                <w:rFonts w:hint="eastAsia"/>
                <w:color w:val="C00000"/>
                <w:sz w:val="24"/>
                <w:szCs w:val="24"/>
                <w:lang w:val="en-US" w:eastAsia="zh-CN"/>
              </w:rPr>
            </w:pPr>
          </w:p>
          <w:p w14:paraId="41861537">
            <w:pPr>
              <w:pStyle w:val="16"/>
              <w:spacing w:line="340" w:lineRule="exact"/>
              <w:rPr>
                <w:rFonts w:hint="eastAsia"/>
                <w:color w:val="auto"/>
                <w:sz w:val="24"/>
                <w:szCs w:val="24"/>
              </w:rPr>
            </w:pPr>
          </w:p>
        </w:tc>
        <w:tc>
          <w:tcPr>
            <w:tcW w:w="1123" w:type="dxa"/>
            <w:tcBorders>
              <w:tl2br w:val="nil"/>
              <w:tr2bl w:val="nil"/>
            </w:tcBorders>
            <w:noWrap w:val="0"/>
            <w:vAlign w:val="center"/>
          </w:tcPr>
          <w:p w14:paraId="7FF1415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较轻</w:t>
            </w:r>
          </w:p>
        </w:tc>
        <w:tc>
          <w:tcPr>
            <w:tcW w:w="3345" w:type="dxa"/>
            <w:tcBorders>
              <w:tl2br w:val="nil"/>
              <w:tr2bl w:val="nil"/>
            </w:tcBorders>
            <w:noWrap w:val="0"/>
            <w:vAlign w:val="center"/>
          </w:tcPr>
          <w:p w14:paraId="5A0AE3DF">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影响较小，广告费用在2万元以下的。</w:t>
            </w:r>
          </w:p>
        </w:tc>
        <w:tc>
          <w:tcPr>
            <w:tcW w:w="3300" w:type="dxa"/>
            <w:tcBorders>
              <w:tl2br w:val="nil"/>
              <w:tr2bl w:val="nil"/>
            </w:tcBorders>
            <w:noWrap w:val="0"/>
            <w:vAlign w:val="center"/>
          </w:tcPr>
          <w:p w14:paraId="5862C7A6">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对广告主责令停止发布广告，处20万元罚款，由广告审查机关撤销广告审查批准文件。对广告经营者、发布者没收广告费用，处20万元罚款。</w:t>
            </w:r>
          </w:p>
        </w:tc>
      </w:tr>
      <w:tr w14:paraId="7069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2" w:hRule="exact"/>
          <w:jc w:val="center"/>
        </w:trPr>
        <w:tc>
          <w:tcPr>
            <w:tcW w:w="643" w:type="dxa"/>
            <w:vMerge w:val="continue"/>
            <w:tcBorders>
              <w:tl2br w:val="nil"/>
              <w:tr2bl w:val="nil"/>
            </w:tcBorders>
            <w:noWrap w:val="0"/>
            <w:vAlign w:val="center"/>
          </w:tcPr>
          <w:p w14:paraId="4CC13EA6">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538D6E10">
            <w:pPr>
              <w:keepNext w:val="0"/>
              <w:keepLines w:val="0"/>
              <w:pageBreakBefore w:val="0"/>
              <w:widowControl w:val="0"/>
              <w:kinsoku/>
              <w:wordWrap/>
              <w:overflowPunct/>
              <w:topLinePunct w:val="0"/>
              <w:autoSpaceDE/>
              <w:autoSpaceDN/>
              <w:bidi w:val="0"/>
              <w:adjustRightInd/>
              <w:snapToGrid/>
              <w:spacing w:line="44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26691FF7">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rPr>
            </w:pPr>
          </w:p>
        </w:tc>
        <w:tc>
          <w:tcPr>
            <w:tcW w:w="1123" w:type="dxa"/>
            <w:tcBorders>
              <w:tl2br w:val="nil"/>
              <w:tr2bl w:val="nil"/>
            </w:tcBorders>
            <w:noWrap w:val="0"/>
            <w:vAlign w:val="center"/>
          </w:tcPr>
          <w:p w14:paraId="239115D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一般</w:t>
            </w:r>
          </w:p>
        </w:tc>
        <w:tc>
          <w:tcPr>
            <w:tcW w:w="3345" w:type="dxa"/>
            <w:tcBorders>
              <w:tl2br w:val="nil"/>
              <w:tr2bl w:val="nil"/>
            </w:tcBorders>
            <w:noWrap w:val="0"/>
            <w:vAlign w:val="center"/>
          </w:tcPr>
          <w:p w14:paraId="396F2E8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影响小，广告费用在2万元以上5万元以下的。</w:t>
            </w:r>
          </w:p>
        </w:tc>
        <w:tc>
          <w:tcPr>
            <w:tcW w:w="3300" w:type="dxa"/>
            <w:tcBorders>
              <w:tl2br w:val="nil"/>
              <w:tr2bl w:val="nil"/>
            </w:tcBorders>
            <w:noWrap w:val="0"/>
            <w:vAlign w:val="center"/>
          </w:tcPr>
          <w:p w14:paraId="1B06E7B4">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b w:val="0"/>
                <w:bCs w:val="0"/>
                <w:color w:val="auto"/>
                <w:spacing w:val="-6"/>
                <w:sz w:val="24"/>
                <w:szCs w:val="24"/>
              </w:rPr>
            </w:pPr>
            <w:r>
              <w:rPr>
                <w:rFonts w:hint="eastAsia" w:ascii="宋体" w:hAnsi="宋体" w:eastAsia="宋体" w:cs="宋体"/>
                <w:b w:val="0"/>
                <w:bCs w:val="0"/>
                <w:color w:val="auto"/>
                <w:spacing w:val="-6"/>
                <w:sz w:val="24"/>
                <w:szCs w:val="24"/>
              </w:rPr>
              <w:t>对广告主责令停止发布广告，处20万元以上50万元以下的罚款，由广告审查机关撤销广告审查批准文件。对广告经营者、发布者没收广告费用，处20万元以上50万元以下的罚款。</w:t>
            </w:r>
          </w:p>
        </w:tc>
      </w:tr>
      <w:tr w14:paraId="236B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exact"/>
          <w:jc w:val="center"/>
        </w:trPr>
        <w:tc>
          <w:tcPr>
            <w:tcW w:w="643" w:type="dxa"/>
            <w:vMerge w:val="continue"/>
            <w:tcBorders>
              <w:tl2br w:val="nil"/>
              <w:tr2bl w:val="nil"/>
            </w:tcBorders>
            <w:noWrap w:val="0"/>
            <w:vAlign w:val="center"/>
          </w:tcPr>
          <w:p w14:paraId="75C6546F">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5540B0D9">
            <w:pPr>
              <w:keepNext w:val="0"/>
              <w:keepLines w:val="0"/>
              <w:pageBreakBefore w:val="0"/>
              <w:widowControl w:val="0"/>
              <w:kinsoku/>
              <w:wordWrap/>
              <w:overflowPunct/>
              <w:topLinePunct w:val="0"/>
              <w:autoSpaceDE/>
              <w:autoSpaceDN/>
              <w:bidi w:val="0"/>
              <w:adjustRightInd/>
              <w:snapToGrid/>
              <w:spacing w:line="44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2A80592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rPr>
            </w:pPr>
          </w:p>
        </w:tc>
        <w:tc>
          <w:tcPr>
            <w:tcW w:w="1123" w:type="dxa"/>
            <w:vMerge w:val="restart"/>
            <w:tcBorders>
              <w:tl2br w:val="nil"/>
              <w:tr2bl w:val="nil"/>
            </w:tcBorders>
            <w:noWrap w:val="0"/>
            <w:vAlign w:val="center"/>
          </w:tcPr>
          <w:p w14:paraId="3A484F3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较重</w:t>
            </w:r>
          </w:p>
        </w:tc>
        <w:tc>
          <w:tcPr>
            <w:tcW w:w="3345" w:type="dxa"/>
            <w:vMerge w:val="restart"/>
            <w:tcBorders>
              <w:tl2br w:val="nil"/>
              <w:tr2bl w:val="nil"/>
            </w:tcBorders>
            <w:noWrap w:val="0"/>
            <w:vAlign w:val="center"/>
          </w:tcPr>
          <w:p w14:paraId="5E4EFA84">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影响较大，广告费用5万元以上10万元以下的。</w:t>
            </w:r>
          </w:p>
        </w:tc>
        <w:tc>
          <w:tcPr>
            <w:tcW w:w="3300" w:type="dxa"/>
            <w:vMerge w:val="restart"/>
            <w:tcBorders>
              <w:tl2br w:val="nil"/>
              <w:tr2bl w:val="nil"/>
            </w:tcBorders>
            <w:noWrap w:val="0"/>
            <w:vAlign w:val="center"/>
          </w:tcPr>
          <w:p w14:paraId="05196BEA">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b w:val="0"/>
                <w:bCs w:val="0"/>
                <w:color w:val="auto"/>
                <w:spacing w:val="-6"/>
                <w:sz w:val="24"/>
                <w:szCs w:val="24"/>
              </w:rPr>
            </w:pPr>
            <w:r>
              <w:rPr>
                <w:rFonts w:hint="eastAsia" w:ascii="宋体" w:hAnsi="宋体" w:eastAsia="宋体" w:cs="宋体"/>
                <w:b w:val="0"/>
                <w:bCs w:val="0"/>
                <w:color w:val="auto"/>
                <w:spacing w:val="-6"/>
                <w:sz w:val="24"/>
                <w:szCs w:val="24"/>
              </w:rPr>
              <w:t>对广告主责令停止发布广告，处50万元以上80万元以下的罚款，由广告审查机关撤销广告审查批准文件。对广告经营者、发布者没收广告费用，处50万元以上80万元以下的罚款。</w:t>
            </w:r>
          </w:p>
        </w:tc>
      </w:tr>
      <w:tr w14:paraId="2ED0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7" w:hRule="exact"/>
          <w:jc w:val="center"/>
        </w:trPr>
        <w:tc>
          <w:tcPr>
            <w:tcW w:w="643" w:type="dxa"/>
            <w:vMerge w:val="continue"/>
            <w:tcBorders>
              <w:tl2br w:val="nil"/>
              <w:tr2bl w:val="nil"/>
            </w:tcBorders>
            <w:noWrap w:val="0"/>
            <w:vAlign w:val="center"/>
          </w:tcPr>
          <w:p w14:paraId="7991D099">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516F47DC">
            <w:pPr>
              <w:keepNext w:val="0"/>
              <w:keepLines w:val="0"/>
              <w:pageBreakBefore w:val="0"/>
              <w:widowControl w:val="0"/>
              <w:kinsoku/>
              <w:wordWrap/>
              <w:overflowPunct/>
              <w:topLinePunct w:val="0"/>
              <w:autoSpaceDE/>
              <w:autoSpaceDN/>
              <w:bidi w:val="0"/>
              <w:adjustRightInd/>
              <w:snapToGrid/>
              <w:spacing w:line="44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5A208921">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rPr>
            </w:pPr>
          </w:p>
        </w:tc>
        <w:tc>
          <w:tcPr>
            <w:tcW w:w="1123" w:type="dxa"/>
            <w:tcBorders>
              <w:tl2br w:val="nil"/>
              <w:tr2bl w:val="nil"/>
            </w:tcBorders>
            <w:noWrap w:val="0"/>
            <w:vAlign w:val="center"/>
          </w:tcPr>
          <w:p w14:paraId="794E050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4"/>
                <w:szCs w:val="24"/>
              </w:rPr>
            </w:pPr>
          </w:p>
          <w:p w14:paraId="0F9077C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4"/>
                <w:szCs w:val="24"/>
              </w:rPr>
            </w:pPr>
          </w:p>
          <w:p w14:paraId="71B8B04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4"/>
                <w:szCs w:val="24"/>
              </w:rPr>
            </w:pPr>
          </w:p>
          <w:p w14:paraId="595ADDF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4"/>
                <w:szCs w:val="24"/>
              </w:rPr>
            </w:pPr>
          </w:p>
          <w:p w14:paraId="0B5B35E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4"/>
                <w:szCs w:val="24"/>
              </w:rPr>
            </w:pPr>
          </w:p>
          <w:p w14:paraId="755C459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4"/>
                <w:szCs w:val="24"/>
              </w:rPr>
            </w:pPr>
          </w:p>
          <w:p w14:paraId="0F9938A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严重</w:t>
            </w:r>
          </w:p>
          <w:p w14:paraId="23A36904">
            <w:pPr>
              <w:pStyle w:val="16"/>
              <w:rPr>
                <w:rFonts w:hint="eastAsia" w:ascii="宋体" w:hAnsi="宋体" w:eastAsia="宋体" w:cs="宋体"/>
                <w:b w:val="0"/>
                <w:bCs w:val="0"/>
                <w:color w:val="auto"/>
                <w:sz w:val="24"/>
                <w:szCs w:val="24"/>
              </w:rPr>
            </w:pPr>
          </w:p>
          <w:p w14:paraId="564483A8">
            <w:pPr>
              <w:rPr>
                <w:rFonts w:hint="eastAsia" w:ascii="宋体" w:hAnsi="宋体" w:eastAsia="宋体" w:cs="宋体"/>
                <w:b w:val="0"/>
                <w:bCs w:val="0"/>
                <w:color w:val="auto"/>
                <w:sz w:val="24"/>
                <w:szCs w:val="24"/>
              </w:rPr>
            </w:pPr>
          </w:p>
          <w:p w14:paraId="50522F4D">
            <w:pPr>
              <w:pStyle w:val="16"/>
              <w:rPr>
                <w:rFonts w:hint="eastAsia" w:ascii="宋体" w:hAnsi="宋体" w:cs="宋体"/>
                <w:b w:val="0"/>
                <w:bCs w:val="0"/>
                <w:color w:val="auto"/>
                <w:sz w:val="24"/>
                <w:szCs w:val="24"/>
                <w:lang w:val="en-US" w:eastAsia="zh-CN"/>
              </w:rPr>
            </w:pPr>
          </w:p>
          <w:p w14:paraId="45F4790F">
            <w:pPr>
              <w:pStyle w:val="16"/>
              <w:rPr>
                <w:rFonts w:hint="eastAsia" w:ascii="宋体" w:hAnsi="宋体" w:cs="宋体"/>
                <w:b w:val="0"/>
                <w:bCs w:val="0"/>
                <w:color w:val="auto"/>
                <w:sz w:val="24"/>
                <w:szCs w:val="24"/>
                <w:lang w:val="en-US" w:eastAsia="zh-CN"/>
              </w:rPr>
            </w:pPr>
          </w:p>
          <w:p w14:paraId="7A2B8A80">
            <w:pPr>
              <w:rPr>
                <w:rFonts w:hint="eastAsia"/>
                <w:color w:val="auto"/>
                <w:sz w:val="24"/>
                <w:szCs w:val="24"/>
                <w:lang w:val="en-US" w:eastAsia="zh-CN"/>
              </w:rPr>
            </w:pPr>
          </w:p>
          <w:p w14:paraId="239F7441">
            <w:pPr>
              <w:rPr>
                <w:rFonts w:hint="eastAsia"/>
                <w:color w:val="auto"/>
                <w:sz w:val="24"/>
                <w:szCs w:val="24"/>
              </w:rPr>
            </w:pPr>
          </w:p>
        </w:tc>
        <w:tc>
          <w:tcPr>
            <w:tcW w:w="3345" w:type="dxa"/>
            <w:tcBorders>
              <w:tl2br w:val="nil"/>
              <w:tr2bl w:val="nil"/>
            </w:tcBorders>
            <w:noWrap w:val="0"/>
            <w:vAlign w:val="center"/>
          </w:tcPr>
          <w:p w14:paraId="3E66C55E">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有下列情形之一的：</w:t>
            </w:r>
          </w:p>
          <w:p w14:paraId="220783F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造成重大影响的；</w:t>
            </w:r>
          </w:p>
          <w:p w14:paraId="59A3DFAE">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广告费用10万元以上的；</w:t>
            </w:r>
          </w:p>
          <w:p w14:paraId="1D80550D">
            <w:pPr>
              <w:spacing w:line="440" w:lineRule="exact"/>
              <w:rPr>
                <w:rFonts w:hint="eastAsia"/>
                <w:color w:val="auto"/>
                <w:sz w:val="24"/>
                <w:szCs w:val="24"/>
              </w:rPr>
            </w:pPr>
            <w:r>
              <w:rPr>
                <w:rFonts w:hint="eastAsia" w:ascii="宋体" w:hAnsi="宋体" w:cs="宋体"/>
                <w:b w:val="0"/>
                <w:bCs w:val="0"/>
                <w:color w:val="auto"/>
                <w:sz w:val="24"/>
                <w:szCs w:val="24"/>
                <w:lang w:val="en-US" w:eastAsia="zh-CN"/>
              </w:rPr>
              <w:t>(3)</w:t>
            </w:r>
            <w:r>
              <w:rPr>
                <w:rFonts w:hint="eastAsia" w:ascii="宋体" w:hAnsi="宋体" w:eastAsia="宋体" w:cs="宋体"/>
                <w:b w:val="0"/>
                <w:bCs w:val="0"/>
                <w:color w:val="auto"/>
                <w:sz w:val="24"/>
                <w:szCs w:val="24"/>
              </w:rPr>
              <w:t>2年内有3次以上违法行为或者有其他严重情节的。</w:t>
            </w:r>
          </w:p>
        </w:tc>
        <w:tc>
          <w:tcPr>
            <w:tcW w:w="3300" w:type="dxa"/>
            <w:tcBorders>
              <w:tl2br w:val="nil"/>
              <w:tr2bl w:val="nil"/>
            </w:tcBorders>
            <w:noWrap w:val="0"/>
            <w:vAlign w:val="center"/>
          </w:tcPr>
          <w:p w14:paraId="463BCF2C">
            <w:pPr>
              <w:keepNext w:val="0"/>
              <w:keepLines w:val="0"/>
              <w:spacing w:line="340" w:lineRule="exact"/>
              <w:textAlignment w:val="auto"/>
              <w:rPr>
                <w:rFonts w:hint="default" w:eastAsia="宋体"/>
                <w:color w:val="auto"/>
                <w:sz w:val="24"/>
                <w:szCs w:val="24"/>
                <w:lang w:val="en-US" w:eastAsia="zh-CN"/>
              </w:rPr>
            </w:pPr>
            <w:r>
              <w:rPr>
                <w:rFonts w:hint="eastAsia" w:ascii="宋体" w:hAnsi="宋体" w:eastAsia="宋体" w:cs="宋体"/>
                <w:b w:val="0"/>
                <w:bCs w:val="0"/>
                <w:color w:val="auto"/>
                <w:sz w:val="24"/>
                <w:szCs w:val="24"/>
              </w:rPr>
              <w:t>对广告主责令停止发布广告，处80万元以上100万元以下的罚款，由广告审查机关撤销广告审查批准文件。对广告经营者、发布者没收广告费用，</w:t>
            </w:r>
            <w:r>
              <w:rPr>
                <w:rFonts w:hint="eastAsia" w:ascii="宋体" w:hAnsi="宋体" w:eastAsia="宋体" w:cs="宋体"/>
                <w:b w:val="0"/>
                <w:bCs w:val="0"/>
                <w:color w:val="auto"/>
                <w:spacing w:val="-6"/>
                <w:sz w:val="24"/>
                <w:szCs w:val="24"/>
              </w:rPr>
              <w:t>处80万元以上100万元以下的罚款，并可以吊销营业执照。</w:t>
            </w:r>
          </w:p>
        </w:tc>
      </w:tr>
      <w:tr w14:paraId="14A8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4" w:hRule="atLeast"/>
          <w:jc w:val="center"/>
        </w:trPr>
        <w:tc>
          <w:tcPr>
            <w:tcW w:w="643" w:type="dxa"/>
            <w:vMerge w:val="restart"/>
            <w:tcBorders>
              <w:tl2br w:val="nil"/>
              <w:tr2bl w:val="nil"/>
            </w:tcBorders>
            <w:noWrap w:val="0"/>
            <w:vAlign w:val="center"/>
          </w:tcPr>
          <w:p w14:paraId="51E8422F">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40</w:t>
            </w:r>
          </w:p>
        </w:tc>
        <w:tc>
          <w:tcPr>
            <w:tcW w:w="1512" w:type="dxa"/>
            <w:vMerge w:val="restart"/>
            <w:tcBorders>
              <w:tl2br w:val="nil"/>
              <w:tr2bl w:val="nil"/>
            </w:tcBorders>
            <w:noWrap w:val="0"/>
            <w:vAlign w:val="center"/>
          </w:tcPr>
          <w:p w14:paraId="5E143CA3">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《中华人民共和国广告法》</w:t>
            </w:r>
          </w:p>
        </w:tc>
        <w:tc>
          <w:tcPr>
            <w:tcW w:w="4200" w:type="dxa"/>
            <w:vMerge w:val="restart"/>
            <w:tcBorders>
              <w:tl2br w:val="nil"/>
              <w:tr2bl w:val="nil"/>
            </w:tcBorders>
            <w:noWrap w:val="0"/>
            <w:vAlign w:val="center"/>
          </w:tcPr>
          <w:p w14:paraId="57F10D26">
            <w:pPr>
              <w:keepNext w:val="0"/>
              <w:keepLines w:val="0"/>
              <w:pageBreakBefore w:val="0"/>
              <w:widowControl w:val="0"/>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第五十八条第一款</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2EEEDE49">
            <w:pPr>
              <w:keepNext w:val="0"/>
              <w:keepLines w:val="0"/>
              <w:pageBreakBefore w:val="0"/>
              <w:widowControl w:val="0"/>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(一)违反本法第十六条规定发布药品、医疗器械、医疗广告的；</w:t>
            </w:r>
          </w:p>
          <w:p w14:paraId="320ADE02">
            <w:pPr>
              <w:keepNext w:val="0"/>
              <w:keepLines w:val="0"/>
              <w:pageBreakBefore w:val="0"/>
              <w:widowControl w:val="0"/>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(二)违反本法第十七条规定，在广告中涉及疾病治疗功能，以及使用医疗用语或者易使推销的商品与药品、医疗器械相混淆的用语的；</w:t>
            </w:r>
          </w:p>
          <w:p w14:paraId="7BECF9DB">
            <w:pPr>
              <w:keepNext w:val="0"/>
              <w:keepLines w:val="0"/>
              <w:pageBreakBefore w:val="0"/>
              <w:widowControl w:val="0"/>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(三)违反本法第十八条规定发布保健食品广告的；</w:t>
            </w:r>
          </w:p>
          <w:p w14:paraId="150D1DC5">
            <w:pPr>
              <w:keepNext w:val="0"/>
              <w:keepLines w:val="0"/>
              <w:pageBreakBefore w:val="0"/>
              <w:widowControl w:val="0"/>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(四)违反本法第二十一条规定发布农药、兽药、饲料和饲料添加剂广告的；</w:t>
            </w:r>
          </w:p>
          <w:p w14:paraId="243F0A07">
            <w:pPr>
              <w:keepNext w:val="0"/>
              <w:keepLines w:val="0"/>
              <w:pageBreakBefore w:val="0"/>
              <w:widowControl w:val="0"/>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(五)违反本法第二十三条规定发布酒类广告的；</w:t>
            </w:r>
          </w:p>
          <w:p w14:paraId="720516B2">
            <w:pPr>
              <w:keepNext w:val="0"/>
              <w:keepLines w:val="0"/>
              <w:pageBreakBefore w:val="0"/>
              <w:widowControl w:val="0"/>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(六)违反本法第二十四条规定发布教育、培训广告的；</w:t>
            </w:r>
          </w:p>
          <w:p w14:paraId="596189C0">
            <w:pPr>
              <w:keepNext w:val="0"/>
              <w:keepLines w:val="0"/>
              <w:pageBreakBefore w:val="0"/>
              <w:widowControl w:val="0"/>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(七)违反本法第二十五条规定发布招商等有投资回报预期的商品或者服务广告的；</w:t>
            </w:r>
          </w:p>
          <w:p w14:paraId="5C8428F5">
            <w:pPr>
              <w:keepNext w:val="0"/>
              <w:keepLines w:val="0"/>
              <w:pageBreakBefore w:val="0"/>
              <w:widowControl w:val="0"/>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(八)违反本法第二十六条规定发布房地产广告的；</w:t>
            </w:r>
          </w:p>
          <w:p w14:paraId="7FE08610">
            <w:pPr>
              <w:keepNext w:val="0"/>
              <w:keepLines w:val="0"/>
              <w:pageBreakBefore w:val="0"/>
              <w:widowControl w:val="0"/>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(九)违反本法第二十七条规定发布农作物种子、林木种子、草种子、种畜禽、水产苗种和种养殖广告的；</w:t>
            </w:r>
          </w:p>
          <w:p w14:paraId="12F73295">
            <w:pPr>
              <w:keepNext w:val="0"/>
              <w:keepLines w:val="0"/>
              <w:pageBreakBefore w:val="0"/>
              <w:widowControl w:val="0"/>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(十)违反本法第三十八条第二款规定，利用不满十周岁的未成年人作为广告代言人的；</w:t>
            </w:r>
          </w:p>
          <w:p w14:paraId="5FED33E6">
            <w:pPr>
              <w:keepNext w:val="0"/>
              <w:keepLines w:val="0"/>
              <w:pageBreakBefore w:val="0"/>
              <w:widowControl w:val="0"/>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(十一)违反本法第三十八条第三款规定，利用自然人、法人或者其他组织作为广告代言人的；</w:t>
            </w:r>
          </w:p>
          <w:p w14:paraId="141F1CC9">
            <w:pPr>
              <w:keepNext w:val="0"/>
              <w:keepLines w:val="0"/>
              <w:pageBreakBefore w:val="0"/>
              <w:widowControl w:val="0"/>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(十二)违反本法第三十九条规定，在中小学校、幼儿园内或者利用与中小学生、幼儿有关的物品发布广告的；</w:t>
            </w:r>
          </w:p>
          <w:p w14:paraId="0D08A17D">
            <w:pPr>
              <w:keepNext w:val="0"/>
              <w:keepLines w:val="0"/>
              <w:pageBreakBefore w:val="0"/>
              <w:widowControl w:val="0"/>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(十三)违反本法第四十条第二款规定，发布针对不满十四周岁的未成年人的商品或者服务的广告的；</w:t>
            </w:r>
          </w:p>
          <w:p w14:paraId="3619DBB4">
            <w:pPr>
              <w:keepNext w:val="0"/>
              <w:keepLines w:val="0"/>
              <w:pageBreakBefore w:val="0"/>
              <w:widowControl w:val="0"/>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(十四)违反本法第四十六条规定，未经审查发布广告的。</w:t>
            </w:r>
          </w:p>
        </w:tc>
        <w:tc>
          <w:tcPr>
            <w:tcW w:w="1123" w:type="dxa"/>
            <w:tcBorders>
              <w:tl2br w:val="nil"/>
              <w:tr2bl w:val="nil"/>
            </w:tcBorders>
            <w:noWrap w:val="0"/>
            <w:vAlign w:val="center"/>
          </w:tcPr>
          <w:p w14:paraId="651329A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较轻</w:t>
            </w:r>
          </w:p>
        </w:tc>
        <w:tc>
          <w:tcPr>
            <w:tcW w:w="3345" w:type="dxa"/>
            <w:tcBorders>
              <w:tl2br w:val="nil"/>
              <w:tr2bl w:val="nil"/>
            </w:tcBorders>
            <w:noWrap w:val="0"/>
            <w:vAlign w:val="center"/>
          </w:tcPr>
          <w:p w14:paraId="24D8C9F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影响较小，广告费用在5万元以下的。</w:t>
            </w:r>
          </w:p>
        </w:tc>
        <w:tc>
          <w:tcPr>
            <w:tcW w:w="3300" w:type="dxa"/>
            <w:tcBorders>
              <w:tl2br w:val="nil"/>
              <w:tr2bl w:val="nil"/>
            </w:tcBorders>
            <w:noWrap w:val="0"/>
            <w:vAlign w:val="center"/>
          </w:tcPr>
          <w:p w14:paraId="58EC7E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责令停止发布广告，在相应范围内消除影响，处广告费用1倍的罚款。</w:t>
            </w:r>
          </w:p>
        </w:tc>
      </w:tr>
      <w:tr w14:paraId="73DC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6" w:hRule="atLeast"/>
          <w:jc w:val="center"/>
        </w:trPr>
        <w:tc>
          <w:tcPr>
            <w:tcW w:w="643" w:type="dxa"/>
            <w:vMerge w:val="continue"/>
            <w:tcBorders>
              <w:tl2br w:val="nil"/>
              <w:tr2bl w:val="nil"/>
            </w:tcBorders>
            <w:noWrap w:val="0"/>
            <w:vAlign w:val="center"/>
          </w:tcPr>
          <w:p w14:paraId="6757795B">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787F2B5A">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01778A15">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168BF248">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一般</w:t>
            </w:r>
          </w:p>
        </w:tc>
        <w:tc>
          <w:tcPr>
            <w:tcW w:w="3345" w:type="dxa"/>
            <w:tcBorders>
              <w:tl2br w:val="nil"/>
              <w:tr2bl w:val="nil"/>
            </w:tcBorders>
            <w:noWrap w:val="0"/>
            <w:vAlign w:val="center"/>
          </w:tcPr>
          <w:p w14:paraId="34AFD2D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有下列情形之一的：</w:t>
            </w:r>
          </w:p>
          <w:p w14:paraId="5C9A855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⑴影响小，广告费用在5万元以上10万元以下的；</w:t>
            </w:r>
          </w:p>
          <w:p w14:paraId="0BDFEF5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⑵影响小，广告费用无法计算或者明显偏低的。</w:t>
            </w:r>
          </w:p>
        </w:tc>
        <w:tc>
          <w:tcPr>
            <w:tcW w:w="3300" w:type="dxa"/>
            <w:tcBorders>
              <w:tl2br w:val="nil"/>
              <w:tr2bl w:val="nil"/>
            </w:tcBorders>
            <w:noWrap w:val="0"/>
            <w:vAlign w:val="center"/>
          </w:tcPr>
          <w:p w14:paraId="30A47210">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责令停止发布广告，在相应范围内消除影响，处广告费用1倍以上2倍以下的罚款；广告费用无法计算或者明显偏低的，处10万元罚款。</w:t>
            </w:r>
          </w:p>
        </w:tc>
      </w:tr>
      <w:tr w14:paraId="53AA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2" w:hRule="atLeast"/>
          <w:jc w:val="center"/>
        </w:trPr>
        <w:tc>
          <w:tcPr>
            <w:tcW w:w="643" w:type="dxa"/>
            <w:vMerge w:val="continue"/>
            <w:tcBorders>
              <w:tl2br w:val="nil"/>
              <w:tr2bl w:val="nil"/>
            </w:tcBorders>
            <w:noWrap w:val="0"/>
            <w:vAlign w:val="center"/>
          </w:tcPr>
          <w:p w14:paraId="31679330">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17E7129D">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07249B94">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2EC0A39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较重</w:t>
            </w:r>
          </w:p>
        </w:tc>
        <w:tc>
          <w:tcPr>
            <w:tcW w:w="3345" w:type="dxa"/>
            <w:tcBorders>
              <w:tl2br w:val="nil"/>
              <w:tr2bl w:val="nil"/>
            </w:tcBorders>
            <w:noWrap w:val="0"/>
            <w:vAlign w:val="center"/>
          </w:tcPr>
          <w:p w14:paraId="057440C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有下列情形之一的：</w:t>
            </w:r>
          </w:p>
          <w:p w14:paraId="742A77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⑴影响较大，广告费用在10万元以上的；</w:t>
            </w:r>
          </w:p>
          <w:p w14:paraId="4D45725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⑵影响较大，广告费用无法计算或者明显偏低的。</w:t>
            </w:r>
          </w:p>
        </w:tc>
        <w:tc>
          <w:tcPr>
            <w:tcW w:w="3300" w:type="dxa"/>
            <w:tcBorders>
              <w:tl2br w:val="nil"/>
              <w:tr2bl w:val="nil"/>
            </w:tcBorders>
            <w:noWrap w:val="0"/>
            <w:vAlign w:val="center"/>
          </w:tcPr>
          <w:p w14:paraId="16D31619">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责令停止发布广告，在相应范围内消除影响，处广告费用2倍以上3倍以下的罚款；广告费用无法计算或者明显偏低的，处10万元以上20万元以下的罚款。</w:t>
            </w:r>
          </w:p>
        </w:tc>
      </w:tr>
      <w:tr w14:paraId="13ED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6" w:hRule="atLeast"/>
          <w:jc w:val="center"/>
        </w:trPr>
        <w:tc>
          <w:tcPr>
            <w:tcW w:w="643" w:type="dxa"/>
            <w:vMerge w:val="continue"/>
            <w:tcBorders>
              <w:tl2br w:val="nil"/>
              <w:tr2bl w:val="nil"/>
            </w:tcBorders>
            <w:noWrap w:val="0"/>
            <w:vAlign w:val="center"/>
          </w:tcPr>
          <w:p w14:paraId="5661F209">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41E85F82">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1E858440">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7E9AA390">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严重</w:t>
            </w:r>
          </w:p>
        </w:tc>
        <w:tc>
          <w:tcPr>
            <w:tcW w:w="3345" w:type="dxa"/>
            <w:tcBorders>
              <w:tl2br w:val="nil"/>
              <w:tr2bl w:val="nil"/>
            </w:tcBorders>
            <w:noWrap w:val="0"/>
            <w:vAlign w:val="center"/>
          </w:tcPr>
          <w:p w14:paraId="2E2CC5D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2年内有3次以上违法行为或者有其他严重情节的。</w:t>
            </w:r>
          </w:p>
        </w:tc>
        <w:tc>
          <w:tcPr>
            <w:tcW w:w="3300" w:type="dxa"/>
            <w:tcBorders>
              <w:tl2br w:val="nil"/>
              <w:tr2bl w:val="nil"/>
            </w:tcBorders>
            <w:noWrap w:val="0"/>
            <w:vAlign w:val="center"/>
          </w:tcPr>
          <w:p w14:paraId="3B6FAE79">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责令停止发布广告，在相应范围内消除影响，处广告费用3倍以上5倍以下的罚款；广告费用无法计算或者明显偏低的，处20万元以上100万元以下的罚款，可以吊销营业执照，由广告审查机关撤销广告审查批准文件。</w:t>
            </w:r>
          </w:p>
        </w:tc>
      </w:tr>
      <w:tr w14:paraId="699C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643" w:type="dxa"/>
            <w:vMerge w:val="restart"/>
            <w:tcBorders>
              <w:tl2br w:val="nil"/>
              <w:tr2bl w:val="nil"/>
            </w:tcBorders>
            <w:noWrap w:val="0"/>
            <w:vAlign w:val="center"/>
          </w:tcPr>
          <w:p w14:paraId="56C88590">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41</w:t>
            </w:r>
          </w:p>
        </w:tc>
        <w:tc>
          <w:tcPr>
            <w:tcW w:w="1512" w:type="dxa"/>
            <w:vMerge w:val="restart"/>
            <w:tcBorders>
              <w:tl2br w:val="nil"/>
              <w:tr2bl w:val="nil"/>
            </w:tcBorders>
            <w:noWrap w:val="0"/>
            <w:vAlign w:val="center"/>
          </w:tcPr>
          <w:p w14:paraId="248A8F9E">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《中华人民共和国广告法》</w:t>
            </w:r>
          </w:p>
        </w:tc>
        <w:tc>
          <w:tcPr>
            <w:tcW w:w="4200" w:type="dxa"/>
            <w:vMerge w:val="restart"/>
            <w:tcBorders>
              <w:tl2br w:val="nil"/>
              <w:tr2bl w:val="nil"/>
            </w:tcBorders>
            <w:noWrap w:val="0"/>
            <w:vAlign w:val="center"/>
          </w:tcPr>
          <w:p w14:paraId="6B6117C5">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第五十八条第三款</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tc>
        <w:tc>
          <w:tcPr>
            <w:tcW w:w="1123" w:type="dxa"/>
            <w:tcBorders>
              <w:tl2br w:val="nil"/>
              <w:tr2bl w:val="nil"/>
            </w:tcBorders>
            <w:noWrap w:val="0"/>
            <w:vAlign w:val="center"/>
          </w:tcPr>
          <w:p w14:paraId="532EB89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较轻</w:t>
            </w:r>
          </w:p>
        </w:tc>
        <w:tc>
          <w:tcPr>
            <w:tcW w:w="3345" w:type="dxa"/>
            <w:tcBorders>
              <w:tl2br w:val="nil"/>
              <w:tr2bl w:val="nil"/>
            </w:tcBorders>
            <w:noWrap w:val="0"/>
            <w:vAlign w:val="center"/>
          </w:tcPr>
          <w:p w14:paraId="23F1BA0A">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影响较小，广告费用在5万元以下的。</w:t>
            </w:r>
          </w:p>
        </w:tc>
        <w:tc>
          <w:tcPr>
            <w:tcW w:w="3300" w:type="dxa"/>
            <w:tcBorders>
              <w:tl2br w:val="nil"/>
              <w:tr2bl w:val="nil"/>
            </w:tcBorders>
            <w:noWrap w:val="0"/>
            <w:vAlign w:val="center"/>
          </w:tcPr>
          <w:p w14:paraId="76E57291">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没收广告费用，并处广告费用1倍的罚款。</w:t>
            </w:r>
          </w:p>
        </w:tc>
      </w:tr>
      <w:tr w14:paraId="414E6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5" w:hRule="atLeast"/>
          <w:jc w:val="center"/>
        </w:trPr>
        <w:tc>
          <w:tcPr>
            <w:tcW w:w="643" w:type="dxa"/>
            <w:vMerge w:val="continue"/>
            <w:tcBorders>
              <w:tl2br w:val="nil"/>
              <w:tr2bl w:val="nil"/>
            </w:tcBorders>
            <w:noWrap w:val="0"/>
            <w:vAlign w:val="center"/>
          </w:tcPr>
          <w:p w14:paraId="7FAE8994">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2A57BF26">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082FF743">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4CD32559">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一般</w:t>
            </w:r>
          </w:p>
        </w:tc>
        <w:tc>
          <w:tcPr>
            <w:tcW w:w="3345" w:type="dxa"/>
            <w:tcBorders>
              <w:tl2br w:val="nil"/>
              <w:tr2bl w:val="nil"/>
            </w:tcBorders>
            <w:noWrap w:val="0"/>
            <w:vAlign w:val="center"/>
          </w:tcPr>
          <w:p w14:paraId="311C5AC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有下列情形之一的：</w:t>
            </w:r>
          </w:p>
          <w:p w14:paraId="6668890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⑴影响小，广告费用在5万元以上10万元以下的；</w:t>
            </w:r>
          </w:p>
          <w:p w14:paraId="08AA680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⑵影响小，广告费用无法计算或者明显偏低的。</w:t>
            </w:r>
          </w:p>
        </w:tc>
        <w:tc>
          <w:tcPr>
            <w:tcW w:w="3300" w:type="dxa"/>
            <w:tcBorders>
              <w:tl2br w:val="nil"/>
              <w:tr2bl w:val="nil"/>
            </w:tcBorders>
            <w:noWrap w:val="0"/>
            <w:vAlign w:val="center"/>
          </w:tcPr>
          <w:p w14:paraId="21F154F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没收广告费用，并处广告费用1倍以上2倍以下的罚款；广告费用无法计算或者明显偏低的，处10万元罚款。</w:t>
            </w:r>
          </w:p>
        </w:tc>
      </w:tr>
      <w:tr w14:paraId="38FE1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643" w:type="dxa"/>
            <w:vMerge w:val="continue"/>
            <w:tcBorders>
              <w:tl2br w:val="nil"/>
              <w:tr2bl w:val="nil"/>
            </w:tcBorders>
            <w:noWrap w:val="0"/>
            <w:vAlign w:val="center"/>
          </w:tcPr>
          <w:p w14:paraId="617E7D4F">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07BF6DDC">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392B4C6F">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42E48BA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较重</w:t>
            </w:r>
          </w:p>
        </w:tc>
        <w:tc>
          <w:tcPr>
            <w:tcW w:w="3345" w:type="dxa"/>
            <w:tcBorders>
              <w:tl2br w:val="nil"/>
              <w:tr2bl w:val="nil"/>
            </w:tcBorders>
            <w:noWrap w:val="0"/>
            <w:vAlign w:val="center"/>
          </w:tcPr>
          <w:p w14:paraId="623C9E2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有下列情形之一的：</w:t>
            </w:r>
          </w:p>
          <w:p w14:paraId="35C9098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⑴影响较大，广告费用在10万元以上的；</w:t>
            </w:r>
          </w:p>
          <w:p w14:paraId="53DB322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⑵影响较大，广告费用无法计算或者明显偏低的。</w:t>
            </w:r>
          </w:p>
        </w:tc>
        <w:tc>
          <w:tcPr>
            <w:tcW w:w="3300" w:type="dxa"/>
            <w:tcBorders>
              <w:tl2br w:val="nil"/>
              <w:tr2bl w:val="nil"/>
            </w:tcBorders>
            <w:noWrap w:val="0"/>
            <w:vAlign w:val="center"/>
          </w:tcPr>
          <w:p w14:paraId="72F146A1">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没收广告费用，并处广告费用2倍以上3倍以下的罚款；广告费用无法计算或者明显偏低的，处10万元以上20万元以下的罚款。</w:t>
            </w:r>
          </w:p>
        </w:tc>
      </w:tr>
      <w:tr w14:paraId="7AF0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jc w:val="center"/>
        </w:trPr>
        <w:tc>
          <w:tcPr>
            <w:tcW w:w="643" w:type="dxa"/>
            <w:vMerge w:val="continue"/>
            <w:tcBorders>
              <w:tl2br w:val="nil"/>
              <w:tr2bl w:val="nil"/>
            </w:tcBorders>
            <w:noWrap w:val="0"/>
            <w:vAlign w:val="center"/>
          </w:tcPr>
          <w:p w14:paraId="4DD8BE64">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7378ACC4">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086C7854">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0CF2E7EC">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严重</w:t>
            </w:r>
          </w:p>
        </w:tc>
        <w:tc>
          <w:tcPr>
            <w:tcW w:w="3345" w:type="dxa"/>
            <w:tcBorders>
              <w:tl2br w:val="nil"/>
              <w:tr2bl w:val="nil"/>
            </w:tcBorders>
            <w:noWrap w:val="0"/>
            <w:vAlign w:val="center"/>
          </w:tcPr>
          <w:p w14:paraId="2C333D4E">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2年内有3次以上违法行为或者有其他严重情节的。</w:t>
            </w:r>
          </w:p>
        </w:tc>
        <w:tc>
          <w:tcPr>
            <w:tcW w:w="3300" w:type="dxa"/>
            <w:tcBorders>
              <w:tl2br w:val="nil"/>
              <w:tr2bl w:val="nil"/>
            </w:tcBorders>
            <w:noWrap w:val="0"/>
            <w:vAlign w:val="center"/>
          </w:tcPr>
          <w:p w14:paraId="249950B0">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没收广告费用，并处广告费用3倍以上5倍以下的罚款；广告费用无法计算或者明显偏低的，处20万元以上100万元以下的罚款，并可以由有关部门暂停广告发布业务、吊销营业执照。</w:t>
            </w:r>
          </w:p>
        </w:tc>
      </w:tr>
      <w:tr w14:paraId="57D9E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jc w:val="center"/>
        </w:trPr>
        <w:tc>
          <w:tcPr>
            <w:tcW w:w="643" w:type="dxa"/>
            <w:vMerge w:val="restart"/>
            <w:tcBorders>
              <w:tl2br w:val="nil"/>
              <w:tr2bl w:val="nil"/>
            </w:tcBorders>
            <w:noWrap w:val="0"/>
            <w:vAlign w:val="center"/>
          </w:tcPr>
          <w:p w14:paraId="01A97CD6">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42</w:t>
            </w:r>
          </w:p>
        </w:tc>
        <w:tc>
          <w:tcPr>
            <w:tcW w:w="1512" w:type="dxa"/>
            <w:vMerge w:val="restart"/>
            <w:tcBorders>
              <w:tl2br w:val="nil"/>
              <w:tr2bl w:val="nil"/>
            </w:tcBorders>
            <w:noWrap w:val="0"/>
            <w:vAlign w:val="center"/>
          </w:tcPr>
          <w:p w14:paraId="58226F0D">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《中华人民共和国广告法》</w:t>
            </w:r>
          </w:p>
          <w:p w14:paraId="15931F79">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restart"/>
            <w:tcBorders>
              <w:tl2br w:val="nil"/>
              <w:tr2bl w:val="nil"/>
            </w:tcBorders>
            <w:noWrap w:val="0"/>
            <w:vAlign w:val="center"/>
          </w:tcPr>
          <w:p w14:paraId="2AFDCF51">
            <w:pPr>
              <w:keepNext w:val="0"/>
              <w:keepLines w:val="0"/>
              <w:pageBreakBefore w:val="0"/>
              <w:widowControl w:val="0"/>
              <w:kinsoku/>
              <w:wordWrap/>
              <w:overflowPunct/>
              <w:topLinePunct w:val="0"/>
              <w:autoSpaceDE/>
              <w:autoSpaceDN/>
              <w:bidi w:val="0"/>
              <w:adjustRightInd/>
              <w:snapToGrid/>
              <w:spacing w:line="37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第五十九条</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有下列行为之一的，由市场监督管理部门责令停止发布广告，对广告主处十万元以下的罚款：</w:t>
            </w:r>
          </w:p>
          <w:p w14:paraId="6C9DDF34">
            <w:pPr>
              <w:keepNext w:val="0"/>
              <w:keepLines w:val="0"/>
              <w:pageBreakBefore w:val="0"/>
              <w:widowControl w:val="0"/>
              <w:kinsoku/>
              <w:wordWrap/>
              <w:overflowPunct/>
              <w:topLinePunct w:val="0"/>
              <w:autoSpaceDE/>
              <w:autoSpaceDN/>
              <w:bidi w:val="0"/>
              <w:adjustRightInd/>
              <w:snapToGrid/>
              <w:spacing w:line="37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(一)广告内容违反本法第八条规定的；</w:t>
            </w:r>
          </w:p>
          <w:p w14:paraId="6AE768F1">
            <w:pPr>
              <w:keepNext w:val="0"/>
              <w:keepLines w:val="0"/>
              <w:pageBreakBefore w:val="0"/>
              <w:widowControl w:val="0"/>
              <w:kinsoku/>
              <w:wordWrap/>
              <w:overflowPunct/>
              <w:topLinePunct w:val="0"/>
              <w:autoSpaceDE/>
              <w:autoSpaceDN/>
              <w:bidi w:val="0"/>
              <w:adjustRightInd/>
              <w:snapToGrid/>
              <w:spacing w:line="37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(二)广告引证内容违反本法第十一条规定的；</w:t>
            </w:r>
          </w:p>
          <w:p w14:paraId="17D7F8B1">
            <w:pPr>
              <w:keepNext w:val="0"/>
              <w:keepLines w:val="0"/>
              <w:pageBreakBefore w:val="0"/>
              <w:widowControl w:val="0"/>
              <w:kinsoku/>
              <w:wordWrap/>
              <w:overflowPunct/>
              <w:topLinePunct w:val="0"/>
              <w:autoSpaceDE/>
              <w:autoSpaceDN/>
              <w:bidi w:val="0"/>
              <w:adjustRightInd/>
              <w:snapToGrid/>
              <w:spacing w:line="37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(三)涉及专利的广告违反本法第十二条规定的；</w:t>
            </w:r>
          </w:p>
          <w:p w14:paraId="7EB770A6">
            <w:pPr>
              <w:keepNext w:val="0"/>
              <w:keepLines w:val="0"/>
              <w:pageBreakBefore w:val="0"/>
              <w:widowControl w:val="0"/>
              <w:kinsoku/>
              <w:wordWrap/>
              <w:overflowPunct/>
              <w:topLinePunct w:val="0"/>
              <w:autoSpaceDE/>
              <w:autoSpaceDN/>
              <w:bidi w:val="0"/>
              <w:adjustRightInd/>
              <w:snapToGrid/>
              <w:spacing w:line="37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(四)违反本法第十三条规定，广告贬低其他生产经营者的商品或者服务的。</w:t>
            </w:r>
          </w:p>
          <w:p w14:paraId="38F11A34">
            <w:pPr>
              <w:keepNext w:val="0"/>
              <w:keepLines w:val="0"/>
              <w:pageBreakBefore w:val="0"/>
              <w:widowControl w:val="0"/>
              <w:kinsoku/>
              <w:wordWrap/>
              <w:overflowPunct/>
              <w:topLinePunct w:val="0"/>
              <w:autoSpaceDE/>
              <w:autoSpaceDN/>
              <w:bidi w:val="0"/>
              <w:adjustRightInd/>
              <w:snapToGrid/>
              <w:spacing w:line="37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广告经营者、广告发布者明知或者应知有前款规定违法行为仍设计、制作、代理、发布的，由市场监督管理部门处十万元以下的罚款。</w:t>
            </w:r>
          </w:p>
          <w:p w14:paraId="0B0EBAD7">
            <w:pPr>
              <w:spacing w:line="370" w:lineRule="exact"/>
              <w:rPr>
                <w:rFonts w:hint="eastAsia"/>
              </w:rPr>
            </w:pPr>
            <w:r>
              <w:rPr>
                <w:rFonts w:hint="eastAsia" w:ascii="宋体" w:hAnsi="宋体" w:eastAsia="宋体" w:cs="宋体"/>
                <w:b w:val="0"/>
                <w:bCs w:val="0"/>
                <w:sz w:val="24"/>
                <w:szCs w:val="24"/>
              </w:rPr>
              <w:t>广告违反本法第十四条规定，不具有可识别性的，或者违反本法第十九条规定，变相发布医疗、药品、医疗器械、保健食品广告的，由市场监督管理部门责令改正，对广告发布者处十万元以下的罚款。</w:t>
            </w:r>
          </w:p>
        </w:tc>
        <w:tc>
          <w:tcPr>
            <w:tcW w:w="1123" w:type="dxa"/>
            <w:tcBorders>
              <w:tl2br w:val="nil"/>
              <w:tr2bl w:val="nil"/>
            </w:tcBorders>
            <w:noWrap w:val="0"/>
            <w:vAlign w:val="center"/>
          </w:tcPr>
          <w:p w14:paraId="2BFF38DB">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较轻</w:t>
            </w:r>
          </w:p>
        </w:tc>
        <w:tc>
          <w:tcPr>
            <w:tcW w:w="3345" w:type="dxa"/>
            <w:tcBorders>
              <w:tl2br w:val="nil"/>
              <w:tr2bl w:val="nil"/>
            </w:tcBorders>
            <w:noWrap w:val="0"/>
            <w:vAlign w:val="center"/>
          </w:tcPr>
          <w:p w14:paraId="0E12CBCA">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影响较小，广告费用在2万元以下的。</w:t>
            </w:r>
          </w:p>
        </w:tc>
        <w:tc>
          <w:tcPr>
            <w:tcW w:w="3300" w:type="dxa"/>
            <w:tcBorders>
              <w:tl2br w:val="nil"/>
              <w:tr2bl w:val="nil"/>
            </w:tcBorders>
            <w:noWrap w:val="0"/>
            <w:vAlign w:val="center"/>
          </w:tcPr>
          <w:p w14:paraId="33E6993F">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b w:val="0"/>
                <w:bCs w:val="0"/>
                <w:spacing w:val="-6"/>
                <w:sz w:val="24"/>
                <w:szCs w:val="24"/>
              </w:rPr>
            </w:pPr>
            <w:r>
              <w:rPr>
                <w:rFonts w:hint="eastAsia" w:ascii="宋体" w:hAnsi="宋体" w:eastAsia="宋体" w:cs="宋体"/>
                <w:b w:val="0"/>
                <w:bCs w:val="0"/>
                <w:spacing w:val="-6"/>
                <w:sz w:val="24"/>
                <w:szCs w:val="24"/>
              </w:rPr>
              <w:t>责令广告主停止发布广告，处2万元以下的罚款。</w:t>
            </w:r>
          </w:p>
          <w:p w14:paraId="0005DCA5">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b w:val="0"/>
                <w:bCs w:val="0"/>
                <w:spacing w:val="-6"/>
                <w:sz w:val="24"/>
                <w:szCs w:val="24"/>
              </w:rPr>
            </w:pPr>
            <w:r>
              <w:rPr>
                <w:rFonts w:hint="eastAsia" w:ascii="宋体" w:hAnsi="宋体" w:eastAsia="宋体" w:cs="宋体"/>
                <w:b w:val="0"/>
                <w:bCs w:val="0"/>
                <w:spacing w:val="-6"/>
                <w:sz w:val="24"/>
                <w:szCs w:val="24"/>
              </w:rPr>
              <w:t>广告经营者、广告发布者有第二款情形的，处2万元以下的罚款。</w:t>
            </w:r>
          </w:p>
          <w:p w14:paraId="3F49CA49">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b w:val="0"/>
                <w:bCs w:val="0"/>
                <w:spacing w:val="-6"/>
                <w:sz w:val="24"/>
                <w:szCs w:val="24"/>
              </w:rPr>
            </w:pPr>
            <w:r>
              <w:rPr>
                <w:rFonts w:hint="eastAsia" w:ascii="宋体" w:hAnsi="宋体" w:eastAsia="宋体" w:cs="宋体"/>
                <w:b w:val="0"/>
                <w:bCs w:val="0"/>
                <w:spacing w:val="-6"/>
                <w:sz w:val="24"/>
                <w:szCs w:val="24"/>
              </w:rPr>
              <w:t>广告发布者有第三款情形的，责令改正，处2万元以下的罚款。</w:t>
            </w:r>
          </w:p>
        </w:tc>
      </w:tr>
      <w:tr w14:paraId="71F9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5" w:hRule="atLeast"/>
          <w:jc w:val="center"/>
        </w:trPr>
        <w:tc>
          <w:tcPr>
            <w:tcW w:w="643" w:type="dxa"/>
            <w:vMerge w:val="continue"/>
            <w:tcBorders>
              <w:tl2br w:val="nil"/>
              <w:tr2bl w:val="nil"/>
            </w:tcBorders>
            <w:noWrap w:val="0"/>
            <w:vAlign w:val="center"/>
          </w:tcPr>
          <w:p w14:paraId="71EF8D7E">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217A5686">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021EC597">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397F042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一般</w:t>
            </w:r>
          </w:p>
        </w:tc>
        <w:tc>
          <w:tcPr>
            <w:tcW w:w="3345" w:type="dxa"/>
            <w:tcBorders>
              <w:tl2br w:val="nil"/>
              <w:tr2bl w:val="nil"/>
            </w:tcBorders>
            <w:noWrap w:val="0"/>
            <w:vAlign w:val="center"/>
          </w:tcPr>
          <w:p w14:paraId="284F9701">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影响小，广告费用在2万元以上5万元以下的。</w:t>
            </w:r>
          </w:p>
        </w:tc>
        <w:tc>
          <w:tcPr>
            <w:tcW w:w="3300" w:type="dxa"/>
            <w:tcBorders>
              <w:tl2br w:val="nil"/>
              <w:tr2bl w:val="nil"/>
            </w:tcBorders>
            <w:noWrap w:val="0"/>
            <w:vAlign w:val="center"/>
          </w:tcPr>
          <w:p w14:paraId="250152F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pacing w:val="-6"/>
                <w:sz w:val="24"/>
                <w:szCs w:val="24"/>
              </w:rPr>
            </w:pPr>
            <w:r>
              <w:rPr>
                <w:rFonts w:hint="eastAsia" w:ascii="宋体" w:hAnsi="宋体" w:eastAsia="宋体" w:cs="宋体"/>
                <w:b w:val="0"/>
                <w:bCs w:val="0"/>
                <w:spacing w:val="-6"/>
                <w:sz w:val="24"/>
                <w:szCs w:val="24"/>
              </w:rPr>
              <w:t>责令广告主停止发布广告，处2万元以上5万元以下的罚款。</w:t>
            </w:r>
          </w:p>
          <w:p w14:paraId="05C70F9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pacing w:val="-6"/>
                <w:sz w:val="24"/>
                <w:szCs w:val="24"/>
              </w:rPr>
            </w:pPr>
            <w:r>
              <w:rPr>
                <w:rFonts w:hint="eastAsia" w:ascii="宋体" w:hAnsi="宋体" w:eastAsia="宋体" w:cs="宋体"/>
                <w:b w:val="0"/>
                <w:bCs w:val="0"/>
                <w:spacing w:val="-6"/>
                <w:sz w:val="24"/>
                <w:szCs w:val="24"/>
              </w:rPr>
              <w:t>对广告经营者、广告发布者有第二款情形的，2万元以上5万元以下的罚款。</w:t>
            </w:r>
          </w:p>
          <w:p w14:paraId="5ACFB0E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pacing w:val="-6"/>
                <w:sz w:val="24"/>
                <w:szCs w:val="24"/>
              </w:rPr>
            </w:pPr>
            <w:r>
              <w:rPr>
                <w:rFonts w:hint="eastAsia" w:ascii="宋体" w:hAnsi="宋体" w:eastAsia="宋体" w:cs="宋体"/>
                <w:b w:val="0"/>
                <w:bCs w:val="0"/>
                <w:spacing w:val="-6"/>
                <w:sz w:val="24"/>
                <w:szCs w:val="24"/>
              </w:rPr>
              <w:t>广告发布者有第三款情形的，责令改正，处2万元以上5万元以下的罚款。</w:t>
            </w:r>
          </w:p>
        </w:tc>
      </w:tr>
      <w:tr w14:paraId="412F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1" w:hRule="atLeast"/>
          <w:jc w:val="center"/>
        </w:trPr>
        <w:tc>
          <w:tcPr>
            <w:tcW w:w="643" w:type="dxa"/>
            <w:vMerge w:val="continue"/>
            <w:tcBorders>
              <w:tl2br w:val="nil"/>
              <w:tr2bl w:val="nil"/>
            </w:tcBorders>
            <w:noWrap w:val="0"/>
            <w:vAlign w:val="center"/>
          </w:tcPr>
          <w:p w14:paraId="24556C4E">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38FF7F8A">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19DACBB0">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540E35E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较重</w:t>
            </w:r>
          </w:p>
        </w:tc>
        <w:tc>
          <w:tcPr>
            <w:tcW w:w="3345" w:type="dxa"/>
            <w:tcBorders>
              <w:tl2br w:val="nil"/>
              <w:tr2bl w:val="nil"/>
            </w:tcBorders>
            <w:noWrap w:val="0"/>
            <w:vAlign w:val="center"/>
          </w:tcPr>
          <w:p w14:paraId="2222E2A2">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影响较大，广告费用5万元以上10万元以下的。</w:t>
            </w:r>
          </w:p>
        </w:tc>
        <w:tc>
          <w:tcPr>
            <w:tcW w:w="3300" w:type="dxa"/>
            <w:tcBorders>
              <w:tl2br w:val="nil"/>
              <w:tr2bl w:val="nil"/>
            </w:tcBorders>
            <w:noWrap w:val="0"/>
            <w:vAlign w:val="center"/>
          </w:tcPr>
          <w:p w14:paraId="0908CB8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pacing w:val="-6"/>
                <w:sz w:val="24"/>
                <w:szCs w:val="24"/>
              </w:rPr>
            </w:pPr>
            <w:r>
              <w:rPr>
                <w:rFonts w:hint="eastAsia" w:ascii="宋体" w:hAnsi="宋体" w:eastAsia="宋体" w:cs="宋体"/>
                <w:b w:val="0"/>
                <w:bCs w:val="0"/>
                <w:spacing w:val="-6"/>
                <w:sz w:val="24"/>
                <w:szCs w:val="24"/>
              </w:rPr>
              <w:t>责令广告主停止发布广告，处5万元以上8万元以下的罚款。</w:t>
            </w:r>
          </w:p>
          <w:p w14:paraId="18AA425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pacing w:val="-6"/>
                <w:sz w:val="24"/>
                <w:szCs w:val="24"/>
              </w:rPr>
            </w:pPr>
            <w:r>
              <w:rPr>
                <w:rFonts w:hint="eastAsia" w:ascii="宋体" w:hAnsi="宋体" w:eastAsia="宋体" w:cs="宋体"/>
                <w:b w:val="0"/>
                <w:bCs w:val="0"/>
                <w:spacing w:val="-6"/>
                <w:sz w:val="24"/>
                <w:szCs w:val="24"/>
              </w:rPr>
              <w:t>对广告经营者、广告发布者有第二款情形的，处5万元以上8万元以下的罚款。</w:t>
            </w:r>
          </w:p>
          <w:p w14:paraId="32E62C2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pacing w:val="-6"/>
                <w:sz w:val="24"/>
                <w:szCs w:val="24"/>
              </w:rPr>
            </w:pPr>
            <w:r>
              <w:rPr>
                <w:rFonts w:hint="eastAsia" w:ascii="宋体" w:hAnsi="宋体" w:eastAsia="宋体" w:cs="宋体"/>
                <w:b w:val="0"/>
                <w:bCs w:val="0"/>
                <w:spacing w:val="-6"/>
                <w:sz w:val="24"/>
                <w:szCs w:val="24"/>
              </w:rPr>
              <w:t>广告发布者有第三款情形的，责令改正，处5万元以上8万元以下的罚款。</w:t>
            </w:r>
          </w:p>
        </w:tc>
      </w:tr>
      <w:tr w14:paraId="7609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6" w:hRule="atLeast"/>
          <w:jc w:val="center"/>
        </w:trPr>
        <w:tc>
          <w:tcPr>
            <w:tcW w:w="643" w:type="dxa"/>
            <w:vMerge w:val="continue"/>
            <w:tcBorders>
              <w:tl2br w:val="nil"/>
              <w:tr2bl w:val="nil"/>
            </w:tcBorders>
            <w:noWrap w:val="0"/>
            <w:vAlign w:val="center"/>
          </w:tcPr>
          <w:p w14:paraId="1F8D1066">
            <w:pPr>
              <w:keepNext w:val="0"/>
              <w:keepLines w:val="0"/>
              <w:pageBreakBefore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2CD29045">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1BBD234A">
            <w:pPr>
              <w:rPr>
                <w:rFonts w:hint="eastAsia"/>
              </w:rPr>
            </w:pPr>
          </w:p>
        </w:tc>
        <w:tc>
          <w:tcPr>
            <w:tcW w:w="1123" w:type="dxa"/>
            <w:tcBorders>
              <w:tl2br w:val="nil"/>
              <w:tr2bl w:val="nil"/>
            </w:tcBorders>
            <w:noWrap w:val="0"/>
            <w:vAlign w:val="center"/>
          </w:tcPr>
          <w:p w14:paraId="5912506C">
            <w:pPr>
              <w:pStyle w:val="16"/>
              <w:ind w:firstLine="240" w:firstLineChars="100"/>
              <w:rPr>
                <w:rFonts w:hint="default"/>
                <w:lang w:val="en-US" w:eastAsia="zh-CN"/>
              </w:rPr>
            </w:pPr>
            <w:r>
              <w:rPr>
                <w:rFonts w:hint="eastAsia" w:ascii="宋体" w:hAnsi="宋体" w:eastAsia="宋体" w:cs="宋体"/>
                <w:b w:val="0"/>
                <w:bCs w:val="0"/>
                <w:sz w:val="24"/>
                <w:szCs w:val="24"/>
              </w:rPr>
              <w:t>严重</w:t>
            </w:r>
          </w:p>
        </w:tc>
        <w:tc>
          <w:tcPr>
            <w:tcW w:w="3345" w:type="dxa"/>
            <w:tcBorders>
              <w:tl2br w:val="nil"/>
              <w:tr2bl w:val="nil"/>
            </w:tcBorders>
            <w:noWrap w:val="0"/>
            <w:vAlign w:val="center"/>
          </w:tcPr>
          <w:p w14:paraId="587F2AAE">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有下列情形之一的：</w:t>
            </w:r>
          </w:p>
          <w:p w14:paraId="6485FB06">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cs="宋体"/>
                <w:b w:val="0"/>
                <w:bCs w:val="0"/>
                <w:color w:val="auto"/>
                <w:sz w:val="24"/>
                <w:szCs w:val="24"/>
                <w:lang w:val="en-US" w:eastAsia="zh-CN"/>
              </w:rPr>
              <w:t>(1)</w:t>
            </w:r>
            <w:r>
              <w:rPr>
                <w:rFonts w:hint="eastAsia" w:ascii="宋体" w:hAnsi="宋体" w:eastAsia="宋体" w:cs="宋体"/>
                <w:b w:val="0"/>
                <w:bCs w:val="0"/>
                <w:sz w:val="24"/>
                <w:szCs w:val="24"/>
              </w:rPr>
              <w:t>造成重大影响的；</w:t>
            </w:r>
          </w:p>
          <w:p w14:paraId="36287050">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cs="宋体"/>
                <w:b w:val="0"/>
                <w:bCs w:val="0"/>
                <w:color w:val="auto"/>
                <w:sz w:val="24"/>
                <w:szCs w:val="24"/>
                <w:lang w:val="en-US" w:eastAsia="zh-CN"/>
              </w:rPr>
              <w:t>(2)</w:t>
            </w:r>
            <w:r>
              <w:rPr>
                <w:rFonts w:hint="eastAsia" w:ascii="宋体" w:hAnsi="宋体" w:eastAsia="宋体" w:cs="宋体"/>
                <w:b w:val="0"/>
                <w:bCs w:val="0"/>
                <w:sz w:val="24"/>
                <w:szCs w:val="24"/>
              </w:rPr>
              <w:t>广告费用10万元以上的；</w:t>
            </w:r>
          </w:p>
          <w:p w14:paraId="2E383585">
            <w:pPr>
              <w:spacing w:line="420" w:lineRule="exact"/>
              <w:rPr>
                <w:rFonts w:hint="eastAsia"/>
              </w:rPr>
            </w:pPr>
            <w:r>
              <w:rPr>
                <w:rFonts w:hint="eastAsia" w:ascii="宋体" w:hAnsi="宋体" w:cs="宋体"/>
                <w:b w:val="0"/>
                <w:bCs w:val="0"/>
                <w:color w:val="auto"/>
                <w:sz w:val="24"/>
                <w:szCs w:val="24"/>
                <w:lang w:val="en-US" w:eastAsia="zh-CN"/>
              </w:rPr>
              <w:t>(3)</w:t>
            </w:r>
            <w:r>
              <w:rPr>
                <w:rFonts w:hint="eastAsia" w:ascii="宋体" w:hAnsi="宋体" w:eastAsia="宋体" w:cs="宋体"/>
                <w:b w:val="0"/>
                <w:bCs w:val="0"/>
                <w:sz w:val="24"/>
                <w:szCs w:val="24"/>
              </w:rPr>
              <w:t>2年内有3次以上违法行为或者有其他严重情节的。</w:t>
            </w:r>
          </w:p>
        </w:tc>
        <w:tc>
          <w:tcPr>
            <w:tcW w:w="3300" w:type="dxa"/>
            <w:tcBorders>
              <w:tl2br w:val="nil"/>
              <w:tr2bl w:val="nil"/>
            </w:tcBorders>
            <w:noWrap w:val="0"/>
            <w:vAlign w:val="center"/>
          </w:tcPr>
          <w:p w14:paraId="770A159E">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责令广告主停止发布广告，处8万元以上10万元以下的罚款。</w:t>
            </w:r>
          </w:p>
          <w:p w14:paraId="01320617">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对广告经营者、广告发布者有第二款情形的，处8万元以上10万元以下的罚款。</w:t>
            </w:r>
          </w:p>
          <w:p w14:paraId="61E43B8F">
            <w:pPr>
              <w:spacing w:line="340" w:lineRule="exact"/>
              <w:jc w:val="both"/>
              <w:rPr>
                <w:rFonts w:hint="default" w:ascii="Calibri" w:hAnsi="Calibri" w:eastAsia="宋体" w:cs="Times New Roman"/>
                <w:kern w:val="2"/>
                <w:sz w:val="21"/>
                <w:szCs w:val="24"/>
                <w:lang w:val="en-US" w:eastAsia="zh-CN" w:bidi="ar-SA"/>
              </w:rPr>
            </w:pPr>
            <w:r>
              <w:rPr>
                <w:rFonts w:hint="eastAsia" w:ascii="宋体" w:hAnsi="宋体" w:eastAsia="宋体" w:cs="宋体"/>
                <w:b w:val="0"/>
                <w:bCs w:val="0"/>
                <w:spacing w:val="-6"/>
                <w:sz w:val="24"/>
                <w:szCs w:val="24"/>
              </w:rPr>
              <w:t>广告发布者有第三款情形的，责令改正，处8万元以上10万元以下的罚款。</w:t>
            </w:r>
          </w:p>
        </w:tc>
      </w:tr>
      <w:tr w14:paraId="2D9D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643" w:type="dxa"/>
            <w:vMerge w:val="restart"/>
            <w:tcBorders>
              <w:tl2br w:val="nil"/>
              <w:tr2bl w:val="nil"/>
            </w:tcBorders>
            <w:noWrap w:val="0"/>
            <w:vAlign w:val="center"/>
          </w:tcPr>
          <w:p w14:paraId="36485CDF">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43</w:t>
            </w:r>
          </w:p>
        </w:tc>
        <w:tc>
          <w:tcPr>
            <w:tcW w:w="1512" w:type="dxa"/>
            <w:vMerge w:val="restart"/>
            <w:tcBorders>
              <w:tl2br w:val="nil"/>
              <w:tr2bl w:val="nil"/>
            </w:tcBorders>
            <w:noWrap w:val="0"/>
            <w:vAlign w:val="center"/>
          </w:tcPr>
          <w:p w14:paraId="55C60FD0">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rPr>
              <w:t>《中华人民共和国广告法》</w:t>
            </w:r>
          </w:p>
        </w:tc>
        <w:tc>
          <w:tcPr>
            <w:tcW w:w="4200" w:type="dxa"/>
            <w:vMerge w:val="restart"/>
            <w:tcBorders>
              <w:tl2br w:val="nil"/>
              <w:tr2bl w:val="nil"/>
            </w:tcBorders>
            <w:noWrap w:val="0"/>
            <w:vAlign w:val="center"/>
          </w:tcPr>
          <w:p w14:paraId="4D03DBC2">
            <w:pPr>
              <w:keepNext w:val="0"/>
              <w:keepLines w:val="0"/>
              <w:pageBreakBefore w:val="0"/>
              <w:widowControl w:val="0"/>
              <w:kinsoku/>
              <w:wordWrap/>
              <w:overflowPunct/>
              <w:topLinePunct w:val="0"/>
              <w:autoSpaceDE/>
              <w:autoSpaceDN/>
              <w:bidi w:val="0"/>
              <w:adjustRightInd/>
              <w:snapToGrid/>
              <w:spacing w:line="370" w:lineRule="exact"/>
              <w:jc w:val="both"/>
              <w:textAlignment w:val="auto"/>
              <w:rPr>
                <w:rFonts w:hint="eastAsia" w:ascii="宋体" w:hAnsi="宋体" w:eastAsia="宋体" w:cs="宋体"/>
                <w:b w:val="0"/>
                <w:bCs w:val="0"/>
                <w:sz w:val="24"/>
                <w:szCs w:val="24"/>
                <w:highlight w:val="none"/>
                <w:lang w:val="zh-CN"/>
              </w:rPr>
            </w:pPr>
            <w:r>
              <w:rPr>
                <w:rFonts w:hint="eastAsia" w:ascii="宋体" w:hAnsi="宋体" w:eastAsia="宋体" w:cs="宋体"/>
                <w:b w:val="0"/>
                <w:bCs w:val="0"/>
                <w:sz w:val="24"/>
                <w:szCs w:val="24"/>
                <w:highlight w:val="none"/>
                <w:lang w:val="zh-CN"/>
              </w:rPr>
              <w:t>第六十条</w:t>
            </w:r>
            <w:r>
              <w:rPr>
                <w:rFonts w:hint="eastAsia" w:ascii="宋体" w:hAnsi="宋体" w:cs="宋体"/>
                <w:b w:val="0"/>
                <w:bCs w:val="0"/>
                <w:sz w:val="24"/>
                <w:szCs w:val="24"/>
                <w:highlight w:val="none"/>
                <w:lang w:val="en-US" w:eastAsia="zh-CN"/>
              </w:rPr>
              <w:t xml:space="preserve"> </w:t>
            </w:r>
            <w:r>
              <w:rPr>
                <w:rFonts w:hint="eastAsia" w:ascii="宋体" w:hAnsi="宋体" w:eastAsia="宋体" w:cs="宋体"/>
                <w:b w:val="0"/>
                <w:bCs w:val="0"/>
                <w:sz w:val="24"/>
                <w:szCs w:val="24"/>
                <w:highlight w:val="none"/>
                <w:lang w:val="zh-CN"/>
              </w:rPr>
              <w:t>违反本法第三十四条规定，广告经营者、广告发布者未按照国家有关规定建立、健全广告业务管理制度的，或者未对广告内容进行核对的，由市场监督管理部门责令改正，可以处五万元以下的罚款。</w:t>
            </w:r>
          </w:p>
          <w:p w14:paraId="3D32915E">
            <w:pPr>
              <w:keepNext w:val="0"/>
              <w:keepLines w:val="0"/>
              <w:pageBreakBefore w:val="0"/>
              <w:widowControl w:val="0"/>
              <w:kinsoku/>
              <w:wordWrap/>
              <w:overflowPunct/>
              <w:topLinePunct w:val="0"/>
              <w:autoSpaceDE/>
              <w:autoSpaceDN/>
              <w:bidi w:val="0"/>
              <w:adjustRightInd/>
              <w:snapToGrid/>
              <w:spacing w:line="370" w:lineRule="exact"/>
              <w:jc w:val="both"/>
              <w:textAlignment w:val="auto"/>
              <w:rPr>
                <w:rFonts w:hint="eastAsia" w:ascii="宋体" w:hAnsi="宋体" w:eastAsia="宋体" w:cs="宋体"/>
                <w:b w:val="0"/>
                <w:bCs w:val="0"/>
                <w:sz w:val="24"/>
                <w:szCs w:val="24"/>
                <w:highlight w:val="none"/>
                <w:lang w:val="zh-CN"/>
              </w:rPr>
            </w:pPr>
            <w:r>
              <w:rPr>
                <w:rFonts w:hint="eastAsia" w:ascii="宋体" w:hAnsi="宋体" w:eastAsia="宋体" w:cs="宋体"/>
                <w:b w:val="0"/>
                <w:bCs w:val="0"/>
                <w:sz w:val="24"/>
                <w:szCs w:val="24"/>
                <w:highlight w:val="none"/>
                <w:lang w:val="zh-CN"/>
              </w:rPr>
              <w:t>违反本法第三十五条规定，广告经营者、广告发布者未公布其收费标准和收费办法的，由价格主管部门责令改正，可以处五万元以下的罚款。</w:t>
            </w:r>
          </w:p>
          <w:p w14:paraId="6A2F8780">
            <w:pPr>
              <w:keepNext w:val="0"/>
              <w:keepLines w:val="0"/>
              <w:pageBreakBefore w:val="0"/>
              <w:widowControl w:val="0"/>
              <w:kinsoku/>
              <w:wordWrap/>
              <w:overflowPunct/>
              <w:topLinePunct w:val="0"/>
              <w:autoSpaceDE/>
              <w:autoSpaceDN/>
              <w:bidi w:val="0"/>
              <w:adjustRightInd/>
              <w:snapToGrid/>
              <w:spacing w:line="370" w:lineRule="exact"/>
              <w:jc w:val="both"/>
              <w:textAlignment w:val="auto"/>
              <w:rPr>
                <w:rFonts w:hint="eastAsia" w:ascii="宋体" w:hAnsi="宋体" w:eastAsia="宋体" w:cs="宋体"/>
                <w:b w:val="0"/>
                <w:bCs w:val="0"/>
                <w:sz w:val="24"/>
                <w:szCs w:val="24"/>
                <w:highlight w:val="none"/>
              </w:rPr>
            </w:pPr>
          </w:p>
        </w:tc>
        <w:tc>
          <w:tcPr>
            <w:tcW w:w="1123" w:type="dxa"/>
            <w:tcBorders>
              <w:tl2br w:val="nil"/>
              <w:tr2bl w:val="nil"/>
            </w:tcBorders>
            <w:noWrap w:val="0"/>
            <w:vAlign w:val="center"/>
          </w:tcPr>
          <w:p w14:paraId="26E678C8">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较轻</w:t>
            </w:r>
          </w:p>
        </w:tc>
        <w:tc>
          <w:tcPr>
            <w:tcW w:w="3345" w:type="dxa"/>
            <w:tcBorders>
              <w:tl2br w:val="nil"/>
              <w:tr2bl w:val="nil"/>
            </w:tcBorders>
            <w:noWrap w:val="0"/>
            <w:vAlign w:val="center"/>
          </w:tcPr>
          <w:p w14:paraId="4585E693">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未按规定</w:t>
            </w:r>
            <w:r>
              <w:rPr>
                <w:rFonts w:hint="eastAsia" w:ascii="宋体" w:hAnsi="宋体" w:eastAsia="宋体" w:cs="宋体"/>
                <w:b w:val="0"/>
                <w:bCs w:val="0"/>
                <w:sz w:val="24"/>
                <w:szCs w:val="24"/>
                <w:highlight w:val="none"/>
                <w:lang w:val="zh-CN"/>
              </w:rPr>
              <w:t>建立、健全广告业务管理制度或者未公布其收费标准和收费办法</w:t>
            </w:r>
            <w:r>
              <w:rPr>
                <w:rFonts w:hint="eastAsia" w:ascii="宋体" w:hAnsi="宋体" w:eastAsia="宋体" w:cs="宋体"/>
                <w:b w:val="0"/>
                <w:bCs w:val="0"/>
                <w:sz w:val="24"/>
                <w:szCs w:val="24"/>
                <w:highlight w:val="none"/>
                <w:lang w:val="en-US" w:eastAsia="zh-CN"/>
              </w:rPr>
              <w:t>持续时间</w:t>
            </w:r>
            <w:r>
              <w:rPr>
                <w:rFonts w:hint="eastAsia" w:ascii="宋体" w:hAnsi="宋体" w:eastAsia="宋体" w:cs="宋体"/>
                <w:b w:val="0"/>
                <w:bCs w:val="0"/>
                <w:sz w:val="24"/>
                <w:szCs w:val="24"/>
                <w:highlight w:val="none"/>
              </w:rPr>
              <w:t>6个月</w:t>
            </w:r>
            <w:r>
              <w:rPr>
                <w:rFonts w:hint="eastAsia" w:ascii="宋体" w:hAnsi="宋体" w:eastAsia="宋体" w:cs="宋体"/>
                <w:b w:val="0"/>
                <w:bCs w:val="0"/>
                <w:sz w:val="24"/>
                <w:szCs w:val="24"/>
                <w:highlight w:val="none"/>
                <w:lang w:val="en-US" w:eastAsia="zh-CN"/>
              </w:rPr>
              <w:t>以下的；</w:t>
            </w:r>
            <w:r>
              <w:rPr>
                <w:rFonts w:hint="eastAsia" w:ascii="宋体" w:hAnsi="宋体" w:eastAsia="宋体" w:cs="宋体"/>
                <w:b w:val="0"/>
                <w:bCs w:val="0"/>
                <w:sz w:val="24"/>
                <w:szCs w:val="24"/>
                <w:highlight w:val="none"/>
              </w:rPr>
              <w:t>未对广告内容进行核对</w:t>
            </w:r>
            <w:r>
              <w:rPr>
                <w:rFonts w:hint="eastAsia" w:ascii="宋体" w:hAnsi="宋体" w:eastAsia="宋体" w:cs="宋体"/>
                <w:b w:val="0"/>
                <w:bCs w:val="0"/>
                <w:sz w:val="24"/>
                <w:szCs w:val="24"/>
                <w:highlight w:val="none"/>
                <w:lang w:val="en-US" w:eastAsia="zh-CN"/>
              </w:rPr>
              <w:t>3次以下的。</w:t>
            </w:r>
          </w:p>
        </w:tc>
        <w:tc>
          <w:tcPr>
            <w:tcW w:w="3300" w:type="dxa"/>
            <w:tcBorders>
              <w:tl2br w:val="nil"/>
              <w:tr2bl w:val="nil"/>
            </w:tcBorders>
            <w:noWrap w:val="0"/>
            <w:vAlign w:val="center"/>
          </w:tcPr>
          <w:p w14:paraId="55730C8B">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cs="宋体"/>
                <w:b w:val="0"/>
                <w:bCs w:val="0"/>
                <w:sz w:val="24"/>
                <w:szCs w:val="24"/>
                <w:highlight w:val="none"/>
                <w:lang w:val="en-US" w:eastAsia="zh-CN"/>
              </w:rPr>
              <w:t>责令改正，</w:t>
            </w:r>
            <w:r>
              <w:rPr>
                <w:rFonts w:hint="eastAsia" w:ascii="宋体" w:hAnsi="宋体" w:eastAsia="宋体" w:cs="宋体"/>
                <w:b w:val="0"/>
                <w:bCs w:val="0"/>
                <w:sz w:val="24"/>
                <w:szCs w:val="24"/>
                <w:highlight w:val="none"/>
              </w:rPr>
              <w:t>可以处</w:t>
            </w:r>
            <w:r>
              <w:rPr>
                <w:rFonts w:hint="eastAsia" w:ascii="宋体" w:hAnsi="宋体" w:eastAsia="宋体" w:cs="宋体"/>
                <w:b w:val="0"/>
                <w:bCs w:val="0"/>
                <w:sz w:val="24"/>
                <w:szCs w:val="24"/>
                <w:highlight w:val="none"/>
                <w:lang w:val="en-US" w:eastAsia="zh-CN"/>
              </w:rPr>
              <w:t>1.5</w:t>
            </w:r>
            <w:r>
              <w:rPr>
                <w:rFonts w:hint="eastAsia" w:ascii="宋体" w:hAnsi="宋体" w:eastAsia="宋体" w:cs="宋体"/>
                <w:b w:val="0"/>
                <w:bCs w:val="0"/>
                <w:sz w:val="24"/>
                <w:szCs w:val="24"/>
                <w:highlight w:val="none"/>
              </w:rPr>
              <w:t>万元以下的罚款。</w:t>
            </w:r>
          </w:p>
        </w:tc>
      </w:tr>
      <w:tr w14:paraId="6E81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 w:type="dxa"/>
            <w:vMerge w:val="continue"/>
            <w:tcBorders>
              <w:tl2br w:val="nil"/>
              <w:tr2bl w:val="nil"/>
            </w:tcBorders>
            <w:noWrap w:val="0"/>
            <w:vAlign w:val="center"/>
          </w:tcPr>
          <w:p w14:paraId="62F8730E">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highlight w:val="none"/>
              </w:rPr>
            </w:pPr>
          </w:p>
        </w:tc>
        <w:tc>
          <w:tcPr>
            <w:tcW w:w="1512" w:type="dxa"/>
            <w:vMerge w:val="continue"/>
            <w:tcBorders>
              <w:tl2br w:val="nil"/>
              <w:tr2bl w:val="nil"/>
            </w:tcBorders>
            <w:noWrap w:val="0"/>
            <w:vAlign w:val="center"/>
          </w:tcPr>
          <w:p w14:paraId="55DB83F8">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highlight w:val="none"/>
              </w:rPr>
            </w:pPr>
          </w:p>
        </w:tc>
        <w:tc>
          <w:tcPr>
            <w:tcW w:w="4200" w:type="dxa"/>
            <w:vMerge w:val="continue"/>
            <w:tcBorders>
              <w:tl2br w:val="nil"/>
              <w:tr2bl w:val="nil"/>
            </w:tcBorders>
            <w:noWrap w:val="0"/>
            <w:vAlign w:val="center"/>
          </w:tcPr>
          <w:p w14:paraId="457FB286">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p>
        </w:tc>
        <w:tc>
          <w:tcPr>
            <w:tcW w:w="1123" w:type="dxa"/>
            <w:tcBorders>
              <w:tl2br w:val="nil"/>
              <w:tr2bl w:val="nil"/>
            </w:tcBorders>
            <w:noWrap w:val="0"/>
            <w:vAlign w:val="center"/>
          </w:tcPr>
          <w:p w14:paraId="41F9B3C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一般</w:t>
            </w:r>
          </w:p>
        </w:tc>
        <w:tc>
          <w:tcPr>
            <w:tcW w:w="3345" w:type="dxa"/>
            <w:tcBorders>
              <w:tl2br w:val="nil"/>
              <w:tr2bl w:val="nil"/>
            </w:tcBorders>
            <w:noWrap w:val="0"/>
            <w:vAlign w:val="center"/>
          </w:tcPr>
          <w:p w14:paraId="2A8C69AD">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未按规定</w:t>
            </w:r>
            <w:r>
              <w:rPr>
                <w:rFonts w:hint="eastAsia" w:ascii="宋体" w:hAnsi="宋体" w:eastAsia="宋体" w:cs="宋体"/>
                <w:b w:val="0"/>
                <w:bCs w:val="0"/>
                <w:sz w:val="24"/>
                <w:szCs w:val="24"/>
                <w:highlight w:val="none"/>
                <w:lang w:val="zh-CN"/>
              </w:rPr>
              <w:t>建立、健全广告业务管理制度或者未公布其收费标准和收费办法</w:t>
            </w:r>
            <w:r>
              <w:rPr>
                <w:rFonts w:hint="eastAsia" w:ascii="宋体" w:hAnsi="宋体" w:eastAsia="宋体" w:cs="宋体"/>
                <w:b w:val="0"/>
                <w:bCs w:val="0"/>
                <w:sz w:val="24"/>
                <w:szCs w:val="24"/>
                <w:highlight w:val="none"/>
                <w:lang w:val="en-US" w:eastAsia="zh-CN"/>
              </w:rPr>
              <w:t>持续时间6个月以上1年以下的；</w:t>
            </w:r>
            <w:r>
              <w:rPr>
                <w:rFonts w:hint="eastAsia" w:ascii="宋体" w:hAnsi="宋体" w:eastAsia="宋体" w:cs="宋体"/>
                <w:b w:val="0"/>
                <w:bCs w:val="0"/>
                <w:sz w:val="24"/>
                <w:szCs w:val="24"/>
                <w:highlight w:val="none"/>
              </w:rPr>
              <w:t>未对广告内容进行核对</w:t>
            </w:r>
            <w:r>
              <w:rPr>
                <w:rFonts w:hint="eastAsia" w:ascii="宋体" w:hAnsi="宋体" w:eastAsia="宋体" w:cs="宋体"/>
                <w:b w:val="0"/>
                <w:bCs w:val="0"/>
                <w:sz w:val="24"/>
                <w:szCs w:val="24"/>
                <w:highlight w:val="none"/>
                <w:lang w:val="en-US" w:eastAsia="zh-CN"/>
              </w:rPr>
              <w:t>3次以上10次以下的。</w:t>
            </w:r>
          </w:p>
        </w:tc>
        <w:tc>
          <w:tcPr>
            <w:tcW w:w="3300" w:type="dxa"/>
            <w:tcBorders>
              <w:tl2br w:val="nil"/>
              <w:tr2bl w:val="nil"/>
            </w:tcBorders>
            <w:noWrap w:val="0"/>
            <w:vAlign w:val="center"/>
          </w:tcPr>
          <w:p w14:paraId="0716F57F">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cs="宋体"/>
                <w:b w:val="0"/>
                <w:bCs w:val="0"/>
                <w:sz w:val="24"/>
                <w:szCs w:val="24"/>
                <w:highlight w:val="none"/>
                <w:lang w:val="en-US" w:eastAsia="zh-CN"/>
              </w:rPr>
              <w:t>责令改正，</w:t>
            </w:r>
            <w:r>
              <w:rPr>
                <w:rFonts w:hint="eastAsia" w:ascii="宋体" w:hAnsi="宋体" w:eastAsia="宋体" w:cs="宋体"/>
                <w:b w:val="0"/>
                <w:bCs w:val="0"/>
                <w:sz w:val="24"/>
                <w:szCs w:val="24"/>
                <w:highlight w:val="none"/>
              </w:rPr>
              <w:t>可以处</w:t>
            </w:r>
            <w:r>
              <w:rPr>
                <w:rFonts w:hint="eastAsia" w:ascii="宋体" w:hAnsi="宋体" w:eastAsia="宋体" w:cs="宋体"/>
                <w:b w:val="0"/>
                <w:bCs w:val="0"/>
                <w:sz w:val="24"/>
                <w:szCs w:val="24"/>
                <w:highlight w:val="none"/>
                <w:lang w:val="en-US" w:eastAsia="zh-CN"/>
              </w:rPr>
              <w:t>1.5</w:t>
            </w:r>
            <w:r>
              <w:rPr>
                <w:rFonts w:hint="eastAsia" w:ascii="宋体" w:hAnsi="宋体" w:eastAsia="宋体" w:cs="宋体"/>
                <w:b w:val="0"/>
                <w:bCs w:val="0"/>
                <w:sz w:val="24"/>
                <w:szCs w:val="24"/>
                <w:highlight w:val="none"/>
              </w:rPr>
              <w:t>万元以上</w:t>
            </w:r>
            <w:r>
              <w:rPr>
                <w:rFonts w:hint="eastAsia" w:ascii="宋体" w:hAnsi="宋体" w:eastAsia="宋体" w:cs="宋体"/>
                <w:b w:val="0"/>
                <w:bCs w:val="0"/>
                <w:sz w:val="24"/>
                <w:szCs w:val="24"/>
                <w:highlight w:val="none"/>
                <w:lang w:val="en-US" w:eastAsia="zh-CN"/>
              </w:rPr>
              <w:t>3.5</w:t>
            </w:r>
            <w:r>
              <w:rPr>
                <w:rFonts w:hint="eastAsia" w:ascii="宋体" w:hAnsi="宋体" w:eastAsia="宋体" w:cs="宋体"/>
                <w:b w:val="0"/>
                <w:bCs w:val="0"/>
                <w:sz w:val="24"/>
                <w:szCs w:val="24"/>
                <w:highlight w:val="none"/>
              </w:rPr>
              <w:t>万元以下的罚款。</w:t>
            </w:r>
          </w:p>
        </w:tc>
      </w:tr>
      <w:tr w14:paraId="53EC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43" w:type="dxa"/>
            <w:vMerge w:val="continue"/>
            <w:tcBorders>
              <w:tl2br w:val="nil"/>
              <w:tr2bl w:val="nil"/>
            </w:tcBorders>
            <w:noWrap w:val="0"/>
            <w:vAlign w:val="center"/>
          </w:tcPr>
          <w:p w14:paraId="4A7C5152">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highlight w:val="yellow"/>
              </w:rPr>
            </w:pPr>
          </w:p>
        </w:tc>
        <w:tc>
          <w:tcPr>
            <w:tcW w:w="1512" w:type="dxa"/>
            <w:vMerge w:val="continue"/>
            <w:tcBorders>
              <w:tl2br w:val="nil"/>
              <w:tr2bl w:val="nil"/>
            </w:tcBorders>
            <w:noWrap w:val="0"/>
            <w:vAlign w:val="center"/>
          </w:tcPr>
          <w:p w14:paraId="7EECAC4A">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highlight w:val="yellow"/>
              </w:rPr>
            </w:pPr>
          </w:p>
        </w:tc>
        <w:tc>
          <w:tcPr>
            <w:tcW w:w="4200" w:type="dxa"/>
            <w:vMerge w:val="continue"/>
            <w:tcBorders>
              <w:tl2br w:val="nil"/>
              <w:tr2bl w:val="nil"/>
            </w:tcBorders>
            <w:noWrap w:val="0"/>
            <w:vAlign w:val="center"/>
          </w:tcPr>
          <w:p w14:paraId="43E40658">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yellow"/>
              </w:rPr>
            </w:pPr>
          </w:p>
        </w:tc>
        <w:tc>
          <w:tcPr>
            <w:tcW w:w="1123" w:type="dxa"/>
            <w:tcBorders>
              <w:tl2br w:val="nil"/>
              <w:tr2bl w:val="nil"/>
            </w:tcBorders>
            <w:noWrap w:val="0"/>
            <w:vAlign w:val="center"/>
          </w:tcPr>
          <w:p w14:paraId="0E32DF9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较重</w:t>
            </w:r>
          </w:p>
        </w:tc>
        <w:tc>
          <w:tcPr>
            <w:tcW w:w="3345" w:type="dxa"/>
            <w:tcBorders>
              <w:tl2br w:val="nil"/>
              <w:tr2bl w:val="nil"/>
            </w:tcBorders>
            <w:noWrap w:val="0"/>
            <w:vAlign w:val="center"/>
          </w:tcPr>
          <w:p w14:paraId="6315FAC9">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未按规定</w:t>
            </w:r>
            <w:r>
              <w:rPr>
                <w:rFonts w:hint="eastAsia" w:ascii="宋体" w:hAnsi="宋体" w:eastAsia="宋体" w:cs="宋体"/>
                <w:b w:val="0"/>
                <w:bCs w:val="0"/>
                <w:sz w:val="24"/>
                <w:szCs w:val="24"/>
                <w:highlight w:val="none"/>
                <w:lang w:val="zh-CN"/>
              </w:rPr>
              <w:t>建立、健全广告业务管理制度或者未公布其收费标准和收费办法</w:t>
            </w:r>
            <w:r>
              <w:rPr>
                <w:rFonts w:hint="eastAsia" w:ascii="宋体" w:hAnsi="宋体" w:eastAsia="宋体" w:cs="宋体"/>
                <w:b w:val="0"/>
                <w:bCs w:val="0"/>
                <w:sz w:val="24"/>
                <w:szCs w:val="24"/>
                <w:highlight w:val="none"/>
                <w:lang w:val="en-US" w:eastAsia="zh-CN"/>
              </w:rPr>
              <w:t>持续时间1年以上的；</w:t>
            </w:r>
            <w:r>
              <w:rPr>
                <w:rFonts w:hint="eastAsia" w:ascii="宋体" w:hAnsi="宋体" w:eastAsia="宋体" w:cs="宋体"/>
                <w:b w:val="0"/>
                <w:bCs w:val="0"/>
                <w:sz w:val="24"/>
                <w:szCs w:val="24"/>
                <w:highlight w:val="none"/>
              </w:rPr>
              <w:t>未对广告内容进行核对</w:t>
            </w:r>
            <w:r>
              <w:rPr>
                <w:rFonts w:hint="eastAsia" w:ascii="宋体" w:hAnsi="宋体" w:eastAsia="宋体" w:cs="宋体"/>
                <w:b w:val="0"/>
                <w:bCs w:val="0"/>
                <w:sz w:val="24"/>
                <w:szCs w:val="24"/>
                <w:highlight w:val="none"/>
                <w:lang w:val="en-US" w:eastAsia="zh-CN"/>
              </w:rPr>
              <w:t>10次以上的。</w:t>
            </w:r>
          </w:p>
        </w:tc>
        <w:tc>
          <w:tcPr>
            <w:tcW w:w="3300" w:type="dxa"/>
            <w:tcBorders>
              <w:tl2br w:val="nil"/>
              <w:tr2bl w:val="nil"/>
            </w:tcBorders>
            <w:noWrap w:val="0"/>
            <w:vAlign w:val="center"/>
          </w:tcPr>
          <w:p w14:paraId="1E5D2AD8">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cs="宋体"/>
                <w:b w:val="0"/>
                <w:bCs w:val="0"/>
                <w:sz w:val="24"/>
                <w:szCs w:val="24"/>
                <w:highlight w:val="none"/>
                <w:lang w:val="en-US" w:eastAsia="zh-CN"/>
              </w:rPr>
              <w:t>责令改正，</w:t>
            </w:r>
            <w:r>
              <w:rPr>
                <w:rFonts w:hint="eastAsia" w:ascii="宋体" w:hAnsi="宋体" w:eastAsia="宋体" w:cs="宋体"/>
                <w:b w:val="0"/>
                <w:bCs w:val="0"/>
                <w:sz w:val="24"/>
                <w:szCs w:val="24"/>
                <w:highlight w:val="none"/>
              </w:rPr>
              <w:t>可以处</w:t>
            </w:r>
            <w:r>
              <w:rPr>
                <w:rFonts w:hint="eastAsia" w:ascii="宋体" w:hAnsi="宋体" w:eastAsia="宋体" w:cs="宋体"/>
                <w:b w:val="0"/>
                <w:bCs w:val="0"/>
                <w:sz w:val="24"/>
                <w:szCs w:val="24"/>
                <w:highlight w:val="none"/>
                <w:lang w:val="en-US" w:eastAsia="zh-CN"/>
              </w:rPr>
              <w:t>3.5</w:t>
            </w:r>
            <w:r>
              <w:rPr>
                <w:rFonts w:hint="eastAsia" w:ascii="宋体" w:hAnsi="宋体" w:eastAsia="宋体" w:cs="宋体"/>
                <w:b w:val="0"/>
                <w:bCs w:val="0"/>
                <w:sz w:val="24"/>
                <w:szCs w:val="24"/>
                <w:highlight w:val="none"/>
              </w:rPr>
              <w:t>万元以上5万元以下的罚款。</w:t>
            </w:r>
          </w:p>
        </w:tc>
      </w:tr>
      <w:tr w14:paraId="1E00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jc w:val="center"/>
        </w:trPr>
        <w:tc>
          <w:tcPr>
            <w:tcW w:w="643" w:type="dxa"/>
            <w:vMerge w:val="restart"/>
            <w:tcBorders>
              <w:tl2br w:val="nil"/>
              <w:tr2bl w:val="nil"/>
            </w:tcBorders>
            <w:noWrap w:val="0"/>
            <w:vAlign w:val="center"/>
          </w:tcPr>
          <w:p w14:paraId="6B719844">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44</w:t>
            </w:r>
          </w:p>
        </w:tc>
        <w:tc>
          <w:tcPr>
            <w:tcW w:w="1512" w:type="dxa"/>
            <w:vMerge w:val="restart"/>
            <w:tcBorders>
              <w:tl2br w:val="nil"/>
              <w:tr2bl w:val="nil"/>
            </w:tcBorders>
            <w:noWrap w:val="0"/>
            <w:vAlign w:val="center"/>
          </w:tcPr>
          <w:p w14:paraId="2CC0AF61">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《中华人民共和国广告法》</w:t>
            </w:r>
          </w:p>
        </w:tc>
        <w:tc>
          <w:tcPr>
            <w:tcW w:w="4200" w:type="dxa"/>
            <w:vMerge w:val="restart"/>
            <w:tcBorders>
              <w:tl2br w:val="nil"/>
              <w:tr2bl w:val="nil"/>
            </w:tcBorders>
            <w:noWrap w:val="0"/>
            <w:vAlign w:val="center"/>
          </w:tcPr>
          <w:p w14:paraId="579A3C3A">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第六十一条</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lang w:val="zh-CN"/>
              </w:rPr>
              <w:t>广告代言人有下列情形之一的，由市场监督管理部门没收违法所</w:t>
            </w:r>
            <w:r>
              <w:rPr>
                <w:rFonts w:hint="eastAsia" w:ascii="宋体" w:hAnsi="宋体" w:eastAsia="宋体" w:cs="宋体"/>
                <w:b w:val="0"/>
                <w:bCs w:val="0"/>
                <w:spacing w:val="-6"/>
                <w:sz w:val="24"/>
                <w:szCs w:val="24"/>
                <w:lang w:val="zh-CN"/>
              </w:rPr>
              <w:t>得，并处违法所得一倍以上二倍以下的罚款：</w:t>
            </w:r>
          </w:p>
          <w:p w14:paraId="58D012F0">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（一）违反本法第十六条第一款第四项规定，在医疗、药品、医疗器械广告中作推荐、证明的；</w:t>
            </w:r>
          </w:p>
          <w:p w14:paraId="3CF5D2D7">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（二）违反本法第十八条第一款第五项规定，在保健食品广告中作推荐、证明的；</w:t>
            </w:r>
          </w:p>
          <w:p w14:paraId="34C34FC8">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（三）违反本法第三十八条第一款规定，为其未使用过的商品或者未接受过的服务作推荐、证明的；</w:t>
            </w:r>
          </w:p>
          <w:p w14:paraId="32FA4281">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zh-CN"/>
              </w:rPr>
              <w:t>（四）明知或者应知广告虚假仍在广告中对商品、服务作推荐、证明的。</w:t>
            </w:r>
          </w:p>
        </w:tc>
        <w:tc>
          <w:tcPr>
            <w:tcW w:w="1123" w:type="dxa"/>
            <w:tcBorders>
              <w:tl2br w:val="nil"/>
              <w:tr2bl w:val="nil"/>
            </w:tcBorders>
            <w:noWrap w:val="0"/>
            <w:vAlign w:val="center"/>
          </w:tcPr>
          <w:p w14:paraId="1AAB564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较轻</w:t>
            </w:r>
          </w:p>
        </w:tc>
        <w:tc>
          <w:tcPr>
            <w:tcW w:w="3345" w:type="dxa"/>
            <w:tcBorders>
              <w:tl2br w:val="nil"/>
              <w:tr2bl w:val="nil"/>
            </w:tcBorders>
            <w:noWrap w:val="0"/>
            <w:vAlign w:val="center"/>
          </w:tcPr>
          <w:p w14:paraId="46A196C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影响较小，违法所得在2万元以下的。</w:t>
            </w:r>
          </w:p>
        </w:tc>
        <w:tc>
          <w:tcPr>
            <w:tcW w:w="3300" w:type="dxa"/>
            <w:tcBorders>
              <w:tl2br w:val="nil"/>
              <w:tr2bl w:val="nil"/>
            </w:tcBorders>
            <w:noWrap w:val="0"/>
            <w:vAlign w:val="center"/>
          </w:tcPr>
          <w:p w14:paraId="0220353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没收违法所得，并处违法所得1倍的罚款。</w:t>
            </w:r>
          </w:p>
        </w:tc>
      </w:tr>
      <w:tr w14:paraId="0092F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2" w:hRule="atLeast"/>
          <w:jc w:val="center"/>
        </w:trPr>
        <w:tc>
          <w:tcPr>
            <w:tcW w:w="643" w:type="dxa"/>
            <w:vMerge w:val="continue"/>
            <w:tcBorders>
              <w:tl2br w:val="nil"/>
              <w:tr2bl w:val="nil"/>
            </w:tcBorders>
            <w:noWrap w:val="0"/>
            <w:vAlign w:val="center"/>
          </w:tcPr>
          <w:p w14:paraId="3A4DC82B">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71239E70">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41DF320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1858D6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一般</w:t>
            </w:r>
          </w:p>
        </w:tc>
        <w:tc>
          <w:tcPr>
            <w:tcW w:w="3345" w:type="dxa"/>
            <w:tcBorders>
              <w:tl2br w:val="nil"/>
              <w:tr2bl w:val="nil"/>
            </w:tcBorders>
            <w:noWrap w:val="0"/>
            <w:vAlign w:val="center"/>
          </w:tcPr>
          <w:p w14:paraId="0F60110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影响较大，违法所得2万元以上10万元以下的。</w:t>
            </w:r>
          </w:p>
        </w:tc>
        <w:tc>
          <w:tcPr>
            <w:tcW w:w="3300" w:type="dxa"/>
            <w:tcBorders>
              <w:tl2br w:val="nil"/>
              <w:tr2bl w:val="nil"/>
            </w:tcBorders>
            <w:noWrap w:val="0"/>
            <w:vAlign w:val="center"/>
          </w:tcPr>
          <w:p w14:paraId="5C919C7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没收违法所得，并处违法所得1倍以上1.5倍以下的罚款。</w:t>
            </w:r>
          </w:p>
        </w:tc>
      </w:tr>
      <w:tr w14:paraId="4E393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643" w:type="dxa"/>
            <w:vMerge w:val="continue"/>
            <w:tcBorders>
              <w:tl2br w:val="nil"/>
              <w:tr2bl w:val="nil"/>
            </w:tcBorders>
            <w:noWrap w:val="0"/>
            <w:vAlign w:val="center"/>
          </w:tcPr>
          <w:p w14:paraId="3D0BF0CD">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3E2FF471">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10DB09E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2BD3BE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较重</w:t>
            </w:r>
          </w:p>
        </w:tc>
        <w:tc>
          <w:tcPr>
            <w:tcW w:w="3345" w:type="dxa"/>
            <w:tcBorders>
              <w:tl2br w:val="nil"/>
              <w:tr2bl w:val="nil"/>
            </w:tcBorders>
            <w:noWrap w:val="0"/>
            <w:vAlign w:val="center"/>
          </w:tcPr>
          <w:p w14:paraId="02127F1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有下列情形之一的：</w:t>
            </w:r>
          </w:p>
          <w:p w14:paraId="1B7E609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cs="宋体"/>
                <w:b w:val="0"/>
                <w:bCs w:val="0"/>
                <w:color w:val="auto"/>
                <w:sz w:val="24"/>
                <w:szCs w:val="24"/>
                <w:lang w:val="en-US" w:eastAsia="zh-CN"/>
              </w:rPr>
              <w:t>(1)</w:t>
            </w:r>
            <w:r>
              <w:rPr>
                <w:rFonts w:hint="eastAsia" w:ascii="宋体" w:hAnsi="宋体" w:eastAsia="宋体" w:cs="宋体"/>
                <w:b w:val="0"/>
                <w:bCs w:val="0"/>
                <w:sz w:val="24"/>
                <w:szCs w:val="24"/>
              </w:rPr>
              <w:t>造成重大影响的；</w:t>
            </w:r>
          </w:p>
          <w:p w14:paraId="33C6356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cs="宋体"/>
                <w:b w:val="0"/>
                <w:bCs w:val="0"/>
                <w:color w:val="auto"/>
                <w:sz w:val="24"/>
                <w:szCs w:val="24"/>
                <w:lang w:val="en-US" w:eastAsia="zh-CN"/>
              </w:rPr>
              <w:t>(2)</w:t>
            </w:r>
            <w:r>
              <w:rPr>
                <w:rFonts w:hint="eastAsia" w:ascii="宋体" w:hAnsi="宋体" w:eastAsia="宋体" w:cs="宋体"/>
                <w:b w:val="0"/>
                <w:bCs w:val="0"/>
                <w:sz w:val="24"/>
                <w:szCs w:val="24"/>
              </w:rPr>
              <w:t>违法所得10万元以上的。</w:t>
            </w:r>
          </w:p>
        </w:tc>
        <w:tc>
          <w:tcPr>
            <w:tcW w:w="3300" w:type="dxa"/>
            <w:tcBorders>
              <w:tl2br w:val="nil"/>
              <w:tr2bl w:val="nil"/>
            </w:tcBorders>
            <w:noWrap w:val="0"/>
            <w:vAlign w:val="center"/>
          </w:tcPr>
          <w:p w14:paraId="306F4AC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没收违法所得，并处违法所得1.5倍以上2倍以下的罚款。</w:t>
            </w:r>
          </w:p>
        </w:tc>
      </w:tr>
      <w:tr w14:paraId="341A5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643" w:type="dxa"/>
            <w:vMerge w:val="restart"/>
            <w:tcBorders>
              <w:tl2br w:val="nil"/>
              <w:tr2bl w:val="nil"/>
            </w:tcBorders>
            <w:noWrap w:val="0"/>
            <w:vAlign w:val="center"/>
          </w:tcPr>
          <w:p w14:paraId="72BD0D86">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45</w:t>
            </w:r>
          </w:p>
        </w:tc>
        <w:tc>
          <w:tcPr>
            <w:tcW w:w="1512" w:type="dxa"/>
            <w:vMerge w:val="restart"/>
            <w:tcBorders>
              <w:tl2br w:val="nil"/>
              <w:tr2bl w:val="nil"/>
            </w:tcBorders>
            <w:noWrap w:val="0"/>
            <w:vAlign w:val="center"/>
          </w:tcPr>
          <w:p w14:paraId="2F73DE8D">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《中华人民共和国广告法》</w:t>
            </w:r>
          </w:p>
        </w:tc>
        <w:tc>
          <w:tcPr>
            <w:tcW w:w="4200" w:type="dxa"/>
            <w:vMerge w:val="restart"/>
            <w:tcBorders>
              <w:tl2br w:val="nil"/>
              <w:tr2bl w:val="nil"/>
            </w:tcBorders>
            <w:noWrap w:val="0"/>
            <w:vAlign w:val="center"/>
          </w:tcPr>
          <w:p w14:paraId="68CD23B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第六十二条</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lang w:val="zh-CN"/>
              </w:rPr>
              <w:t>违反本法第四十三条规定发送广告的，由有关部门责令停止违法行为，对广告主处五千元以上三万元以下的罚款。</w:t>
            </w:r>
          </w:p>
          <w:p w14:paraId="3294812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zh-CN"/>
              </w:rPr>
              <w:t xml:space="preserve">违反本法第四十四条第二款规定，利用互联网发布广告，未显著标明关闭标志，确保一键关闭的，由市场监督管理部门责令改正，对广告主处五千元以上三万元以下的罚款。 </w:t>
            </w:r>
          </w:p>
        </w:tc>
        <w:tc>
          <w:tcPr>
            <w:tcW w:w="1123" w:type="dxa"/>
            <w:tcBorders>
              <w:tl2br w:val="nil"/>
              <w:tr2bl w:val="nil"/>
            </w:tcBorders>
            <w:noWrap w:val="0"/>
            <w:vAlign w:val="center"/>
          </w:tcPr>
          <w:p w14:paraId="605317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较轻</w:t>
            </w:r>
          </w:p>
        </w:tc>
        <w:tc>
          <w:tcPr>
            <w:tcW w:w="3345" w:type="dxa"/>
            <w:tcBorders>
              <w:tl2br w:val="nil"/>
              <w:tr2bl w:val="nil"/>
            </w:tcBorders>
            <w:noWrap w:val="0"/>
            <w:vAlign w:val="center"/>
          </w:tcPr>
          <w:p w14:paraId="45AB304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影响较小，广告费用在2万元以下的。</w:t>
            </w:r>
          </w:p>
        </w:tc>
        <w:tc>
          <w:tcPr>
            <w:tcW w:w="3300" w:type="dxa"/>
            <w:tcBorders>
              <w:tl2br w:val="nil"/>
              <w:tr2bl w:val="nil"/>
            </w:tcBorders>
            <w:noWrap w:val="0"/>
            <w:vAlign w:val="center"/>
          </w:tcPr>
          <w:p w14:paraId="30091D7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cs="宋体"/>
                <w:b w:val="0"/>
                <w:bCs w:val="0"/>
                <w:sz w:val="24"/>
                <w:szCs w:val="24"/>
                <w:highlight w:val="none"/>
                <w:lang w:val="en-US" w:eastAsia="zh-CN"/>
              </w:rPr>
              <w:t>责令改正，</w:t>
            </w:r>
            <w:r>
              <w:rPr>
                <w:rFonts w:hint="eastAsia" w:ascii="宋体" w:hAnsi="宋体" w:eastAsia="宋体" w:cs="宋体"/>
                <w:b w:val="0"/>
                <w:bCs w:val="0"/>
                <w:sz w:val="24"/>
                <w:szCs w:val="24"/>
              </w:rPr>
              <w:t>处5千元以上</w:t>
            </w:r>
            <w:r>
              <w:rPr>
                <w:rFonts w:hint="eastAsia" w:ascii="宋体" w:hAnsi="宋体" w:eastAsia="宋体" w:cs="宋体"/>
                <w:b w:val="0"/>
                <w:bCs w:val="0"/>
                <w:sz w:val="24"/>
                <w:szCs w:val="24"/>
                <w:lang w:val="en-US" w:eastAsia="zh-CN"/>
              </w:rPr>
              <w:t>1.25</w:t>
            </w:r>
            <w:r>
              <w:rPr>
                <w:rFonts w:hint="eastAsia" w:ascii="宋体" w:hAnsi="宋体" w:eastAsia="宋体" w:cs="宋体"/>
                <w:b w:val="0"/>
                <w:bCs w:val="0"/>
                <w:sz w:val="24"/>
                <w:szCs w:val="24"/>
              </w:rPr>
              <w:t>万元以下的罚款。</w:t>
            </w:r>
          </w:p>
        </w:tc>
      </w:tr>
      <w:tr w14:paraId="56AB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643" w:type="dxa"/>
            <w:vMerge w:val="continue"/>
            <w:tcBorders>
              <w:tl2br w:val="nil"/>
              <w:tr2bl w:val="nil"/>
            </w:tcBorders>
            <w:noWrap w:val="0"/>
            <w:vAlign w:val="center"/>
          </w:tcPr>
          <w:p w14:paraId="1E7650FA">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391175A5">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474AE59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27C917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一般</w:t>
            </w:r>
          </w:p>
        </w:tc>
        <w:tc>
          <w:tcPr>
            <w:tcW w:w="3345" w:type="dxa"/>
            <w:tcBorders>
              <w:tl2br w:val="nil"/>
              <w:tr2bl w:val="nil"/>
            </w:tcBorders>
            <w:noWrap w:val="0"/>
            <w:vAlign w:val="center"/>
          </w:tcPr>
          <w:p w14:paraId="4692451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影响小，广告费用2万元以上10万元以下的。</w:t>
            </w:r>
          </w:p>
        </w:tc>
        <w:tc>
          <w:tcPr>
            <w:tcW w:w="3300" w:type="dxa"/>
            <w:tcBorders>
              <w:tl2br w:val="nil"/>
              <w:tr2bl w:val="nil"/>
            </w:tcBorders>
            <w:noWrap w:val="0"/>
            <w:vAlign w:val="center"/>
          </w:tcPr>
          <w:p w14:paraId="51EB5C1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cs="宋体"/>
                <w:b w:val="0"/>
                <w:bCs w:val="0"/>
                <w:sz w:val="24"/>
                <w:szCs w:val="24"/>
                <w:highlight w:val="none"/>
                <w:lang w:val="en-US" w:eastAsia="zh-CN"/>
              </w:rPr>
              <w:t>责令改正，</w:t>
            </w:r>
            <w:r>
              <w:rPr>
                <w:rFonts w:hint="eastAsia" w:ascii="宋体" w:hAnsi="宋体" w:eastAsia="宋体" w:cs="宋体"/>
                <w:b w:val="0"/>
                <w:bCs w:val="0"/>
                <w:sz w:val="24"/>
                <w:szCs w:val="24"/>
              </w:rPr>
              <w:t>处1</w:t>
            </w:r>
            <w:r>
              <w:rPr>
                <w:rFonts w:hint="eastAsia" w:ascii="宋体" w:hAnsi="宋体" w:eastAsia="宋体" w:cs="宋体"/>
                <w:b w:val="0"/>
                <w:bCs w:val="0"/>
                <w:sz w:val="24"/>
                <w:szCs w:val="24"/>
                <w:lang w:val="en-US" w:eastAsia="zh-CN"/>
              </w:rPr>
              <w:t>.25</w:t>
            </w:r>
            <w:r>
              <w:rPr>
                <w:rFonts w:hint="eastAsia" w:ascii="宋体" w:hAnsi="宋体" w:eastAsia="宋体" w:cs="宋体"/>
                <w:b w:val="0"/>
                <w:bCs w:val="0"/>
                <w:sz w:val="24"/>
                <w:szCs w:val="24"/>
              </w:rPr>
              <w:t>万元以上2</w:t>
            </w:r>
            <w:r>
              <w:rPr>
                <w:rFonts w:hint="eastAsia" w:ascii="宋体" w:hAnsi="宋体" w:eastAsia="宋体" w:cs="宋体"/>
                <w:b w:val="0"/>
                <w:bCs w:val="0"/>
                <w:sz w:val="24"/>
                <w:szCs w:val="24"/>
                <w:lang w:val="en-US" w:eastAsia="zh-CN"/>
              </w:rPr>
              <w:t>.25</w:t>
            </w:r>
            <w:r>
              <w:rPr>
                <w:rFonts w:hint="eastAsia" w:ascii="宋体" w:hAnsi="宋体" w:eastAsia="宋体" w:cs="宋体"/>
                <w:b w:val="0"/>
                <w:bCs w:val="0"/>
                <w:sz w:val="24"/>
                <w:szCs w:val="24"/>
              </w:rPr>
              <w:t>万元以下的罚款。</w:t>
            </w:r>
          </w:p>
        </w:tc>
      </w:tr>
      <w:tr w14:paraId="57EF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643" w:type="dxa"/>
            <w:vMerge w:val="continue"/>
            <w:tcBorders>
              <w:tl2br w:val="nil"/>
              <w:tr2bl w:val="nil"/>
            </w:tcBorders>
            <w:noWrap w:val="0"/>
            <w:vAlign w:val="center"/>
          </w:tcPr>
          <w:p w14:paraId="4395F4A4">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0CE45EE6">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1D628FE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5040AFE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较重</w:t>
            </w:r>
          </w:p>
        </w:tc>
        <w:tc>
          <w:tcPr>
            <w:tcW w:w="3345" w:type="dxa"/>
            <w:tcBorders>
              <w:tl2br w:val="nil"/>
              <w:tr2bl w:val="nil"/>
            </w:tcBorders>
            <w:noWrap w:val="0"/>
            <w:vAlign w:val="center"/>
          </w:tcPr>
          <w:p w14:paraId="40EB381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有下列情形之一的：</w:t>
            </w:r>
          </w:p>
          <w:p w14:paraId="4BC1DCC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cs="宋体"/>
                <w:b w:val="0"/>
                <w:bCs w:val="0"/>
                <w:color w:val="auto"/>
                <w:sz w:val="24"/>
                <w:szCs w:val="24"/>
                <w:lang w:val="en-US" w:eastAsia="zh-CN"/>
              </w:rPr>
              <w:t>(1)</w:t>
            </w:r>
            <w:r>
              <w:rPr>
                <w:rFonts w:hint="eastAsia" w:ascii="宋体" w:hAnsi="宋体" w:eastAsia="宋体" w:cs="宋体"/>
                <w:b w:val="0"/>
                <w:bCs w:val="0"/>
                <w:sz w:val="24"/>
                <w:szCs w:val="24"/>
              </w:rPr>
              <w:t>造成重大影响的；</w:t>
            </w:r>
          </w:p>
          <w:p w14:paraId="283B158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cs="宋体"/>
                <w:b w:val="0"/>
                <w:bCs w:val="0"/>
                <w:color w:val="auto"/>
                <w:sz w:val="24"/>
                <w:szCs w:val="24"/>
                <w:lang w:val="en-US" w:eastAsia="zh-CN"/>
              </w:rPr>
              <w:t>(2)</w:t>
            </w:r>
            <w:r>
              <w:rPr>
                <w:rFonts w:hint="eastAsia" w:ascii="宋体" w:hAnsi="宋体" w:eastAsia="宋体" w:cs="宋体"/>
                <w:b w:val="0"/>
                <w:bCs w:val="0"/>
                <w:sz w:val="24"/>
                <w:szCs w:val="24"/>
              </w:rPr>
              <w:t>广告费用10万元以上的。</w:t>
            </w:r>
          </w:p>
        </w:tc>
        <w:tc>
          <w:tcPr>
            <w:tcW w:w="3300" w:type="dxa"/>
            <w:tcBorders>
              <w:tl2br w:val="nil"/>
              <w:tr2bl w:val="nil"/>
            </w:tcBorders>
            <w:noWrap w:val="0"/>
            <w:vAlign w:val="center"/>
          </w:tcPr>
          <w:p w14:paraId="6D7B154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cs="宋体"/>
                <w:b w:val="0"/>
                <w:bCs w:val="0"/>
                <w:sz w:val="24"/>
                <w:szCs w:val="24"/>
                <w:highlight w:val="none"/>
                <w:lang w:val="en-US" w:eastAsia="zh-CN"/>
              </w:rPr>
              <w:t>责令改正，</w:t>
            </w:r>
            <w:r>
              <w:rPr>
                <w:rFonts w:hint="eastAsia" w:ascii="宋体" w:hAnsi="宋体" w:eastAsia="宋体" w:cs="宋体"/>
                <w:b w:val="0"/>
                <w:bCs w:val="0"/>
                <w:sz w:val="24"/>
                <w:szCs w:val="24"/>
              </w:rPr>
              <w:t>处2</w:t>
            </w:r>
            <w:r>
              <w:rPr>
                <w:rFonts w:hint="eastAsia" w:ascii="宋体" w:hAnsi="宋体" w:eastAsia="宋体" w:cs="宋体"/>
                <w:b w:val="0"/>
                <w:bCs w:val="0"/>
                <w:sz w:val="24"/>
                <w:szCs w:val="24"/>
                <w:lang w:val="en-US" w:eastAsia="zh-CN"/>
              </w:rPr>
              <w:t>.25</w:t>
            </w:r>
            <w:r>
              <w:rPr>
                <w:rFonts w:hint="eastAsia" w:ascii="宋体" w:hAnsi="宋体" w:eastAsia="宋体" w:cs="宋体"/>
                <w:b w:val="0"/>
                <w:bCs w:val="0"/>
                <w:sz w:val="24"/>
                <w:szCs w:val="24"/>
              </w:rPr>
              <w:t>万元以上3万元以下的罚款。</w:t>
            </w:r>
          </w:p>
        </w:tc>
      </w:tr>
      <w:tr w14:paraId="48EC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643" w:type="dxa"/>
            <w:vMerge w:val="restart"/>
            <w:tcBorders>
              <w:tl2br w:val="nil"/>
              <w:tr2bl w:val="nil"/>
            </w:tcBorders>
            <w:noWrap w:val="0"/>
            <w:vAlign w:val="center"/>
          </w:tcPr>
          <w:p w14:paraId="2B0846C4">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 w:eastAsia="zh-CN"/>
              </w:rPr>
            </w:pPr>
            <w:r>
              <w:rPr>
                <w:rFonts w:hint="eastAsia" w:ascii="宋体" w:hAnsi="宋体" w:eastAsia="宋体" w:cs="宋体"/>
                <w:b w:val="0"/>
                <w:bCs w:val="0"/>
                <w:sz w:val="24"/>
                <w:szCs w:val="24"/>
                <w:lang w:val="en"/>
              </w:rPr>
              <w:t>4</w:t>
            </w:r>
            <w:r>
              <w:rPr>
                <w:rFonts w:hint="eastAsia" w:ascii="宋体" w:hAnsi="宋体" w:eastAsia="宋体" w:cs="宋体"/>
                <w:b w:val="0"/>
                <w:bCs w:val="0"/>
                <w:sz w:val="24"/>
                <w:szCs w:val="24"/>
                <w:lang w:val="en-US" w:eastAsia="zh-CN"/>
              </w:rPr>
              <w:t>6</w:t>
            </w:r>
          </w:p>
        </w:tc>
        <w:tc>
          <w:tcPr>
            <w:tcW w:w="1512" w:type="dxa"/>
            <w:vMerge w:val="restart"/>
            <w:tcBorders>
              <w:tl2br w:val="nil"/>
              <w:tr2bl w:val="nil"/>
            </w:tcBorders>
            <w:noWrap w:val="0"/>
            <w:vAlign w:val="center"/>
          </w:tcPr>
          <w:p w14:paraId="4FB95C73">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《中华人民共和国广告法》</w:t>
            </w:r>
          </w:p>
        </w:tc>
        <w:tc>
          <w:tcPr>
            <w:tcW w:w="4200" w:type="dxa"/>
            <w:vMerge w:val="restart"/>
            <w:tcBorders>
              <w:tl2br w:val="nil"/>
              <w:tr2bl w:val="nil"/>
            </w:tcBorders>
            <w:noWrap w:val="0"/>
            <w:vAlign w:val="center"/>
          </w:tcPr>
          <w:p w14:paraId="6754B99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zh-CN"/>
              </w:rPr>
              <w:t>第六十三条</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lang w:val="zh-CN"/>
              </w:rPr>
              <w:t>违反本法第四十五条规定，公共场所的管理者和电信业务经营者、互联网信息服务提供者，明知或者应知广告活动违法不予制止的，由市场监督管理部门没收违法所得，违法所得五万元以上的，并处违法所得一倍以上三倍以下的罚款，违法所得不足五万元的，并处一万元以上五万元以下的罚款；情节严重的，由有关部门依法停止相关业务。</w:t>
            </w:r>
          </w:p>
        </w:tc>
        <w:tc>
          <w:tcPr>
            <w:tcW w:w="1123" w:type="dxa"/>
            <w:tcBorders>
              <w:tl2br w:val="nil"/>
              <w:tr2bl w:val="nil"/>
            </w:tcBorders>
            <w:noWrap w:val="0"/>
            <w:vAlign w:val="center"/>
          </w:tcPr>
          <w:p w14:paraId="6A127E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较轻</w:t>
            </w:r>
          </w:p>
        </w:tc>
        <w:tc>
          <w:tcPr>
            <w:tcW w:w="3345" w:type="dxa"/>
            <w:tcBorders>
              <w:tl2br w:val="nil"/>
              <w:tr2bl w:val="nil"/>
            </w:tcBorders>
            <w:noWrap w:val="0"/>
            <w:vAlign w:val="center"/>
          </w:tcPr>
          <w:p w14:paraId="3A923E9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影响较小，违法所得1万元以下的。</w:t>
            </w:r>
          </w:p>
        </w:tc>
        <w:tc>
          <w:tcPr>
            <w:tcW w:w="3300" w:type="dxa"/>
            <w:tcBorders>
              <w:tl2br w:val="nil"/>
              <w:tr2bl w:val="nil"/>
            </w:tcBorders>
            <w:noWrap w:val="0"/>
            <w:vAlign w:val="center"/>
          </w:tcPr>
          <w:p w14:paraId="5318479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pacing w:val="-6"/>
                <w:sz w:val="24"/>
                <w:szCs w:val="24"/>
              </w:rPr>
            </w:pPr>
            <w:r>
              <w:rPr>
                <w:rFonts w:hint="eastAsia" w:ascii="宋体" w:hAnsi="宋体" w:eastAsia="宋体" w:cs="宋体"/>
                <w:b w:val="0"/>
                <w:bCs w:val="0"/>
                <w:spacing w:val="-6"/>
                <w:sz w:val="24"/>
                <w:szCs w:val="24"/>
              </w:rPr>
              <w:t>没收违法所得，并处1万元以上2万元以下的罚款。</w:t>
            </w:r>
          </w:p>
        </w:tc>
      </w:tr>
      <w:tr w14:paraId="763D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exact"/>
          <w:jc w:val="center"/>
        </w:trPr>
        <w:tc>
          <w:tcPr>
            <w:tcW w:w="643" w:type="dxa"/>
            <w:vMerge w:val="continue"/>
            <w:tcBorders>
              <w:tl2br w:val="nil"/>
              <w:tr2bl w:val="nil"/>
            </w:tcBorders>
            <w:noWrap w:val="0"/>
            <w:vAlign w:val="center"/>
          </w:tcPr>
          <w:p w14:paraId="26E6274C">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50F5220F">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4713C58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798D76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一般</w:t>
            </w:r>
          </w:p>
        </w:tc>
        <w:tc>
          <w:tcPr>
            <w:tcW w:w="3345" w:type="dxa"/>
            <w:tcBorders>
              <w:tl2br w:val="nil"/>
              <w:tr2bl w:val="nil"/>
            </w:tcBorders>
            <w:noWrap w:val="0"/>
            <w:vAlign w:val="center"/>
          </w:tcPr>
          <w:p w14:paraId="2839C7D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影响小，违法所得1万元以上5万元以下的。</w:t>
            </w:r>
          </w:p>
        </w:tc>
        <w:tc>
          <w:tcPr>
            <w:tcW w:w="3300" w:type="dxa"/>
            <w:tcBorders>
              <w:tl2br w:val="nil"/>
              <w:tr2bl w:val="nil"/>
            </w:tcBorders>
            <w:noWrap w:val="0"/>
            <w:vAlign w:val="center"/>
          </w:tcPr>
          <w:p w14:paraId="24272DC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pacing w:val="-6"/>
                <w:sz w:val="24"/>
                <w:szCs w:val="24"/>
              </w:rPr>
            </w:pPr>
            <w:r>
              <w:rPr>
                <w:rFonts w:hint="eastAsia" w:ascii="宋体" w:hAnsi="宋体" w:eastAsia="宋体" w:cs="宋体"/>
                <w:b w:val="0"/>
                <w:bCs w:val="0"/>
                <w:spacing w:val="-6"/>
                <w:sz w:val="24"/>
                <w:szCs w:val="24"/>
              </w:rPr>
              <w:t>没收违法所得，并处2万元以上5万元以下的罚款。</w:t>
            </w:r>
          </w:p>
        </w:tc>
      </w:tr>
      <w:tr w14:paraId="76C3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643" w:type="dxa"/>
            <w:vMerge w:val="continue"/>
            <w:tcBorders>
              <w:tl2br w:val="nil"/>
              <w:tr2bl w:val="nil"/>
            </w:tcBorders>
            <w:noWrap w:val="0"/>
            <w:vAlign w:val="center"/>
          </w:tcPr>
          <w:p w14:paraId="7C0F0B18">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05203791">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25BEB17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0B2FA0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较重</w:t>
            </w:r>
          </w:p>
        </w:tc>
        <w:tc>
          <w:tcPr>
            <w:tcW w:w="3345" w:type="dxa"/>
            <w:tcBorders>
              <w:tl2br w:val="nil"/>
              <w:tr2bl w:val="nil"/>
            </w:tcBorders>
            <w:noWrap w:val="0"/>
            <w:vAlign w:val="center"/>
          </w:tcPr>
          <w:p w14:paraId="25A065B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影响较大，违法所得5万元以上的。</w:t>
            </w:r>
          </w:p>
        </w:tc>
        <w:tc>
          <w:tcPr>
            <w:tcW w:w="3300" w:type="dxa"/>
            <w:tcBorders>
              <w:tl2br w:val="nil"/>
              <w:tr2bl w:val="nil"/>
            </w:tcBorders>
            <w:noWrap w:val="0"/>
            <w:vAlign w:val="center"/>
          </w:tcPr>
          <w:p w14:paraId="1AE9BD0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没收违法所得，并处违法所得1倍以上3倍以下的罚款。</w:t>
            </w:r>
          </w:p>
        </w:tc>
      </w:tr>
      <w:tr w14:paraId="069B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643" w:type="dxa"/>
            <w:vMerge w:val="continue"/>
            <w:tcBorders>
              <w:tl2br w:val="nil"/>
              <w:tr2bl w:val="nil"/>
            </w:tcBorders>
            <w:noWrap w:val="0"/>
            <w:vAlign w:val="center"/>
          </w:tcPr>
          <w:p w14:paraId="2999312C">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0755D00D">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3617F6C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70E5498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严重</w:t>
            </w:r>
          </w:p>
        </w:tc>
        <w:tc>
          <w:tcPr>
            <w:tcW w:w="3345" w:type="dxa"/>
            <w:tcBorders>
              <w:tl2br w:val="nil"/>
              <w:tr2bl w:val="nil"/>
            </w:tcBorders>
            <w:noWrap w:val="0"/>
            <w:vAlign w:val="center"/>
          </w:tcPr>
          <w:p w14:paraId="399489B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影响大，情节严重的。</w:t>
            </w:r>
          </w:p>
        </w:tc>
        <w:tc>
          <w:tcPr>
            <w:tcW w:w="3300" w:type="dxa"/>
            <w:tcBorders>
              <w:tl2br w:val="nil"/>
              <w:tr2bl w:val="nil"/>
            </w:tcBorders>
            <w:noWrap w:val="0"/>
            <w:vAlign w:val="center"/>
          </w:tcPr>
          <w:p w14:paraId="48A62F8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由有关部门依法停止相关业务。</w:t>
            </w:r>
          </w:p>
        </w:tc>
      </w:tr>
      <w:tr w14:paraId="79F8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643" w:type="dxa"/>
            <w:vMerge w:val="restart"/>
            <w:tcBorders>
              <w:tl2br w:val="nil"/>
              <w:tr2bl w:val="nil"/>
            </w:tcBorders>
            <w:noWrap w:val="0"/>
            <w:vAlign w:val="center"/>
          </w:tcPr>
          <w:p w14:paraId="799E519D">
            <w:pPr>
              <w:keepNext w:val="0"/>
              <w:keepLines w:val="0"/>
              <w:pageBreakBefore w:val="0"/>
              <w:numPr>
                <w:ilvl w:val="0"/>
                <w:numId w:val="0"/>
              </w:numPr>
              <w:kinsoku/>
              <w:wordWrap/>
              <w:overflowPunct/>
              <w:topLinePunct w:val="0"/>
              <w:autoSpaceDE/>
              <w:autoSpaceDN/>
              <w:bidi w:val="0"/>
              <w:adjustRightInd/>
              <w:snapToGrid/>
              <w:spacing w:line="400" w:lineRule="exact"/>
              <w:ind w:leftChars="0"/>
              <w:jc w:val="center"/>
              <w:textAlignment w:val="auto"/>
              <w:rPr>
                <w:rFonts w:hint="eastAsia" w:ascii="宋体" w:hAnsi="宋体" w:eastAsia="宋体" w:cs="宋体"/>
                <w:b w:val="0"/>
                <w:bCs w:val="0"/>
                <w:sz w:val="24"/>
                <w:szCs w:val="24"/>
                <w:lang w:val="en" w:eastAsia="zh-CN"/>
              </w:rPr>
            </w:pPr>
            <w:r>
              <w:rPr>
                <w:rFonts w:hint="eastAsia" w:ascii="宋体" w:hAnsi="宋体" w:eastAsia="宋体" w:cs="宋体"/>
                <w:b w:val="0"/>
                <w:bCs w:val="0"/>
                <w:sz w:val="24"/>
                <w:szCs w:val="24"/>
                <w:lang w:val="en"/>
              </w:rPr>
              <w:t>4</w:t>
            </w:r>
            <w:r>
              <w:rPr>
                <w:rFonts w:hint="eastAsia" w:ascii="宋体" w:hAnsi="宋体" w:eastAsia="宋体" w:cs="宋体"/>
                <w:b w:val="0"/>
                <w:bCs w:val="0"/>
                <w:sz w:val="24"/>
                <w:szCs w:val="24"/>
                <w:lang w:val="en-US" w:eastAsia="zh-CN"/>
              </w:rPr>
              <w:t>7</w:t>
            </w:r>
          </w:p>
        </w:tc>
        <w:tc>
          <w:tcPr>
            <w:tcW w:w="1512" w:type="dxa"/>
            <w:vMerge w:val="restart"/>
            <w:tcBorders>
              <w:tl2br w:val="nil"/>
              <w:tr2bl w:val="nil"/>
            </w:tcBorders>
            <w:noWrap w:val="0"/>
            <w:vAlign w:val="center"/>
          </w:tcPr>
          <w:p w14:paraId="4A494FBD">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《中华人民共和国广告法》</w:t>
            </w:r>
          </w:p>
        </w:tc>
        <w:tc>
          <w:tcPr>
            <w:tcW w:w="4200" w:type="dxa"/>
            <w:vMerge w:val="restart"/>
            <w:tcBorders>
              <w:tl2br w:val="nil"/>
              <w:tr2bl w:val="nil"/>
            </w:tcBorders>
            <w:noWrap w:val="0"/>
            <w:vAlign w:val="center"/>
          </w:tcPr>
          <w:p w14:paraId="0D15F058">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zh-CN"/>
              </w:rPr>
              <w:t>第六十五条</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lang w:val="zh-CN"/>
              </w:rPr>
              <w:t>违反本法规定，伪造、变造或者转让广告审查批准文件的，由市场监督管理部门没收违法所得，并处一万元以上十万元以下的罚款。</w:t>
            </w:r>
          </w:p>
        </w:tc>
        <w:tc>
          <w:tcPr>
            <w:tcW w:w="1123" w:type="dxa"/>
            <w:tcBorders>
              <w:tl2br w:val="nil"/>
              <w:tr2bl w:val="nil"/>
            </w:tcBorders>
            <w:noWrap w:val="0"/>
            <w:vAlign w:val="center"/>
          </w:tcPr>
          <w:p w14:paraId="3F15A70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较轻</w:t>
            </w:r>
          </w:p>
        </w:tc>
        <w:tc>
          <w:tcPr>
            <w:tcW w:w="3345" w:type="dxa"/>
            <w:tcBorders>
              <w:tl2br w:val="nil"/>
              <w:tr2bl w:val="nil"/>
            </w:tcBorders>
            <w:noWrap w:val="0"/>
            <w:vAlign w:val="center"/>
          </w:tcPr>
          <w:p w14:paraId="63E9644B">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rPr>
              <w:t>影响较小，违法所得</w:t>
            </w:r>
            <w:r>
              <w:rPr>
                <w:rFonts w:hint="eastAsia" w:ascii="宋体" w:hAnsi="宋体" w:eastAsia="宋体" w:cs="宋体"/>
                <w:b w:val="0"/>
                <w:bCs w:val="0"/>
                <w:sz w:val="24"/>
                <w:szCs w:val="24"/>
                <w:lang w:val="en-US" w:eastAsia="zh-CN"/>
              </w:rPr>
              <w:t>2</w:t>
            </w:r>
            <w:r>
              <w:rPr>
                <w:rFonts w:hint="eastAsia" w:ascii="宋体" w:hAnsi="宋体" w:eastAsia="宋体" w:cs="宋体"/>
                <w:b w:val="0"/>
                <w:bCs w:val="0"/>
                <w:sz w:val="24"/>
                <w:szCs w:val="24"/>
              </w:rPr>
              <w:t>万元以下的。</w:t>
            </w:r>
          </w:p>
        </w:tc>
        <w:tc>
          <w:tcPr>
            <w:tcW w:w="3300" w:type="dxa"/>
            <w:tcBorders>
              <w:tl2br w:val="nil"/>
              <w:tr2bl w:val="nil"/>
            </w:tcBorders>
            <w:noWrap w:val="0"/>
            <w:vAlign w:val="center"/>
          </w:tcPr>
          <w:p w14:paraId="5ABE5CF8">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rPr>
              <w:t>没收违法所得，并处1万元以上</w:t>
            </w:r>
            <w:r>
              <w:rPr>
                <w:rFonts w:hint="eastAsia" w:ascii="宋体" w:hAnsi="宋体" w:eastAsia="宋体" w:cs="宋体"/>
                <w:b w:val="0"/>
                <w:bCs w:val="0"/>
                <w:sz w:val="24"/>
                <w:szCs w:val="24"/>
                <w:lang w:val="en-US" w:eastAsia="zh-CN"/>
              </w:rPr>
              <w:t>3.7</w:t>
            </w:r>
            <w:r>
              <w:rPr>
                <w:rFonts w:hint="eastAsia" w:ascii="宋体" w:hAnsi="宋体" w:eastAsia="宋体" w:cs="宋体"/>
                <w:b w:val="0"/>
                <w:bCs w:val="0"/>
                <w:sz w:val="24"/>
                <w:szCs w:val="24"/>
              </w:rPr>
              <w:t>万元以下的罚款。</w:t>
            </w:r>
          </w:p>
        </w:tc>
      </w:tr>
      <w:tr w14:paraId="29C9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643" w:type="dxa"/>
            <w:vMerge w:val="continue"/>
            <w:tcBorders>
              <w:tl2br w:val="nil"/>
              <w:tr2bl w:val="nil"/>
            </w:tcBorders>
            <w:noWrap w:val="0"/>
            <w:vAlign w:val="center"/>
          </w:tcPr>
          <w:p w14:paraId="7D6454C1">
            <w:pPr>
              <w:keepNext w:val="0"/>
              <w:keepLines w:val="0"/>
              <w:pageBreakBefore w:val="0"/>
              <w:kinsoku/>
              <w:wordWrap/>
              <w:overflowPunct/>
              <w:topLinePunct w:val="0"/>
              <w:autoSpaceDE/>
              <w:autoSpaceDN/>
              <w:bidi w:val="0"/>
              <w:adjustRightInd/>
              <w:snapToGrid/>
              <w:spacing w:line="40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48EE3F6F">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2A49FB1F">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20FA192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一般</w:t>
            </w:r>
          </w:p>
        </w:tc>
        <w:tc>
          <w:tcPr>
            <w:tcW w:w="3345" w:type="dxa"/>
            <w:tcBorders>
              <w:tl2br w:val="nil"/>
              <w:tr2bl w:val="nil"/>
            </w:tcBorders>
            <w:noWrap w:val="0"/>
            <w:vAlign w:val="center"/>
          </w:tcPr>
          <w:p w14:paraId="3DD372D8">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rPr>
              <w:t>影响小，违法所得</w:t>
            </w:r>
            <w:r>
              <w:rPr>
                <w:rFonts w:hint="eastAsia" w:ascii="宋体" w:hAnsi="宋体" w:eastAsia="宋体" w:cs="宋体"/>
                <w:b w:val="0"/>
                <w:bCs w:val="0"/>
                <w:sz w:val="24"/>
                <w:szCs w:val="24"/>
                <w:lang w:val="en-US" w:eastAsia="zh-CN"/>
              </w:rPr>
              <w:t>2</w:t>
            </w:r>
            <w:r>
              <w:rPr>
                <w:rFonts w:hint="eastAsia" w:ascii="宋体" w:hAnsi="宋体" w:eastAsia="宋体" w:cs="宋体"/>
                <w:b w:val="0"/>
                <w:bCs w:val="0"/>
                <w:sz w:val="24"/>
                <w:szCs w:val="24"/>
              </w:rPr>
              <w:t>万元以上5万元以下的。</w:t>
            </w:r>
          </w:p>
        </w:tc>
        <w:tc>
          <w:tcPr>
            <w:tcW w:w="3300" w:type="dxa"/>
            <w:tcBorders>
              <w:tl2br w:val="nil"/>
              <w:tr2bl w:val="nil"/>
            </w:tcBorders>
            <w:noWrap w:val="0"/>
            <w:vAlign w:val="center"/>
          </w:tcPr>
          <w:p w14:paraId="58755CCA">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rPr>
              <w:t>没收违法所得，并处</w:t>
            </w:r>
            <w:r>
              <w:rPr>
                <w:rFonts w:hint="eastAsia" w:ascii="宋体" w:hAnsi="宋体" w:eastAsia="宋体" w:cs="宋体"/>
                <w:b w:val="0"/>
                <w:bCs w:val="0"/>
                <w:sz w:val="24"/>
                <w:szCs w:val="24"/>
                <w:lang w:val="en-US" w:eastAsia="zh-CN"/>
              </w:rPr>
              <w:t>3.7</w:t>
            </w:r>
            <w:r>
              <w:rPr>
                <w:rFonts w:hint="eastAsia" w:ascii="宋体" w:hAnsi="宋体" w:eastAsia="宋体" w:cs="宋体"/>
                <w:b w:val="0"/>
                <w:bCs w:val="0"/>
                <w:sz w:val="24"/>
                <w:szCs w:val="24"/>
              </w:rPr>
              <w:t>万元以上</w:t>
            </w:r>
            <w:r>
              <w:rPr>
                <w:rFonts w:hint="eastAsia" w:ascii="宋体" w:hAnsi="宋体" w:eastAsia="宋体" w:cs="宋体"/>
                <w:b w:val="0"/>
                <w:bCs w:val="0"/>
                <w:sz w:val="24"/>
                <w:szCs w:val="24"/>
                <w:lang w:val="en-US" w:eastAsia="zh-CN"/>
              </w:rPr>
              <w:t>7.3</w:t>
            </w:r>
            <w:r>
              <w:rPr>
                <w:rFonts w:hint="eastAsia" w:ascii="宋体" w:hAnsi="宋体" w:eastAsia="宋体" w:cs="宋体"/>
                <w:b w:val="0"/>
                <w:bCs w:val="0"/>
                <w:sz w:val="24"/>
                <w:szCs w:val="24"/>
              </w:rPr>
              <w:t>万元以下的罚款。</w:t>
            </w:r>
          </w:p>
        </w:tc>
      </w:tr>
      <w:tr w14:paraId="26E5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43" w:type="dxa"/>
            <w:vMerge w:val="continue"/>
            <w:tcBorders>
              <w:tl2br w:val="nil"/>
              <w:tr2bl w:val="nil"/>
            </w:tcBorders>
            <w:noWrap w:val="0"/>
            <w:vAlign w:val="center"/>
          </w:tcPr>
          <w:p w14:paraId="41E2E52D">
            <w:pPr>
              <w:keepNext w:val="0"/>
              <w:keepLines w:val="0"/>
              <w:pageBreakBefore w:val="0"/>
              <w:kinsoku/>
              <w:wordWrap/>
              <w:overflowPunct/>
              <w:topLinePunct w:val="0"/>
              <w:autoSpaceDE/>
              <w:autoSpaceDN/>
              <w:bidi w:val="0"/>
              <w:adjustRightInd/>
              <w:snapToGrid/>
              <w:spacing w:line="40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156A5D36">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0D2F6406">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752AF4C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严重</w:t>
            </w:r>
          </w:p>
        </w:tc>
        <w:tc>
          <w:tcPr>
            <w:tcW w:w="3345" w:type="dxa"/>
            <w:tcBorders>
              <w:tl2br w:val="nil"/>
              <w:tr2bl w:val="nil"/>
            </w:tcBorders>
            <w:noWrap w:val="0"/>
            <w:vAlign w:val="center"/>
          </w:tcPr>
          <w:p w14:paraId="751265AF">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有下列情形之一的：</w:t>
            </w:r>
          </w:p>
          <w:p w14:paraId="39CD865C">
            <w:pPr>
              <w:keepNext w:val="0"/>
              <w:keepLines w:val="0"/>
              <w:pageBreakBefore w:val="0"/>
              <w:numPr>
                <w:ilvl w:val="-1"/>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eastAsia="zh-CN"/>
              </w:rPr>
            </w:pP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eastAsia="zh-CN"/>
              </w:rPr>
              <w:t>造成重大</w:t>
            </w:r>
            <w:r>
              <w:rPr>
                <w:rFonts w:hint="eastAsia" w:ascii="宋体" w:hAnsi="宋体" w:eastAsia="宋体" w:cs="宋体"/>
                <w:b w:val="0"/>
                <w:bCs w:val="0"/>
                <w:sz w:val="24"/>
                <w:szCs w:val="24"/>
              </w:rPr>
              <w:t>影响</w:t>
            </w:r>
            <w:r>
              <w:rPr>
                <w:rFonts w:hint="eastAsia" w:ascii="宋体" w:hAnsi="宋体" w:eastAsia="宋体" w:cs="宋体"/>
                <w:b w:val="0"/>
                <w:bCs w:val="0"/>
                <w:sz w:val="24"/>
                <w:szCs w:val="24"/>
                <w:lang w:eastAsia="zh-CN"/>
              </w:rPr>
              <w:t>的；</w:t>
            </w:r>
          </w:p>
          <w:p w14:paraId="01732109">
            <w:pPr>
              <w:keepNext w:val="0"/>
              <w:keepLines w:val="0"/>
              <w:pageBreakBefore w:val="0"/>
              <w:numPr>
                <w:ilvl w:val="-1"/>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2"/>
                <w:sz w:val="24"/>
                <w:szCs w:val="24"/>
                <w:lang w:val="en-US" w:eastAsia="zh-CN" w:bidi="ar-SA"/>
              </w:rPr>
            </w:pPr>
            <w:r>
              <w:rPr>
                <w:rFonts w:hint="eastAsia" w:ascii="宋体" w:hAnsi="宋体" w:cs="宋体"/>
                <w:b w:val="0"/>
                <w:bCs w:val="0"/>
                <w:sz w:val="24"/>
                <w:szCs w:val="24"/>
                <w:lang w:eastAsia="zh-CN"/>
              </w:rPr>
              <w:t>(2)</w:t>
            </w:r>
            <w:r>
              <w:rPr>
                <w:rFonts w:hint="eastAsia" w:ascii="宋体" w:hAnsi="宋体" w:eastAsia="宋体" w:cs="宋体"/>
                <w:b w:val="0"/>
                <w:bCs w:val="0"/>
                <w:sz w:val="24"/>
                <w:szCs w:val="24"/>
              </w:rPr>
              <w:t>违法所得5万元以上的。</w:t>
            </w:r>
          </w:p>
        </w:tc>
        <w:tc>
          <w:tcPr>
            <w:tcW w:w="3300" w:type="dxa"/>
            <w:tcBorders>
              <w:tl2br w:val="nil"/>
              <w:tr2bl w:val="nil"/>
            </w:tcBorders>
            <w:noWrap w:val="0"/>
            <w:vAlign w:val="center"/>
          </w:tcPr>
          <w:p w14:paraId="2E61AC68">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rPr>
              <w:t>没收违法所得，并处违法所得</w:t>
            </w:r>
            <w:r>
              <w:rPr>
                <w:rFonts w:hint="eastAsia" w:ascii="宋体" w:hAnsi="宋体" w:eastAsia="宋体" w:cs="宋体"/>
                <w:b w:val="0"/>
                <w:bCs w:val="0"/>
                <w:sz w:val="24"/>
                <w:szCs w:val="24"/>
                <w:lang w:val="en-US" w:eastAsia="zh-CN"/>
              </w:rPr>
              <w:t>7.3</w:t>
            </w:r>
            <w:r>
              <w:rPr>
                <w:rFonts w:hint="eastAsia" w:ascii="宋体" w:hAnsi="宋体" w:eastAsia="宋体" w:cs="宋体"/>
                <w:b w:val="0"/>
                <w:bCs w:val="0"/>
                <w:sz w:val="24"/>
                <w:szCs w:val="24"/>
              </w:rPr>
              <w:t>万元以上</w:t>
            </w:r>
            <w:r>
              <w:rPr>
                <w:rFonts w:hint="eastAsia" w:ascii="宋体" w:hAnsi="宋体" w:eastAsia="宋体" w:cs="宋体"/>
                <w:b w:val="0"/>
                <w:bCs w:val="0"/>
                <w:sz w:val="24"/>
                <w:szCs w:val="24"/>
                <w:lang w:val="en-US" w:eastAsia="zh-CN"/>
              </w:rPr>
              <w:t>10</w:t>
            </w:r>
            <w:r>
              <w:rPr>
                <w:rFonts w:hint="eastAsia" w:ascii="宋体" w:hAnsi="宋体" w:eastAsia="宋体" w:cs="宋体"/>
                <w:b w:val="0"/>
                <w:bCs w:val="0"/>
                <w:sz w:val="24"/>
                <w:szCs w:val="24"/>
              </w:rPr>
              <w:t>万元</w:t>
            </w:r>
            <w:r>
              <w:rPr>
                <w:rFonts w:hint="eastAsia" w:ascii="宋体" w:hAnsi="宋体" w:eastAsia="宋体" w:cs="宋体"/>
                <w:b w:val="0"/>
                <w:bCs w:val="0"/>
                <w:sz w:val="24"/>
                <w:szCs w:val="24"/>
                <w:lang w:eastAsia="zh-CN"/>
              </w:rPr>
              <w:t>以下</w:t>
            </w:r>
            <w:r>
              <w:rPr>
                <w:rFonts w:hint="eastAsia" w:ascii="宋体" w:hAnsi="宋体" w:eastAsia="宋体" w:cs="宋体"/>
                <w:b w:val="0"/>
                <w:bCs w:val="0"/>
                <w:sz w:val="24"/>
                <w:szCs w:val="24"/>
              </w:rPr>
              <w:t>罚款。</w:t>
            </w:r>
          </w:p>
        </w:tc>
      </w:tr>
      <w:tr w14:paraId="2132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643" w:type="dxa"/>
            <w:vMerge w:val="restart"/>
            <w:tcBorders>
              <w:tl2br w:val="nil"/>
              <w:tr2bl w:val="nil"/>
            </w:tcBorders>
            <w:noWrap w:val="0"/>
            <w:vAlign w:val="center"/>
          </w:tcPr>
          <w:p w14:paraId="63CBD0F4">
            <w:pPr>
              <w:keepNext w:val="0"/>
              <w:keepLines w:val="0"/>
              <w:pageBreakBefore w:val="0"/>
              <w:numPr>
                <w:ilvl w:val="0"/>
                <w:numId w:val="0"/>
              </w:numPr>
              <w:kinsoku/>
              <w:wordWrap/>
              <w:overflowPunct/>
              <w:topLinePunct w:val="0"/>
              <w:autoSpaceDE/>
              <w:autoSpaceDN/>
              <w:bidi w:val="0"/>
              <w:adjustRightInd/>
              <w:snapToGrid/>
              <w:spacing w:line="400" w:lineRule="exact"/>
              <w:ind w:leftChars="0"/>
              <w:jc w:val="center"/>
              <w:textAlignment w:val="auto"/>
              <w:rPr>
                <w:rFonts w:hint="eastAsia" w:ascii="宋体" w:hAnsi="宋体" w:eastAsia="宋体" w:cs="宋体"/>
                <w:b w:val="0"/>
                <w:bCs w:val="0"/>
                <w:sz w:val="24"/>
                <w:szCs w:val="24"/>
                <w:lang w:val="en" w:eastAsia="zh-CN"/>
              </w:rPr>
            </w:pPr>
            <w:r>
              <w:rPr>
                <w:rFonts w:hint="eastAsia" w:ascii="宋体" w:hAnsi="宋体" w:eastAsia="宋体" w:cs="宋体"/>
                <w:b w:val="0"/>
                <w:bCs w:val="0"/>
                <w:sz w:val="24"/>
                <w:szCs w:val="24"/>
                <w:lang w:val="en"/>
              </w:rPr>
              <w:t>4</w:t>
            </w:r>
            <w:r>
              <w:rPr>
                <w:rFonts w:hint="eastAsia" w:ascii="宋体" w:hAnsi="宋体" w:eastAsia="宋体" w:cs="宋体"/>
                <w:b w:val="0"/>
                <w:bCs w:val="0"/>
                <w:sz w:val="24"/>
                <w:szCs w:val="24"/>
                <w:lang w:val="en-US" w:eastAsia="zh-CN"/>
              </w:rPr>
              <w:t>8</w:t>
            </w:r>
          </w:p>
        </w:tc>
        <w:tc>
          <w:tcPr>
            <w:tcW w:w="1512" w:type="dxa"/>
            <w:vMerge w:val="restart"/>
            <w:tcBorders>
              <w:tl2br w:val="nil"/>
              <w:tr2bl w:val="nil"/>
            </w:tcBorders>
            <w:noWrap w:val="0"/>
            <w:vAlign w:val="center"/>
          </w:tcPr>
          <w:p w14:paraId="55EB453C">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auto"/>
              <w:outlineLvl w:val="2"/>
              <w:rPr>
                <w:rFonts w:hint="eastAsia" w:ascii="宋体" w:hAnsi="宋体" w:eastAsia="宋体" w:cs="宋体"/>
                <w:b w:val="0"/>
                <w:bCs w:val="0"/>
                <w:sz w:val="24"/>
                <w:szCs w:val="24"/>
              </w:rPr>
            </w:pPr>
            <w:bookmarkStart w:id="64" w:name="_Toc17774"/>
            <w:bookmarkStart w:id="65" w:name="_Toc21319"/>
            <w:bookmarkStart w:id="66" w:name="_Toc19858"/>
            <w:bookmarkStart w:id="67" w:name="_Toc31181"/>
            <w:bookmarkStart w:id="68" w:name="_Toc1160"/>
            <w:r>
              <w:rPr>
                <w:rFonts w:hint="eastAsia" w:ascii="宋体" w:hAnsi="宋体" w:eastAsia="宋体" w:cs="宋体"/>
                <w:b w:val="0"/>
                <w:bCs w:val="0"/>
                <w:sz w:val="24"/>
                <w:szCs w:val="24"/>
              </w:rPr>
              <w:t>《医疗广告管理办法》</w:t>
            </w:r>
            <w:bookmarkEnd w:id="64"/>
            <w:r>
              <w:rPr>
                <w:rFonts w:hint="eastAsia" w:ascii="宋体" w:hAnsi="宋体" w:eastAsia="宋体" w:cs="宋体"/>
                <w:b w:val="0"/>
                <w:bCs w:val="0"/>
                <w:sz w:val="24"/>
                <w:szCs w:val="24"/>
                <w:lang w:val="en-US" w:eastAsia="zh-CN"/>
              </w:rPr>
              <w:t>（200</w:t>
            </w:r>
            <w:r>
              <w:rPr>
                <w:rFonts w:hint="eastAsia" w:ascii="宋体" w:hAnsi="宋体" w:cs="宋体"/>
                <w:b w:val="0"/>
                <w:bCs w:val="0"/>
                <w:sz w:val="24"/>
                <w:szCs w:val="24"/>
                <w:lang w:val="en-US" w:eastAsia="zh-CN"/>
              </w:rPr>
              <w:t>7</w:t>
            </w:r>
            <w:r>
              <w:rPr>
                <w:rFonts w:hint="eastAsia" w:ascii="宋体" w:hAnsi="宋体" w:eastAsia="宋体" w:cs="宋体"/>
                <w:b w:val="0"/>
                <w:bCs w:val="0"/>
                <w:sz w:val="24"/>
                <w:szCs w:val="24"/>
                <w:lang w:val="en-US" w:eastAsia="zh-CN"/>
              </w:rPr>
              <w:t>年1月1日</w:t>
            </w:r>
            <w:r>
              <w:rPr>
                <w:rFonts w:hint="eastAsia" w:ascii="宋体" w:hAnsi="宋体" w:cs="宋体"/>
                <w:b w:val="0"/>
                <w:bCs w:val="0"/>
                <w:sz w:val="24"/>
                <w:szCs w:val="24"/>
                <w:lang w:val="en-US" w:eastAsia="zh-CN"/>
              </w:rPr>
              <w:t>起施行</w:t>
            </w:r>
            <w:r>
              <w:rPr>
                <w:rFonts w:hint="eastAsia" w:ascii="宋体" w:hAnsi="宋体" w:eastAsia="宋体" w:cs="宋体"/>
                <w:b w:val="0"/>
                <w:bCs w:val="0"/>
                <w:sz w:val="24"/>
                <w:szCs w:val="24"/>
                <w:lang w:val="en-US" w:eastAsia="zh-CN"/>
              </w:rPr>
              <w:t>）</w:t>
            </w:r>
            <w:bookmarkEnd w:id="65"/>
            <w:bookmarkEnd w:id="66"/>
            <w:bookmarkEnd w:id="67"/>
            <w:bookmarkEnd w:id="68"/>
          </w:p>
        </w:tc>
        <w:tc>
          <w:tcPr>
            <w:tcW w:w="4200" w:type="dxa"/>
            <w:vMerge w:val="restart"/>
            <w:tcBorders>
              <w:tl2br w:val="nil"/>
              <w:tr2bl w:val="nil"/>
            </w:tcBorders>
            <w:noWrap w:val="0"/>
            <w:vAlign w:val="center"/>
          </w:tcPr>
          <w:p w14:paraId="6E00604A">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第二十二条</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法律法规没有规定的，工商行政管理机关应当对负有责任的广告主、广告经营者、广告发布者给予警告或者处以一万元以上三万元以下的罚款；医疗广告内容涉嫌虚假的，工商行政管理机关可根据需要会同卫生行政部门、中医药管理部门作出认定。</w:t>
            </w:r>
          </w:p>
        </w:tc>
        <w:tc>
          <w:tcPr>
            <w:tcW w:w="1123" w:type="dxa"/>
            <w:tcBorders>
              <w:tl2br w:val="nil"/>
              <w:tr2bl w:val="nil"/>
            </w:tcBorders>
            <w:noWrap w:val="0"/>
            <w:vAlign w:val="center"/>
          </w:tcPr>
          <w:p w14:paraId="279D0EA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较轻</w:t>
            </w:r>
          </w:p>
        </w:tc>
        <w:tc>
          <w:tcPr>
            <w:tcW w:w="3345" w:type="dxa"/>
            <w:tcBorders>
              <w:tl2br w:val="nil"/>
              <w:tr2bl w:val="nil"/>
            </w:tcBorders>
            <w:noWrap w:val="0"/>
            <w:vAlign w:val="center"/>
          </w:tcPr>
          <w:p w14:paraId="7B7C6B72">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广告费用1000元以下，情节轻微，危害性较小，没有造成危害后果的。</w:t>
            </w:r>
          </w:p>
        </w:tc>
        <w:tc>
          <w:tcPr>
            <w:tcW w:w="3300" w:type="dxa"/>
            <w:tcBorders>
              <w:tl2br w:val="nil"/>
              <w:tr2bl w:val="nil"/>
            </w:tcBorders>
            <w:noWrap w:val="0"/>
            <w:vAlign w:val="center"/>
          </w:tcPr>
          <w:p w14:paraId="28E00CEA">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警告。</w:t>
            </w:r>
          </w:p>
        </w:tc>
      </w:tr>
      <w:tr w14:paraId="5472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jc w:val="center"/>
        </w:trPr>
        <w:tc>
          <w:tcPr>
            <w:tcW w:w="643" w:type="dxa"/>
            <w:vMerge w:val="continue"/>
            <w:tcBorders>
              <w:tl2br w:val="nil"/>
              <w:tr2bl w:val="nil"/>
            </w:tcBorders>
            <w:noWrap w:val="0"/>
            <w:vAlign w:val="center"/>
          </w:tcPr>
          <w:p w14:paraId="52E9CF82">
            <w:pPr>
              <w:keepNext w:val="0"/>
              <w:keepLines w:val="0"/>
              <w:pageBreakBefore w:val="0"/>
              <w:kinsoku/>
              <w:wordWrap/>
              <w:overflowPunct/>
              <w:topLinePunct w:val="0"/>
              <w:autoSpaceDE/>
              <w:autoSpaceDN/>
              <w:bidi w:val="0"/>
              <w:adjustRightInd/>
              <w:snapToGrid/>
              <w:spacing w:line="40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5B88BE69">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6ED4D060">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5EAEE71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一般</w:t>
            </w:r>
          </w:p>
        </w:tc>
        <w:tc>
          <w:tcPr>
            <w:tcW w:w="3345" w:type="dxa"/>
            <w:tcBorders>
              <w:tl2br w:val="nil"/>
              <w:tr2bl w:val="nil"/>
            </w:tcBorders>
            <w:noWrap w:val="0"/>
            <w:vAlign w:val="center"/>
          </w:tcPr>
          <w:p w14:paraId="74CC074D">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广告费用1000元以上1万元以下的，或广告发布时间少于1个月的。</w:t>
            </w:r>
          </w:p>
        </w:tc>
        <w:tc>
          <w:tcPr>
            <w:tcW w:w="3300" w:type="dxa"/>
            <w:tcBorders>
              <w:tl2br w:val="nil"/>
              <w:tr2bl w:val="nil"/>
            </w:tcBorders>
            <w:noWrap w:val="0"/>
            <w:vAlign w:val="center"/>
          </w:tcPr>
          <w:p w14:paraId="204737E8">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处以1万元罚款。</w:t>
            </w:r>
          </w:p>
        </w:tc>
      </w:tr>
      <w:tr w14:paraId="0CF9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643" w:type="dxa"/>
            <w:vMerge w:val="continue"/>
            <w:tcBorders>
              <w:tl2br w:val="nil"/>
              <w:tr2bl w:val="nil"/>
            </w:tcBorders>
            <w:noWrap w:val="0"/>
            <w:vAlign w:val="center"/>
          </w:tcPr>
          <w:p w14:paraId="3EDED567">
            <w:pPr>
              <w:keepNext w:val="0"/>
              <w:keepLines w:val="0"/>
              <w:pageBreakBefore w:val="0"/>
              <w:kinsoku/>
              <w:wordWrap/>
              <w:overflowPunct/>
              <w:topLinePunct w:val="0"/>
              <w:autoSpaceDE/>
              <w:autoSpaceDN/>
              <w:bidi w:val="0"/>
              <w:adjustRightInd/>
              <w:snapToGrid/>
              <w:spacing w:line="40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0D7353CB">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2629FA5B">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608B992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较重</w:t>
            </w:r>
          </w:p>
        </w:tc>
        <w:tc>
          <w:tcPr>
            <w:tcW w:w="3345" w:type="dxa"/>
            <w:tcBorders>
              <w:tl2br w:val="nil"/>
              <w:tr2bl w:val="nil"/>
            </w:tcBorders>
            <w:noWrap w:val="0"/>
            <w:vAlign w:val="center"/>
          </w:tcPr>
          <w:p w14:paraId="73F885D3">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广告费用1万元以上2万元以下的，或广告发布时间在1个月以上6个月以下的。</w:t>
            </w:r>
          </w:p>
        </w:tc>
        <w:tc>
          <w:tcPr>
            <w:tcW w:w="3300" w:type="dxa"/>
            <w:tcBorders>
              <w:tl2br w:val="nil"/>
              <w:tr2bl w:val="nil"/>
            </w:tcBorders>
            <w:noWrap w:val="0"/>
            <w:vAlign w:val="center"/>
          </w:tcPr>
          <w:p w14:paraId="756A1645">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处以1万元以上2万元以下罚款。</w:t>
            </w:r>
          </w:p>
        </w:tc>
      </w:tr>
      <w:tr w14:paraId="248D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643" w:type="dxa"/>
            <w:vMerge w:val="continue"/>
            <w:tcBorders>
              <w:tl2br w:val="nil"/>
              <w:tr2bl w:val="nil"/>
            </w:tcBorders>
            <w:noWrap w:val="0"/>
            <w:vAlign w:val="center"/>
          </w:tcPr>
          <w:p w14:paraId="6CE95EE1">
            <w:pPr>
              <w:keepNext w:val="0"/>
              <w:keepLines w:val="0"/>
              <w:pageBreakBefore w:val="0"/>
              <w:kinsoku/>
              <w:wordWrap/>
              <w:overflowPunct/>
              <w:topLinePunct w:val="0"/>
              <w:autoSpaceDE/>
              <w:autoSpaceDN/>
              <w:bidi w:val="0"/>
              <w:adjustRightInd/>
              <w:snapToGrid/>
              <w:spacing w:line="40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455B88C4">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77B02DF8">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1E53B92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严重</w:t>
            </w:r>
          </w:p>
        </w:tc>
        <w:tc>
          <w:tcPr>
            <w:tcW w:w="3345" w:type="dxa"/>
            <w:tcBorders>
              <w:tl2br w:val="nil"/>
              <w:tr2bl w:val="nil"/>
            </w:tcBorders>
            <w:noWrap w:val="0"/>
            <w:vAlign w:val="center"/>
          </w:tcPr>
          <w:p w14:paraId="68F2F5D7">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广告费用2万元以上的，或广告发布时间在6个月以上。</w:t>
            </w:r>
          </w:p>
        </w:tc>
        <w:tc>
          <w:tcPr>
            <w:tcW w:w="3300" w:type="dxa"/>
            <w:tcBorders>
              <w:tl2br w:val="nil"/>
              <w:tr2bl w:val="nil"/>
            </w:tcBorders>
            <w:noWrap w:val="0"/>
            <w:vAlign w:val="center"/>
          </w:tcPr>
          <w:p w14:paraId="5C2FBD52">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处以2万元以上3万元以下罚款。</w:t>
            </w:r>
          </w:p>
        </w:tc>
      </w:tr>
      <w:tr w14:paraId="66E48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8" w:hRule="atLeast"/>
          <w:jc w:val="center"/>
        </w:trPr>
        <w:tc>
          <w:tcPr>
            <w:tcW w:w="643" w:type="dxa"/>
            <w:vMerge w:val="restart"/>
            <w:tcBorders>
              <w:tl2br w:val="nil"/>
              <w:tr2bl w:val="nil"/>
            </w:tcBorders>
            <w:noWrap w:val="0"/>
            <w:vAlign w:val="center"/>
          </w:tcPr>
          <w:p w14:paraId="721E8D2B">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 w:eastAsia="zh-CN"/>
              </w:rPr>
            </w:pPr>
            <w:r>
              <w:rPr>
                <w:rFonts w:hint="eastAsia" w:ascii="宋体" w:hAnsi="宋体" w:eastAsia="宋体" w:cs="宋体"/>
                <w:b w:val="0"/>
                <w:bCs w:val="0"/>
                <w:sz w:val="24"/>
                <w:szCs w:val="24"/>
                <w:lang w:val="en" w:eastAsia="zh-CN"/>
              </w:rPr>
              <w:t>4</w:t>
            </w:r>
            <w:r>
              <w:rPr>
                <w:rFonts w:hint="eastAsia" w:ascii="宋体" w:hAnsi="宋体" w:eastAsia="宋体" w:cs="宋体"/>
                <w:b w:val="0"/>
                <w:bCs w:val="0"/>
                <w:sz w:val="24"/>
                <w:szCs w:val="24"/>
                <w:lang w:val="en-US" w:eastAsia="zh-CN"/>
              </w:rPr>
              <w:t>9</w:t>
            </w:r>
          </w:p>
        </w:tc>
        <w:tc>
          <w:tcPr>
            <w:tcW w:w="1512" w:type="dxa"/>
            <w:vMerge w:val="restart"/>
            <w:tcBorders>
              <w:tl2br w:val="nil"/>
              <w:tr2bl w:val="nil"/>
            </w:tcBorders>
            <w:noWrap w:val="0"/>
            <w:vAlign w:val="center"/>
          </w:tcPr>
          <w:p w14:paraId="1C59551A">
            <w:pPr>
              <w:keepNext w:val="0"/>
              <w:keepLines w:val="0"/>
              <w:pageBreakBefore w:val="0"/>
              <w:widowControl/>
              <w:suppressLineNumbers w:val="0"/>
              <w:kinsoku/>
              <w:wordWrap/>
              <w:overflowPunct/>
              <w:topLinePunct w:val="0"/>
              <w:autoSpaceDE/>
              <w:autoSpaceDN/>
              <w:bidi w:val="0"/>
              <w:adjustRightInd/>
              <w:snapToGrid/>
              <w:spacing w:line="420" w:lineRule="exact"/>
              <w:ind w:left="42" w:leftChars="20"/>
              <w:jc w:val="both"/>
              <w:textAlignment w:val="auto"/>
              <w:outlineLvl w:val="2"/>
              <w:rPr>
                <w:rFonts w:hint="eastAsia" w:ascii="宋体" w:hAnsi="宋体" w:eastAsia="宋体" w:cs="宋体"/>
                <w:b w:val="0"/>
                <w:bCs w:val="0"/>
                <w:sz w:val="24"/>
                <w:szCs w:val="24"/>
              </w:rPr>
            </w:pPr>
            <w:bookmarkStart w:id="69" w:name="_Toc25891"/>
            <w:bookmarkStart w:id="70" w:name="_Toc22376"/>
            <w:bookmarkStart w:id="71" w:name="_Toc11885"/>
            <w:bookmarkStart w:id="72" w:name="_Toc10593"/>
            <w:bookmarkStart w:id="73" w:name="_Toc13557"/>
            <w:r>
              <w:rPr>
                <w:rFonts w:hint="eastAsia" w:ascii="宋体" w:hAnsi="宋体" w:eastAsia="宋体" w:cs="宋体"/>
                <w:b w:val="0"/>
                <w:bCs w:val="0"/>
                <w:sz w:val="24"/>
                <w:szCs w:val="24"/>
              </w:rPr>
              <w:t>《互联网广告管理办法》</w:t>
            </w:r>
            <w:r>
              <w:rPr>
                <w:rFonts w:hint="eastAsia" w:ascii="宋体" w:hAnsi="宋体" w:eastAsia="宋体" w:cs="宋体"/>
                <w:b w:val="0"/>
                <w:bCs w:val="0"/>
                <w:i w:val="0"/>
                <w:caps w:val="0"/>
                <w:color w:val="000000"/>
                <w:spacing w:val="0"/>
                <w:kern w:val="0"/>
                <w:sz w:val="24"/>
                <w:szCs w:val="24"/>
                <w:shd w:val="clear" w:color="auto" w:fill="auto"/>
                <w:lang w:val="en-US" w:eastAsia="zh-CN" w:bidi="ar"/>
              </w:rPr>
              <w:t>（2023年</w:t>
            </w:r>
            <w:r>
              <w:rPr>
                <w:rFonts w:hint="eastAsia" w:ascii="宋体" w:hAnsi="宋体" w:cs="宋体"/>
                <w:b w:val="0"/>
                <w:bCs w:val="0"/>
                <w:i w:val="0"/>
                <w:caps w:val="0"/>
                <w:color w:val="000000"/>
                <w:spacing w:val="0"/>
                <w:kern w:val="0"/>
                <w:sz w:val="24"/>
                <w:szCs w:val="24"/>
                <w:shd w:val="clear" w:color="auto" w:fill="auto"/>
                <w:lang w:val="en-US" w:eastAsia="zh-CN" w:bidi="ar"/>
              </w:rPr>
              <w:t>5</w:t>
            </w:r>
            <w:r>
              <w:rPr>
                <w:rFonts w:hint="eastAsia" w:ascii="宋体" w:hAnsi="宋体" w:eastAsia="宋体" w:cs="宋体"/>
                <w:b w:val="0"/>
                <w:bCs w:val="0"/>
                <w:i w:val="0"/>
                <w:caps w:val="0"/>
                <w:color w:val="000000"/>
                <w:spacing w:val="0"/>
                <w:kern w:val="0"/>
                <w:sz w:val="24"/>
                <w:szCs w:val="24"/>
                <w:shd w:val="clear" w:color="auto" w:fill="auto"/>
                <w:lang w:val="en-US" w:eastAsia="zh-CN" w:bidi="ar"/>
              </w:rPr>
              <w:t>月</w:t>
            </w:r>
            <w:r>
              <w:rPr>
                <w:rFonts w:hint="eastAsia" w:ascii="宋体" w:hAnsi="宋体" w:cs="宋体"/>
                <w:b w:val="0"/>
                <w:bCs w:val="0"/>
                <w:i w:val="0"/>
                <w:caps w:val="0"/>
                <w:color w:val="000000"/>
                <w:spacing w:val="0"/>
                <w:kern w:val="0"/>
                <w:sz w:val="24"/>
                <w:szCs w:val="24"/>
                <w:shd w:val="clear" w:color="auto" w:fill="auto"/>
                <w:lang w:val="en-US" w:eastAsia="zh-CN" w:bidi="ar"/>
              </w:rPr>
              <w:t>1</w:t>
            </w:r>
            <w:r>
              <w:rPr>
                <w:rFonts w:hint="eastAsia" w:ascii="宋体" w:hAnsi="宋体" w:eastAsia="宋体" w:cs="宋体"/>
                <w:b w:val="0"/>
                <w:bCs w:val="0"/>
                <w:i w:val="0"/>
                <w:caps w:val="0"/>
                <w:color w:val="000000"/>
                <w:spacing w:val="0"/>
                <w:kern w:val="0"/>
                <w:sz w:val="24"/>
                <w:szCs w:val="24"/>
                <w:shd w:val="clear" w:color="auto" w:fill="auto"/>
                <w:lang w:val="en-US" w:eastAsia="zh-CN" w:bidi="ar"/>
              </w:rPr>
              <w:t>日</w:t>
            </w:r>
            <w:r>
              <w:rPr>
                <w:rFonts w:hint="eastAsia" w:ascii="宋体" w:hAnsi="宋体" w:cs="宋体"/>
                <w:b w:val="0"/>
                <w:bCs w:val="0"/>
                <w:i w:val="0"/>
                <w:caps w:val="0"/>
                <w:color w:val="000000"/>
                <w:spacing w:val="0"/>
                <w:kern w:val="0"/>
                <w:sz w:val="24"/>
                <w:szCs w:val="24"/>
                <w:shd w:val="clear" w:color="auto" w:fill="auto"/>
                <w:lang w:val="en-US" w:eastAsia="zh-CN" w:bidi="ar"/>
              </w:rPr>
              <w:t>起施行</w:t>
            </w:r>
            <w:r>
              <w:rPr>
                <w:rFonts w:hint="eastAsia" w:ascii="宋体" w:hAnsi="宋体" w:eastAsia="宋体" w:cs="宋体"/>
                <w:b w:val="0"/>
                <w:bCs w:val="0"/>
                <w:i w:val="0"/>
                <w:caps w:val="0"/>
                <w:color w:val="000000"/>
                <w:spacing w:val="0"/>
                <w:kern w:val="0"/>
                <w:sz w:val="24"/>
                <w:szCs w:val="24"/>
                <w:shd w:val="clear" w:color="auto" w:fill="auto"/>
                <w:lang w:val="en-US" w:eastAsia="zh-CN" w:bidi="ar"/>
              </w:rPr>
              <w:t>）</w:t>
            </w:r>
            <w:bookmarkEnd w:id="69"/>
            <w:bookmarkEnd w:id="70"/>
            <w:bookmarkEnd w:id="71"/>
            <w:bookmarkEnd w:id="72"/>
            <w:bookmarkEnd w:id="73"/>
          </w:p>
          <w:p w14:paraId="74D47C29">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lang w:val="en-US" w:eastAsia="zh-CN"/>
              </w:rPr>
            </w:pPr>
          </w:p>
        </w:tc>
        <w:tc>
          <w:tcPr>
            <w:tcW w:w="4200" w:type="dxa"/>
            <w:vMerge w:val="restart"/>
            <w:tcBorders>
              <w:tl2br w:val="nil"/>
              <w:tr2bl w:val="nil"/>
            </w:tcBorders>
            <w:noWrap w:val="0"/>
            <w:vAlign w:val="center"/>
          </w:tcPr>
          <w:p w14:paraId="7A7C5EB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《互联网广告管理办法》第二十三条</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违反本办法第六条、第十二条规定的，依照广告法</w:t>
            </w:r>
            <w:r>
              <w:rPr>
                <w:rFonts w:hint="eastAsia" w:ascii="宋体" w:hAnsi="宋体" w:eastAsia="宋体" w:cs="宋体"/>
                <w:b w:val="0"/>
                <w:bCs w:val="0"/>
                <w:sz w:val="24"/>
                <w:szCs w:val="24"/>
                <w:lang w:eastAsia="zh-CN"/>
              </w:rPr>
              <w:t>规定予以处罚。</w:t>
            </w:r>
          </w:p>
          <w:p w14:paraId="0F3ABBD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《广告法》</w:t>
            </w:r>
            <w:r>
              <w:rPr>
                <w:rFonts w:hint="eastAsia" w:ascii="宋体" w:hAnsi="宋体" w:eastAsia="宋体" w:cs="宋体"/>
                <w:b w:val="0"/>
                <w:bCs w:val="0"/>
                <w:sz w:val="24"/>
                <w:szCs w:val="24"/>
                <w:lang w:val="en-US" w:eastAsia="zh-CN"/>
              </w:rPr>
              <w:t>第五十七条</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lang w:val="en-US" w:eastAsia="zh-CN"/>
              </w:rPr>
              <w:t>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w:t>
            </w:r>
          </w:p>
          <w:p w14:paraId="599017D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（一）发布有本法第九条、第十条规定的禁止情形的广告的；</w:t>
            </w:r>
          </w:p>
          <w:p w14:paraId="5D330BF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（二）违反本法第十五条规定发布处方药广告、药品类易制毒化学品广告、戒毒治疗的医疗器械和治疗方法广告的；</w:t>
            </w:r>
          </w:p>
          <w:p w14:paraId="6F86F07C">
            <w:pPr>
              <w:keepNext w:val="0"/>
              <w:keepLines w:val="0"/>
              <w:pageBreakBefore w:val="0"/>
              <w:kinsoku/>
              <w:wordWrap/>
              <w:overflowPunct/>
              <w:topLinePunct w:val="0"/>
              <w:autoSpaceDE/>
              <w:autoSpaceDN/>
              <w:bidi w:val="0"/>
              <w:adjustRightInd/>
              <w:snapToGrid/>
              <w:spacing w:line="384"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（三）违反本法第二十条规定，发布声称全部或者部分替代母乳的婴儿乳制品、饮料和其他食品广告的；</w:t>
            </w:r>
          </w:p>
        </w:tc>
        <w:tc>
          <w:tcPr>
            <w:tcW w:w="1123" w:type="dxa"/>
            <w:tcBorders>
              <w:tl2br w:val="nil"/>
              <w:tr2bl w:val="nil"/>
            </w:tcBorders>
            <w:noWrap w:val="0"/>
            <w:vAlign w:val="center"/>
          </w:tcPr>
          <w:p w14:paraId="491B55A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较轻</w:t>
            </w:r>
          </w:p>
        </w:tc>
        <w:tc>
          <w:tcPr>
            <w:tcW w:w="3345" w:type="dxa"/>
            <w:tcBorders>
              <w:tl2br w:val="nil"/>
              <w:tr2bl w:val="nil"/>
            </w:tcBorders>
            <w:noWrap w:val="0"/>
            <w:vAlign w:val="center"/>
          </w:tcPr>
          <w:p w14:paraId="4F5FE2F2">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影响较小，广告费用在2万元以下的。</w:t>
            </w:r>
          </w:p>
        </w:tc>
        <w:tc>
          <w:tcPr>
            <w:tcW w:w="3300" w:type="dxa"/>
            <w:tcBorders>
              <w:tl2br w:val="nil"/>
              <w:tr2bl w:val="nil"/>
            </w:tcBorders>
            <w:noWrap w:val="0"/>
            <w:vAlign w:val="center"/>
          </w:tcPr>
          <w:p w14:paraId="083D120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对广告主责令停止发布广告，处20万元罚款，由广告审查机关撤销广告审查批准文件。对广告经营者、发布者没收广告费用，处20万元罚款。</w:t>
            </w:r>
          </w:p>
        </w:tc>
      </w:tr>
      <w:tr w14:paraId="4F2A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643" w:type="dxa"/>
            <w:vMerge w:val="continue"/>
            <w:tcBorders>
              <w:tl2br w:val="nil"/>
              <w:tr2bl w:val="nil"/>
            </w:tcBorders>
            <w:noWrap w:val="0"/>
            <w:vAlign w:val="center"/>
          </w:tcPr>
          <w:p w14:paraId="49A53FF4">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7BE5B910">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7D61EFA8">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695E75E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一般</w:t>
            </w:r>
          </w:p>
        </w:tc>
        <w:tc>
          <w:tcPr>
            <w:tcW w:w="3345" w:type="dxa"/>
            <w:tcBorders>
              <w:tl2br w:val="nil"/>
              <w:tr2bl w:val="nil"/>
            </w:tcBorders>
            <w:noWrap w:val="0"/>
            <w:vAlign w:val="center"/>
          </w:tcPr>
          <w:p w14:paraId="0341C640">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影响小，广告费用在2万元以上5万元以下的。</w:t>
            </w:r>
          </w:p>
        </w:tc>
        <w:tc>
          <w:tcPr>
            <w:tcW w:w="3300" w:type="dxa"/>
            <w:tcBorders>
              <w:tl2br w:val="nil"/>
              <w:tr2bl w:val="nil"/>
            </w:tcBorders>
            <w:noWrap w:val="0"/>
            <w:vAlign w:val="center"/>
          </w:tcPr>
          <w:p w14:paraId="31BF745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对广告主责令停止发布广告，处20万元以上50万元以下的罚款，由广告审查机关撤销广告审查批准文件。对广告经营者、发布者没收广告费用，处</w:t>
            </w:r>
            <w:r>
              <w:rPr>
                <w:rFonts w:hint="eastAsia" w:ascii="宋体" w:hAnsi="宋体" w:eastAsia="宋体" w:cs="宋体"/>
                <w:b w:val="0"/>
                <w:bCs w:val="0"/>
                <w:spacing w:val="-11"/>
                <w:sz w:val="24"/>
                <w:szCs w:val="24"/>
              </w:rPr>
              <w:t>20万元以上50万元以下的罚款。</w:t>
            </w:r>
          </w:p>
        </w:tc>
      </w:tr>
      <w:tr w14:paraId="4A8B7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3" w:hRule="exact"/>
          <w:jc w:val="center"/>
        </w:trPr>
        <w:tc>
          <w:tcPr>
            <w:tcW w:w="643" w:type="dxa"/>
            <w:vMerge w:val="continue"/>
            <w:tcBorders>
              <w:tl2br w:val="nil"/>
              <w:tr2bl w:val="nil"/>
            </w:tcBorders>
            <w:noWrap w:val="0"/>
            <w:vAlign w:val="center"/>
          </w:tcPr>
          <w:p w14:paraId="521C53E2">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25E59CF0">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restart"/>
            <w:tcBorders>
              <w:tl2br w:val="nil"/>
              <w:tr2bl w:val="nil"/>
            </w:tcBorders>
            <w:noWrap w:val="0"/>
            <w:vAlign w:val="top"/>
          </w:tcPr>
          <w:p w14:paraId="6A8F1C3B">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（四）违反本法第二十二条规定发布烟草广告的；</w:t>
            </w:r>
          </w:p>
          <w:p w14:paraId="58ED86A7">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（五）违反本法第三十七条规定，利用广告推销禁止生产、销售的产品或者提供的服务，或者禁止发布广告的商品或者服务的；</w:t>
            </w:r>
          </w:p>
          <w:p w14:paraId="75EC4F4B">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（六）违反本法第四十条第一款规定，在针对未成年人的大众传播媒介上发布医疗、药品、保健食品、医疗器械、化妆品、酒类、美容广告，以及不利于未成年人身心健康的网络游戏广告的。</w:t>
            </w:r>
          </w:p>
        </w:tc>
        <w:tc>
          <w:tcPr>
            <w:tcW w:w="1123" w:type="dxa"/>
            <w:tcBorders>
              <w:tl2br w:val="nil"/>
              <w:tr2bl w:val="nil"/>
            </w:tcBorders>
            <w:noWrap w:val="0"/>
            <w:vAlign w:val="center"/>
          </w:tcPr>
          <w:p w14:paraId="3536C589">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较重</w:t>
            </w:r>
          </w:p>
        </w:tc>
        <w:tc>
          <w:tcPr>
            <w:tcW w:w="3345" w:type="dxa"/>
            <w:tcBorders>
              <w:tl2br w:val="nil"/>
              <w:tr2bl w:val="nil"/>
            </w:tcBorders>
            <w:noWrap w:val="0"/>
            <w:vAlign w:val="center"/>
          </w:tcPr>
          <w:p w14:paraId="200F21BE">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影响较大，广告费用5万元以上10万元以下的。</w:t>
            </w:r>
          </w:p>
        </w:tc>
        <w:tc>
          <w:tcPr>
            <w:tcW w:w="3300" w:type="dxa"/>
            <w:tcBorders>
              <w:tl2br w:val="nil"/>
              <w:tr2bl w:val="nil"/>
            </w:tcBorders>
            <w:noWrap w:val="0"/>
            <w:vAlign w:val="center"/>
          </w:tcPr>
          <w:p w14:paraId="0791784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对广告主责令停止发布广告，处50万元以上80万元以下的罚款，由广告审查机关撤销广告审查批准文件。对广告经营者、发布者没收广告费用，处</w:t>
            </w:r>
            <w:r>
              <w:rPr>
                <w:rFonts w:hint="eastAsia" w:ascii="宋体" w:hAnsi="宋体" w:eastAsia="宋体" w:cs="宋体"/>
                <w:b w:val="0"/>
                <w:bCs w:val="0"/>
                <w:spacing w:val="-11"/>
                <w:sz w:val="24"/>
                <w:szCs w:val="24"/>
              </w:rPr>
              <w:t>50万元以上80万元以下的罚款。</w:t>
            </w:r>
          </w:p>
        </w:tc>
      </w:tr>
      <w:tr w14:paraId="677C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6" w:hRule="atLeast"/>
          <w:jc w:val="center"/>
        </w:trPr>
        <w:tc>
          <w:tcPr>
            <w:tcW w:w="643" w:type="dxa"/>
            <w:vMerge w:val="continue"/>
            <w:tcBorders>
              <w:tl2br w:val="nil"/>
              <w:tr2bl w:val="nil"/>
            </w:tcBorders>
            <w:noWrap w:val="0"/>
            <w:vAlign w:val="center"/>
          </w:tcPr>
          <w:p w14:paraId="33E0331E">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6559B953">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5A42E864">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40C6607C">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严重</w:t>
            </w:r>
          </w:p>
        </w:tc>
        <w:tc>
          <w:tcPr>
            <w:tcW w:w="3345" w:type="dxa"/>
            <w:tcBorders>
              <w:tl2br w:val="nil"/>
              <w:tr2bl w:val="nil"/>
            </w:tcBorders>
            <w:noWrap w:val="0"/>
            <w:vAlign w:val="center"/>
          </w:tcPr>
          <w:p w14:paraId="1984CF6A">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有下列情形之一的：</w:t>
            </w:r>
          </w:p>
          <w:p w14:paraId="076098E1">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cs="宋体"/>
                <w:b w:val="0"/>
                <w:bCs w:val="0"/>
                <w:color w:val="auto"/>
                <w:sz w:val="24"/>
                <w:szCs w:val="24"/>
                <w:lang w:val="en-US" w:eastAsia="zh-CN"/>
              </w:rPr>
              <w:t>(1)</w:t>
            </w:r>
            <w:r>
              <w:rPr>
                <w:rFonts w:hint="eastAsia" w:ascii="宋体" w:hAnsi="宋体" w:eastAsia="宋体" w:cs="宋体"/>
                <w:b w:val="0"/>
                <w:bCs w:val="0"/>
                <w:sz w:val="24"/>
                <w:szCs w:val="24"/>
              </w:rPr>
              <w:t>造成重大影响的；</w:t>
            </w:r>
          </w:p>
          <w:p w14:paraId="7CFC0601">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cs="宋体"/>
                <w:b w:val="0"/>
                <w:bCs w:val="0"/>
                <w:color w:val="auto"/>
                <w:sz w:val="24"/>
                <w:szCs w:val="24"/>
                <w:lang w:val="en-US" w:eastAsia="zh-CN"/>
              </w:rPr>
              <w:t>(2)</w:t>
            </w:r>
            <w:r>
              <w:rPr>
                <w:rFonts w:hint="eastAsia" w:ascii="宋体" w:hAnsi="宋体" w:eastAsia="宋体" w:cs="宋体"/>
                <w:b w:val="0"/>
                <w:bCs w:val="0"/>
                <w:sz w:val="24"/>
                <w:szCs w:val="24"/>
              </w:rPr>
              <w:t>广告费用10万元以上的；</w:t>
            </w:r>
          </w:p>
          <w:p w14:paraId="4C8C42F0">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cs="宋体"/>
                <w:b w:val="0"/>
                <w:bCs w:val="0"/>
                <w:color w:val="auto"/>
                <w:sz w:val="24"/>
                <w:szCs w:val="24"/>
                <w:lang w:val="en-US" w:eastAsia="zh-CN"/>
              </w:rPr>
              <w:t>(3)</w:t>
            </w:r>
            <w:r>
              <w:rPr>
                <w:rFonts w:hint="eastAsia" w:ascii="宋体" w:hAnsi="宋体" w:eastAsia="宋体" w:cs="宋体"/>
                <w:b w:val="0"/>
                <w:bCs w:val="0"/>
                <w:sz w:val="24"/>
                <w:szCs w:val="24"/>
              </w:rPr>
              <w:t>2年内有3次以上违法行为或者有其他严重情节的。</w:t>
            </w:r>
          </w:p>
        </w:tc>
        <w:tc>
          <w:tcPr>
            <w:tcW w:w="3300" w:type="dxa"/>
            <w:tcBorders>
              <w:tl2br w:val="nil"/>
              <w:tr2bl w:val="nil"/>
            </w:tcBorders>
            <w:noWrap w:val="0"/>
            <w:vAlign w:val="center"/>
          </w:tcPr>
          <w:p w14:paraId="06D9CA9C">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对广告主责令停止发布广告，处80万元以上100万元以下的罚款，由广告审查机关撤销广告审查批准文件。对广告经营者、发布者没收广告费用，处80万元以上100万元以下</w:t>
            </w:r>
            <w:r>
              <w:rPr>
                <w:rFonts w:hint="eastAsia" w:ascii="宋体" w:hAnsi="宋体" w:eastAsia="宋体" w:cs="宋体"/>
                <w:b w:val="0"/>
                <w:bCs w:val="0"/>
                <w:spacing w:val="-6"/>
                <w:sz w:val="24"/>
                <w:szCs w:val="24"/>
              </w:rPr>
              <w:t>的罚款，并可以吊销营业执照。</w:t>
            </w:r>
          </w:p>
        </w:tc>
      </w:tr>
      <w:tr w14:paraId="0AAC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1" w:hRule="atLeast"/>
          <w:jc w:val="center"/>
        </w:trPr>
        <w:tc>
          <w:tcPr>
            <w:tcW w:w="643" w:type="dxa"/>
            <w:vMerge w:val="restart"/>
            <w:tcBorders>
              <w:tl2br w:val="nil"/>
              <w:tr2bl w:val="nil"/>
            </w:tcBorders>
            <w:noWrap w:val="0"/>
            <w:vAlign w:val="center"/>
          </w:tcPr>
          <w:p w14:paraId="0A3CABA5">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50</w:t>
            </w:r>
          </w:p>
        </w:tc>
        <w:tc>
          <w:tcPr>
            <w:tcW w:w="1512" w:type="dxa"/>
            <w:vMerge w:val="restart"/>
            <w:tcBorders>
              <w:tl2br w:val="nil"/>
              <w:tr2bl w:val="nil"/>
            </w:tcBorders>
            <w:noWrap w:val="0"/>
            <w:vAlign w:val="center"/>
          </w:tcPr>
          <w:p w14:paraId="3866F9D8">
            <w:pPr>
              <w:keepNext w:val="0"/>
              <w:keepLines w:val="0"/>
              <w:pageBreakBefore w:val="0"/>
              <w:kinsoku/>
              <w:wordWrap/>
              <w:overflowPunct/>
              <w:topLinePunct w:val="0"/>
              <w:autoSpaceDE/>
              <w:autoSpaceDN/>
              <w:bidi w:val="0"/>
              <w:adjustRightInd/>
              <w:snapToGrid/>
              <w:spacing w:line="420" w:lineRule="exact"/>
              <w:ind w:left="42" w:leftChars="20"/>
              <w:jc w:val="both"/>
              <w:textAlignment w:val="auto"/>
              <w:outlineLvl w:val="2"/>
              <w:rPr>
                <w:rFonts w:hint="eastAsia" w:ascii="宋体" w:hAnsi="宋体" w:eastAsia="宋体" w:cs="宋体"/>
                <w:b w:val="0"/>
                <w:bCs w:val="0"/>
                <w:sz w:val="24"/>
                <w:szCs w:val="24"/>
              </w:rPr>
            </w:pPr>
            <w:bookmarkStart w:id="74" w:name="_Toc10797"/>
            <w:bookmarkStart w:id="75" w:name="_Toc8844"/>
            <w:bookmarkStart w:id="76" w:name="_Toc8478"/>
            <w:bookmarkStart w:id="77" w:name="_Toc19279"/>
            <w:r>
              <w:rPr>
                <w:rFonts w:hint="eastAsia" w:ascii="宋体" w:hAnsi="宋体" w:eastAsia="宋体" w:cs="宋体"/>
                <w:b w:val="0"/>
                <w:bCs w:val="0"/>
                <w:sz w:val="24"/>
                <w:szCs w:val="24"/>
              </w:rPr>
              <w:t>《互联网广告管理办法》</w:t>
            </w:r>
            <w:bookmarkEnd w:id="74"/>
            <w:bookmarkEnd w:id="75"/>
            <w:bookmarkEnd w:id="76"/>
            <w:bookmarkEnd w:id="77"/>
          </w:p>
        </w:tc>
        <w:tc>
          <w:tcPr>
            <w:tcW w:w="4200" w:type="dxa"/>
            <w:vMerge w:val="restart"/>
            <w:tcBorders>
              <w:tl2br w:val="nil"/>
              <w:tr2bl w:val="nil"/>
            </w:tcBorders>
            <w:noWrap w:val="0"/>
            <w:vAlign w:val="center"/>
          </w:tcPr>
          <w:p w14:paraId="0895869D">
            <w:pPr>
              <w:keepNext w:val="0"/>
              <w:keepLines w:val="0"/>
              <w:pageBreakBefore w:val="0"/>
              <w:widowControl w:val="0"/>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《互联网广告管理办法》第二十四条</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违反本办法第七条规定，未经审查或者未按广告审查通过的内容发布互联网广告的，依照广告法第五十八条规定予以处罚。</w:t>
            </w:r>
          </w:p>
          <w:p w14:paraId="728042AC">
            <w:pPr>
              <w:keepNext w:val="0"/>
              <w:keepLines w:val="0"/>
              <w:pageBreakBefore w:val="0"/>
              <w:widowControl w:val="0"/>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《广告法》第五十八条</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lang w:eastAsia="zh-CN"/>
              </w:rPr>
              <w:t>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205513F2">
            <w:pPr>
              <w:keepNext w:val="0"/>
              <w:keepLines w:val="0"/>
              <w:pageBreakBefore w:val="0"/>
              <w:widowControl w:val="0"/>
              <w:kinsoku/>
              <w:wordWrap/>
              <w:overflowPunct/>
              <w:topLinePunct w:val="0"/>
              <w:autoSpaceDE/>
              <w:autoSpaceDN/>
              <w:bidi w:val="0"/>
              <w:adjustRightInd/>
              <w:snapToGrid/>
              <w:spacing w:line="350" w:lineRule="exact"/>
              <w:ind w:firstLine="0" w:firstLineChars="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（一）违反本法第十六条规定发布医疗、药品、医疗器械广告的；</w:t>
            </w:r>
          </w:p>
          <w:p w14:paraId="58300F15">
            <w:pPr>
              <w:keepNext w:val="0"/>
              <w:keepLines w:val="0"/>
              <w:pageBreakBefore w:val="0"/>
              <w:widowControl w:val="0"/>
              <w:kinsoku/>
              <w:wordWrap/>
              <w:overflowPunct/>
              <w:topLinePunct w:val="0"/>
              <w:autoSpaceDE/>
              <w:autoSpaceDN/>
              <w:bidi w:val="0"/>
              <w:adjustRightInd/>
              <w:snapToGrid/>
              <w:spacing w:line="350" w:lineRule="exact"/>
              <w:ind w:firstLine="0" w:firstLineChars="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（二）违反本法第十七条规定，在广告中涉及疾病治疗功能，以及使用医疗用语或者易使推销的商品与药品、医疗器械相混淆的用语的；</w:t>
            </w:r>
          </w:p>
          <w:p w14:paraId="1A4C7BC0">
            <w:pPr>
              <w:keepNext w:val="0"/>
              <w:keepLines w:val="0"/>
              <w:pageBreakBefore w:val="0"/>
              <w:widowControl w:val="0"/>
              <w:kinsoku/>
              <w:wordWrap/>
              <w:overflowPunct/>
              <w:topLinePunct w:val="0"/>
              <w:autoSpaceDE/>
              <w:autoSpaceDN/>
              <w:bidi w:val="0"/>
              <w:adjustRightInd/>
              <w:snapToGrid/>
              <w:spacing w:line="350" w:lineRule="exact"/>
              <w:ind w:firstLine="0" w:firstLineChars="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（三）违反本法第十八条规定发布保健食品广告的；</w:t>
            </w:r>
          </w:p>
          <w:p w14:paraId="4D3CFE61">
            <w:pPr>
              <w:keepNext w:val="0"/>
              <w:keepLines w:val="0"/>
              <w:pageBreakBefore w:val="0"/>
              <w:widowControl w:val="0"/>
              <w:kinsoku/>
              <w:wordWrap/>
              <w:overflowPunct/>
              <w:topLinePunct w:val="0"/>
              <w:autoSpaceDE/>
              <w:autoSpaceDN/>
              <w:bidi w:val="0"/>
              <w:adjustRightInd/>
              <w:snapToGrid/>
              <w:spacing w:line="350" w:lineRule="exact"/>
              <w:ind w:firstLine="0" w:firstLineChars="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（四）违反本法第二十一条规定发布农药、兽药、饲料和饲料添加剂广告的；</w:t>
            </w:r>
          </w:p>
          <w:p w14:paraId="71B7BFE2">
            <w:pPr>
              <w:keepNext w:val="0"/>
              <w:keepLines w:val="0"/>
              <w:pageBreakBefore w:val="0"/>
              <w:widowControl w:val="0"/>
              <w:kinsoku/>
              <w:wordWrap/>
              <w:overflowPunct/>
              <w:topLinePunct w:val="0"/>
              <w:autoSpaceDE/>
              <w:autoSpaceDN/>
              <w:bidi w:val="0"/>
              <w:adjustRightInd/>
              <w:snapToGrid/>
              <w:spacing w:line="350" w:lineRule="exact"/>
              <w:ind w:firstLine="0" w:firstLineChars="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（五）违反本法第二十三条规定发布酒类广告的；</w:t>
            </w:r>
          </w:p>
          <w:p w14:paraId="6C9D2FAE">
            <w:pPr>
              <w:keepNext w:val="0"/>
              <w:keepLines w:val="0"/>
              <w:pageBreakBefore w:val="0"/>
              <w:widowControl w:val="0"/>
              <w:kinsoku/>
              <w:wordWrap/>
              <w:overflowPunct/>
              <w:topLinePunct w:val="0"/>
              <w:autoSpaceDE/>
              <w:autoSpaceDN/>
              <w:bidi w:val="0"/>
              <w:adjustRightInd/>
              <w:snapToGrid/>
              <w:spacing w:line="350" w:lineRule="exact"/>
              <w:ind w:firstLine="0" w:firstLineChars="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（六）违反本法第二十四条规定发布教育、培训广告的；</w:t>
            </w:r>
          </w:p>
          <w:p w14:paraId="2C282E3D">
            <w:pPr>
              <w:keepNext w:val="0"/>
              <w:keepLines w:val="0"/>
              <w:pageBreakBefore w:val="0"/>
              <w:widowControl w:val="0"/>
              <w:kinsoku/>
              <w:wordWrap/>
              <w:overflowPunct/>
              <w:topLinePunct w:val="0"/>
              <w:autoSpaceDE/>
              <w:autoSpaceDN/>
              <w:bidi w:val="0"/>
              <w:adjustRightInd/>
              <w:snapToGrid/>
              <w:spacing w:line="350" w:lineRule="exact"/>
              <w:ind w:firstLine="0" w:firstLineChars="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（七）违反本法第二十五条规定发布招商等有投资回报预期的商品或者服务广告的；</w:t>
            </w:r>
          </w:p>
          <w:p w14:paraId="0702A1D4">
            <w:pPr>
              <w:keepNext w:val="0"/>
              <w:keepLines w:val="0"/>
              <w:pageBreakBefore w:val="0"/>
              <w:widowControl w:val="0"/>
              <w:kinsoku/>
              <w:wordWrap/>
              <w:overflowPunct/>
              <w:topLinePunct w:val="0"/>
              <w:autoSpaceDE/>
              <w:autoSpaceDN/>
              <w:bidi w:val="0"/>
              <w:adjustRightInd/>
              <w:snapToGrid/>
              <w:spacing w:line="350" w:lineRule="exact"/>
              <w:ind w:firstLine="0" w:firstLineChars="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（八）违反本法第二十六条规定发布房地产广告的；</w:t>
            </w:r>
          </w:p>
          <w:p w14:paraId="2AFF4A09">
            <w:pPr>
              <w:keepNext w:val="0"/>
              <w:keepLines w:val="0"/>
              <w:pageBreakBefore w:val="0"/>
              <w:widowControl w:val="0"/>
              <w:kinsoku/>
              <w:wordWrap/>
              <w:overflowPunct/>
              <w:topLinePunct w:val="0"/>
              <w:autoSpaceDE/>
              <w:autoSpaceDN/>
              <w:bidi w:val="0"/>
              <w:adjustRightInd/>
              <w:snapToGrid/>
              <w:spacing w:line="350" w:lineRule="exact"/>
              <w:ind w:firstLine="0" w:firstLineChars="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（九）违反本法第二十七条规定发布农作物种子、林木种子、草种子、种畜禽、水产苗种和种养殖广告的；</w:t>
            </w:r>
          </w:p>
          <w:p w14:paraId="312B81DA">
            <w:pPr>
              <w:keepNext w:val="0"/>
              <w:keepLines w:val="0"/>
              <w:pageBreakBefore w:val="0"/>
              <w:widowControl w:val="0"/>
              <w:kinsoku/>
              <w:wordWrap/>
              <w:overflowPunct/>
              <w:topLinePunct w:val="0"/>
              <w:autoSpaceDE/>
              <w:autoSpaceDN/>
              <w:bidi w:val="0"/>
              <w:adjustRightInd/>
              <w:snapToGrid/>
              <w:spacing w:line="350" w:lineRule="exact"/>
              <w:ind w:firstLine="0" w:firstLineChars="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（十）违反本法第三十八条第二款规定，利用不满十周岁的未成年人作为广告代言人的；</w:t>
            </w:r>
          </w:p>
          <w:p w14:paraId="14B68368">
            <w:pPr>
              <w:keepNext w:val="0"/>
              <w:keepLines w:val="0"/>
              <w:pageBreakBefore w:val="0"/>
              <w:widowControl w:val="0"/>
              <w:kinsoku/>
              <w:wordWrap/>
              <w:overflowPunct/>
              <w:topLinePunct w:val="0"/>
              <w:autoSpaceDE/>
              <w:autoSpaceDN/>
              <w:bidi w:val="0"/>
              <w:adjustRightInd/>
              <w:snapToGrid/>
              <w:spacing w:line="350" w:lineRule="exact"/>
              <w:ind w:firstLine="0" w:firstLineChars="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（十一）违反本法第三十八条第三款规定，利用自然人、法人或者其他组织作为广告代言人的；</w:t>
            </w:r>
          </w:p>
          <w:p w14:paraId="23CB3459">
            <w:pPr>
              <w:keepNext w:val="0"/>
              <w:keepLines w:val="0"/>
              <w:pageBreakBefore w:val="0"/>
              <w:widowControl w:val="0"/>
              <w:kinsoku/>
              <w:wordWrap/>
              <w:overflowPunct/>
              <w:topLinePunct w:val="0"/>
              <w:autoSpaceDE/>
              <w:autoSpaceDN/>
              <w:bidi w:val="0"/>
              <w:adjustRightInd/>
              <w:snapToGrid/>
              <w:spacing w:line="350" w:lineRule="exact"/>
              <w:ind w:firstLine="0" w:firstLineChars="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（十二）违反本法第三十九条规定，在中小学校、幼儿园内或者利用与中小学生、幼儿有关的物品发布广告的；</w:t>
            </w:r>
          </w:p>
          <w:p w14:paraId="669CCD45">
            <w:pPr>
              <w:keepNext w:val="0"/>
              <w:keepLines w:val="0"/>
              <w:pageBreakBefore w:val="0"/>
              <w:widowControl w:val="0"/>
              <w:kinsoku/>
              <w:wordWrap/>
              <w:overflowPunct/>
              <w:topLinePunct w:val="0"/>
              <w:autoSpaceDE/>
              <w:autoSpaceDN/>
              <w:bidi w:val="0"/>
              <w:adjustRightInd/>
              <w:snapToGrid/>
              <w:spacing w:line="390" w:lineRule="exact"/>
              <w:ind w:firstLine="0" w:firstLineChars="0"/>
              <w:jc w:val="both"/>
              <w:textAlignment w:val="auto"/>
              <w:rPr>
                <w:rFonts w:hint="eastAsia" w:ascii="宋体" w:hAnsi="宋体" w:eastAsia="宋体" w:cs="宋体"/>
                <w:b w:val="0"/>
                <w:bCs w:val="0"/>
                <w:spacing w:val="-6"/>
                <w:sz w:val="24"/>
                <w:szCs w:val="24"/>
                <w:lang w:eastAsia="zh-CN"/>
              </w:rPr>
            </w:pPr>
            <w:r>
              <w:rPr>
                <w:rFonts w:hint="eastAsia" w:ascii="宋体" w:hAnsi="宋体" w:eastAsia="宋体" w:cs="宋体"/>
                <w:b w:val="0"/>
                <w:bCs w:val="0"/>
                <w:spacing w:val="-6"/>
                <w:sz w:val="24"/>
                <w:szCs w:val="24"/>
                <w:lang w:eastAsia="zh-CN"/>
              </w:rPr>
              <w:t>（十三）违反本法第四十条第二款</w:t>
            </w:r>
            <w:r>
              <w:rPr>
                <w:rFonts w:hint="eastAsia" w:ascii="宋体" w:hAnsi="宋体" w:eastAsia="宋体" w:cs="宋体"/>
                <w:b w:val="0"/>
                <w:bCs w:val="0"/>
                <w:spacing w:val="0"/>
                <w:sz w:val="24"/>
                <w:szCs w:val="24"/>
                <w:lang w:eastAsia="zh-CN"/>
              </w:rPr>
              <w:t>规定，发布针对不满十四周岁的未成年人的商品或者服务的广告的；</w:t>
            </w:r>
          </w:p>
          <w:p w14:paraId="0D5BAA0D">
            <w:pPr>
              <w:keepNext w:val="0"/>
              <w:keepLines w:val="0"/>
              <w:pageBreakBefore w:val="0"/>
              <w:widowControl w:val="0"/>
              <w:kinsoku/>
              <w:wordWrap/>
              <w:overflowPunct/>
              <w:topLinePunct w:val="0"/>
              <w:autoSpaceDE/>
              <w:autoSpaceDN/>
              <w:bidi w:val="0"/>
              <w:adjustRightInd/>
              <w:snapToGrid/>
              <w:spacing w:line="390" w:lineRule="exact"/>
              <w:ind w:firstLine="0" w:firstLineChars="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（十四）违反本法第四十六条规定，未经审查发布广告的。</w:t>
            </w:r>
          </w:p>
          <w:p w14:paraId="7A97F886">
            <w:pPr>
              <w:keepNext w:val="0"/>
              <w:keepLines w:val="0"/>
              <w:pageBreakBefore w:val="0"/>
              <w:widowControl w:val="0"/>
              <w:kinsoku/>
              <w:wordWrap/>
              <w:overflowPunct/>
              <w:topLinePunct w:val="0"/>
              <w:autoSpaceDE/>
              <w:autoSpaceDN/>
              <w:bidi w:val="0"/>
              <w:adjustRightInd/>
              <w:snapToGrid/>
              <w:spacing w:line="390" w:lineRule="exact"/>
              <w:ind w:firstLine="0" w:firstLineChars="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医疗机构有前款规定违法行为，情节严重的，除由市场监督管理部门依照本法处罚外，卫生行政部门可以吊销诊疗科目或者吊销医疗机构执业许可证。</w:t>
            </w:r>
          </w:p>
          <w:p w14:paraId="1D6B57A0">
            <w:pPr>
              <w:keepNext w:val="0"/>
              <w:keepLines w:val="0"/>
              <w:pageBreakBefore w:val="0"/>
              <w:widowControl w:val="0"/>
              <w:kinsoku/>
              <w:wordWrap/>
              <w:overflowPunct/>
              <w:topLinePunct w:val="0"/>
              <w:autoSpaceDE/>
              <w:autoSpaceDN/>
              <w:bidi w:val="0"/>
              <w:adjustRightInd/>
              <w:snapToGrid/>
              <w:spacing w:line="390" w:lineRule="exact"/>
              <w:ind w:firstLine="0" w:firstLineChars="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w:t>
            </w:r>
          </w:p>
        </w:tc>
        <w:tc>
          <w:tcPr>
            <w:tcW w:w="1123" w:type="dxa"/>
            <w:tcBorders>
              <w:tl2br w:val="nil"/>
              <w:tr2bl w:val="nil"/>
            </w:tcBorders>
            <w:noWrap w:val="0"/>
            <w:vAlign w:val="center"/>
          </w:tcPr>
          <w:p w14:paraId="54076F2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较轻</w:t>
            </w:r>
          </w:p>
        </w:tc>
        <w:tc>
          <w:tcPr>
            <w:tcW w:w="3345" w:type="dxa"/>
            <w:tcBorders>
              <w:tl2br w:val="nil"/>
              <w:tr2bl w:val="nil"/>
            </w:tcBorders>
            <w:noWrap w:val="0"/>
            <w:vAlign w:val="center"/>
          </w:tcPr>
          <w:p w14:paraId="556A8517">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影响较小，广告费用在5万元以下的。</w:t>
            </w:r>
          </w:p>
        </w:tc>
        <w:tc>
          <w:tcPr>
            <w:tcW w:w="3300" w:type="dxa"/>
            <w:tcBorders>
              <w:tl2br w:val="nil"/>
              <w:tr2bl w:val="nil"/>
            </w:tcBorders>
            <w:noWrap w:val="0"/>
            <w:vAlign w:val="center"/>
          </w:tcPr>
          <w:p w14:paraId="5D178A07">
            <w:pPr>
              <w:keepNext w:val="0"/>
              <w:keepLines w:val="0"/>
              <w:pageBreakBefore w:val="0"/>
              <w:widowControl w:val="0"/>
              <w:kinsoku/>
              <w:wordWrap/>
              <w:overflowPunct/>
              <w:topLinePunct w:val="0"/>
              <w:autoSpaceDE/>
              <w:autoSpaceDN/>
              <w:bidi w:val="0"/>
              <w:adjustRightInd/>
              <w:snapToGrid/>
              <w:spacing w:before="32" w:beforeLines="10" w:after="32" w:afterLines="10" w:line="360" w:lineRule="exact"/>
              <w:jc w:val="both"/>
              <w:textAlignment w:val="auto"/>
              <w:rPr>
                <w:rFonts w:hint="eastAsia"/>
                <w:color w:val="000000"/>
                <w:sz w:val="24"/>
                <w:szCs w:val="24"/>
              </w:rPr>
            </w:pPr>
            <w:r>
              <w:rPr>
                <w:rFonts w:hint="eastAsia"/>
                <w:color w:val="000000"/>
                <w:sz w:val="24"/>
                <w:szCs w:val="24"/>
              </w:rPr>
              <w:t>责令</w:t>
            </w:r>
            <w:r>
              <w:rPr>
                <w:rFonts w:hint="eastAsia"/>
                <w:color w:val="000000"/>
                <w:sz w:val="24"/>
                <w:szCs w:val="24"/>
                <w:lang w:eastAsia="zh-CN"/>
              </w:rPr>
              <w:t>广告主</w:t>
            </w:r>
            <w:r>
              <w:rPr>
                <w:rFonts w:hint="eastAsia"/>
                <w:color w:val="000000"/>
                <w:sz w:val="24"/>
                <w:szCs w:val="24"/>
              </w:rPr>
              <w:t>停止发布广告，在相应范围内消除影响，处广告费用1倍的罚款。</w:t>
            </w:r>
          </w:p>
          <w:p w14:paraId="224B9BEB">
            <w:pPr>
              <w:pStyle w:val="16"/>
              <w:pageBreakBefore w:val="0"/>
              <w:widowControl w:val="0"/>
              <w:kinsoku/>
              <w:wordWrap/>
              <w:overflowPunct/>
              <w:topLinePunct w:val="0"/>
              <w:autoSpaceDE/>
              <w:autoSpaceDN/>
              <w:bidi w:val="0"/>
              <w:adjustRightInd/>
              <w:snapToGrid/>
              <w:spacing w:before="32" w:beforeLines="10" w:after="32" w:afterLines="10" w:line="360" w:lineRule="exact"/>
              <w:rPr>
                <w:rFonts w:hint="eastAsia"/>
                <w:color w:val="000000"/>
                <w:sz w:val="24"/>
                <w:szCs w:val="24"/>
              </w:rPr>
            </w:pPr>
            <w:r>
              <w:rPr>
                <w:rFonts w:hint="eastAsia" w:ascii="Calibri" w:hAnsi="Calibri" w:eastAsia="宋体" w:cs="Times New Roman"/>
                <w:b w:val="0"/>
                <w:color w:val="000000"/>
                <w:kern w:val="2"/>
                <w:sz w:val="24"/>
                <w:szCs w:val="24"/>
                <w:lang w:val="en-US" w:eastAsia="zh-CN" w:bidi="ar-SA"/>
              </w:rPr>
              <w:t>广告经营者、广告发布者明知或者应知有本条第一款规定违法行为仍设计、制作、代理、发布的，没收广告费用，并处广告费用</w:t>
            </w:r>
            <w:r>
              <w:rPr>
                <w:rFonts w:hint="eastAsia" w:cs="Times New Roman"/>
                <w:b w:val="0"/>
                <w:color w:val="000000"/>
                <w:kern w:val="2"/>
                <w:sz w:val="24"/>
                <w:szCs w:val="24"/>
                <w:lang w:val="en-US" w:eastAsia="zh-CN" w:bidi="ar-SA"/>
              </w:rPr>
              <w:t>1</w:t>
            </w:r>
            <w:r>
              <w:rPr>
                <w:rFonts w:hint="eastAsia" w:ascii="Calibri" w:hAnsi="Calibri" w:eastAsia="宋体" w:cs="Times New Roman"/>
                <w:b w:val="0"/>
                <w:color w:val="000000"/>
                <w:kern w:val="2"/>
                <w:sz w:val="24"/>
                <w:szCs w:val="24"/>
                <w:lang w:val="en-US" w:eastAsia="zh-CN" w:bidi="ar-SA"/>
              </w:rPr>
              <w:t>倍的罚款</w:t>
            </w:r>
            <w:r>
              <w:rPr>
                <w:rFonts w:hint="eastAsia" w:eastAsia="宋体" w:cs="Times New Roman"/>
                <w:b w:val="0"/>
                <w:color w:val="000000"/>
                <w:kern w:val="2"/>
                <w:sz w:val="24"/>
                <w:szCs w:val="24"/>
                <w:lang w:val="en-US" w:eastAsia="zh-CN" w:bidi="ar-SA"/>
              </w:rPr>
              <w:t>。</w:t>
            </w:r>
          </w:p>
        </w:tc>
      </w:tr>
      <w:tr w14:paraId="7279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3" w:hRule="atLeast"/>
          <w:jc w:val="center"/>
        </w:trPr>
        <w:tc>
          <w:tcPr>
            <w:tcW w:w="643" w:type="dxa"/>
            <w:vMerge w:val="continue"/>
            <w:tcBorders>
              <w:tl2br w:val="nil"/>
              <w:tr2bl w:val="nil"/>
            </w:tcBorders>
            <w:noWrap w:val="0"/>
            <w:vAlign w:val="center"/>
          </w:tcPr>
          <w:p w14:paraId="3D43BA9D">
            <w:pPr>
              <w:keepNext w:val="0"/>
              <w:keepLines w:val="0"/>
              <w:pageBreakBefore w:val="0"/>
              <w:tabs>
                <w:tab w:val="left" w:pos="397"/>
              </w:tabs>
              <w:kinsoku/>
              <w:wordWrap/>
              <w:overflowPunct/>
              <w:topLinePunct w:val="0"/>
              <w:autoSpaceDE/>
              <w:autoSpaceDN/>
              <w:bidi w:val="0"/>
              <w:adjustRightInd/>
              <w:snapToGrid/>
              <w:spacing w:line="420" w:lineRule="exact"/>
              <w:ind w:left="454" w:leftChars="0" w:hanging="454"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21F47766">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2B84DEC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6EA1438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一般</w:t>
            </w:r>
          </w:p>
        </w:tc>
        <w:tc>
          <w:tcPr>
            <w:tcW w:w="3345" w:type="dxa"/>
            <w:tcBorders>
              <w:tl2br w:val="nil"/>
              <w:tr2bl w:val="nil"/>
            </w:tcBorders>
            <w:noWrap w:val="0"/>
            <w:vAlign w:val="center"/>
          </w:tcPr>
          <w:p w14:paraId="0F17B4FD">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有下列情形之一的：</w:t>
            </w:r>
          </w:p>
          <w:p w14:paraId="30935FDD">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cs="宋体"/>
                <w:b w:val="0"/>
                <w:bCs w:val="0"/>
                <w:color w:val="auto"/>
                <w:sz w:val="24"/>
                <w:szCs w:val="24"/>
                <w:lang w:val="en-US" w:eastAsia="zh-CN"/>
              </w:rPr>
              <w:t>(1)</w:t>
            </w:r>
            <w:r>
              <w:rPr>
                <w:rFonts w:hint="eastAsia" w:ascii="宋体" w:hAnsi="宋体" w:eastAsia="宋体" w:cs="宋体"/>
                <w:b w:val="0"/>
                <w:bCs w:val="0"/>
                <w:sz w:val="24"/>
                <w:szCs w:val="24"/>
              </w:rPr>
              <w:t>影响小，广告费用在5万元以上10万元以下的；</w:t>
            </w:r>
          </w:p>
          <w:p w14:paraId="608EBAC0">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cs="宋体"/>
                <w:b w:val="0"/>
                <w:bCs w:val="0"/>
                <w:color w:val="auto"/>
                <w:sz w:val="24"/>
                <w:szCs w:val="24"/>
                <w:lang w:val="en-US" w:eastAsia="zh-CN"/>
              </w:rPr>
              <w:t>(2)</w:t>
            </w:r>
            <w:r>
              <w:rPr>
                <w:rFonts w:hint="eastAsia" w:ascii="宋体" w:hAnsi="宋体" w:eastAsia="宋体" w:cs="宋体"/>
                <w:b w:val="0"/>
                <w:bCs w:val="0"/>
                <w:sz w:val="24"/>
                <w:szCs w:val="24"/>
              </w:rPr>
              <w:t>影响小，广告费用无法计算或者明显偏低的。</w:t>
            </w:r>
          </w:p>
        </w:tc>
        <w:tc>
          <w:tcPr>
            <w:tcW w:w="3300" w:type="dxa"/>
            <w:tcBorders>
              <w:tl2br w:val="nil"/>
              <w:tr2bl w:val="nil"/>
            </w:tcBorders>
            <w:noWrap w:val="0"/>
            <w:vAlign w:val="center"/>
          </w:tcPr>
          <w:p w14:paraId="451CC5E8">
            <w:pPr>
              <w:keepNext w:val="0"/>
              <w:keepLines w:val="0"/>
              <w:pageBreakBefore w:val="0"/>
              <w:widowControl w:val="0"/>
              <w:kinsoku/>
              <w:wordWrap/>
              <w:overflowPunct/>
              <w:topLinePunct w:val="0"/>
              <w:autoSpaceDE/>
              <w:autoSpaceDN/>
              <w:bidi w:val="0"/>
              <w:adjustRightInd/>
              <w:snapToGrid/>
              <w:spacing w:before="32" w:beforeLines="10" w:after="32" w:afterLines="10" w:line="360" w:lineRule="exact"/>
              <w:jc w:val="both"/>
              <w:textAlignment w:val="auto"/>
              <w:rPr>
                <w:rFonts w:hint="eastAsia"/>
                <w:color w:val="000000"/>
                <w:sz w:val="24"/>
                <w:szCs w:val="24"/>
              </w:rPr>
            </w:pPr>
            <w:r>
              <w:rPr>
                <w:rFonts w:hint="eastAsia"/>
                <w:color w:val="000000"/>
                <w:sz w:val="24"/>
                <w:szCs w:val="24"/>
              </w:rPr>
              <w:t>责令</w:t>
            </w:r>
            <w:r>
              <w:rPr>
                <w:rFonts w:hint="eastAsia"/>
                <w:color w:val="000000"/>
                <w:sz w:val="24"/>
                <w:szCs w:val="24"/>
                <w:lang w:eastAsia="zh-CN"/>
              </w:rPr>
              <w:t>广告主</w:t>
            </w:r>
            <w:r>
              <w:rPr>
                <w:rFonts w:hint="eastAsia"/>
                <w:color w:val="000000"/>
                <w:sz w:val="24"/>
                <w:szCs w:val="24"/>
              </w:rPr>
              <w:t>停止发布广告，在相应范围内消除影响，处广告费用1倍以上2倍以下的罚款；广告费用无法计算或者明显偏低的，处10万元罚款。</w:t>
            </w:r>
          </w:p>
          <w:p w14:paraId="54AC70A1">
            <w:pPr>
              <w:pStyle w:val="16"/>
              <w:pageBreakBefore w:val="0"/>
              <w:widowControl w:val="0"/>
              <w:kinsoku/>
              <w:wordWrap/>
              <w:overflowPunct/>
              <w:topLinePunct w:val="0"/>
              <w:autoSpaceDE/>
              <w:autoSpaceDN/>
              <w:bidi w:val="0"/>
              <w:adjustRightInd/>
              <w:snapToGrid/>
              <w:spacing w:before="32" w:beforeLines="10" w:after="32" w:afterLines="10" w:line="360" w:lineRule="exact"/>
              <w:rPr>
                <w:rFonts w:hint="eastAsia"/>
                <w:color w:val="000000"/>
                <w:sz w:val="24"/>
                <w:szCs w:val="24"/>
              </w:rPr>
            </w:pPr>
            <w:r>
              <w:rPr>
                <w:rFonts w:hint="eastAsia" w:ascii="Calibri" w:hAnsi="Calibri" w:eastAsia="宋体" w:cs="Times New Roman"/>
                <w:b w:val="0"/>
                <w:color w:val="000000"/>
                <w:kern w:val="2"/>
                <w:sz w:val="24"/>
                <w:szCs w:val="24"/>
                <w:lang w:val="en-US" w:eastAsia="zh-CN" w:bidi="ar-SA"/>
              </w:rPr>
              <w:t>广告经营者、广告发布者明知或者应知有本条第一款规定违法行为仍设计、制作、代理、发布的，没收广告费用，并处广告费用</w:t>
            </w:r>
            <w:r>
              <w:rPr>
                <w:rFonts w:hint="eastAsia" w:eastAsia="宋体" w:cs="Times New Roman"/>
                <w:b w:val="0"/>
                <w:color w:val="000000"/>
                <w:kern w:val="2"/>
                <w:sz w:val="24"/>
                <w:szCs w:val="24"/>
                <w:lang w:val="en-US" w:eastAsia="zh-CN" w:bidi="ar-SA"/>
              </w:rPr>
              <w:t>1</w:t>
            </w:r>
            <w:r>
              <w:rPr>
                <w:rFonts w:hint="eastAsia" w:ascii="Calibri" w:hAnsi="Calibri" w:eastAsia="宋体" w:cs="Times New Roman"/>
                <w:b w:val="0"/>
                <w:color w:val="000000"/>
                <w:kern w:val="2"/>
                <w:sz w:val="24"/>
                <w:szCs w:val="24"/>
                <w:lang w:val="en-US" w:eastAsia="zh-CN" w:bidi="ar-SA"/>
              </w:rPr>
              <w:t>倍以上</w:t>
            </w:r>
            <w:r>
              <w:rPr>
                <w:rFonts w:hint="eastAsia" w:eastAsia="宋体" w:cs="Times New Roman"/>
                <w:b w:val="0"/>
                <w:color w:val="000000"/>
                <w:kern w:val="2"/>
                <w:sz w:val="24"/>
                <w:szCs w:val="24"/>
                <w:lang w:val="en-US" w:eastAsia="zh-CN" w:bidi="ar-SA"/>
              </w:rPr>
              <w:t>2</w:t>
            </w:r>
            <w:r>
              <w:rPr>
                <w:rFonts w:hint="eastAsia" w:ascii="Calibri" w:hAnsi="Calibri" w:eastAsia="宋体" w:cs="Times New Roman"/>
                <w:b w:val="0"/>
                <w:color w:val="000000"/>
                <w:kern w:val="2"/>
                <w:sz w:val="24"/>
                <w:szCs w:val="24"/>
                <w:lang w:val="en-US" w:eastAsia="zh-CN" w:bidi="ar-SA"/>
              </w:rPr>
              <w:t>倍以下的罚款，广告费用无法计算或者明显偏低的，处</w:t>
            </w:r>
            <w:r>
              <w:rPr>
                <w:rFonts w:hint="eastAsia" w:eastAsia="宋体" w:cs="Times New Roman"/>
                <w:b w:val="0"/>
                <w:color w:val="000000"/>
                <w:kern w:val="2"/>
                <w:sz w:val="24"/>
                <w:szCs w:val="24"/>
                <w:lang w:val="en-US" w:eastAsia="zh-CN" w:bidi="ar-SA"/>
              </w:rPr>
              <w:t>10</w:t>
            </w:r>
            <w:r>
              <w:rPr>
                <w:rFonts w:hint="eastAsia" w:ascii="Calibri" w:hAnsi="Calibri" w:eastAsia="宋体" w:cs="Times New Roman"/>
                <w:b w:val="0"/>
                <w:color w:val="000000"/>
                <w:kern w:val="2"/>
                <w:sz w:val="24"/>
                <w:szCs w:val="24"/>
                <w:lang w:val="en-US" w:eastAsia="zh-CN" w:bidi="ar-SA"/>
              </w:rPr>
              <w:t>万元罚款</w:t>
            </w:r>
            <w:r>
              <w:rPr>
                <w:rFonts w:hint="eastAsia" w:eastAsia="宋体" w:cs="Times New Roman"/>
                <w:b w:val="0"/>
                <w:color w:val="000000"/>
                <w:kern w:val="2"/>
                <w:sz w:val="24"/>
                <w:szCs w:val="24"/>
                <w:lang w:val="en-US" w:eastAsia="zh-CN" w:bidi="ar-SA"/>
              </w:rPr>
              <w:t>.</w:t>
            </w:r>
          </w:p>
        </w:tc>
      </w:tr>
      <w:tr w14:paraId="76A0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8" w:hRule="atLeast"/>
          <w:jc w:val="center"/>
        </w:trPr>
        <w:tc>
          <w:tcPr>
            <w:tcW w:w="643" w:type="dxa"/>
            <w:vMerge w:val="continue"/>
            <w:tcBorders>
              <w:tl2br w:val="nil"/>
              <w:tr2bl w:val="nil"/>
            </w:tcBorders>
            <w:noWrap w:val="0"/>
            <w:vAlign w:val="center"/>
          </w:tcPr>
          <w:p w14:paraId="42AE654D">
            <w:pPr>
              <w:keepNext w:val="0"/>
              <w:keepLines w:val="0"/>
              <w:pageBreakBefore w:val="0"/>
              <w:tabs>
                <w:tab w:val="left" w:pos="397"/>
              </w:tabs>
              <w:kinsoku/>
              <w:wordWrap/>
              <w:overflowPunct/>
              <w:topLinePunct w:val="0"/>
              <w:autoSpaceDE/>
              <w:autoSpaceDN/>
              <w:bidi w:val="0"/>
              <w:adjustRightInd/>
              <w:snapToGrid/>
              <w:spacing w:line="420" w:lineRule="exact"/>
              <w:ind w:left="454" w:leftChars="0" w:hanging="454"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57C95C0E">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63637B3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5BCCDAFB">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较重</w:t>
            </w:r>
          </w:p>
        </w:tc>
        <w:tc>
          <w:tcPr>
            <w:tcW w:w="3345" w:type="dxa"/>
            <w:tcBorders>
              <w:tl2br w:val="nil"/>
              <w:tr2bl w:val="nil"/>
            </w:tcBorders>
            <w:noWrap w:val="0"/>
            <w:vAlign w:val="center"/>
          </w:tcPr>
          <w:p w14:paraId="3BED125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有下列情形之一的：</w:t>
            </w:r>
          </w:p>
          <w:p w14:paraId="56DB28C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cs="宋体"/>
                <w:b w:val="0"/>
                <w:bCs w:val="0"/>
                <w:color w:val="auto"/>
                <w:sz w:val="24"/>
                <w:szCs w:val="24"/>
                <w:lang w:val="en-US" w:eastAsia="zh-CN"/>
              </w:rPr>
              <w:t>(1)</w:t>
            </w:r>
            <w:r>
              <w:rPr>
                <w:rFonts w:hint="eastAsia" w:ascii="宋体" w:hAnsi="宋体" w:eastAsia="宋体" w:cs="宋体"/>
                <w:b w:val="0"/>
                <w:bCs w:val="0"/>
                <w:sz w:val="24"/>
                <w:szCs w:val="24"/>
              </w:rPr>
              <w:t>影响较大，广告费用在10万元以上的；</w:t>
            </w:r>
          </w:p>
          <w:p w14:paraId="1D0EC9D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cs="宋体"/>
                <w:b w:val="0"/>
                <w:bCs w:val="0"/>
                <w:color w:val="auto"/>
                <w:sz w:val="24"/>
                <w:szCs w:val="24"/>
                <w:lang w:val="en-US" w:eastAsia="zh-CN"/>
              </w:rPr>
              <w:t>(2)</w:t>
            </w:r>
            <w:r>
              <w:rPr>
                <w:rFonts w:hint="eastAsia" w:ascii="宋体" w:hAnsi="宋体" w:eastAsia="宋体" w:cs="宋体"/>
                <w:b w:val="0"/>
                <w:bCs w:val="0"/>
                <w:sz w:val="24"/>
                <w:szCs w:val="24"/>
              </w:rPr>
              <w:t>影响较大，广告费用无法计算或者明显偏低的。</w:t>
            </w:r>
          </w:p>
        </w:tc>
        <w:tc>
          <w:tcPr>
            <w:tcW w:w="3300" w:type="dxa"/>
            <w:tcBorders>
              <w:tl2br w:val="nil"/>
              <w:tr2bl w:val="nil"/>
            </w:tcBorders>
            <w:noWrap w:val="0"/>
            <w:vAlign w:val="center"/>
          </w:tcPr>
          <w:p w14:paraId="3969D99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责令</w:t>
            </w:r>
            <w:r>
              <w:rPr>
                <w:rFonts w:hint="eastAsia" w:ascii="宋体" w:hAnsi="宋体" w:cs="宋体"/>
                <w:b w:val="0"/>
                <w:bCs w:val="0"/>
                <w:color w:val="000000"/>
                <w:sz w:val="24"/>
                <w:szCs w:val="24"/>
                <w:lang w:eastAsia="zh-CN"/>
              </w:rPr>
              <w:t>广告主</w:t>
            </w:r>
            <w:r>
              <w:rPr>
                <w:rFonts w:hint="eastAsia" w:ascii="宋体" w:hAnsi="宋体" w:eastAsia="宋体" w:cs="宋体"/>
                <w:b w:val="0"/>
                <w:bCs w:val="0"/>
                <w:color w:val="000000"/>
                <w:sz w:val="24"/>
                <w:szCs w:val="24"/>
              </w:rPr>
              <w:t>停止发布广告，在相应范围内消除影响，处广告费用2倍以上3倍以下的罚款；广告费用无法计算或者明显偏低的，处10万元以上20万元以下的罚款。</w:t>
            </w:r>
            <w:r>
              <w:rPr>
                <w:rFonts w:hint="eastAsia" w:ascii="Calibri" w:hAnsi="Calibri" w:eastAsia="宋体" w:cs="Times New Roman"/>
                <w:b w:val="0"/>
                <w:color w:val="000000"/>
                <w:kern w:val="2"/>
                <w:sz w:val="24"/>
                <w:szCs w:val="24"/>
                <w:lang w:val="en-US" w:eastAsia="zh-CN" w:bidi="ar-SA"/>
              </w:rPr>
              <w:t>广告经营者、广告发布者明知或者应知有本条第一款规定违法行为仍设计、制作、代理、发布的，没收广告费用，并处广告费用</w:t>
            </w:r>
            <w:r>
              <w:rPr>
                <w:rFonts w:hint="eastAsia" w:eastAsia="宋体" w:cs="Times New Roman"/>
                <w:b w:val="0"/>
                <w:color w:val="000000"/>
                <w:kern w:val="2"/>
                <w:sz w:val="24"/>
                <w:szCs w:val="24"/>
                <w:lang w:val="en-US" w:eastAsia="zh-CN" w:bidi="ar-SA"/>
              </w:rPr>
              <w:t>2</w:t>
            </w:r>
            <w:r>
              <w:rPr>
                <w:rFonts w:hint="eastAsia" w:ascii="Calibri" w:hAnsi="Calibri" w:eastAsia="宋体" w:cs="Times New Roman"/>
                <w:b w:val="0"/>
                <w:color w:val="000000"/>
                <w:kern w:val="2"/>
                <w:sz w:val="24"/>
                <w:szCs w:val="24"/>
                <w:lang w:val="en-US" w:eastAsia="zh-CN" w:bidi="ar-SA"/>
              </w:rPr>
              <w:t>倍以上</w:t>
            </w:r>
            <w:r>
              <w:rPr>
                <w:rFonts w:hint="eastAsia" w:eastAsia="宋体" w:cs="Times New Roman"/>
                <w:b w:val="0"/>
                <w:color w:val="000000"/>
                <w:kern w:val="2"/>
                <w:sz w:val="24"/>
                <w:szCs w:val="24"/>
                <w:lang w:val="en-US" w:eastAsia="zh-CN" w:bidi="ar-SA"/>
              </w:rPr>
              <w:t>3</w:t>
            </w:r>
            <w:r>
              <w:rPr>
                <w:rFonts w:hint="eastAsia" w:ascii="Calibri" w:hAnsi="Calibri" w:eastAsia="宋体" w:cs="Times New Roman"/>
                <w:b w:val="0"/>
                <w:color w:val="000000"/>
                <w:kern w:val="2"/>
                <w:sz w:val="24"/>
                <w:szCs w:val="24"/>
                <w:lang w:val="en-US" w:eastAsia="zh-CN" w:bidi="ar-SA"/>
              </w:rPr>
              <w:t>倍以下的罚款，广告费用无法计算或者明显偏低的，处</w:t>
            </w:r>
            <w:r>
              <w:rPr>
                <w:rFonts w:hint="eastAsia" w:eastAsia="宋体" w:cs="Times New Roman"/>
                <w:b w:val="0"/>
                <w:color w:val="000000"/>
                <w:kern w:val="2"/>
                <w:sz w:val="24"/>
                <w:szCs w:val="24"/>
                <w:lang w:val="en-US" w:eastAsia="zh-CN" w:bidi="ar-SA"/>
              </w:rPr>
              <w:t>10</w:t>
            </w:r>
            <w:r>
              <w:rPr>
                <w:rFonts w:hint="eastAsia" w:ascii="Calibri" w:hAnsi="Calibri" w:eastAsia="宋体" w:cs="Times New Roman"/>
                <w:b w:val="0"/>
                <w:color w:val="000000"/>
                <w:kern w:val="2"/>
                <w:sz w:val="24"/>
                <w:szCs w:val="24"/>
                <w:lang w:val="en-US" w:eastAsia="zh-CN" w:bidi="ar-SA"/>
              </w:rPr>
              <w:t>万元以上</w:t>
            </w:r>
            <w:r>
              <w:rPr>
                <w:rFonts w:hint="eastAsia" w:eastAsia="宋体" w:cs="Times New Roman"/>
                <w:b w:val="0"/>
                <w:color w:val="000000"/>
                <w:kern w:val="2"/>
                <w:sz w:val="24"/>
                <w:szCs w:val="24"/>
                <w:lang w:val="en-US" w:eastAsia="zh-CN" w:bidi="ar-SA"/>
              </w:rPr>
              <w:t>20</w:t>
            </w:r>
            <w:r>
              <w:rPr>
                <w:rFonts w:hint="eastAsia" w:ascii="Calibri" w:hAnsi="Calibri" w:eastAsia="宋体" w:cs="Times New Roman"/>
                <w:b w:val="0"/>
                <w:color w:val="000000"/>
                <w:kern w:val="2"/>
                <w:sz w:val="24"/>
                <w:szCs w:val="24"/>
                <w:lang w:val="en-US" w:eastAsia="zh-CN" w:bidi="ar-SA"/>
              </w:rPr>
              <w:t>万元以下的罚款</w:t>
            </w:r>
            <w:r>
              <w:rPr>
                <w:rFonts w:hint="eastAsia" w:eastAsia="宋体" w:cs="Times New Roman"/>
                <w:b w:val="0"/>
                <w:color w:val="000000"/>
                <w:kern w:val="2"/>
                <w:sz w:val="24"/>
                <w:szCs w:val="24"/>
                <w:lang w:val="en-US" w:eastAsia="zh-CN" w:bidi="ar-SA"/>
              </w:rPr>
              <w:t>。</w:t>
            </w:r>
          </w:p>
        </w:tc>
      </w:tr>
      <w:tr w14:paraId="52D2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43" w:type="dxa"/>
            <w:vMerge w:val="continue"/>
            <w:tcBorders>
              <w:tl2br w:val="nil"/>
              <w:tr2bl w:val="nil"/>
            </w:tcBorders>
            <w:noWrap w:val="0"/>
            <w:vAlign w:val="center"/>
          </w:tcPr>
          <w:p w14:paraId="1837B0F8">
            <w:pPr>
              <w:keepNext w:val="0"/>
              <w:keepLines w:val="0"/>
              <w:pageBreakBefore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65712514">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5B1259F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5D3169C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严重</w:t>
            </w:r>
          </w:p>
        </w:tc>
        <w:tc>
          <w:tcPr>
            <w:tcW w:w="3345" w:type="dxa"/>
            <w:tcBorders>
              <w:tl2br w:val="nil"/>
              <w:tr2bl w:val="nil"/>
            </w:tcBorders>
            <w:noWrap w:val="0"/>
            <w:vAlign w:val="center"/>
          </w:tcPr>
          <w:p w14:paraId="4B1261EA">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2年内有3次以上违法行为或者有其他严重情节的。</w:t>
            </w:r>
          </w:p>
        </w:tc>
        <w:tc>
          <w:tcPr>
            <w:tcW w:w="3300" w:type="dxa"/>
            <w:tcBorders>
              <w:tl2br w:val="nil"/>
              <w:tr2bl w:val="nil"/>
            </w:tcBorders>
            <w:noWrap w:val="0"/>
            <w:vAlign w:val="center"/>
          </w:tcPr>
          <w:p w14:paraId="09A1E82B">
            <w:pPr>
              <w:keepNext w:val="0"/>
              <w:keepLines w:val="0"/>
              <w:pageBreakBefore w:val="0"/>
              <w:widowControl/>
              <w:kinsoku/>
              <w:wordWrap/>
              <w:overflowPunct/>
              <w:topLinePunct w:val="0"/>
              <w:autoSpaceDE/>
              <w:autoSpaceDN/>
              <w:bidi w:val="0"/>
              <w:adjustRightInd/>
              <w:snapToGrid/>
              <w:spacing w:line="420" w:lineRule="exact"/>
              <w:jc w:val="both"/>
              <w:textAlignment w:val="auto"/>
              <w:rPr>
                <w:rFonts w:hint="eastAsia" w:ascii="宋体" w:hAnsi="宋体" w:cs="宋体"/>
                <w:sz w:val="24"/>
                <w:szCs w:val="24"/>
              </w:rPr>
            </w:pPr>
            <w:r>
              <w:rPr>
                <w:rFonts w:hint="eastAsia" w:ascii="宋体" w:hAnsi="宋体" w:cs="宋体"/>
                <w:sz w:val="24"/>
                <w:szCs w:val="24"/>
              </w:rPr>
              <w:t>责令</w:t>
            </w:r>
            <w:r>
              <w:rPr>
                <w:rFonts w:hint="eastAsia" w:ascii="宋体" w:hAnsi="宋体" w:cs="宋体"/>
                <w:sz w:val="24"/>
                <w:szCs w:val="24"/>
                <w:lang w:eastAsia="zh-CN"/>
              </w:rPr>
              <w:t>广告主</w:t>
            </w:r>
            <w:r>
              <w:rPr>
                <w:rFonts w:hint="eastAsia" w:ascii="宋体" w:hAnsi="宋体" w:cs="宋体"/>
                <w:sz w:val="24"/>
                <w:szCs w:val="24"/>
              </w:rPr>
              <w:t>停止发布广告，在相应范围内消除影响，处广告费用3倍以上5倍以下的罚款；广告费用无法计算或者明显偏低的，处20万元以上100万元以下的罚款，可以吊销营业执照，由广告审查机关撤销广告审查批准文件。</w:t>
            </w:r>
          </w:p>
          <w:p w14:paraId="36A4299E">
            <w:pPr>
              <w:keepNext w:val="0"/>
              <w:keepLines w:val="0"/>
              <w:spacing w:line="420" w:lineRule="exact"/>
              <w:textAlignment w:val="auto"/>
              <w:rPr>
                <w:rFonts w:hint="eastAsia"/>
                <w:color w:val="000000"/>
                <w:sz w:val="24"/>
                <w:szCs w:val="24"/>
              </w:rPr>
            </w:pPr>
            <w:r>
              <w:rPr>
                <w:rFonts w:hint="eastAsia" w:ascii="宋体" w:hAnsi="宋体" w:eastAsia="宋体" w:cs="宋体"/>
                <w:b w:val="0"/>
                <w:kern w:val="2"/>
                <w:sz w:val="24"/>
                <w:szCs w:val="24"/>
                <w:lang w:val="en-US" w:eastAsia="zh-CN" w:bidi="ar-SA"/>
              </w:rPr>
              <w:t>广告经营者、广告发布者明知或者应知有本条第一款规定违法行为仍设计、制作、代理、发布的，没收广告费用，，处广告费用3倍以上5倍以下的罚款，广告费用无法计算或者明显偏低的，处</w:t>
            </w:r>
            <w:r>
              <w:rPr>
                <w:rFonts w:hint="eastAsia" w:ascii="宋体" w:hAnsi="宋体" w:cs="宋体"/>
                <w:b w:val="0"/>
                <w:kern w:val="2"/>
                <w:sz w:val="24"/>
                <w:szCs w:val="24"/>
                <w:lang w:val="en-US" w:eastAsia="zh-CN" w:bidi="ar-SA"/>
              </w:rPr>
              <w:t>20</w:t>
            </w:r>
            <w:r>
              <w:rPr>
                <w:rFonts w:hint="eastAsia" w:ascii="宋体" w:hAnsi="宋体" w:eastAsia="宋体" w:cs="宋体"/>
                <w:b w:val="0"/>
                <w:kern w:val="2"/>
                <w:sz w:val="24"/>
                <w:szCs w:val="24"/>
                <w:lang w:val="en-US" w:eastAsia="zh-CN" w:bidi="ar-SA"/>
              </w:rPr>
              <w:t>万元以上</w:t>
            </w:r>
            <w:r>
              <w:rPr>
                <w:rFonts w:hint="eastAsia" w:ascii="宋体" w:hAnsi="宋体" w:cs="宋体"/>
                <w:b w:val="0"/>
                <w:kern w:val="2"/>
                <w:sz w:val="24"/>
                <w:szCs w:val="24"/>
                <w:lang w:val="en-US" w:eastAsia="zh-CN" w:bidi="ar-SA"/>
              </w:rPr>
              <w:t>100</w:t>
            </w:r>
            <w:r>
              <w:rPr>
                <w:rFonts w:hint="eastAsia" w:ascii="宋体" w:hAnsi="宋体" w:eastAsia="宋体" w:cs="宋体"/>
                <w:b w:val="0"/>
                <w:kern w:val="2"/>
                <w:sz w:val="24"/>
                <w:szCs w:val="24"/>
                <w:lang w:val="en-US" w:eastAsia="zh-CN" w:bidi="ar-SA"/>
              </w:rPr>
              <w:t>万元以下的罚款，并可以由有关部门暂停广告发布业务、吊销营业执照。</w:t>
            </w:r>
          </w:p>
        </w:tc>
      </w:tr>
      <w:tr w14:paraId="6DB6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jc w:val="center"/>
        </w:trPr>
        <w:tc>
          <w:tcPr>
            <w:tcW w:w="643" w:type="dxa"/>
            <w:vMerge w:val="restart"/>
            <w:tcBorders>
              <w:tl2br w:val="nil"/>
              <w:tr2bl w:val="nil"/>
            </w:tcBorders>
            <w:noWrap w:val="0"/>
            <w:vAlign w:val="center"/>
          </w:tcPr>
          <w:p w14:paraId="3C20CB82">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51</w:t>
            </w:r>
          </w:p>
        </w:tc>
        <w:tc>
          <w:tcPr>
            <w:tcW w:w="1512" w:type="dxa"/>
            <w:vMerge w:val="restart"/>
            <w:tcBorders>
              <w:tl2br w:val="nil"/>
              <w:tr2bl w:val="nil"/>
            </w:tcBorders>
            <w:noWrap w:val="0"/>
            <w:vAlign w:val="center"/>
          </w:tcPr>
          <w:p w14:paraId="5E5EAFD9">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《互联网广告管理办法》</w:t>
            </w:r>
          </w:p>
        </w:tc>
        <w:tc>
          <w:tcPr>
            <w:tcW w:w="4200" w:type="dxa"/>
            <w:vMerge w:val="restart"/>
            <w:tcBorders>
              <w:tl2br w:val="nil"/>
              <w:tr2bl w:val="nil"/>
            </w:tcBorders>
            <w:noWrap w:val="0"/>
            <w:vAlign w:val="center"/>
          </w:tcPr>
          <w:p w14:paraId="6C766AF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《互联网广告管理办法》第二十五条</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违反本办法第八条、第九条规定，变相发布医疗、药品、医疗器械、保健食品、特殊医学用途配方食品广告，或者互联网广告不具有可识别性的，依照广告法第五十九条第三款规定予以处罚。</w:t>
            </w:r>
          </w:p>
          <w:p w14:paraId="746E633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《广告法》</w:t>
            </w:r>
            <w:r>
              <w:rPr>
                <w:rFonts w:hint="eastAsia" w:ascii="宋体" w:hAnsi="宋体" w:eastAsia="宋体" w:cs="宋体"/>
                <w:b w:val="0"/>
                <w:bCs w:val="0"/>
                <w:sz w:val="24"/>
                <w:szCs w:val="24"/>
              </w:rPr>
              <w:t>第五十九条第三款</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广告违反本法第十四条规定，不具有可识别性的，或者违反本法第十九条规定，变相发布医疗、药品、医疗器械、保健食品广告的，由市场监督管理部门责令改正，对广告发布者处十万元以下的罚款。</w:t>
            </w:r>
          </w:p>
        </w:tc>
        <w:tc>
          <w:tcPr>
            <w:tcW w:w="1123" w:type="dxa"/>
            <w:tcBorders>
              <w:tl2br w:val="nil"/>
              <w:tr2bl w:val="nil"/>
            </w:tcBorders>
            <w:noWrap w:val="0"/>
            <w:vAlign w:val="center"/>
          </w:tcPr>
          <w:p w14:paraId="6A88CA6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较轻</w:t>
            </w:r>
          </w:p>
        </w:tc>
        <w:tc>
          <w:tcPr>
            <w:tcW w:w="3345" w:type="dxa"/>
            <w:tcBorders>
              <w:tl2br w:val="nil"/>
              <w:tr2bl w:val="nil"/>
            </w:tcBorders>
            <w:noWrap w:val="0"/>
            <w:vAlign w:val="center"/>
          </w:tcPr>
          <w:p w14:paraId="0E41D1F2">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影响较小，广告费用在2万元以下的。</w:t>
            </w:r>
          </w:p>
        </w:tc>
        <w:tc>
          <w:tcPr>
            <w:tcW w:w="3300" w:type="dxa"/>
            <w:tcBorders>
              <w:tl2br w:val="nil"/>
              <w:tr2bl w:val="nil"/>
            </w:tcBorders>
            <w:noWrap w:val="0"/>
            <w:vAlign w:val="center"/>
          </w:tcPr>
          <w:p w14:paraId="50A9A05A">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广告发布者有第三款情形的，责令改正，处2万元以下的罚款。</w:t>
            </w:r>
          </w:p>
        </w:tc>
      </w:tr>
      <w:tr w14:paraId="4EA7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5" w:hRule="atLeast"/>
          <w:jc w:val="center"/>
        </w:trPr>
        <w:tc>
          <w:tcPr>
            <w:tcW w:w="643" w:type="dxa"/>
            <w:vMerge w:val="continue"/>
            <w:tcBorders>
              <w:tl2br w:val="nil"/>
              <w:tr2bl w:val="nil"/>
            </w:tcBorders>
            <w:noWrap w:val="0"/>
            <w:vAlign w:val="center"/>
          </w:tcPr>
          <w:p w14:paraId="63C42E7A">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4C76B80F">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04818D12">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19E9AC9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一般</w:t>
            </w:r>
          </w:p>
        </w:tc>
        <w:tc>
          <w:tcPr>
            <w:tcW w:w="3345" w:type="dxa"/>
            <w:tcBorders>
              <w:tl2br w:val="nil"/>
              <w:tr2bl w:val="nil"/>
            </w:tcBorders>
            <w:noWrap w:val="0"/>
            <w:vAlign w:val="center"/>
          </w:tcPr>
          <w:p w14:paraId="677889D3">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影响小，广告费用在2万元以上5万元以下的。</w:t>
            </w:r>
          </w:p>
        </w:tc>
        <w:tc>
          <w:tcPr>
            <w:tcW w:w="3300" w:type="dxa"/>
            <w:tcBorders>
              <w:tl2br w:val="nil"/>
              <w:tr2bl w:val="nil"/>
            </w:tcBorders>
            <w:noWrap w:val="0"/>
            <w:vAlign w:val="center"/>
          </w:tcPr>
          <w:p w14:paraId="7D08610B">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pacing w:val="-6"/>
                <w:sz w:val="24"/>
                <w:szCs w:val="24"/>
              </w:rPr>
              <w:t>广告发布者有第三款情形的，责令改正，处2万元以上5万元以下的罚款。</w:t>
            </w:r>
          </w:p>
        </w:tc>
      </w:tr>
      <w:tr w14:paraId="3E02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643" w:type="dxa"/>
            <w:vMerge w:val="continue"/>
            <w:tcBorders>
              <w:tl2br w:val="nil"/>
              <w:tr2bl w:val="nil"/>
            </w:tcBorders>
            <w:noWrap w:val="0"/>
            <w:vAlign w:val="center"/>
          </w:tcPr>
          <w:p w14:paraId="578E58A7">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341358E2">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458668DB">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1BD1F3FC">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较重</w:t>
            </w:r>
          </w:p>
        </w:tc>
        <w:tc>
          <w:tcPr>
            <w:tcW w:w="3345" w:type="dxa"/>
            <w:tcBorders>
              <w:tl2br w:val="nil"/>
              <w:tr2bl w:val="nil"/>
            </w:tcBorders>
            <w:noWrap w:val="0"/>
            <w:vAlign w:val="center"/>
          </w:tcPr>
          <w:p w14:paraId="657432A2">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影响较大，广告费用5万元以上10万元以下的。</w:t>
            </w:r>
          </w:p>
        </w:tc>
        <w:tc>
          <w:tcPr>
            <w:tcW w:w="3300" w:type="dxa"/>
            <w:tcBorders>
              <w:tl2br w:val="nil"/>
              <w:tr2bl w:val="nil"/>
            </w:tcBorders>
            <w:noWrap w:val="0"/>
            <w:vAlign w:val="center"/>
          </w:tcPr>
          <w:p w14:paraId="4200AF98">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广告发布者有第三款情形的，责令改正，处5万</w:t>
            </w:r>
            <w:r>
              <w:rPr>
                <w:rFonts w:hint="eastAsia" w:ascii="宋体" w:hAnsi="宋体" w:eastAsia="宋体" w:cs="宋体"/>
                <w:b w:val="0"/>
                <w:bCs w:val="0"/>
                <w:spacing w:val="-6"/>
                <w:sz w:val="24"/>
                <w:szCs w:val="24"/>
              </w:rPr>
              <w:t>元以上8万元以下的罚款。</w:t>
            </w:r>
          </w:p>
        </w:tc>
      </w:tr>
      <w:tr w14:paraId="1860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6" w:hRule="atLeast"/>
          <w:jc w:val="center"/>
        </w:trPr>
        <w:tc>
          <w:tcPr>
            <w:tcW w:w="643" w:type="dxa"/>
            <w:vMerge w:val="continue"/>
            <w:tcBorders>
              <w:tl2br w:val="nil"/>
              <w:tr2bl w:val="nil"/>
            </w:tcBorders>
            <w:noWrap w:val="0"/>
            <w:vAlign w:val="center"/>
          </w:tcPr>
          <w:p w14:paraId="721278BD">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6DF66EBD">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095099A6">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563BA53C">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严重</w:t>
            </w:r>
          </w:p>
        </w:tc>
        <w:tc>
          <w:tcPr>
            <w:tcW w:w="3345" w:type="dxa"/>
            <w:tcBorders>
              <w:tl2br w:val="nil"/>
              <w:tr2bl w:val="nil"/>
            </w:tcBorders>
            <w:noWrap w:val="0"/>
            <w:vAlign w:val="center"/>
          </w:tcPr>
          <w:p w14:paraId="6F37EF4B">
            <w:pPr>
              <w:keepNext w:val="0"/>
              <w:keepLines w:val="0"/>
              <w:pageBreakBefore w:val="0"/>
              <w:widowControl w:val="0"/>
              <w:kinsoku/>
              <w:wordWrap/>
              <w:overflowPunct/>
              <w:topLinePunct w:val="0"/>
              <w:autoSpaceDE/>
              <w:autoSpaceDN/>
              <w:bidi w:val="0"/>
              <w:adjustRightInd/>
              <w:snapToGrid/>
              <w:spacing w:line="37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有下列情形之一的：</w:t>
            </w:r>
          </w:p>
          <w:p w14:paraId="7F894BE2">
            <w:pPr>
              <w:keepNext w:val="0"/>
              <w:keepLines w:val="0"/>
              <w:pageBreakBefore w:val="0"/>
              <w:widowControl w:val="0"/>
              <w:kinsoku/>
              <w:wordWrap/>
              <w:overflowPunct/>
              <w:topLinePunct w:val="0"/>
              <w:autoSpaceDE/>
              <w:autoSpaceDN/>
              <w:bidi w:val="0"/>
              <w:adjustRightInd/>
              <w:snapToGrid/>
              <w:spacing w:line="370" w:lineRule="exact"/>
              <w:jc w:val="both"/>
              <w:textAlignment w:val="auto"/>
              <w:rPr>
                <w:rFonts w:hint="eastAsia" w:ascii="宋体" w:hAnsi="宋体" w:eastAsia="宋体" w:cs="宋体"/>
                <w:b w:val="0"/>
                <w:bCs w:val="0"/>
                <w:sz w:val="24"/>
                <w:szCs w:val="24"/>
              </w:rPr>
            </w:pPr>
            <w:r>
              <w:rPr>
                <w:rFonts w:hint="eastAsia" w:ascii="宋体" w:hAnsi="宋体" w:cs="宋体"/>
                <w:b w:val="0"/>
                <w:bCs w:val="0"/>
                <w:color w:val="auto"/>
                <w:sz w:val="24"/>
                <w:szCs w:val="24"/>
                <w:lang w:val="en-US" w:eastAsia="zh-CN"/>
              </w:rPr>
              <w:t>(1)</w:t>
            </w:r>
            <w:r>
              <w:rPr>
                <w:rFonts w:hint="eastAsia" w:ascii="宋体" w:hAnsi="宋体" w:eastAsia="宋体" w:cs="宋体"/>
                <w:b w:val="0"/>
                <w:bCs w:val="0"/>
                <w:sz w:val="24"/>
                <w:szCs w:val="24"/>
              </w:rPr>
              <w:t>造成重大影响的；</w:t>
            </w:r>
          </w:p>
          <w:p w14:paraId="3ADF7285">
            <w:pPr>
              <w:keepNext w:val="0"/>
              <w:keepLines w:val="0"/>
              <w:pageBreakBefore w:val="0"/>
              <w:widowControl w:val="0"/>
              <w:kinsoku/>
              <w:wordWrap/>
              <w:overflowPunct/>
              <w:topLinePunct w:val="0"/>
              <w:autoSpaceDE/>
              <w:autoSpaceDN/>
              <w:bidi w:val="0"/>
              <w:adjustRightInd/>
              <w:snapToGrid/>
              <w:spacing w:line="370" w:lineRule="exact"/>
              <w:jc w:val="both"/>
              <w:textAlignment w:val="auto"/>
              <w:rPr>
                <w:rFonts w:hint="eastAsia" w:ascii="宋体" w:hAnsi="宋体" w:eastAsia="宋体" w:cs="宋体"/>
                <w:b w:val="0"/>
                <w:bCs w:val="0"/>
                <w:sz w:val="24"/>
                <w:szCs w:val="24"/>
              </w:rPr>
            </w:pPr>
            <w:r>
              <w:rPr>
                <w:rFonts w:hint="eastAsia" w:ascii="宋体" w:hAnsi="宋体" w:cs="宋体"/>
                <w:b w:val="0"/>
                <w:bCs w:val="0"/>
                <w:color w:val="auto"/>
                <w:sz w:val="24"/>
                <w:szCs w:val="24"/>
                <w:lang w:val="en-US" w:eastAsia="zh-CN"/>
              </w:rPr>
              <w:t>(2)</w:t>
            </w:r>
            <w:r>
              <w:rPr>
                <w:rFonts w:hint="eastAsia" w:ascii="宋体" w:hAnsi="宋体" w:eastAsia="宋体" w:cs="宋体"/>
                <w:b w:val="0"/>
                <w:bCs w:val="0"/>
                <w:sz w:val="24"/>
                <w:szCs w:val="24"/>
              </w:rPr>
              <w:t>广告费用10万元以上的；</w:t>
            </w:r>
          </w:p>
          <w:p w14:paraId="0ACB4C6D">
            <w:pPr>
              <w:keepNext w:val="0"/>
              <w:keepLines w:val="0"/>
              <w:pageBreakBefore w:val="0"/>
              <w:widowControl w:val="0"/>
              <w:kinsoku/>
              <w:wordWrap/>
              <w:overflowPunct/>
              <w:topLinePunct w:val="0"/>
              <w:autoSpaceDE/>
              <w:autoSpaceDN/>
              <w:bidi w:val="0"/>
              <w:adjustRightInd/>
              <w:snapToGrid/>
              <w:spacing w:line="370" w:lineRule="exact"/>
              <w:jc w:val="both"/>
              <w:textAlignment w:val="auto"/>
              <w:rPr>
                <w:rFonts w:hint="eastAsia" w:ascii="宋体" w:hAnsi="宋体" w:eastAsia="宋体" w:cs="宋体"/>
                <w:b w:val="0"/>
                <w:bCs w:val="0"/>
                <w:sz w:val="24"/>
                <w:szCs w:val="24"/>
              </w:rPr>
            </w:pPr>
            <w:r>
              <w:rPr>
                <w:rFonts w:hint="eastAsia" w:ascii="宋体" w:hAnsi="宋体" w:cs="宋体"/>
                <w:b w:val="0"/>
                <w:bCs w:val="0"/>
                <w:color w:val="auto"/>
                <w:sz w:val="24"/>
                <w:szCs w:val="24"/>
                <w:lang w:val="en-US" w:eastAsia="zh-CN"/>
              </w:rPr>
              <w:t>(3)</w:t>
            </w:r>
            <w:r>
              <w:rPr>
                <w:rFonts w:hint="eastAsia" w:ascii="宋体" w:hAnsi="宋体" w:eastAsia="宋体" w:cs="宋体"/>
                <w:b w:val="0"/>
                <w:bCs w:val="0"/>
                <w:sz w:val="24"/>
                <w:szCs w:val="24"/>
              </w:rPr>
              <w:t>2年内有3次以上违法行为或者有其他严重情节的。</w:t>
            </w:r>
          </w:p>
        </w:tc>
        <w:tc>
          <w:tcPr>
            <w:tcW w:w="3300" w:type="dxa"/>
            <w:tcBorders>
              <w:tl2br w:val="nil"/>
              <w:tr2bl w:val="nil"/>
            </w:tcBorders>
            <w:noWrap w:val="0"/>
            <w:vAlign w:val="center"/>
          </w:tcPr>
          <w:p w14:paraId="76B04144">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广告发布者有第三款情形的，责令改正，处8万</w:t>
            </w:r>
            <w:r>
              <w:rPr>
                <w:rFonts w:hint="eastAsia" w:ascii="宋体" w:hAnsi="宋体" w:eastAsia="宋体" w:cs="宋体"/>
                <w:b w:val="0"/>
                <w:bCs w:val="0"/>
                <w:spacing w:val="-6"/>
                <w:sz w:val="24"/>
                <w:szCs w:val="24"/>
              </w:rPr>
              <w:t>元以上10万元以下的罚款。</w:t>
            </w:r>
          </w:p>
        </w:tc>
      </w:tr>
      <w:tr w14:paraId="22E4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643" w:type="dxa"/>
            <w:vMerge w:val="restart"/>
            <w:tcBorders>
              <w:tl2br w:val="nil"/>
              <w:tr2bl w:val="nil"/>
            </w:tcBorders>
            <w:noWrap w:val="0"/>
            <w:vAlign w:val="center"/>
          </w:tcPr>
          <w:p w14:paraId="53B51463">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 w:eastAsia="zh-CN"/>
              </w:rPr>
            </w:pPr>
            <w:r>
              <w:rPr>
                <w:rFonts w:hint="eastAsia" w:ascii="宋体" w:hAnsi="宋体" w:eastAsia="宋体" w:cs="宋体"/>
                <w:b w:val="0"/>
                <w:bCs w:val="0"/>
                <w:sz w:val="24"/>
                <w:szCs w:val="24"/>
                <w:lang w:val="en"/>
              </w:rPr>
              <w:t>5</w:t>
            </w:r>
            <w:r>
              <w:rPr>
                <w:rFonts w:hint="eastAsia" w:ascii="宋体" w:hAnsi="宋体" w:eastAsia="宋体" w:cs="宋体"/>
                <w:b w:val="0"/>
                <w:bCs w:val="0"/>
                <w:sz w:val="24"/>
                <w:szCs w:val="24"/>
                <w:lang w:val="en-US" w:eastAsia="zh-CN"/>
              </w:rPr>
              <w:t>2</w:t>
            </w:r>
          </w:p>
        </w:tc>
        <w:tc>
          <w:tcPr>
            <w:tcW w:w="1512" w:type="dxa"/>
            <w:vMerge w:val="restart"/>
            <w:tcBorders>
              <w:tl2br w:val="nil"/>
              <w:tr2bl w:val="nil"/>
            </w:tcBorders>
            <w:noWrap w:val="0"/>
            <w:vAlign w:val="center"/>
          </w:tcPr>
          <w:p w14:paraId="3EEB029F">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《互联网广告管理办法》</w:t>
            </w:r>
          </w:p>
        </w:tc>
        <w:tc>
          <w:tcPr>
            <w:tcW w:w="4200" w:type="dxa"/>
            <w:vMerge w:val="restart"/>
            <w:tcBorders>
              <w:tl2br w:val="nil"/>
              <w:tr2bl w:val="nil"/>
            </w:tcBorders>
            <w:noWrap w:val="0"/>
            <w:vAlign w:val="center"/>
          </w:tcPr>
          <w:p w14:paraId="3A38F501">
            <w:pPr>
              <w:keepNext w:val="0"/>
              <w:keepLines w:val="0"/>
              <w:pageBreakBefore w:val="0"/>
              <w:widowControl w:val="0"/>
              <w:kinsoku/>
              <w:wordWrap/>
              <w:overflowPunct/>
              <w:topLinePunct w:val="0"/>
              <w:autoSpaceDE/>
              <w:autoSpaceDN/>
              <w:bidi w:val="0"/>
              <w:adjustRightInd/>
              <w:snapToGrid/>
              <w:spacing w:line="450" w:lineRule="exact"/>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《互联网广告管理办法》第二十六条第一款</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违反本办法第十条规定，以弹出等形式发布互联网广告，未显著标明关闭标志，确保一键关闭的，依照广告法第六十二条第二款规定予以处罚</w:t>
            </w:r>
            <w:r>
              <w:rPr>
                <w:rFonts w:hint="eastAsia" w:ascii="宋体" w:hAnsi="宋体" w:eastAsia="宋体" w:cs="宋体"/>
                <w:b w:val="0"/>
                <w:bCs w:val="0"/>
                <w:sz w:val="24"/>
                <w:szCs w:val="24"/>
                <w:lang w:eastAsia="zh-CN"/>
              </w:rPr>
              <w:t>。</w:t>
            </w:r>
          </w:p>
          <w:p w14:paraId="6A07B8FB">
            <w:pPr>
              <w:keepNext w:val="0"/>
              <w:keepLines w:val="0"/>
              <w:pageBreakBefore w:val="0"/>
              <w:widowControl w:val="0"/>
              <w:kinsoku/>
              <w:wordWrap/>
              <w:overflowPunct/>
              <w:topLinePunct w:val="0"/>
              <w:autoSpaceDE/>
              <w:autoSpaceDN/>
              <w:bidi w:val="0"/>
              <w:adjustRightInd/>
              <w:snapToGrid/>
              <w:spacing w:line="45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广告法</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第六十二条第二款</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违反本法第四十四条第二款规定，利用互联网发布广告，未显著标明关闭标志，确保一键关闭的，由市场监督管理部门责令改正，对广告主处五千元以上三万元以下的罚款。</w:t>
            </w:r>
          </w:p>
        </w:tc>
        <w:tc>
          <w:tcPr>
            <w:tcW w:w="1123" w:type="dxa"/>
            <w:tcBorders>
              <w:tl2br w:val="nil"/>
              <w:tr2bl w:val="nil"/>
            </w:tcBorders>
            <w:noWrap w:val="0"/>
            <w:vAlign w:val="center"/>
          </w:tcPr>
          <w:p w14:paraId="22274BA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较轻</w:t>
            </w:r>
          </w:p>
        </w:tc>
        <w:tc>
          <w:tcPr>
            <w:tcW w:w="3345" w:type="dxa"/>
            <w:tcBorders>
              <w:tl2br w:val="nil"/>
              <w:tr2bl w:val="nil"/>
            </w:tcBorders>
            <w:noWrap w:val="0"/>
            <w:vAlign w:val="center"/>
          </w:tcPr>
          <w:p w14:paraId="0210744E">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影响较小，广告费用在2万元以下的。</w:t>
            </w:r>
          </w:p>
        </w:tc>
        <w:tc>
          <w:tcPr>
            <w:tcW w:w="3300" w:type="dxa"/>
            <w:tcBorders>
              <w:tl2br w:val="nil"/>
              <w:tr2bl w:val="nil"/>
            </w:tcBorders>
            <w:noWrap w:val="0"/>
            <w:vAlign w:val="center"/>
          </w:tcPr>
          <w:p w14:paraId="315EAF13">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处5千元以上1</w:t>
            </w:r>
            <w:r>
              <w:rPr>
                <w:rFonts w:hint="eastAsia" w:ascii="宋体" w:hAnsi="宋体" w:eastAsia="宋体" w:cs="宋体"/>
                <w:b w:val="0"/>
                <w:bCs w:val="0"/>
                <w:sz w:val="24"/>
                <w:szCs w:val="24"/>
                <w:lang w:val="en-US" w:eastAsia="zh-CN"/>
              </w:rPr>
              <w:t>.25</w:t>
            </w:r>
            <w:r>
              <w:rPr>
                <w:rFonts w:hint="eastAsia" w:ascii="宋体" w:hAnsi="宋体" w:eastAsia="宋体" w:cs="宋体"/>
                <w:b w:val="0"/>
                <w:bCs w:val="0"/>
                <w:sz w:val="24"/>
                <w:szCs w:val="24"/>
              </w:rPr>
              <w:t>万元以下的罚款。</w:t>
            </w:r>
          </w:p>
        </w:tc>
      </w:tr>
      <w:tr w14:paraId="56D5E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643" w:type="dxa"/>
            <w:vMerge w:val="continue"/>
            <w:tcBorders>
              <w:tl2br w:val="nil"/>
              <w:tr2bl w:val="nil"/>
            </w:tcBorders>
            <w:noWrap w:val="0"/>
            <w:vAlign w:val="center"/>
          </w:tcPr>
          <w:p w14:paraId="3490E624">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52FD7CA1">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3E59A6D4">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0D8CF42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一般</w:t>
            </w:r>
          </w:p>
        </w:tc>
        <w:tc>
          <w:tcPr>
            <w:tcW w:w="3345" w:type="dxa"/>
            <w:tcBorders>
              <w:tl2br w:val="nil"/>
              <w:tr2bl w:val="nil"/>
            </w:tcBorders>
            <w:noWrap w:val="0"/>
            <w:vAlign w:val="center"/>
          </w:tcPr>
          <w:p w14:paraId="57D49631">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影响小，广告费用2万元以上10万元以下的。</w:t>
            </w:r>
          </w:p>
        </w:tc>
        <w:tc>
          <w:tcPr>
            <w:tcW w:w="3300" w:type="dxa"/>
            <w:tcBorders>
              <w:tl2br w:val="nil"/>
              <w:tr2bl w:val="nil"/>
            </w:tcBorders>
            <w:noWrap w:val="0"/>
            <w:vAlign w:val="center"/>
          </w:tcPr>
          <w:p w14:paraId="03880CC7">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处1</w:t>
            </w:r>
            <w:r>
              <w:rPr>
                <w:rFonts w:hint="eastAsia" w:ascii="宋体" w:hAnsi="宋体" w:eastAsia="宋体" w:cs="宋体"/>
                <w:b w:val="0"/>
                <w:bCs w:val="0"/>
                <w:sz w:val="24"/>
                <w:szCs w:val="24"/>
                <w:lang w:val="en-US" w:eastAsia="zh-CN"/>
              </w:rPr>
              <w:t>.25</w:t>
            </w:r>
            <w:r>
              <w:rPr>
                <w:rFonts w:hint="eastAsia" w:ascii="宋体" w:hAnsi="宋体" w:eastAsia="宋体" w:cs="宋体"/>
                <w:b w:val="0"/>
                <w:bCs w:val="0"/>
                <w:sz w:val="24"/>
                <w:szCs w:val="24"/>
              </w:rPr>
              <w:t>万元以上</w:t>
            </w:r>
            <w:r>
              <w:rPr>
                <w:rFonts w:hint="eastAsia" w:ascii="宋体" w:hAnsi="宋体" w:eastAsia="宋体" w:cs="宋体"/>
                <w:b w:val="0"/>
                <w:bCs w:val="0"/>
                <w:sz w:val="24"/>
                <w:szCs w:val="24"/>
                <w:lang w:val="en-US" w:eastAsia="zh-CN"/>
              </w:rPr>
              <w:t>2.25</w:t>
            </w:r>
            <w:r>
              <w:rPr>
                <w:rFonts w:hint="eastAsia" w:ascii="宋体" w:hAnsi="宋体" w:eastAsia="宋体" w:cs="宋体"/>
                <w:b w:val="0"/>
                <w:bCs w:val="0"/>
                <w:sz w:val="24"/>
                <w:szCs w:val="24"/>
              </w:rPr>
              <w:t>万元以下的罚款。</w:t>
            </w:r>
          </w:p>
        </w:tc>
      </w:tr>
      <w:tr w14:paraId="24535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Merge w:val="continue"/>
            <w:tcBorders>
              <w:tl2br w:val="nil"/>
              <w:tr2bl w:val="nil"/>
            </w:tcBorders>
            <w:noWrap w:val="0"/>
            <w:vAlign w:val="center"/>
          </w:tcPr>
          <w:p w14:paraId="5A091C07">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30B8FDB8">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64CC6ECD">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14854C6C">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较重</w:t>
            </w:r>
          </w:p>
        </w:tc>
        <w:tc>
          <w:tcPr>
            <w:tcW w:w="3345" w:type="dxa"/>
            <w:tcBorders>
              <w:tl2br w:val="nil"/>
              <w:tr2bl w:val="nil"/>
            </w:tcBorders>
            <w:noWrap w:val="0"/>
            <w:vAlign w:val="center"/>
          </w:tcPr>
          <w:p w14:paraId="28FCF88A">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有下列情形之一的：</w:t>
            </w:r>
          </w:p>
          <w:p w14:paraId="2728CEFF">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⑴造成重大影响的；</w:t>
            </w:r>
          </w:p>
          <w:p w14:paraId="128F4D68">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⑵广告费用10万元以上的。</w:t>
            </w:r>
          </w:p>
        </w:tc>
        <w:tc>
          <w:tcPr>
            <w:tcW w:w="3300" w:type="dxa"/>
            <w:tcBorders>
              <w:tl2br w:val="nil"/>
              <w:tr2bl w:val="nil"/>
            </w:tcBorders>
            <w:noWrap w:val="0"/>
            <w:vAlign w:val="center"/>
          </w:tcPr>
          <w:p w14:paraId="36088216">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处2</w:t>
            </w:r>
            <w:r>
              <w:rPr>
                <w:rFonts w:hint="eastAsia" w:ascii="宋体" w:hAnsi="宋体" w:eastAsia="宋体" w:cs="宋体"/>
                <w:b w:val="0"/>
                <w:bCs w:val="0"/>
                <w:sz w:val="24"/>
                <w:szCs w:val="24"/>
                <w:lang w:val="en-US" w:eastAsia="zh-CN"/>
              </w:rPr>
              <w:t>.25</w:t>
            </w:r>
            <w:r>
              <w:rPr>
                <w:rFonts w:hint="eastAsia" w:ascii="宋体" w:hAnsi="宋体" w:eastAsia="宋体" w:cs="宋体"/>
                <w:b w:val="0"/>
                <w:bCs w:val="0"/>
                <w:sz w:val="24"/>
                <w:szCs w:val="24"/>
              </w:rPr>
              <w:t>万元以上3万元以下的罚款。</w:t>
            </w:r>
          </w:p>
        </w:tc>
      </w:tr>
      <w:tr w14:paraId="74A4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43" w:type="dxa"/>
            <w:vMerge w:val="restart"/>
            <w:tcBorders>
              <w:tl2br w:val="nil"/>
              <w:tr2bl w:val="nil"/>
            </w:tcBorders>
            <w:noWrap w:val="0"/>
            <w:vAlign w:val="center"/>
          </w:tcPr>
          <w:p w14:paraId="643AD94B">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 w:eastAsia="zh-CN"/>
              </w:rPr>
            </w:pPr>
            <w:r>
              <w:rPr>
                <w:rFonts w:hint="eastAsia" w:ascii="宋体" w:hAnsi="宋体" w:eastAsia="宋体" w:cs="宋体"/>
                <w:b w:val="0"/>
                <w:bCs w:val="0"/>
                <w:sz w:val="24"/>
                <w:szCs w:val="24"/>
                <w:lang w:val="en"/>
              </w:rPr>
              <w:t>5</w:t>
            </w:r>
            <w:r>
              <w:rPr>
                <w:rFonts w:hint="eastAsia" w:ascii="宋体" w:hAnsi="宋体" w:eastAsia="宋体" w:cs="宋体"/>
                <w:b w:val="0"/>
                <w:bCs w:val="0"/>
                <w:sz w:val="24"/>
                <w:szCs w:val="24"/>
                <w:lang w:val="en-US" w:eastAsia="zh-CN"/>
              </w:rPr>
              <w:t>3</w:t>
            </w:r>
          </w:p>
        </w:tc>
        <w:tc>
          <w:tcPr>
            <w:tcW w:w="1512" w:type="dxa"/>
            <w:vMerge w:val="restart"/>
            <w:tcBorders>
              <w:tl2br w:val="nil"/>
              <w:tr2bl w:val="nil"/>
            </w:tcBorders>
            <w:noWrap w:val="0"/>
            <w:vAlign w:val="center"/>
          </w:tcPr>
          <w:p w14:paraId="483252C9">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《互联网广告管理办法》</w:t>
            </w:r>
          </w:p>
        </w:tc>
        <w:tc>
          <w:tcPr>
            <w:tcW w:w="4200" w:type="dxa"/>
            <w:vMerge w:val="restart"/>
            <w:tcBorders>
              <w:tl2br w:val="nil"/>
              <w:tr2bl w:val="nil"/>
            </w:tcBorders>
            <w:noWrap w:val="0"/>
            <w:vAlign w:val="center"/>
          </w:tcPr>
          <w:p w14:paraId="3B975E5C">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第二十六条第二款</w:t>
            </w:r>
            <w:r>
              <w:rPr>
                <w:rFonts w:hint="eastAsia" w:ascii="宋体" w:hAnsi="宋体" w:cs="宋体"/>
                <w:b w:val="0"/>
                <w:bCs w:val="0"/>
                <w:sz w:val="24"/>
                <w:szCs w:val="24"/>
                <w:highlight w:val="none"/>
                <w:lang w:val="en-US" w:eastAsia="zh-CN"/>
              </w:rPr>
              <w:t xml:space="preserve"> </w:t>
            </w:r>
            <w:r>
              <w:rPr>
                <w:rFonts w:hint="eastAsia" w:ascii="宋体" w:hAnsi="宋体" w:eastAsia="宋体" w:cs="宋体"/>
                <w:b w:val="0"/>
                <w:bCs w:val="0"/>
                <w:sz w:val="24"/>
                <w:szCs w:val="24"/>
                <w:highlight w:val="none"/>
              </w:rPr>
              <w:t>广告发布者实施前款规定行为的，由县级以上市场监督管理部门责令改正，拒不改正的，处五千元以上三万元以下的罚款。</w:t>
            </w:r>
          </w:p>
        </w:tc>
        <w:tc>
          <w:tcPr>
            <w:tcW w:w="1123" w:type="dxa"/>
            <w:tcBorders>
              <w:tl2br w:val="nil"/>
              <w:tr2bl w:val="nil"/>
            </w:tcBorders>
            <w:noWrap w:val="0"/>
            <w:vAlign w:val="center"/>
          </w:tcPr>
          <w:p w14:paraId="025F4B0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较轻</w:t>
            </w:r>
          </w:p>
        </w:tc>
        <w:tc>
          <w:tcPr>
            <w:tcW w:w="3345" w:type="dxa"/>
            <w:tcBorders>
              <w:tl2br w:val="nil"/>
              <w:tr2bl w:val="nil"/>
            </w:tcBorders>
            <w:noWrap w:val="0"/>
            <w:vAlign w:val="center"/>
          </w:tcPr>
          <w:p w14:paraId="3222848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影响较小，广告费用在2万元以下的。</w:t>
            </w:r>
          </w:p>
        </w:tc>
        <w:tc>
          <w:tcPr>
            <w:tcW w:w="3300" w:type="dxa"/>
            <w:tcBorders>
              <w:tl2br w:val="nil"/>
              <w:tr2bl w:val="nil"/>
            </w:tcBorders>
            <w:noWrap w:val="0"/>
            <w:vAlign w:val="center"/>
          </w:tcPr>
          <w:p w14:paraId="58CFBF6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处5</w:t>
            </w:r>
            <w:r>
              <w:rPr>
                <w:rFonts w:hint="eastAsia" w:ascii="宋体" w:hAnsi="宋体" w:cs="宋体"/>
                <w:b w:val="0"/>
                <w:bCs w:val="0"/>
                <w:sz w:val="24"/>
                <w:szCs w:val="24"/>
                <w:highlight w:val="none"/>
                <w:lang w:val="en-US" w:eastAsia="zh-CN"/>
              </w:rPr>
              <w:t>000</w:t>
            </w:r>
            <w:r>
              <w:rPr>
                <w:rFonts w:hint="eastAsia" w:ascii="宋体" w:hAnsi="宋体" w:eastAsia="宋体" w:cs="宋体"/>
                <w:b w:val="0"/>
                <w:bCs w:val="0"/>
                <w:sz w:val="24"/>
                <w:szCs w:val="24"/>
                <w:highlight w:val="none"/>
              </w:rPr>
              <w:t>元以上1</w:t>
            </w:r>
            <w:r>
              <w:rPr>
                <w:rFonts w:hint="eastAsia" w:ascii="宋体" w:hAnsi="宋体" w:eastAsia="宋体" w:cs="宋体"/>
                <w:b w:val="0"/>
                <w:bCs w:val="0"/>
                <w:sz w:val="24"/>
                <w:szCs w:val="24"/>
                <w:highlight w:val="none"/>
                <w:lang w:val="en-US" w:eastAsia="zh-CN"/>
              </w:rPr>
              <w:t>.25</w:t>
            </w:r>
            <w:r>
              <w:rPr>
                <w:rFonts w:hint="eastAsia" w:ascii="宋体" w:hAnsi="宋体" w:eastAsia="宋体" w:cs="宋体"/>
                <w:b w:val="0"/>
                <w:bCs w:val="0"/>
                <w:sz w:val="24"/>
                <w:szCs w:val="24"/>
                <w:highlight w:val="none"/>
              </w:rPr>
              <w:t>万元以下的罚款。</w:t>
            </w:r>
          </w:p>
        </w:tc>
      </w:tr>
      <w:tr w14:paraId="590F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643" w:type="dxa"/>
            <w:vMerge w:val="continue"/>
            <w:tcBorders>
              <w:tl2br w:val="nil"/>
              <w:tr2bl w:val="nil"/>
            </w:tcBorders>
            <w:noWrap w:val="0"/>
            <w:vAlign w:val="center"/>
          </w:tcPr>
          <w:p w14:paraId="2CBBDFF1">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4322346D">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22B0C7F1">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p>
        </w:tc>
        <w:tc>
          <w:tcPr>
            <w:tcW w:w="1123" w:type="dxa"/>
            <w:tcBorders>
              <w:tl2br w:val="nil"/>
              <w:tr2bl w:val="nil"/>
            </w:tcBorders>
            <w:noWrap w:val="0"/>
            <w:vAlign w:val="center"/>
          </w:tcPr>
          <w:p w14:paraId="57539ED8">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一般</w:t>
            </w:r>
          </w:p>
        </w:tc>
        <w:tc>
          <w:tcPr>
            <w:tcW w:w="3345" w:type="dxa"/>
            <w:tcBorders>
              <w:tl2br w:val="nil"/>
              <w:tr2bl w:val="nil"/>
            </w:tcBorders>
            <w:noWrap w:val="0"/>
            <w:vAlign w:val="center"/>
          </w:tcPr>
          <w:p w14:paraId="3AB5CC0C">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影响小，广告费用2万元以上10万元以下的。</w:t>
            </w:r>
          </w:p>
        </w:tc>
        <w:tc>
          <w:tcPr>
            <w:tcW w:w="3300" w:type="dxa"/>
            <w:tcBorders>
              <w:tl2br w:val="nil"/>
              <w:tr2bl w:val="nil"/>
            </w:tcBorders>
            <w:noWrap w:val="0"/>
            <w:vAlign w:val="center"/>
          </w:tcPr>
          <w:p w14:paraId="7000493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处1</w:t>
            </w:r>
            <w:r>
              <w:rPr>
                <w:rFonts w:hint="eastAsia" w:ascii="宋体" w:hAnsi="宋体" w:eastAsia="宋体" w:cs="宋体"/>
                <w:b w:val="0"/>
                <w:bCs w:val="0"/>
                <w:sz w:val="24"/>
                <w:szCs w:val="24"/>
                <w:highlight w:val="none"/>
                <w:lang w:val="en-US" w:eastAsia="zh-CN"/>
              </w:rPr>
              <w:t>.25</w:t>
            </w:r>
            <w:r>
              <w:rPr>
                <w:rFonts w:hint="eastAsia" w:ascii="宋体" w:hAnsi="宋体" w:eastAsia="宋体" w:cs="宋体"/>
                <w:b w:val="0"/>
                <w:bCs w:val="0"/>
                <w:sz w:val="24"/>
                <w:szCs w:val="24"/>
                <w:highlight w:val="none"/>
              </w:rPr>
              <w:t>万元以上2</w:t>
            </w:r>
            <w:r>
              <w:rPr>
                <w:rFonts w:hint="eastAsia" w:ascii="宋体" w:hAnsi="宋体" w:eastAsia="宋体" w:cs="宋体"/>
                <w:b w:val="0"/>
                <w:bCs w:val="0"/>
                <w:sz w:val="24"/>
                <w:szCs w:val="24"/>
                <w:highlight w:val="none"/>
                <w:lang w:val="en-US" w:eastAsia="zh-CN"/>
              </w:rPr>
              <w:t>.25</w:t>
            </w:r>
            <w:r>
              <w:rPr>
                <w:rFonts w:hint="eastAsia" w:ascii="宋体" w:hAnsi="宋体" w:eastAsia="宋体" w:cs="宋体"/>
                <w:b w:val="0"/>
                <w:bCs w:val="0"/>
                <w:sz w:val="24"/>
                <w:szCs w:val="24"/>
                <w:highlight w:val="none"/>
              </w:rPr>
              <w:t>万元以下的罚款。</w:t>
            </w:r>
          </w:p>
        </w:tc>
      </w:tr>
      <w:tr w14:paraId="36392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vMerge w:val="continue"/>
            <w:tcBorders>
              <w:tl2br w:val="nil"/>
              <w:tr2bl w:val="nil"/>
            </w:tcBorders>
            <w:noWrap w:val="0"/>
            <w:vAlign w:val="center"/>
          </w:tcPr>
          <w:p w14:paraId="2FC956BA">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40577486">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2EFE43F3">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p>
        </w:tc>
        <w:tc>
          <w:tcPr>
            <w:tcW w:w="1123" w:type="dxa"/>
            <w:tcBorders>
              <w:tl2br w:val="nil"/>
              <w:tr2bl w:val="nil"/>
            </w:tcBorders>
            <w:noWrap w:val="0"/>
            <w:vAlign w:val="center"/>
          </w:tcPr>
          <w:p w14:paraId="4687E60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较重</w:t>
            </w:r>
          </w:p>
        </w:tc>
        <w:tc>
          <w:tcPr>
            <w:tcW w:w="3345" w:type="dxa"/>
            <w:tcBorders>
              <w:tl2br w:val="nil"/>
              <w:tr2bl w:val="nil"/>
            </w:tcBorders>
            <w:noWrap w:val="0"/>
            <w:vAlign w:val="center"/>
          </w:tcPr>
          <w:p w14:paraId="71A5793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有下列情形之一的：</w:t>
            </w:r>
          </w:p>
          <w:p w14:paraId="4F6E8F2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⑴造成重大影响的；</w:t>
            </w:r>
          </w:p>
          <w:p w14:paraId="459BCEEB">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⑵广告费用10万元以上的。</w:t>
            </w:r>
          </w:p>
        </w:tc>
        <w:tc>
          <w:tcPr>
            <w:tcW w:w="3300" w:type="dxa"/>
            <w:tcBorders>
              <w:tl2br w:val="nil"/>
              <w:tr2bl w:val="nil"/>
            </w:tcBorders>
            <w:noWrap w:val="0"/>
            <w:vAlign w:val="center"/>
          </w:tcPr>
          <w:p w14:paraId="2789D0D0">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处2</w:t>
            </w:r>
            <w:r>
              <w:rPr>
                <w:rFonts w:hint="eastAsia" w:ascii="宋体" w:hAnsi="宋体" w:eastAsia="宋体" w:cs="宋体"/>
                <w:b w:val="0"/>
                <w:bCs w:val="0"/>
                <w:sz w:val="24"/>
                <w:szCs w:val="24"/>
                <w:highlight w:val="none"/>
                <w:lang w:val="en-US" w:eastAsia="zh-CN"/>
              </w:rPr>
              <w:t>.25</w:t>
            </w:r>
            <w:r>
              <w:rPr>
                <w:rFonts w:hint="eastAsia" w:ascii="宋体" w:hAnsi="宋体" w:eastAsia="宋体" w:cs="宋体"/>
                <w:b w:val="0"/>
                <w:bCs w:val="0"/>
                <w:sz w:val="24"/>
                <w:szCs w:val="24"/>
                <w:highlight w:val="none"/>
              </w:rPr>
              <w:t>万元以上</w:t>
            </w:r>
            <w:r>
              <w:rPr>
                <w:rFonts w:hint="eastAsia" w:ascii="宋体" w:hAnsi="宋体" w:eastAsia="宋体" w:cs="宋体"/>
                <w:b w:val="0"/>
                <w:bCs w:val="0"/>
                <w:sz w:val="24"/>
                <w:szCs w:val="24"/>
                <w:highlight w:val="none"/>
                <w:lang w:val="en-US" w:eastAsia="zh-CN"/>
              </w:rPr>
              <w:t>3</w:t>
            </w:r>
            <w:r>
              <w:rPr>
                <w:rFonts w:hint="eastAsia" w:ascii="宋体" w:hAnsi="宋体" w:eastAsia="宋体" w:cs="宋体"/>
                <w:b w:val="0"/>
                <w:bCs w:val="0"/>
                <w:sz w:val="24"/>
                <w:szCs w:val="24"/>
                <w:highlight w:val="none"/>
              </w:rPr>
              <w:t>万元以下的罚款。</w:t>
            </w:r>
          </w:p>
        </w:tc>
      </w:tr>
      <w:tr w14:paraId="5D97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643" w:type="dxa"/>
            <w:vMerge w:val="restart"/>
            <w:tcBorders>
              <w:tl2br w:val="nil"/>
              <w:tr2bl w:val="nil"/>
            </w:tcBorders>
            <w:noWrap w:val="0"/>
            <w:vAlign w:val="center"/>
          </w:tcPr>
          <w:p w14:paraId="062CE762">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 w:eastAsia="zh-CN"/>
              </w:rPr>
            </w:pPr>
            <w:r>
              <w:rPr>
                <w:rFonts w:hint="eastAsia" w:ascii="宋体" w:hAnsi="宋体" w:eastAsia="宋体" w:cs="宋体"/>
                <w:b w:val="0"/>
                <w:bCs w:val="0"/>
                <w:sz w:val="24"/>
                <w:szCs w:val="24"/>
                <w:lang w:val="en"/>
              </w:rPr>
              <w:t>5</w:t>
            </w:r>
            <w:r>
              <w:rPr>
                <w:rFonts w:hint="eastAsia" w:ascii="宋体" w:hAnsi="宋体" w:eastAsia="宋体" w:cs="宋体"/>
                <w:b w:val="0"/>
                <w:bCs w:val="0"/>
                <w:sz w:val="24"/>
                <w:szCs w:val="24"/>
                <w:lang w:val="en-US" w:eastAsia="zh-CN"/>
              </w:rPr>
              <w:t>4</w:t>
            </w:r>
          </w:p>
        </w:tc>
        <w:tc>
          <w:tcPr>
            <w:tcW w:w="1512" w:type="dxa"/>
            <w:vMerge w:val="restart"/>
            <w:tcBorders>
              <w:tl2br w:val="nil"/>
              <w:tr2bl w:val="nil"/>
            </w:tcBorders>
            <w:noWrap w:val="0"/>
            <w:vAlign w:val="center"/>
          </w:tcPr>
          <w:p w14:paraId="6BFF6043">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《互联网广告管理办法》</w:t>
            </w:r>
          </w:p>
        </w:tc>
        <w:tc>
          <w:tcPr>
            <w:tcW w:w="4200" w:type="dxa"/>
            <w:vMerge w:val="restart"/>
            <w:tcBorders>
              <w:tl2br w:val="nil"/>
              <w:tr2bl w:val="nil"/>
            </w:tcBorders>
            <w:noWrap w:val="0"/>
            <w:vAlign w:val="center"/>
          </w:tcPr>
          <w:p w14:paraId="0E6A3841">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第二十七条</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违反本办法第十一条规定，欺骗、误导用户点击、浏览广告的，法律、行政法规有规定的，依照其规定；法律、行政法规没有规定的，由县级以上市场监督管理部门责令改正，对广告主、广告经营者、广告发布者处五千元以上三万元以下的罚款。</w:t>
            </w:r>
          </w:p>
        </w:tc>
        <w:tc>
          <w:tcPr>
            <w:tcW w:w="1123" w:type="dxa"/>
            <w:tcBorders>
              <w:tl2br w:val="nil"/>
              <w:tr2bl w:val="nil"/>
            </w:tcBorders>
            <w:noWrap w:val="0"/>
            <w:vAlign w:val="center"/>
          </w:tcPr>
          <w:p w14:paraId="57B0EC60">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较轻</w:t>
            </w:r>
          </w:p>
        </w:tc>
        <w:tc>
          <w:tcPr>
            <w:tcW w:w="3345" w:type="dxa"/>
            <w:tcBorders>
              <w:tl2br w:val="nil"/>
              <w:tr2bl w:val="nil"/>
            </w:tcBorders>
            <w:noWrap w:val="0"/>
            <w:vAlign w:val="center"/>
          </w:tcPr>
          <w:p w14:paraId="36F820F5">
            <w:pPr>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影响较小，广告费用在2万元以下的。</w:t>
            </w:r>
          </w:p>
        </w:tc>
        <w:tc>
          <w:tcPr>
            <w:tcW w:w="3300" w:type="dxa"/>
            <w:tcBorders>
              <w:tl2br w:val="nil"/>
              <w:tr2bl w:val="nil"/>
            </w:tcBorders>
            <w:noWrap w:val="0"/>
            <w:vAlign w:val="center"/>
          </w:tcPr>
          <w:p w14:paraId="5DB53DE2">
            <w:pPr>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sz w:val="24"/>
                <w:szCs w:val="24"/>
                <w:highlight w:val="none"/>
              </w:rPr>
              <w:t>处5</w:t>
            </w:r>
            <w:r>
              <w:rPr>
                <w:rFonts w:hint="eastAsia" w:ascii="宋体" w:hAnsi="宋体" w:cs="宋体"/>
                <w:b w:val="0"/>
                <w:bCs w:val="0"/>
                <w:sz w:val="24"/>
                <w:szCs w:val="24"/>
                <w:highlight w:val="none"/>
                <w:lang w:val="en-US" w:eastAsia="zh-CN"/>
              </w:rPr>
              <w:t>000</w:t>
            </w:r>
            <w:r>
              <w:rPr>
                <w:rFonts w:hint="eastAsia" w:ascii="宋体" w:hAnsi="宋体" w:eastAsia="宋体" w:cs="宋体"/>
                <w:b w:val="0"/>
                <w:bCs w:val="0"/>
                <w:sz w:val="24"/>
                <w:szCs w:val="24"/>
                <w:highlight w:val="none"/>
              </w:rPr>
              <w:t>元以上1</w:t>
            </w:r>
            <w:r>
              <w:rPr>
                <w:rFonts w:hint="eastAsia" w:ascii="宋体" w:hAnsi="宋体" w:eastAsia="宋体" w:cs="宋体"/>
                <w:b w:val="0"/>
                <w:bCs w:val="0"/>
                <w:sz w:val="24"/>
                <w:szCs w:val="24"/>
                <w:highlight w:val="none"/>
                <w:lang w:val="en-US" w:eastAsia="zh-CN"/>
              </w:rPr>
              <w:t>.25</w:t>
            </w:r>
            <w:r>
              <w:rPr>
                <w:rFonts w:hint="eastAsia" w:ascii="宋体" w:hAnsi="宋体" w:eastAsia="宋体" w:cs="宋体"/>
                <w:b w:val="0"/>
                <w:bCs w:val="0"/>
                <w:sz w:val="24"/>
                <w:szCs w:val="24"/>
                <w:highlight w:val="none"/>
              </w:rPr>
              <w:t>万元以下的罚款。</w:t>
            </w:r>
          </w:p>
        </w:tc>
      </w:tr>
      <w:tr w14:paraId="04249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643" w:type="dxa"/>
            <w:vMerge w:val="continue"/>
            <w:tcBorders>
              <w:tl2br w:val="nil"/>
              <w:tr2bl w:val="nil"/>
            </w:tcBorders>
            <w:noWrap w:val="0"/>
            <w:vAlign w:val="center"/>
          </w:tcPr>
          <w:p w14:paraId="45BDEABE">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72D0E470">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0078B6C2">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6A8CF18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一般</w:t>
            </w:r>
          </w:p>
        </w:tc>
        <w:tc>
          <w:tcPr>
            <w:tcW w:w="3345" w:type="dxa"/>
            <w:tcBorders>
              <w:tl2br w:val="nil"/>
              <w:tr2bl w:val="nil"/>
            </w:tcBorders>
            <w:noWrap w:val="0"/>
            <w:vAlign w:val="center"/>
          </w:tcPr>
          <w:p w14:paraId="6B302CBF">
            <w:pPr>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影响小，广告费用2万元以上10万元以下的。</w:t>
            </w:r>
          </w:p>
        </w:tc>
        <w:tc>
          <w:tcPr>
            <w:tcW w:w="3300" w:type="dxa"/>
            <w:tcBorders>
              <w:tl2br w:val="nil"/>
              <w:tr2bl w:val="nil"/>
            </w:tcBorders>
            <w:noWrap w:val="0"/>
            <w:vAlign w:val="center"/>
          </w:tcPr>
          <w:p w14:paraId="66949818">
            <w:pPr>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sz w:val="24"/>
                <w:szCs w:val="24"/>
                <w:highlight w:val="none"/>
              </w:rPr>
              <w:t>处1</w:t>
            </w:r>
            <w:r>
              <w:rPr>
                <w:rFonts w:hint="eastAsia" w:ascii="宋体" w:hAnsi="宋体" w:eastAsia="宋体" w:cs="宋体"/>
                <w:b w:val="0"/>
                <w:bCs w:val="0"/>
                <w:sz w:val="24"/>
                <w:szCs w:val="24"/>
                <w:highlight w:val="none"/>
                <w:lang w:val="en-US" w:eastAsia="zh-CN"/>
              </w:rPr>
              <w:t>.25</w:t>
            </w:r>
            <w:r>
              <w:rPr>
                <w:rFonts w:hint="eastAsia" w:ascii="宋体" w:hAnsi="宋体" w:eastAsia="宋体" w:cs="宋体"/>
                <w:b w:val="0"/>
                <w:bCs w:val="0"/>
                <w:sz w:val="24"/>
                <w:szCs w:val="24"/>
                <w:highlight w:val="none"/>
              </w:rPr>
              <w:t>万元以上2</w:t>
            </w:r>
            <w:r>
              <w:rPr>
                <w:rFonts w:hint="eastAsia" w:ascii="宋体" w:hAnsi="宋体" w:eastAsia="宋体" w:cs="宋体"/>
                <w:b w:val="0"/>
                <w:bCs w:val="0"/>
                <w:sz w:val="24"/>
                <w:szCs w:val="24"/>
                <w:highlight w:val="none"/>
                <w:lang w:val="en-US" w:eastAsia="zh-CN"/>
              </w:rPr>
              <w:t>.25</w:t>
            </w:r>
            <w:r>
              <w:rPr>
                <w:rFonts w:hint="eastAsia" w:ascii="宋体" w:hAnsi="宋体" w:eastAsia="宋体" w:cs="宋体"/>
                <w:b w:val="0"/>
                <w:bCs w:val="0"/>
                <w:sz w:val="24"/>
                <w:szCs w:val="24"/>
                <w:highlight w:val="none"/>
              </w:rPr>
              <w:t>万元以下的罚款。</w:t>
            </w:r>
          </w:p>
        </w:tc>
      </w:tr>
      <w:tr w14:paraId="09EB0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43" w:type="dxa"/>
            <w:vMerge w:val="continue"/>
            <w:tcBorders>
              <w:tl2br w:val="nil"/>
              <w:tr2bl w:val="nil"/>
            </w:tcBorders>
            <w:noWrap w:val="0"/>
            <w:vAlign w:val="center"/>
          </w:tcPr>
          <w:p w14:paraId="531E2374">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16412250">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561FDE35">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117EF5D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较重</w:t>
            </w:r>
          </w:p>
        </w:tc>
        <w:tc>
          <w:tcPr>
            <w:tcW w:w="3345" w:type="dxa"/>
            <w:tcBorders>
              <w:tl2br w:val="nil"/>
              <w:tr2bl w:val="nil"/>
            </w:tcBorders>
            <w:noWrap w:val="0"/>
            <w:vAlign w:val="center"/>
          </w:tcPr>
          <w:p w14:paraId="6A16D0FA">
            <w:pPr>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有下列情形之一的：</w:t>
            </w:r>
          </w:p>
          <w:p w14:paraId="27845366">
            <w:pPr>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⑴造成重大影响的；</w:t>
            </w:r>
          </w:p>
          <w:p w14:paraId="667192B8">
            <w:pPr>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⑵广告费用10万元以上的。</w:t>
            </w:r>
          </w:p>
        </w:tc>
        <w:tc>
          <w:tcPr>
            <w:tcW w:w="3300" w:type="dxa"/>
            <w:tcBorders>
              <w:tl2br w:val="nil"/>
              <w:tr2bl w:val="nil"/>
            </w:tcBorders>
            <w:noWrap w:val="0"/>
            <w:vAlign w:val="center"/>
          </w:tcPr>
          <w:p w14:paraId="5685484F">
            <w:pPr>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sz w:val="24"/>
                <w:szCs w:val="24"/>
                <w:highlight w:val="none"/>
              </w:rPr>
              <w:t>处2</w:t>
            </w:r>
            <w:r>
              <w:rPr>
                <w:rFonts w:hint="eastAsia" w:ascii="宋体" w:hAnsi="宋体" w:eastAsia="宋体" w:cs="宋体"/>
                <w:b w:val="0"/>
                <w:bCs w:val="0"/>
                <w:sz w:val="24"/>
                <w:szCs w:val="24"/>
                <w:highlight w:val="none"/>
                <w:lang w:val="en-US" w:eastAsia="zh-CN"/>
              </w:rPr>
              <w:t>.25</w:t>
            </w:r>
            <w:r>
              <w:rPr>
                <w:rFonts w:hint="eastAsia" w:ascii="宋体" w:hAnsi="宋体" w:eastAsia="宋体" w:cs="宋体"/>
                <w:b w:val="0"/>
                <w:bCs w:val="0"/>
                <w:sz w:val="24"/>
                <w:szCs w:val="24"/>
                <w:highlight w:val="none"/>
              </w:rPr>
              <w:t>万元以上</w:t>
            </w:r>
            <w:r>
              <w:rPr>
                <w:rFonts w:hint="eastAsia" w:ascii="宋体" w:hAnsi="宋体" w:eastAsia="宋体" w:cs="宋体"/>
                <w:b w:val="0"/>
                <w:bCs w:val="0"/>
                <w:sz w:val="24"/>
                <w:szCs w:val="24"/>
                <w:highlight w:val="none"/>
                <w:lang w:val="en-US" w:eastAsia="zh-CN"/>
              </w:rPr>
              <w:t>3</w:t>
            </w:r>
            <w:r>
              <w:rPr>
                <w:rFonts w:hint="eastAsia" w:ascii="宋体" w:hAnsi="宋体" w:eastAsia="宋体" w:cs="宋体"/>
                <w:b w:val="0"/>
                <w:bCs w:val="0"/>
                <w:sz w:val="24"/>
                <w:szCs w:val="24"/>
                <w:highlight w:val="none"/>
              </w:rPr>
              <w:t>万元以下的罚款。</w:t>
            </w:r>
          </w:p>
        </w:tc>
      </w:tr>
      <w:tr w14:paraId="3AF3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643" w:type="dxa"/>
            <w:vMerge w:val="restart"/>
            <w:tcBorders>
              <w:tl2br w:val="nil"/>
              <w:tr2bl w:val="nil"/>
            </w:tcBorders>
            <w:noWrap w:val="0"/>
            <w:vAlign w:val="center"/>
          </w:tcPr>
          <w:p w14:paraId="506C356B">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 w:eastAsia="zh-CN"/>
              </w:rPr>
            </w:pPr>
            <w:r>
              <w:rPr>
                <w:rFonts w:hint="eastAsia" w:ascii="宋体" w:hAnsi="宋体" w:eastAsia="宋体" w:cs="宋体"/>
                <w:b w:val="0"/>
                <w:bCs w:val="0"/>
                <w:sz w:val="24"/>
                <w:szCs w:val="24"/>
                <w:lang w:val="en"/>
              </w:rPr>
              <w:t>5</w:t>
            </w:r>
            <w:r>
              <w:rPr>
                <w:rFonts w:hint="eastAsia" w:ascii="宋体" w:hAnsi="宋体" w:eastAsia="宋体" w:cs="宋体"/>
                <w:b w:val="0"/>
                <w:bCs w:val="0"/>
                <w:sz w:val="24"/>
                <w:szCs w:val="24"/>
                <w:lang w:val="en-US" w:eastAsia="zh-CN"/>
              </w:rPr>
              <w:t>5</w:t>
            </w:r>
          </w:p>
        </w:tc>
        <w:tc>
          <w:tcPr>
            <w:tcW w:w="1512" w:type="dxa"/>
            <w:vMerge w:val="restart"/>
            <w:tcBorders>
              <w:tl2br w:val="nil"/>
              <w:tr2bl w:val="nil"/>
            </w:tcBorders>
            <w:noWrap w:val="0"/>
            <w:vAlign w:val="center"/>
          </w:tcPr>
          <w:p w14:paraId="4B3A6E99">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《互联网广告管理办法》</w:t>
            </w:r>
          </w:p>
        </w:tc>
        <w:tc>
          <w:tcPr>
            <w:tcW w:w="4200" w:type="dxa"/>
            <w:vMerge w:val="restart"/>
            <w:tcBorders>
              <w:tl2br w:val="nil"/>
              <w:tr2bl w:val="nil"/>
            </w:tcBorders>
            <w:noWrap w:val="0"/>
            <w:vAlign w:val="center"/>
          </w:tcPr>
          <w:p w14:paraId="44A6F6D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《互联网广告管理办法》第二十八条第一款</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违反本办法第十四条第一款、第十五条、第十八条规定，广告经营者、广告发布者未按规定建立、健全广告业务管理制度的，或者未对广告内容进行核对的，依据广告法第六十条第一款规定予以处罚。　</w:t>
            </w:r>
          </w:p>
          <w:p w14:paraId="116D73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广告法</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第六十条第一款</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违反本法第三十四条规定，广告经营者、广告发布者未按照国家有关规定建立、健全广告业务管理制度的，或者未对广告内容进行核对的，由市场监督管理部门责令改正，可以处五万元以下的罚款。</w:t>
            </w:r>
          </w:p>
        </w:tc>
        <w:tc>
          <w:tcPr>
            <w:tcW w:w="1123" w:type="dxa"/>
            <w:tcBorders>
              <w:tl2br w:val="nil"/>
              <w:tr2bl w:val="nil"/>
            </w:tcBorders>
            <w:noWrap w:val="0"/>
            <w:vAlign w:val="center"/>
          </w:tcPr>
          <w:p w14:paraId="7B49796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较轻</w:t>
            </w:r>
          </w:p>
        </w:tc>
        <w:tc>
          <w:tcPr>
            <w:tcW w:w="3345" w:type="dxa"/>
            <w:tcBorders>
              <w:tl2br w:val="nil"/>
              <w:tr2bl w:val="nil"/>
            </w:tcBorders>
            <w:noWrap w:val="0"/>
            <w:vAlign w:val="center"/>
          </w:tcPr>
          <w:p w14:paraId="34B1070E">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highlight w:val="none"/>
              </w:rPr>
              <w:t>未按规定</w:t>
            </w:r>
            <w:r>
              <w:rPr>
                <w:rFonts w:hint="eastAsia" w:ascii="宋体" w:hAnsi="宋体" w:eastAsia="宋体" w:cs="宋体"/>
                <w:b w:val="0"/>
                <w:bCs w:val="0"/>
                <w:sz w:val="24"/>
                <w:szCs w:val="24"/>
                <w:highlight w:val="none"/>
                <w:lang w:val="zh-CN"/>
              </w:rPr>
              <w:t>建立、健全广告业务管理制度或者未公布其收费标准和收费办法</w:t>
            </w:r>
            <w:r>
              <w:rPr>
                <w:rFonts w:hint="eastAsia" w:ascii="宋体" w:hAnsi="宋体" w:eastAsia="宋体" w:cs="宋体"/>
                <w:b w:val="0"/>
                <w:bCs w:val="0"/>
                <w:sz w:val="24"/>
                <w:szCs w:val="24"/>
                <w:highlight w:val="none"/>
                <w:lang w:val="en-US" w:eastAsia="zh-CN"/>
              </w:rPr>
              <w:t>持续时间</w:t>
            </w:r>
            <w:r>
              <w:rPr>
                <w:rFonts w:hint="eastAsia" w:ascii="宋体" w:hAnsi="宋体" w:eastAsia="宋体" w:cs="宋体"/>
                <w:b w:val="0"/>
                <w:bCs w:val="0"/>
                <w:sz w:val="24"/>
                <w:szCs w:val="24"/>
                <w:highlight w:val="none"/>
              </w:rPr>
              <w:t>6个月</w:t>
            </w:r>
            <w:r>
              <w:rPr>
                <w:rFonts w:hint="eastAsia" w:ascii="宋体" w:hAnsi="宋体" w:eastAsia="宋体" w:cs="宋体"/>
                <w:b w:val="0"/>
                <w:bCs w:val="0"/>
                <w:sz w:val="24"/>
                <w:szCs w:val="24"/>
                <w:highlight w:val="none"/>
                <w:lang w:val="en-US" w:eastAsia="zh-CN"/>
              </w:rPr>
              <w:t>以下的；</w:t>
            </w:r>
            <w:r>
              <w:rPr>
                <w:rFonts w:hint="eastAsia" w:ascii="宋体" w:hAnsi="宋体" w:eastAsia="宋体" w:cs="宋体"/>
                <w:b w:val="0"/>
                <w:bCs w:val="0"/>
                <w:sz w:val="24"/>
                <w:szCs w:val="24"/>
                <w:highlight w:val="none"/>
              </w:rPr>
              <w:t>未对广告内容进行核对</w:t>
            </w:r>
            <w:r>
              <w:rPr>
                <w:rFonts w:hint="eastAsia" w:ascii="宋体" w:hAnsi="宋体" w:eastAsia="宋体" w:cs="宋体"/>
                <w:b w:val="0"/>
                <w:bCs w:val="0"/>
                <w:sz w:val="24"/>
                <w:szCs w:val="24"/>
                <w:highlight w:val="none"/>
                <w:lang w:val="en-US" w:eastAsia="zh-CN"/>
              </w:rPr>
              <w:t>3次以下的。</w:t>
            </w:r>
          </w:p>
        </w:tc>
        <w:tc>
          <w:tcPr>
            <w:tcW w:w="3300" w:type="dxa"/>
            <w:tcBorders>
              <w:tl2br w:val="nil"/>
              <w:tr2bl w:val="nil"/>
            </w:tcBorders>
            <w:noWrap w:val="0"/>
            <w:vAlign w:val="center"/>
          </w:tcPr>
          <w:p w14:paraId="0A5D6286">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highlight w:val="none"/>
              </w:rPr>
              <w:t>可以处</w:t>
            </w:r>
            <w:r>
              <w:rPr>
                <w:rFonts w:hint="eastAsia" w:ascii="宋体" w:hAnsi="宋体" w:eastAsia="宋体" w:cs="宋体"/>
                <w:b w:val="0"/>
                <w:bCs w:val="0"/>
                <w:sz w:val="24"/>
                <w:szCs w:val="24"/>
                <w:highlight w:val="none"/>
                <w:lang w:val="en-US" w:eastAsia="zh-CN"/>
              </w:rPr>
              <w:t>1.5</w:t>
            </w:r>
            <w:r>
              <w:rPr>
                <w:rFonts w:hint="eastAsia" w:ascii="宋体" w:hAnsi="宋体" w:eastAsia="宋体" w:cs="宋体"/>
                <w:b w:val="0"/>
                <w:bCs w:val="0"/>
                <w:sz w:val="24"/>
                <w:szCs w:val="24"/>
                <w:highlight w:val="none"/>
              </w:rPr>
              <w:t>万元以下的罚款。</w:t>
            </w:r>
          </w:p>
        </w:tc>
      </w:tr>
      <w:tr w14:paraId="71B8C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 w:type="dxa"/>
            <w:vMerge w:val="continue"/>
            <w:tcBorders>
              <w:tl2br w:val="nil"/>
              <w:tr2bl w:val="nil"/>
            </w:tcBorders>
            <w:noWrap w:val="0"/>
            <w:vAlign w:val="center"/>
          </w:tcPr>
          <w:p w14:paraId="6E186120">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39CE7718">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1CA53E57">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1A025DD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一般</w:t>
            </w:r>
          </w:p>
        </w:tc>
        <w:tc>
          <w:tcPr>
            <w:tcW w:w="3345" w:type="dxa"/>
            <w:tcBorders>
              <w:tl2br w:val="nil"/>
              <w:tr2bl w:val="nil"/>
            </w:tcBorders>
            <w:noWrap w:val="0"/>
            <w:vAlign w:val="center"/>
          </w:tcPr>
          <w:p w14:paraId="3B3173D2">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highlight w:val="none"/>
              </w:rPr>
              <w:t>未按规定</w:t>
            </w:r>
            <w:r>
              <w:rPr>
                <w:rFonts w:hint="eastAsia" w:ascii="宋体" w:hAnsi="宋体" w:eastAsia="宋体" w:cs="宋体"/>
                <w:b w:val="0"/>
                <w:bCs w:val="0"/>
                <w:sz w:val="24"/>
                <w:szCs w:val="24"/>
                <w:highlight w:val="none"/>
                <w:lang w:val="zh-CN"/>
              </w:rPr>
              <w:t>建立、健全广告业务管理制度或者未公布其收费标准和收费办法</w:t>
            </w:r>
            <w:r>
              <w:rPr>
                <w:rFonts w:hint="eastAsia" w:ascii="宋体" w:hAnsi="宋体" w:eastAsia="宋体" w:cs="宋体"/>
                <w:b w:val="0"/>
                <w:bCs w:val="0"/>
                <w:sz w:val="24"/>
                <w:szCs w:val="24"/>
                <w:highlight w:val="none"/>
                <w:lang w:val="en-US" w:eastAsia="zh-CN"/>
              </w:rPr>
              <w:t>持续时间6个月以上1年以下的；</w:t>
            </w:r>
            <w:r>
              <w:rPr>
                <w:rFonts w:hint="eastAsia" w:ascii="宋体" w:hAnsi="宋体" w:eastAsia="宋体" w:cs="宋体"/>
                <w:b w:val="0"/>
                <w:bCs w:val="0"/>
                <w:sz w:val="24"/>
                <w:szCs w:val="24"/>
                <w:highlight w:val="none"/>
              </w:rPr>
              <w:t>未对广告内容进行核对</w:t>
            </w:r>
            <w:r>
              <w:rPr>
                <w:rFonts w:hint="eastAsia" w:ascii="宋体" w:hAnsi="宋体" w:eastAsia="宋体" w:cs="宋体"/>
                <w:b w:val="0"/>
                <w:bCs w:val="0"/>
                <w:sz w:val="24"/>
                <w:szCs w:val="24"/>
                <w:highlight w:val="none"/>
                <w:lang w:val="en-US" w:eastAsia="zh-CN"/>
              </w:rPr>
              <w:t>3次以上10次以下的。</w:t>
            </w:r>
          </w:p>
        </w:tc>
        <w:tc>
          <w:tcPr>
            <w:tcW w:w="3300" w:type="dxa"/>
            <w:tcBorders>
              <w:tl2br w:val="nil"/>
              <w:tr2bl w:val="nil"/>
            </w:tcBorders>
            <w:noWrap w:val="0"/>
            <w:vAlign w:val="center"/>
          </w:tcPr>
          <w:p w14:paraId="55075783">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highlight w:val="none"/>
              </w:rPr>
              <w:t>可以处</w:t>
            </w:r>
            <w:r>
              <w:rPr>
                <w:rFonts w:hint="eastAsia" w:ascii="宋体" w:hAnsi="宋体" w:eastAsia="宋体" w:cs="宋体"/>
                <w:b w:val="0"/>
                <w:bCs w:val="0"/>
                <w:sz w:val="24"/>
                <w:szCs w:val="24"/>
                <w:highlight w:val="none"/>
                <w:lang w:val="en-US" w:eastAsia="zh-CN"/>
              </w:rPr>
              <w:t>1.5</w:t>
            </w:r>
            <w:r>
              <w:rPr>
                <w:rFonts w:hint="eastAsia" w:ascii="宋体" w:hAnsi="宋体" w:eastAsia="宋体" w:cs="宋体"/>
                <w:b w:val="0"/>
                <w:bCs w:val="0"/>
                <w:sz w:val="24"/>
                <w:szCs w:val="24"/>
                <w:highlight w:val="none"/>
              </w:rPr>
              <w:t>万元以上</w:t>
            </w:r>
            <w:r>
              <w:rPr>
                <w:rFonts w:hint="eastAsia" w:ascii="宋体" w:hAnsi="宋体" w:eastAsia="宋体" w:cs="宋体"/>
                <w:b w:val="0"/>
                <w:bCs w:val="0"/>
                <w:sz w:val="24"/>
                <w:szCs w:val="24"/>
                <w:highlight w:val="none"/>
                <w:lang w:val="en-US" w:eastAsia="zh-CN"/>
              </w:rPr>
              <w:t>3.5</w:t>
            </w:r>
            <w:r>
              <w:rPr>
                <w:rFonts w:hint="eastAsia" w:ascii="宋体" w:hAnsi="宋体" w:eastAsia="宋体" w:cs="宋体"/>
                <w:b w:val="0"/>
                <w:bCs w:val="0"/>
                <w:sz w:val="24"/>
                <w:szCs w:val="24"/>
                <w:highlight w:val="none"/>
              </w:rPr>
              <w:t>万元以下的罚款。</w:t>
            </w:r>
          </w:p>
        </w:tc>
      </w:tr>
      <w:tr w14:paraId="2D99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jc w:val="center"/>
        </w:trPr>
        <w:tc>
          <w:tcPr>
            <w:tcW w:w="643" w:type="dxa"/>
            <w:vMerge w:val="continue"/>
            <w:tcBorders>
              <w:tl2br w:val="nil"/>
              <w:tr2bl w:val="nil"/>
            </w:tcBorders>
            <w:noWrap w:val="0"/>
            <w:vAlign w:val="center"/>
          </w:tcPr>
          <w:p w14:paraId="4F1257C4">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364F3B0A">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38660194">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69A43D1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较重</w:t>
            </w:r>
          </w:p>
        </w:tc>
        <w:tc>
          <w:tcPr>
            <w:tcW w:w="3345" w:type="dxa"/>
            <w:tcBorders>
              <w:tl2br w:val="nil"/>
              <w:tr2bl w:val="nil"/>
            </w:tcBorders>
            <w:noWrap w:val="0"/>
            <w:vAlign w:val="center"/>
          </w:tcPr>
          <w:p w14:paraId="7664DEA4">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highlight w:val="none"/>
              </w:rPr>
              <w:t>未按规定</w:t>
            </w:r>
            <w:r>
              <w:rPr>
                <w:rFonts w:hint="eastAsia" w:ascii="宋体" w:hAnsi="宋体" w:eastAsia="宋体" w:cs="宋体"/>
                <w:b w:val="0"/>
                <w:bCs w:val="0"/>
                <w:sz w:val="24"/>
                <w:szCs w:val="24"/>
                <w:highlight w:val="none"/>
                <w:lang w:val="zh-CN"/>
              </w:rPr>
              <w:t>建立、健全广告业务管理制度或者未公布其收费标准和收费办法</w:t>
            </w:r>
            <w:r>
              <w:rPr>
                <w:rFonts w:hint="eastAsia" w:ascii="宋体" w:hAnsi="宋体" w:eastAsia="宋体" w:cs="宋体"/>
                <w:b w:val="0"/>
                <w:bCs w:val="0"/>
                <w:sz w:val="24"/>
                <w:szCs w:val="24"/>
                <w:highlight w:val="none"/>
                <w:lang w:val="en-US" w:eastAsia="zh-CN"/>
              </w:rPr>
              <w:t>持续时间1年以上的；</w:t>
            </w:r>
            <w:r>
              <w:rPr>
                <w:rFonts w:hint="eastAsia" w:ascii="宋体" w:hAnsi="宋体" w:eastAsia="宋体" w:cs="宋体"/>
                <w:b w:val="0"/>
                <w:bCs w:val="0"/>
                <w:sz w:val="24"/>
                <w:szCs w:val="24"/>
                <w:highlight w:val="none"/>
              </w:rPr>
              <w:t>未对广告内容进行核对</w:t>
            </w:r>
            <w:r>
              <w:rPr>
                <w:rFonts w:hint="eastAsia" w:ascii="宋体" w:hAnsi="宋体" w:eastAsia="宋体" w:cs="宋体"/>
                <w:b w:val="0"/>
                <w:bCs w:val="0"/>
                <w:sz w:val="24"/>
                <w:szCs w:val="24"/>
                <w:highlight w:val="none"/>
                <w:lang w:val="en-US" w:eastAsia="zh-CN"/>
              </w:rPr>
              <w:t>10次以上的。</w:t>
            </w:r>
          </w:p>
        </w:tc>
        <w:tc>
          <w:tcPr>
            <w:tcW w:w="3300" w:type="dxa"/>
            <w:tcBorders>
              <w:tl2br w:val="nil"/>
              <w:tr2bl w:val="nil"/>
            </w:tcBorders>
            <w:noWrap w:val="0"/>
            <w:vAlign w:val="center"/>
          </w:tcPr>
          <w:p w14:paraId="1A1927A4">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highlight w:val="none"/>
              </w:rPr>
              <w:t>可以处</w:t>
            </w:r>
            <w:r>
              <w:rPr>
                <w:rFonts w:hint="eastAsia" w:ascii="宋体" w:hAnsi="宋体" w:eastAsia="宋体" w:cs="宋体"/>
                <w:b w:val="0"/>
                <w:bCs w:val="0"/>
                <w:sz w:val="24"/>
                <w:szCs w:val="24"/>
                <w:highlight w:val="none"/>
                <w:lang w:val="en-US" w:eastAsia="zh-CN"/>
              </w:rPr>
              <w:t>3.5</w:t>
            </w:r>
            <w:r>
              <w:rPr>
                <w:rFonts w:hint="eastAsia" w:ascii="宋体" w:hAnsi="宋体" w:eastAsia="宋体" w:cs="宋体"/>
                <w:b w:val="0"/>
                <w:bCs w:val="0"/>
                <w:sz w:val="24"/>
                <w:szCs w:val="24"/>
                <w:highlight w:val="none"/>
              </w:rPr>
              <w:t>万元以上5万元以下的罚款。</w:t>
            </w:r>
          </w:p>
        </w:tc>
      </w:tr>
      <w:tr w14:paraId="3A44E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jc w:val="center"/>
        </w:trPr>
        <w:tc>
          <w:tcPr>
            <w:tcW w:w="643" w:type="dxa"/>
            <w:vMerge w:val="restart"/>
            <w:tcBorders>
              <w:tl2br w:val="nil"/>
              <w:tr2bl w:val="nil"/>
            </w:tcBorders>
            <w:noWrap w:val="0"/>
            <w:vAlign w:val="center"/>
          </w:tcPr>
          <w:p w14:paraId="0C4AB779">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 w:eastAsia="zh-CN"/>
              </w:rPr>
            </w:pPr>
            <w:r>
              <w:rPr>
                <w:rFonts w:hint="eastAsia" w:ascii="宋体" w:hAnsi="宋体" w:eastAsia="宋体" w:cs="宋体"/>
                <w:b w:val="0"/>
                <w:bCs w:val="0"/>
                <w:sz w:val="24"/>
                <w:szCs w:val="24"/>
                <w:lang w:val="en"/>
              </w:rPr>
              <w:t>5</w:t>
            </w:r>
            <w:r>
              <w:rPr>
                <w:rFonts w:hint="eastAsia" w:ascii="宋体" w:hAnsi="宋体" w:eastAsia="宋体" w:cs="宋体"/>
                <w:b w:val="0"/>
                <w:bCs w:val="0"/>
                <w:sz w:val="24"/>
                <w:szCs w:val="24"/>
                <w:lang w:val="en-US" w:eastAsia="zh-CN"/>
              </w:rPr>
              <w:t>6</w:t>
            </w:r>
          </w:p>
        </w:tc>
        <w:tc>
          <w:tcPr>
            <w:tcW w:w="1512" w:type="dxa"/>
            <w:vMerge w:val="restart"/>
            <w:tcBorders>
              <w:tl2br w:val="nil"/>
              <w:tr2bl w:val="nil"/>
            </w:tcBorders>
            <w:noWrap w:val="0"/>
            <w:vAlign w:val="center"/>
          </w:tcPr>
          <w:p w14:paraId="672573CD">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《互联网广告管理办法》</w:t>
            </w:r>
          </w:p>
        </w:tc>
        <w:tc>
          <w:tcPr>
            <w:tcW w:w="4200" w:type="dxa"/>
            <w:vMerge w:val="restart"/>
            <w:tcBorders>
              <w:tl2br w:val="nil"/>
              <w:tr2bl w:val="nil"/>
            </w:tcBorders>
            <w:noWrap w:val="0"/>
            <w:vAlign w:val="center"/>
          </w:tcPr>
          <w:p w14:paraId="71E5FD4D">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第二十八条第二款</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违反本办法第十三条第四款、第十五条、第十八条规定，广告主未按规定建立广告档案，或者未对广告内容进行核对的，由县级以上市场监督管理部门责令改正，可以处五万元以下的罚款。</w:t>
            </w:r>
          </w:p>
        </w:tc>
        <w:tc>
          <w:tcPr>
            <w:tcW w:w="1123" w:type="dxa"/>
            <w:tcBorders>
              <w:tl2br w:val="nil"/>
              <w:tr2bl w:val="nil"/>
            </w:tcBorders>
            <w:noWrap w:val="0"/>
            <w:vAlign w:val="center"/>
          </w:tcPr>
          <w:p w14:paraId="08232D34">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较轻</w:t>
            </w:r>
          </w:p>
        </w:tc>
        <w:tc>
          <w:tcPr>
            <w:tcW w:w="3345" w:type="dxa"/>
            <w:tcBorders>
              <w:tl2br w:val="nil"/>
              <w:tr2bl w:val="nil"/>
            </w:tcBorders>
            <w:noWrap w:val="0"/>
            <w:vAlign w:val="center"/>
          </w:tcPr>
          <w:p w14:paraId="64C86870">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rPr>
              <w:t>未按规定建立广告档案</w:t>
            </w:r>
            <w:r>
              <w:rPr>
                <w:rFonts w:hint="eastAsia" w:ascii="宋体" w:hAnsi="宋体" w:eastAsia="宋体" w:cs="宋体"/>
                <w:b w:val="0"/>
                <w:bCs w:val="0"/>
                <w:sz w:val="24"/>
                <w:szCs w:val="24"/>
                <w:highlight w:val="none"/>
                <w:lang w:val="en-US" w:eastAsia="zh-CN"/>
              </w:rPr>
              <w:t>持续时间</w:t>
            </w:r>
            <w:r>
              <w:rPr>
                <w:rFonts w:hint="eastAsia" w:ascii="宋体" w:hAnsi="宋体" w:eastAsia="宋体" w:cs="宋体"/>
                <w:b w:val="0"/>
                <w:bCs w:val="0"/>
                <w:sz w:val="24"/>
                <w:szCs w:val="24"/>
                <w:highlight w:val="none"/>
              </w:rPr>
              <w:t>6个月</w:t>
            </w:r>
            <w:r>
              <w:rPr>
                <w:rFonts w:hint="eastAsia" w:ascii="宋体" w:hAnsi="宋体" w:eastAsia="宋体" w:cs="宋体"/>
                <w:b w:val="0"/>
                <w:bCs w:val="0"/>
                <w:sz w:val="24"/>
                <w:szCs w:val="24"/>
                <w:highlight w:val="none"/>
                <w:lang w:val="en-US" w:eastAsia="zh-CN"/>
              </w:rPr>
              <w:t>以下的；</w:t>
            </w:r>
            <w:r>
              <w:rPr>
                <w:rFonts w:hint="eastAsia" w:ascii="宋体" w:hAnsi="宋体" w:eastAsia="宋体" w:cs="宋体"/>
                <w:b w:val="0"/>
                <w:bCs w:val="0"/>
                <w:sz w:val="24"/>
                <w:szCs w:val="24"/>
                <w:highlight w:val="none"/>
              </w:rPr>
              <w:t>未对广告内容进行核对</w:t>
            </w:r>
            <w:r>
              <w:rPr>
                <w:rFonts w:hint="eastAsia" w:ascii="宋体" w:hAnsi="宋体" w:eastAsia="宋体" w:cs="宋体"/>
                <w:b w:val="0"/>
                <w:bCs w:val="0"/>
                <w:sz w:val="24"/>
                <w:szCs w:val="24"/>
                <w:highlight w:val="none"/>
                <w:lang w:val="en-US" w:eastAsia="zh-CN"/>
              </w:rPr>
              <w:t>3次以下的。</w:t>
            </w:r>
          </w:p>
        </w:tc>
        <w:tc>
          <w:tcPr>
            <w:tcW w:w="3300" w:type="dxa"/>
            <w:tcBorders>
              <w:tl2br w:val="nil"/>
              <w:tr2bl w:val="nil"/>
            </w:tcBorders>
            <w:noWrap w:val="0"/>
            <w:vAlign w:val="center"/>
          </w:tcPr>
          <w:p w14:paraId="43E5286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可以</w:t>
            </w:r>
            <w:r>
              <w:rPr>
                <w:rFonts w:hint="eastAsia" w:ascii="宋体" w:hAnsi="宋体" w:eastAsia="宋体" w:cs="宋体"/>
                <w:b w:val="0"/>
                <w:bCs w:val="0"/>
                <w:sz w:val="24"/>
                <w:szCs w:val="24"/>
                <w:highlight w:val="none"/>
              </w:rPr>
              <w:t>处</w:t>
            </w:r>
            <w:r>
              <w:rPr>
                <w:rFonts w:hint="eastAsia" w:ascii="宋体" w:hAnsi="宋体" w:eastAsia="宋体" w:cs="宋体"/>
                <w:b w:val="0"/>
                <w:bCs w:val="0"/>
                <w:sz w:val="24"/>
                <w:szCs w:val="24"/>
                <w:highlight w:val="none"/>
                <w:lang w:val="en-US" w:eastAsia="zh-CN"/>
              </w:rPr>
              <w:t>1.5</w:t>
            </w:r>
            <w:r>
              <w:rPr>
                <w:rFonts w:hint="eastAsia" w:ascii="宋体" w:hAnsi="宋体" w:eastAsia="宋体" w:cs="宋体"/>
                <w:b w:val="0"/>
                <w:bCs w:val="0"/>
                <w:sz w:val="24"/>
                <w:szCs w:val="24"/>
                <w:highlight w:val="none"/>
              </w:rPr>
              <w:t>万元以下的罚款。</w:t>
            </w:r>
          </w:p>
        </w:tc>
      </w:tr>
      <w:tr w14:paraId="7356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7" w:hRule="atLeast"/>
          <w:jc w:val="center"/>
        </w:trPr>
        <w:tc>
          <w:tcPr>
            <w:tcW w:w="643" w:type="dxa"/>
            <w:vMerge w:val="continue"/>
            <w:tcBorders>
              <w:tl2br w:val="nil"/>
              <w:tr2bl w:val="nil"/>
            </w:tcBorders>
            <w:noWrap w:val="0"/>
            <w:vAlign w:val="center"/>
          </w:tcPr>
          <w:p w14:paraId="3B9E4DD7">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6377CB5E">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28345A37">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2C0D2724">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一般</w:t>
            </w:r>
          </w:p>
        </w:tc>
        <w:tc>
          <w:tcPr>
            <w:tcW w:w="3345" w:type="dxa"/>
            <w:tcBorders>
              <w:tl2br w:val="nil"/>
              <w:tr2bl w:val="nil"/>
            </w:tcBorders>
            <w:noWrap w:val="0"/>
            <w:vAlign w:val="center"/>
          </w:tcPr>
          <w:p w14:paraId="3E46461E">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未按规定建立广告档案</w:t>
            </w:r>
            <w:r>
              <w:rPr>
                <w:rFonts w:hint="eastAsia" w:ascii="宋体" w:hAnsi="宋体" w:eastAsia="宋体" w:cs="宋体"/>
                <w:b w:val="0"/>
                <w:bCs w:val="0"/>
                <w:sz w:val="24"/>
                <w:szCs w:val="24"/>
                <w:highlight w:val="none"/>
                <w:lang w:val="en-US" w:eastAsia="zh-CN"/>
              </w:rPr>
              <w:t>持续时间6个月以上1年以下的；</w:t>
            </w:r>
            <w:r>
              <w:rPr>
                <w:rFonts w:hint="eastAsia" w:ascii="宋体" w:hAnsi="宋体" w:eastAsia="宋体" w:cs="宋体"/>
                <w:b w:val="0"/>
                <w:bCs w:val="0"/>
                <w:sz w:val="24"/>
                <w:szCs w:val="24"/>
                <w:highlight w:val="none"/>
              </w:rPr>
              <w:t>未对广告内容进行核对</w:t>
            </w:r>
            <w:r>
              <w:rPr>
                <w:rFonts w:hint="eastAsia" w:ascii="宋体" w:hAnsi="宋体" w:eastAsia="宋体" w:cs="宋体"/>
                <w:b w:val="0"/>
                <w:bCs w:val="0"/>
                <w:sz w:val="24"/>
                <w:szCs w:val="24"/>
                <w:highlight w:val="none"/>
                <w:lang w:val="en-US" w:eastAsia="zh-CN"/>
              </w:rPr>
              <w:t>3次以上10次以下的。</w:t>
            </w:r>
          </w:p>
        </w:tc>
        <w:tc>
          <w:tcPr>
            <w:tcW w:w="3300" w:type="dxa"/>
            <w:tcBorders>
              <w:tl2br w:val="nil"/>
              <w:tr2bl w:val="nil"/>
            </w:tcBorders>
            <w:noWrap w:val="0"/>
            <w:vAlign w:val="center"/>
          </w:tcPr>
          <w:p w14:paraId="761111D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可以</w:t>
            </w:r>
            <w:r>
              <w:rPr>
                <w:rFonts w:hint="eastAsia" w:ascii="宋体" w:hAnsi="宋体" w:eastAsia="宋体" w:cs="宋体"/>
                <w:b w:val="0"/>
                <w:bCs w:val="0"/>
                <w:sz w:val="24"/>
                <w:szCs w:val="24"/>
                <w:highlight w:val="none"/>
              </w:rPr>
              <w:t>处</w:t>
            </w:r>
            <w:r>
              <w:rPr>
                <w:rFonts w:hint="eastAsia" w:ascii="宋体" w:hAnsi="宋体" w:eastAsia="宋体" w:cs="宋体"/>
                <w:b w:val="0"/>
                <w:bCs w:val="0"/>
                <w:sz w:val="24"/>
                <w:szCs w:val="24"/>
                <w:highlight w:val="none"/>
                <w:lang w:val="en-US" w:eastAsia="zh-CN"/>
              </w:rPr>
              <w:t>1.5</w:t>
            </w:r>
            <w:r>
              <w:rPr>
                <w:rFonts w:hint="eastAsia" w:ascii="宋体" w:hAnsi="宋体" w:eastAsia="宋体" w:cs="宋体"/>
                <w:b w:val="0"/>
                <w:bCs w:val="0"/>
                <w:sz w:val="24"/>
                <w:szCs w:val="24"/>
                <w:highlight w:val="none"/>
              </w:rPr>
              <w:t>万元以上</w:t>
            </w:r>
            <w:r>
              <w:rPr>
                <w:rFonts w:hint="eastAsia" w:ascii="宋体" w:hAnsi="宋体" w:eastAsia="宋体" w:cs="宋体"/>
                <w:b w:val="0"/>
                <w:bCs w:val="0"/>
                <w:sz w:val="24"/>
                <w:szCs w:val="24"/>
                <w:highlight w:val="none"/>
                <w:lang w:val="en-US" w:eastAsia="zh-CN"/>
              </w:rPr>
              <w:t>3.5</w:t>
            </w:r>
            <w:r>
              <w:rPr>
                <w:rFonts w:hint="eastAsia" w:ascii="宋体" w:hAnsi="宋体" w:eastAsia="宋体" w:cs="宋体"/>
                <w:b w:val="0"/>
                <w:bCs w:val="0"/>
                <w:sz w:val="24"/>
                <w:szCs w:val="24"/>
                <w:highlight w:val="none"/>
              </w:rPr>
              <w:t>万元以下的罚款。</w:t>
            </w:r>
          </w:p>
        </w:tc>
      </w:tr>
      <w:tr w14:paraId="18BC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643" w:type="dxa"/>
            <w:vMerge w:val="continue"/>
            <w:tcBorders>
              <w:tl2br w:val="nil"/>
              <w:tr2bl w:val="nil"/>
            </w:tcBorders>
            <w:noWrap w:val="0"/>
            <w:vAlign w:val="center"/>
          </w:tcPr>
          <w:p w14:paraId="2081E19F">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124BADFF">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53756AFC">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1C2726AA">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较重</w:t>
            </w:r>
          </w:p>
        </w:tc>
        <w:tc>
          <w:tcPr>
            <w:tcW w:w="3345" w:type="dxa"/>
            <w:tcBorders>
              <w:tl2br w:val="nil"/>
              <w:tr2bl w:val="nil"/>
            </w:tcBorders>
            <w:noWrap w:val="0"/>
            <w:vAlign w:val="center"/>
          </w:tcPr>
          <w:p w14:paraId="40580251">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未按规定建立广告档案</w:t>
            </w:r>
            <w:r>
              <w:rPr>
                <w:rFonts w:hint="eastAsia" w:ascii="宋体" w:hAnsi="宋体" w:eastAsia="宋体" w:cs="宋体"/>
                <w:b w:val="0"/>
                <w:bCs w:val="0"/>
                <w:sz w:val="24"/>
                <w:szCs w:val="24"/>
                <w:highlight w:val="none"/>
                <w:lang w:val="en-US" w:eastAsia="zh-CN"/>
              </w:rPr>
              <w:t>持续时间1年以上的；</w:t>
            </w:r>
            <w:r>
              <w:rPr>
                <w:rFonts w:hint="eastAsia" w:ascii="宋体" w:hAnsi="宋体" w:eastAsia="宋体" w:cs="宋体"/>
                <w:b w:val="0"/>
                <w:bCs w:val="0"/>
                <w:sz w:val="24"/>
                <w:szCs w:val="24"/>
                <w:highlight w:val="none"/>
              </w:rPr>
              <w:t>未对广告内容进行核对</w:t>
            </w:r>
            <w:r>
              <w:rPr>
                <w:rFonts w:hint="eastAsia" w:ascii="宋体" w:hAnsi="宋体" w:eastAsia="宋体" w:cs="宋体"/>
                <w:b w:val="0"/>
                <w:bCs w:val="0"/>
                <w:sz w:val="24"/>
                <w:szCs w:val="24"/>
                <w:highlight w:val="none"/>
                <w:lang w:val="en-US" w:eastAsia="zh-CN"/>
              </w:rPr>
              <w:t>10次以上的。</w:t>
            </w:r>
          </w:p>
        </w:tc>
        <w:tc>
          <w:tcPr>
            <w:tcW w:w="3300" w:type="dxa"/>
            <w:tcBorders>
              <w:tl2br w:val="nil"/>
              <w:tr2bl w:val="nil"/>
            </w:tcBorders>
            <w:noWrap w:val="0"/>
            <w:vAlign w:val="center"/>
          </w:tcPr>
          <w:p w14:paraId="05A2427A">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eastAsia="zh-CN"/>
              </w:rPr>
              <w:t>可以</w:t>
            </w:r>
            <w:r>
              <w:rPr>
                <w:rFonts w:hint="eastAsia" w:ascii="宋体" w:hAnsi="宋体" w:eastAsia="宋体" w:cs="宋体"/>
                <w:b w:val="0"/>
                <w:bCs w:val="0"/>
                <w:sz w:val="24"/>
                <w:szCs w:val="24"/>
                <w:highlight w:val="none"/>
              </w:rPr>
              <w:t>处</w:t>
            </w:r>
            <w:r>
              <w:rPr>
                <w:rFonts w:hint="eastAsia" w:ascii="宋体" w:hAnsi="宋体" w:eastAsia="宋体" w:cs="宋体"/>
                <w:b w:val="0"/>
                <w:bCs w:val="0"/>
                <w:sz w:val="24"/>
                <w:szCs w:val="24"/>
                <w:highlight w:val="none"/>
                <w:lang w:val="en-US" w:eastAsia="zh-CN"/>
              </w:rPr>
              <w:t>3.5</w:t>
            </w:r>
            <w:r>
              <w:rPr>
                <w:rFonts w:hint="eastAsia" w:ascii="宋体" w:hAnsi="宋体" w:eastAsia="宋体" w:cs="宋体"/>
                <w:b w:val="0"/>
                <w:bCs w:val="0"/>
                <w:sz w:val="24"/>
                <w:szCs w:val="24"/>
                <w:highlight w:val="none"/>
              </w:rPr>
              <w:t>万元以上5万元以下的罚款。</w:t>
            </w:r>
          </w:p>
        </w:tc>
      </w:tr>
      <w:tr w14:paraId="5159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jc w:val="center"/>
        </w:trPr>
        <w:tc>
          <w:tcPr>
            <w:tcW w:w="643" w:type="dxa"/>
            <w:vMerge w:val="restart"/>
            <w:tcBorders>
              <w:tl2br w:val="nil"/>
              <w:tr2bl w:val="nil"/>
            </w:tcBorders>
            <w:noWrap w:val="0"/>
            <w:vAlign w:val="center"/>
          </w:tcPr>
          <w:p w14:paraId="4704BEFA">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 w:eastAsia="zh-CN"/>
              </w:rPr>
            </w:pPr>
            <w:r>
              <w:rPr>
                <w:rFonts w:hint="eastAsia" w:ascii="宋体" w:hAnsi="宋体" w:eastAsia="宋体" w:cs="宋体"/>
                <w:b w:val="0"/>
                <w:bCs w:val="0"/>
                <w:sz w:val="24"/>
                <w:szCs w:val="24"/>
                <w:lang w:val="en"/>
              </w:rPr>
              <w:t>5</w:t>
            </w:r>
            <w:r>
              <w:rPr>
                <w:rFonts w:hint="eastAsia" w:ascii="宋体" w:hAnsi="宋体" w:eastAsia="宋体" w:cs="宋体"/>
                <w:b w:val="0"/>
                <w:bCs w:val="0"/>
                <w:sz w:val="24"/>
                <w:szCs w:val="24"/>
                <w:lang w:val="en-US" w:eastAsia="zh-CN"/>
              </w:rPr>
              <w:t>7</w:t>
            </w:r>
          </w:p>
        </w:tc>
        <w:tc>
          <w:tcPr>
            <w:tcW w:w="1512" w:type="dxa"/>
            <w:vMerge w:val="restart"/>
            <w:tcBorders>
              <w:tl2br w:val="nil"/>
              <w:tr2bl w:val="nil"/>
            </w:tcBorders>
            <w:noWrap w:val="0"/>
            <w:vAlign w:val="center"/>
          </w:tcPr>
          <w:p w14:paraId="73012C10">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《互联网广告管理办法》</w:t>
            </w:r>
          </w:p>
        </w:tc>
        <w:tc>
          <w:tcPr>
            <w:tcW w:w="4200" w:type="dxa"/>
            <w:vMerge w:val="restart"/>
            <w:tcBorders>
              <w:tl2br w:val="nil"/>
              <w:tr2bl w:val="nil"/>
            </w:tcBorders>
            <w:noWrap w:val="0"/>
            <w:vAlign w:val="center"/>
          </w:tcPr>
          <w:p w14:paraId="199BDFD1">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第二十八条第四款</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违反本办法第十四条第三款，广告经营者、广告发布者拒不配合市场监督管理部门开展的互联网广告行业调查，或者提供虚假资料的，由县级以上市场监督管理部门责令改正，可以处一万元以上三万元以下的罚款。</w:t>
            </w:r>
          </w:p>
        </w:tc>
        <w:tc>
          <w:tcPr>
            <w:tcW w:w="1123" w:type="dxa"/>
            <w:tcBorders>
              <w:tl2br w:val="nil"/>
              <w:tr2bl w:val="nil"/>
            </w:tcBorders>
            <w:noWrap w:val="0"/>
            <w:vAlign w:val="center"/>
          </w:tcPr>
          <w:p w14:paraId="18F70AA8">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较轻</w:t>
            </w:r>
          </w:p>
        </w:tc>
        <w:tc>
          <w:tcPr>
            <w:tcW w:w="3345" w:type="dxa"/>
            <w:tcBorders>
              <w:tl2br w:val="nil"/>
              <w:tr2bl w:val="nil"/>
            </w:tcBorders>
            <w:noWrap w:val="0"/>
            <w:vAlign w:val="center"/>
          </w:tcPr>
          <w:p w14:paraId="69F7E495">
            <w:pPr>
              <w:keepNext w:val="0"/>
              <w:keepLines w:val="0"/>
              <w:pageBreakBefore w:val="0"/>
              <w:widowControl w:val="0"/>
              <w:kinsoku/>
              <w:wordWrap/>
              <w:overflowPunct/>
              <w:topLinePunct w:val="0"/>
              <w:autoSpaceDE/>
              <w:autoSpaceDN/>
              <w:bidi w:val="0"/>
              <w:adjustRightInd/>
              <w:snapToGrid/>
              <w:spacing w:line="322"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广告经营者、广告发布者拒不配合市场监督管理部门开展的互联网广告行业调查</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情节轻微</w:t>
            </w:r>
            <w:r>
              <w:rPr>
                <w:rFonts w:hint="eastAsia" w:ascii="宋体" w:hAnsi="宋体" w:eastAsia="宋体" w:cs="宋体"/>
                <w:b w:val="0"/>
                <w:bCs w:val="0"/>
                <w:color w:val="auto"/>
                <w:sz w:val="24"/>
                <w:szCs w:val="24"/>
                <w:highlight w:val="none"/>
              </w:rPr>
              <w:t>的</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广告经营者、广告发布者提供虚假资料</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后果较</w:t>
            </w:r>
            <w:r>
              <w:rPr>
                <w:rFonts w:hint="eastAsia" w:ascii="宋体" w:hAnsi="宋体" w:cs="宋体"/>
                <w:b w:val="0"/>
                <w:bCs w:val="0"/>
                <w:color w:val="auto"/>
                <w:sz w:val="24"/>
                <w:szCs w:val="24"/>
                <w:highlight w:val="none"/>
                <w:lang w:val="en-US" w:eastAsia="zh-CN"/>
              </w:rPr>
              <w:t>轻</w:t>
            </w:r>
            <w:r>
              <w:rPr>
                <w:rFonts w:hint="eastAsia" w:ascii="宋体" w:hAnsi="宋体" w:eastAsia="宋体" w:cs="宋体"/>
                <w:b w:val="0"/>
                <w:bCs w:val="0"/>
                <w:color w:val="auto"/>
                <w:sz w:val="24"/>
                <w:szCs w:val="24"/>
                <w:highlight w:val="none"/>
              </w:rPr>
              <w:t>的。</w:t>
            </w:r>
          </w:p>
        </w:tc>
        <w:tc>
          <w:tcPr>
            <w:tcW w:w="3300" w:type="dxa"/>
            <w:tcBorders>
              <w:tl2br w:val="nil"/>
              <w:tr2bl w:val="nil"/>
            </w:tcBorders>
            <w:noWrap w:val="0"/>
            <w:vAlign w:val="center"/>
          </w:tcPr>
          <w:p w14:paraId="40C718B5">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cs="宋体"/>
                <w:b w:val="0"/>
                <w:bCs w:val="0"/>
                <w:sz w:val="24"/>
                <w:szCs w:val="24"/>
                <w:highlight w:val="none"/>
                <w:lang w:val="en-US" w:eastAsia="zh-CN"/>
              </w:rPr>
              <w:t>责令改正，</w:t>
            </w:r>
            <w:r>
              <w:rPr>
                <w:rFonts w:hint="eastAsia" w:ascii="宋体" w:hAnsi="宋体" w:eastAsia="宋体" w:cs="宋体"/>
                <w:b w:val="0"/>
                <w:bCs w:val="0"/>
                <w:color w:val="auto"/>
                <w:sz w:val="24"/>
                <w:szCs w:val="24"/>
                <w:highlight w:val="none"/>
                <w:lang w:val="en-US" w:eastAsia="zh-CN"/>
              </w:rPr>
              <w:t>可以</w:t>
            </w:r>
            <w:r>
              <w:rPr>
                <w:rFonts w:hint="eastAsia" w:ascii="宋体" w:hAnsi="宋体" w:eastAsia="宋体" w:cs="宋体"/>
                <w:b w:val="0"/>
                <w:bCs w:val="0"/>
                <w:color w:val="auto"/>
                <w:sz w:val="24"/>
                <w:szCs w:val="24"/>
                <w:highlight w:val="none"/>
              </w:rPr>
              <w:t>处1万元以上</w:t>
            </w:r>
            <w:r>
              <w:rPr>
                <w:rFonts w:hint="eastAsia" w:ascii="宋体" w:hAnsi="宋体" w:eastAsia="宋体" w:cs="宋体"/>
                <w:b w:val="0"/>
                <w:bCs w:val="0"/>
                <w:color w:val="auto"/>
                <w:sz w:val="24"/>
                <w:szCs w:val="24"/>
                <w:highlight w:val="none"/>
                <w:lang w:val="en-US" w:eastAsia="zh-CN"/>
              </w:rPr>
              <w:t>1.6</w:t>
            </w:r>
            <w:r>
              <w:rPr>
                <w:rFonts w:hint="eastAsia" w:ascii="宋体" w:hAnsi="宋体" w:eastAsia="宋体" w:cs="宋体"/>
                <w:b w:val="0"/>
                <w:bCs w:val="0"/>
                <w:color w:val="auto"/>
                <w:sz w:val="24"/>
                <w:szCs w:val="24"/>
                <w:highlight w:val="none"/>
              </w:rPr>
              <w:t>万元以下的罚款。</w:t>
            </w:r>
          </w:p>
        </w:tc>
      </w:tr>
      <w:tr w14:paraId="6331B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jc w:val="center"/>
        </w:trPr>
        <w:tc>
          <w:tcPr>
            <w:tcW w:w="643" w:type="dxa"/>
            <w:vMerge w:val="continue"/>
            <w:tcBorders>
              <w:tl2br w:val="nil"/>
              <w:tr2bl w:val="nil"/>
            </w:tcBorders>
            <w:noWrap w:val="0"/>
            <w:vAlign w:val="center"/>
          </w:tcPr>
          <w:p w14:paraId="64FB3BA9">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19E7D603">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12EE2129">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1501C41B">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一般</w:t>
            </w:r>
          </w:p>
        </w:tc>
        <w:tc>
          <w:tcPr>
            <w:tcW w:w="3345" w:type="dxa"/>
            <w:tcBorders>
              <w:tl2br w:val="nil"/>
              <w:tr2bl w:val="nil"/>
            </w:tcBorders>
            <w:noWrap w:val="0"/>
            <w:vAlign w:val="center"/>
          </w:tcPr>
          <w:p w14:paraId="2C3AE704">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广告经营者、广告发布者拒不配合市场监督管理部门开展的互联网广告行业调查</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情节较重</w:t>
            </w:r>
            <w:r>
              <w:rPr>
                <w:rFonts w:hint="eastAsia" w:ascii="宋体" w:hAnsi="宋体" w:eastAsia="宋体" w:cs="宋体"/>
                <w:b w:val="0"/>
                <w:bCs w:val="0"/>
                <w:color w:val="auto"/>
                <w:sz w:val="24"/>
                <w:szCs w:val="24"/>
                <w:highlight w:val="none"/>
              </w:rPr>
              <w:t>的</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广告经营者、广告发布者提供虚假资料</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后果较重</w:t>
            </w:r>
            <w:r>
              <w:rPr>
                <w:rFonts w:hint="eastAsia" w:ascii="宋体" w:hAnsi="宋体" w:eastAsia="宋体" w:cs="宋体"/>
                <w:b w:val="0"/>
                <w:bCs w:val="0"/>
                <w:color w:val="auto"/>
                <w:sz w:val="24"/>
                <w:szCs w:val="24"/>
                <w:highlight w:val="none"/>
              </w:rPr>
              <w:t>的。</w:t>
            </w:r>
          </w:p>
        </w:tc>
        <w:tc>
          <w:tcPr>
            <w:tcW w:w="3300" w:type="dxa"/>
            <w:tcBorders>
              <w:tl2br w:val="nil"/>
              <w:tr2bl w:val="nil"/>
            </w:tcBorders>
            <w:noWrap w:val="0"/>
            <w:vAlign w:val="center"/>
          </w:tcPr>
          <w:p w14:paraId="568EB813">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cs="宋体"/>
                <w:b w:val="0"/>
                <w:bCs w:val="0"/>
                <w:sz w:val="24"/>
                <w:szCs w:val="24"/>
                <w:highlight w:val="none"/>
                <w:lang w:val="en-US" w:eastAsia="zh-CN"/>
              </w:rPr>
              <w:t>责令改正，</w:t>
            </w:r>
            <w:r>
              <w:rPr>
                <w:rFonts w:hint="eastAsia" w:ascii="宋体" w:hAnsi="宋体" w:eastAsia="宋体" w:cs="宋体"/>
                <w:b w:val="0"/>
                <w:bCs w:val="0"/>
                <w:color w:val="auto"/>
                <w:sz w:val="24"/>
                <w:szCs w:val="24"/>
                <w:highlight w:val="none"/>
                <w:lang w:val="en-US" w:eastAsia="zh-CN"/>
              </w:rPr>
              <w:t>可以</w:t>
            </w:r>
            <w:r>
              <w:rPr>
                <w:rFonts w:hint="eastAsia" w:ascii="宋体" w:hAnsi="宋体" w:eastAsia="宋体" w:cs="宋体"/>
                <w:b w:val="0"/>
                <w:bCs w:val="0"/>
                <w:color w:val="auto"/>
                <w:sz w:val="24"/>
                <w:szCs w:val="24"/>
                <w:highlight w:val="none"/>
              </w:rPr>
              <w:t>处</w:t>
            </w:r>
            <w:r>
              <w:rPr>
                <w:rFonts w:hint="eastAsia" w:ascii="宋体" w:hAnsi="宋体" w:eastAsia="宋体" w:cs="宋体"/>
                <w:b w:val="0"/>
                <w:bCs w:val="0"/>
                <w:color w:val="auto"/>
                <w:sz w:val="24"/>
                <w:szCs w:val="24"/>
                <w:highlight w:val="none"/>
                <w:lang w:val="en-US" w:eastAsia="zh-CN"/>
              </w:rPr>
              <w:t>1.6</w:t>
            </w:r>
            <w:r>
              <w:rPr>
                <w:rFonts w:hint="eastAsia" w:ascii="宋体" w:hAnsi="宋体" w:eastAsia="宋体" w:cs="宋体"/>
                <w:b w:val="0"/>
                <w:bCs w:val="0"/>
                <w:color w:val="auto"/>
                <w:sz w:val="24"/>
                <w:szCs w:val="24"/>
                <w:highlight w:val="none"/>
              </w:rPr>
              <w:t>万元以上</w:t>
            </w:r>
            <w:r>
              <w:rPr>
                <w:rFonts w:hint="eastAsia" w:ascii="宋体" w:hAnsi="宋体" w:eastAsia="宋体" w:cs="宋体"/>
                <w:b w:val="0"/>
                <w:bCs w:val="0"/>
                <w:color w:val="auto"/>
                <w:sz w:val="24"/>
                <w:szCs w:val="24"/>
                <w:highlight w:val="none"/>
                <w:lang w:val="en-US" w:eastAsia="zh-CN"/>
              </w:rPr>
              <w:t>2.4</w:t>
            </w:r>
            <w:r>
              <w:rPr>
                <w:rFonts w:hint="eastAsia" w:ascii="宋体" w:hAnsi="宋体" w:eastAsia="宋体" w:cs="宋体"/>
                <w:b w:val="0"/>
                <w:bCs w:val="0"/>
                <w:color w:val="auto"/>
                <w:sz w:val="24"/>
                <w:szCs w:val="24"/>
                <w:highlight w:val="none"/>
              </w:rPr>
              <w:t>万元以下的罚款。</w:t>
            </w:r>
          </w:p>
        </w:tc>
      </w:tr>
      <w:tr w14:paraId="42CD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4" w:hRule="atLeast"/>
          <w:jc w:val="center"/>
        </w:trPr>
        <w:tc>
          <w:tcPr>
            <w:tcW w:w="643" w:type="dxa"/>
            <w:vMerge w:val="continue"/>
            <w:tcBorders>
              <w:tl2br w:val="nil"/>
              <w:tr2bl w:val="nil"/>
            </w:tcBorders>
            <w:noWrap w:val="0"/>
            <w:vAlign w:val="center"/>
          </w:tcPr>
          <w:p w14:paraId="5B957F63">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0B93A274">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63D227A0">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13CB9ACC">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较重</w:t>
            </w:r>
          </w:p>
        </w:tc>
        <w:tc>
          <w:tcPr>
            <w:tcW w:w="3345" w:type="dxa"/>
            <w:tcBorders>
              <w:tl2br w:val="nil"/>
              <w:tr2bl w:val="nil"/>
            </w:tcBorders>
            <w:noWrap w:val="0"/>
            <w:vAlign w:val="center"/>
          </w:tcPr>
          <w:p w14:paraId="508C6B60">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广告经营者、广告发布者拒不配合市场监督管理部门开展的互联网广告行业调查</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情节严重</w:t>
            </w:r>
            <w:r>
              <w:rPr>
                <w:rFonts w:hint="eastAsia" w:ascii="宋体" w:hAnsi="宋体" w:eastAsia="宋体" w:cs="宋体"/>
                <w:b w:val="0"/>
                <w:bCs w:val="0"/>
                <w:color w:val="auto"/>
                <w:sz w:val="24"/>
                <w:szCs w:val="24"/>
                <w:highlight w:val="none"/>
              </w:rPr>
              <w:t>的</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广告经营者、广告发布</w:t>
            </w:r>
            <w:r>
              <w:rPr>
                <w:rFonts w:hint="eastAsia" w:ascii="宋体" w:hAnsi="宋体" w:eastAsia="宋体" w:cs="宋体"/>
                <w:b w:val="0"/>
                <w:bCs w:val="0"/>
                <w:color w:val="auto"/>
                <w:spacing w:val="-6"/>
                <w:sz w:val="24"/>
                <w:szCs w:val="24"/>
                <w:highlight w:val="none"/>
              </w:rPr>
              <w:t>者提供虚假资料</w:t>
            </w:r>
            <w:r>
              <w:rPr>
                <w:rFonts w:hint="eastAsia" w:ascii="宋体" w:hAnsi="宋体" w:eastAsia="宋体" w:cs="宋体"/>
                <w:b w:val="0"/>
                <w:bCs w:val="0"/>
                <w:color w:val="auto"/>
                <w:spacing w:val="-6"/>
                <w:sz w:val="24"/>
                <w:szCs w:val="24"/>
                <w:highlight w:val="none"/>
                <w:lang w:eastAsia="zh-CN"/>
              </w:rPr>
              <w:t>，</w:t>
            </w:r>
            <w:r>
              <w:rPr>
                <w:rFonts w:hint="eastAsia" w:ascii="宋体" w:hAnsi="宋体" w:eastAsia="宋体" w:cs="宋体"/>
                <w:b w:val="0"/>
                <w:bCs w:val="0"/>
                <w:color w:val="auto"/>
                <w:spacing w:val="-6"/>
                <w:sz w:val="24"/>
                <w:szCs w:val="24"/>
                <w:highlight w:val="none"/>
                <w:lang w:val="en-US" w:eastAsia="zh-CN"/>
              </w:rPr>
              <w:t>后果严重</w:t>
            </w:r>
            <w:r>
              <w:rPr>
                <w:rFonts w:hint="eastAsia" w:ascii="宋体" w:hAnsi="宋体" w:eastAsia="宋体" w:cs="宋体"/>
                <w:b w:val="0"/>
                <w:bCs w:val="0"/>
                <w:color w:val="auto"/>
                <w:spacing w:val="-6"/>
                <w:sz w:val="24"/>
                <w:szCs w:val="24"/>
                <w:highlight w:val="none"/>
              </w:rPr>
              <w:t>的。</w:t>
            </w:r>
          </w:p>
        </w:tc>
        <w:tc>
          <w:tcPr>
            <w:tcW w:w="3300" w:type="dxa"/>
            <w:tcBorders>
              <w:tl2br w:val="nil"/>
              <w:tr2bl w:val="nil"/>
            </w:tcBorders>
            <w:noWrap w:val="0"/>
            <w:vAlign w:val="center"/>
          </w:tcPr>
          <w:p w14:paraId="3F37A93E">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cs="宋体"/>
                <w:b w:val="0"/>
                <w:bCs w:val="0"/>
                <w:sz w:val="24"/>
                <w:szCs w:val="24"/>
                <w:highlight w:val="none"/>
                <w:lang w:val="en-US" w:eastAsia="zh-CN"/>
              </w:rPr>
              <w:t>责令改正，</w:t>
            </w:r>
            <w:r>
              <w:rPr>
                <w:rFonts w:hint="eastAsia" w:ascii="宋体" w:hAnsi="宋体" w:eastAsia="宋体" w:cs="宋体"/>
                <w:b w:val="0"/>
                <w:bCs w:val="0"/>
                <w:color w:val="auto"/>
                <w:sz w:val="24"/>
                <w:szCs w:val="24"/>
                <w:highlight w:val="none"/>
                <w:lang w:val="en-US" w:eastAsia="zh-CN"/>
              </w:rPr>
              <w:t>可以</w:t>
            </w:r>
            <w:r>
              <w:rPr>
                <w:rFonts w:hint="eastAsia" w:ascii="宋体" w:hAnsi="宋体" w:eastAsia="宋体" w:cs="宋体"/>
                <w:b w:val="0"/>
                <w:bCs w:val="0"/>
                <w:color w:val="auto"/>
                <w:sz w:val="24"/>
                <w:szCs w:val="24"/>
                <w:highlight w:val="none"/>
              </w:rPr>
              <w:t>处2</w:t>
            </w: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万元以上3万元以下的罚款。</w:t>
            </w:r>
          </w:p>
        </w:tc>
      </w:tr>
      <w:tr w14:paraId="4BD4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643" w:type="dxa"/>
            <w:vMerge w:val="restart"/>
            <w:tcBorders>
              <w:tl2br w:val="nil"/>
              <w:tr2bl w:val="nil"/>
            </w:tcBorders>
            <w:noWrap w:val="0"/>
            <w:vAlign w:val="center"/>
          </w:tcPr>
          <w:p w14:paraId="760FA813">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 w:eastAsia="zh-CN"/>
              </w:rPr>
            </w:pPr>
            <w:r>
              <w:rPr>
                <w:rFonts w:hint="eastAsia" w:ascii="宋体" w:hAnsi="宋体" w:eastAsia="宋体" w:cs="宋体"/>
                <w:b w:val="0"/>
                <w:bCs w:val="0"/>
                <w:sz w:val="24"/>
                <w:szCs w:val="24"/>
                <w:lang w:val="en"/>
              </w:rPr>
              <w:t>5</w:t>
            </w:r>
            <w:r>
              <w:rPr>
                <w:rFonts w:hint="eastAsia" w:ascii="宋体" w:hAnsi="宋体" w:eastAsia="宋体" w:cs="宋体"/>
                <w:b w:val="0"/>
                <w:bCs w:val="0"/>
                <w:sz w:val="24"/>
                <w:szCs w:val="24"/>
                <w:lang w:val="en-US" w:eastAsia="zh-CN"/>
              </w:rPr>
              <w:t>8</w:t>
            </w:r>
          </w:p>
        </w:tc>
        <w:tc>
          <w:tcPr>
            <w:tcW w:w="1512" w:type="dxa"/>
            <w:vMerge w:val="restart"/>
            <w:tcBorders>
              <w:tl2br w:val="nil"/>
              <w:tr2bl w:val="nil"/>
            </w:tcBorders>
            <w:noWrap w:val="0"/>
            <w:vAlign w:val="center"/>
          </w:tcPr>
          <w:p w14:paraId="3DE2CE8C">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《互联网广告管理办法》</w:t>
            </w:r>
          </w:p>
        </w:tc>
        <w:tc>
          <w:tcPr>
            <w:tcW w:w="4200" w:type="dxa"/>
            <w:vMerge w:val="restart"/>
            <w:tcBorders>
              <w:tl2br w:val="nil"/>
              <w:tr2bl w:val="nil"/>
            </w:tcBorders>
            <w:noWrap w:val="0"/>
            <w:vAlign w:val="center"/>
          </w:tcPr>
          <w:p w14:paraId="016DA11D">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t>第二十九条第一款</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互联网平台经营者违反本办法第十六条第一项、第三项至第五项规定，法律、行政法规有规定的，依照其规定；法律、行政法规没有规定的，由县级以上市场监督管理部门责令改正，处一万元以上五万元以下的罚款。</w:t>
            </w:r>
          </w:p>
        </w:tc>
        <w:tc>
          <w:tcPr>
            <w:tcW w:w="1123" w:type="dxa"/>
            <w:tcBorders>
              <w:tl2br w:val="nil"/>
              <w:tr2bl w:val="nil"/>
            </w:tcBorders>
            <w:noWrap w:val="0"/>
            <w:vAlign w:val="center"/>
          </w:tcPr>
          <w:p w14:paraId="450B38A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较轻</w:t>
            </w:r>
          </w:p>
        </w:tc>
        <w:tc>
          <w:tcPr>
            <w:tcW w:w="3345" w:type="dxa"/>
            <w:tcBorders>
              <w:tl2br w:val="nil"/>
              <w:tr2bl w:val="nil"/>
            </w:tcBorders>
            <w:noWrap w:val="0"/>
            <w:vAlign w:val="center"/>
          </w:tcPr>
          <w:p w14:paraId="72457F0C">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违法行为</w:t>
            </w:r>
            <w:r>
              <w:rPr>
                <w:rFonts w:hint="eastAsia" w:ascii="宋体" w:hAnsi="宋体" w:eastAsia="宋体" w:cs="宋体"/>
                <w:b w:val="0"/>
                <w:bCs w:val="0"/>
                <w:color w:val="auto"/>
                <w:sz w:val="24"/>
                <w:szCs w:val="24"/>
                <w:highlight w:val="none"/>
                <w:lang w:val="en-US" w:eastAsia="zh-CN"/>
              </w:rPr>
              <w:t>持续时间</w:t>
            </w:r>
            <w:r>
              <w:rPr>
                <w:rFonts w:hint="eastAsia" w:ascii="宋体" w:hAnsi="宋体" w:eastAsia="宋体" w:cs="宋体"/>
                <w:b w:val="0"/>
                <w:bCs w:val="0"/>
                <w:color w:val="auto"/>
                <w:sz w:val="24"/>
                <w:szCs w:val="24"/>
                <w:highlight w:val="none"/>
              </w:rPr>
              <w:t>3个月</w:t>
            </w:r>
            <w:r>
              <w:rPr>
                <w:rFonts w:hint="eastAsia" w:ascii="宋体" w:hAnsi="宋体" w:eastAsia="宋体" w:cs="宋体"/>
                <w:b w:val="0"/>
                <w:bCs w:val="0"/>
                <w:color w:val="auto"/>
                <w:sz w:val="24"/>
                <w:szCs w:val="24"/>
                <w:highlight w:val="none"/>
                <w:lang w:val="en-US" w:eastAsia="zh-CN"/>
              </w:rPr>
              <w:t>以下</w:t>
            </w:r>
            <w:r>
              <w:rPr>
                <w:rFonts w:hint="eastAsia" w:ascii="宋体" w:hAnsi="宋体" w:eastAsia="宋体" w:cs="宋体"/>
                <w:b w:val="0"/>
                <w:bCs w:val="0"/>
                <w:color w:val="auto"/>
                <w:sz w:val="24"/>
                <w:szCs w:val="24"/>
                <w:highlight w:val="none"/>
              </w:rPr>
              <w:t>，没有造成危害</w:t>
            </w:r>
            <w:r>
              <w:rPr>
                <w:rFonts w:hint="eastAsia" w:ascii="宋体" w:hAnsi="宋体" w:eastAsia="宋体" w:cs="宋体"/>
                <w:b w:val="0"/>
                <w:bCs w:val="0"/>
                <w:color w:val="auto"/>
                <w:sz w:val="24"/>
                <w:szCs w:val="24"/>
                <w:highlight w:val="none"/>
                <w:lang w:val="en-US" w:eastAsia="zh-CN"/>
              </w:rPr>
              <w:t>影响</w:t>
            </w:r>
            <w:r>
              <w:rPr>
                <w:rFonts w:hint="eastAsia" w:ascii="宋体" w:hAnsi="宋体" w:eastAsia="宋体" w:cs="宋体"/>
                <w:b w:val="0"/>
                <w:bCs w:val="0"/>
                <w:color w:val="auto"/>
                <w:sz w:val="24"/>
                <w:szCs w:val="24"/>
                <w:highlight w:val="none"/>
              </w:rPr>
              <w:t>的。</w:t>
            </w:r>
          </w:p>
        </w:tc>
        <w:tc>
          <w:tcPr>
            <w:tcW w:w="3300" w:type="dxa"/>
            <w:tcBorders>
              <w:tl2br w:val="nil"/>
              <w:tr2bl w:val="nil"/>
            </w:tcBorders>
            <w:noWrap w:val="0"/>
            <w:vAlign w:val="center"/>
          </w:tcPr>
          <w:p w14:paraId="2D276589">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cs="宋体"/>
                <w:b w:val="0"/>
                <w:bCs w:val="0"/>
                <w:sz w:val="24"/>
                <w:szCs w:val="24"/>
                <w:highlight w:val="none"/>
                <w:lang w:val="en-US" w:eastAsia="zh-CN"/>
              </w:rPr>
              <w:t>责令改正，</w:t>
            </w:r>
            <w:r>
              <w:rPr>
                <w:rFonts w:hint="eastAsia" w:ascii="宋体" w:hAnsi="宋体" w:eastAsia="宋体" w:cs="宋体"/>
                <w:b w:val="0"/>
                <w:bCs w:val="0"/>
                <w:color w:val="auto"/>
                <w:sz w:val="24"/>
                <w:szCs w:val="24"/>
                <w:highlight w:val="none"/>
              </w:rPr>
              <w:t>处1万元以上2</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万元以下的罚款。</w:t>
            </w:r>
          </w:p>
        </w:tc>
      </w:tr>
      <w:tr w14:paraId="7195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643" w:type="dxa"/>
            <w:vMerge w:val="continue"/>
            <w:tcBorders>
              <w:tl2br w:val="nil"/>
              <w:tr2bl w:val="nil"/>
            </w:tcBorders>
            <w:noWrap w:val="0"/>
            <w:vAlign w:val="center"/>
          </w:tcPr>
          <w:p w14:paraId="65C8FE62">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14FD78D6">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2269ED02">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auto"/>
                <w:sz w:val="24"/>
                <w:szCs w:val="24"/>
                <w:highlight w:val="none"/>
              </w:rPr>
            </w:pPr>
          </w:p>
        </w:tc>
        <w:tc>
          <w:tcPr>
            <w:tcW w:w="1123" w:type="dxa"/>
            <w:tcBorders>
              <w:tl2br w:val="nil"/>
              <w:tr2bl w:val="nil"/>
            </w:tcBorders>
            <w:noWrap w:val="0"/>
            <w:vAlign w:val="center"/>
          </w:tcPr>
          <w:p w14:paraId="428511F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一般</w:t>
            </w:r>
          </w:p>
        </w:tc>
        <w:tc>
          <w:tcPr>
            <w:tcW w:w="3345" w:type="dxa"/>
            <w:tcBorders>
              <w:tl2br w:val="nil"/>
              <w:tr2bl w:val="nil"/>
            </w:tcBorders>
            <w:noWrap w:val="0"/>
            <w:vAlign w:val="center"/>
          </w:tcPr>
          <w:p w14:paraId="3670479D">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违法行为</w:t>
            </w:r>
            <w:r>
              <w:rPr>
                <w:rFonts w:hint="eastAsia" w:ascii="宋体" w:hAnsi="宋体" w:eastAsia="宋体" w:cs="宋体"/>
                <w:b w:val="0"/>
                <w:bCs w:val="0"/>
                <w:color w:val="auto"/>
                <w:sz w:val="24"/>
                <w:szCs w:val="24"/>
                <w:highlight w:val="none"/>
                <w:lang w:val="en-US" w:eastAsia="zh-CN"/>
              </w:rPr>
              <w:t>持续时间</w:t>
            </w:r>
            <w:r>
              <w:rPr>
                <w:rFonts w:hint="eastAsia" w:ascii="宋体" w:hAnsi="宋体" w:eastAsia="宋体" w:cs="宋体"/>
                <w:b w:val="0"/>
                <w:bCs w:val="0"/>
                <w:color w:val="auto"/>
                <w:sz w:val="24"/>
                <w:szCs w:val="24"/>
                <w:highlight w:val="none"/>
              </w:rPr>
              <w:t>3个月以上</w:t>
            </w:r>
            <w:r>
              <w:rPr>
                <w:rFonts w:hint="eastAsia" w:ascii="宋体" w:hAnsi="宋体" w:eastAsia="宋体" w:cs="宋体"/>
                <w:b w:val="0"/>
                <w:bCs w:val="0"/>
                <w:color w:val="auto"/>
                <w:spacing w:val="-6"/>
                <w:sz w:val="24"/>
                <w:szCs w:val="24"/>
                <w:highlight w:val="none"/>
              </w:rPr>
              <w:t>6个月</w:t>
            </w:r>
            <w:r>
              <w:rPr>
                <w:rFonts w:hint="eastAsia" w:ascii="宋体" w:hAnsi="宋体" w:eastAsia="宋体" w:cs="宋体"/>
                <w:b w:val="0"/>
                <w:bCs w:val="0"/>
                <w:color w:val="auto"/>
                <w:spacing w:val="-6"/>
                <w:sz w:val="24"/>
                <w:szCs w:val="24"/>
                <w:highlight w:val="none"/>
                <w:lang w:val="en-US" w:eastAsia="zh-CN"/>
              </w:rPr>
              <w:t>以下，</w:t>
            </w:r>
            <w:r>
              <w:rPr>
                <w:rFonts w:hint="eastAsia" w:ascii="宋体" w:hAnsi="宋体" w:eastAsia="宋体" w:cs="宋体"/>
                <w:b w:val="0"/>
                <w:bCs w:val="0"/>
                <w:color w:val="auto"/>
                <w:spacing w:val="-6"/>
                <w:sz w:val="24"/>
                <w:szCs w:val="24"/>
                <w:highlight w:val="none"/>
              </w:rPr>
              <w:t>造成轻微危害</w:t>
            </w:r>
            <w:r>
              <w:rPr>
                <w:rFonts w:hint="eastAsia" w:ascii="宋体" w:hAnsi="宋体" w:eastAsia="宋体" w:cs="宋体"/>
                <w:b w:val="0"/>
                <w:bCs w:val="0"/>
                <w:color w:val="auto"/>
                <w:spacing w:val="-6"/>
                <w:sz w:val="24"/>
                <w:szCs w:val="24"/>
                <w:highlight w:val="none"/>
                <w:lang w:val="en-US" w:eastAsia="zh-CN"/>
              </w:rPr>
              <w:t>影响</w:t>
            </w:r>
            <w:r>
              <w:rPr>
                <w:rFonts w:hint="eastAsia" w:ascii="宋体" w:hAnsi="宋体" w:eastAsia="宋体" w:cs="宋体"/>
                <w:b w:val="0"/>
                <w:bCs w:val="0"/>
                <w:color w:val="auto"/>
                <w:spacing w:val="-6"/>
                <w:sz w:val="24"/>
                <w:szCs w:val="24"/>
                <w:highlight w:val="none"/>
              </w:rPr>
              <w:t>。</w:t>
            </w:r>
          </w:p>
        </w:tc>
        <w:tc>
          <w:tcPr>
            <w:tcW w:w="3300" w:type="dxa"/>
            <w:tcBorders>
              <w:tl2br w:val="nil"/>
              <w:tr2bl w:val="nil"/>
            </w:tcBorders>
            <w:noWrap w:val="0"/>
            <w:vAlign w:val="center"/>
          </w:tcPr>
          <w:p w14:paraId="7635B950">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cs="宋体"/>
                <w:b w:val="0"/>
                <w:bCs w:val="0"/>
                <w:sz w:val="24"/>
                <w:szCs w:val="24"/>
                <w:highlight w:val="none"/>
                <w:lang w:val="en-US" w:eastAsia="zh-CN"/>
              </w:rPr>
              <w:t>责令改正，</w:t>
            </w:r>
            <w:r>
              <w:rPr>
                <w:rFonts w:hint="eastAsia" w:ascii="宋体" w:hAnsi="宋体" w:eastAsia="宋体" w:cs="宋体"/>
                <w:b w:val="0"/>
                <w:bCs w:val="0"/>
                <w:color w:val="auto"/>
                <w:sz w:val="24"/>
                <w:szCs w:val="24"/>
                <w:highlight w:val="none"/>
              </w:rPr>
              <w:t>处2</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万元以上</w:t>
            </w:r>
            <w:r>
              <w:rPr>
                <w:rFonts w:hint="eastAsia" w:ascii="宋体" w:hAnsi="宋体" w:eastAsia="宋体" w:cs="宋体"/>
                <w:b w:val="0"/>
                <w:bCs w:val="0"/>
                <w:color w:val="auto"/>
                <w:sz w:val="24"/>
                <w:szCs w:val="24"/>
                <w:highlight w:val="none"/>
                <w:lang w:val="en-US" w:eastAsia="zh-CN"/>
              </w:rPr>
              <w:t>3.8</w:t>
            </w:r>
            <w:r>
              <w:rPr>
                <w:rFonts w:hint="eastAsia" w:ascii="宋体" w:hAnsi="宋体" w:eastAsia="宋体" w:cs="宋体"/>
                <w:b w:val="0"/>
                <w:bCs w:val="0"/>
                <w:color w:val="auto"/>
                <w:sz w:val="24"/>
                <w:szCs w:val="24"/>
                <w:highlight w:val="none"/>
              </w:rPr>
              <w:t>万元以下的罚款。</w:t>
            </w:r>
          </w:p>
        </w:tc>
      </w:tr>
      <w:tr w14:paraId="5980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643" w:type="dxa"/>
            <w:vMerge w:val="continue"/>
            <w:tcBorders>
              <w:tl2br w:val="nil"/>
              <w:tr2bl w:val="nil"/>
            </w:tcBorders>
            <w:noWrap w:val="0"/>
            <w:vAlign w:val="center"/>
          </w:tcPr>
          <w:p w14:paraId="1EA2FD02">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43BBB404">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20C30742">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auto"/>
                <w:sz w:val="24"/>
                <w:szCs w:val="24"/>
                <w:highlight w:val="none"/>
              </w:rPr>
            </w:pPr>
          </w:p>
        </w:tc>
        <w:tc>
          <w:tcPr>
            <w:tcW w:w="1123" w:type="dxa"/>
            <w:tcBorders>
              <w:tl2br w:val="nil"/>
              <w:tr2bl w:val="nil"/>
            </w:tcBorders>
            <w:noWrap w:val="0"/>
            <w:vAlign w:val="center"/>
          </w:tcPr>
          <w:p w14:paraId="5A620AB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较重</w:t>
            </w:r>
          </w:p>
        </w:tc>
        <w:tc>
          <w:tcPr>
            <w:tcW w:w="3345" w:type="dxa"/>
            <w:tcBorders>
              <w:tl2br w:val="nil"/>
              <w:tr2bl w:val="nil"/>
            </w:tcBorders>
            <w:noWrap w:val="0"/>
            <w:vAlign w:val="center"/>
          </w:tcPr>
          <w:p w14:paraId="59B97394">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违法行为</w:t>
            </w:r>
            <w:r>
              <w:rPr>
                <w:rFonts w:hint="eastAsia" w:ascii="宋体" w:hAnsi="宋体" w:eastAsia="宋体" w:cs="宋体"/>
                <w:b w:val="0"/>
                <w:bCs w:val="0"/>
                <w:color w:val="auto"/>
                <w:sz w:val="24"/>
                <w:szCs w:val="24"/>
                <w:highlight w:val="none"/>
                <w:lang w:val="en-US" w:eastAsia="zh-CN"/>
              </w:rPr>
              <w:t>持续时间</w:t>
            </w:r>
            <w:r>
              <w:rPr>
                <w:rFonts w:hint="eastAsia" w:ascii="宋体" w:hAnsi="宋体" w:eastAsia="宋体" w:cs="宋体"/>
                <w:b w:val="0"/>
                <w:bCs w:val="0"/>
                <w:color w:val="auto"/>
                <w:sz w:val="24"/>
                <w:szCs w:val="24"/>
                <w:highlight w:val="none"/>
              </w:rPr>
              <w:t>6个月以上；造成严重危害</w:t>
            </w:r>
            <w:r>
              <w:rPr>
                <w:rFonts w:hint="eastAsia" w:ascii="宋体" w:hAnsi="宋体" w:eastAsia="宋体" w:cs="宋体"/>
                <w:b w:val="0"/>
                <w:bCs w:val="0"/>
                <w:color w:val="auto"/>
                <w:sz w:val="24"/>
                <w:szCs w:val="24"/>
                <w:highlight w:val="none"/>
                <w:lang w:val="en-US" w:eastAsia="zh-CN"/>
              </w:rPr>
              <w:t>影响</w:t>
            </w:r>
            <w:r>
              <w:rPr>
                <w:rFonts w:hint="eastAsia" w:ascii="宋体" w:hAnsi="宋体" w:eastAsia="宋体" w:cs="宋体"/>
                <w:b w:val="0"/>
                <w:bCs w:val="0"/>
                <w:color w:val="auto"/>
                <w:sz w:val="24"/>
                <w:szCs w:val="24"/>
                <w:highlight w:val="none"/>
              </w:rPr>
              <w:t>。</w:t>
            </w:r>
          </w:p>
        </w:tc>
        <w:tc>
          <w:tcPr>
            <w:tcW w:w="3300" w:type="dxa"/>
            <w:tcBorders>
              <w:tl2br w:val="nil"/>
              <w:tr2bl w:val="nil"/>
            </w:tcBorders>
            <w:noWrap w:val="0"/>
            <w:vAlign w:val="center"/>
          </w:tcPr>
          <w:p w14:paraId="3C6E9B73">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auto"/>
                <w:sz w:val="24"/>
                <w:szCs w:val="24"/>
                <w:highlight w:val="none"/>
              </w:rPr>
            </w:pPr>
            <w:r>
              <w:rPr>
                <w:rFonts w:hint="eastAsia" w:ascii="宋体" w:hAnsi="宋体" w:cs="宋体"/>
                <w:b w:val="0"/>
                <w:bCs w:val="0"/>
                <w:sz w:val="24"/>
                <w:szCs w:val="24"/>
                <w:highlight w:val="none"/>
                <w:lang w:val="en-US" w:eastAsia="zh-CN"/>
              </w:rPr>
              <w:t>责令改正，</w:t>
            </w:r>
            <w:r>
              <w:rPr>
                <w:rFonts w:hint="eastAsia" w:ascii="宋体" w:hAnsi="宋体" w:eastAsia="宋体" w:cs="宋体"/>
                <w:b w:val="0"/>
                <w:bCs w:val="0"/>
                <w:color w:val="auto"/>
                <w:sz w:val="24"/>
                <w:szCs w:val="24"/>
                <w:highlight w:val="none"/>
              </w:rPr>
              <w:t>处</w:t>
            </w:r>
            <w:r>
              <w:rPr>
                <w:rFonts w:hint="eastAsia" w:ascii="宋体" w:hAnsi="宋体" w:eastAsia="宋体" w:cs="宋体"/>
                <w:b w:val="0"/>
                <w:bCs w:val="0"/>
                <w:color w:val="auto"/>
                <w:sz w:val="24"/>
                <w:szCs w:val="24"/>
                <w:highlight w:val="none"/>
                <w:lang w:val="en-US" w:eastAsia="zh-CN"/>
              </w:rPr>
              <w:t>3.8</w:t>
            </w:r>
            <w:r>
              <w:rPr>
                <w:rFonts w:hint="eastAsia" w:ascii="宋体" w:hAnsi="宋体" w:eastAsia="宋体" w:cs="宋体"/>
                <w:b w:val="0"/>
                <w:bCs w:val="0"/>
                <w:color w:val="auto"/>
                <w:sz w:val="24"/>
                <w:szCs w:val="24"/>
                <w:highlight w:val="none"/>
              </w:rPr>
              <w:t>万元以上5万元以下的罚款。</w:t>
            </w:r>
          </w:p>
        </w:tc>
      </w:tr>
      <w:tr w14:paraId="0A98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3" w:hRule="atLeast"/>
          <w:jc w:val="center"/>
        </w:trPr>
        <w:tc>
          <w:tcPr>
            <w:tcW w:w="643" w:type="dxa"/>
            <w:vMerge w:val="restart"/>
            <w:tcBorders>
              <w:tl2br w:val="nil"/>
              <w:tr2bl w:val="nil"/>
            </w:tcBorders>
            <w:noWrap w:val="0"/>
            <w:vAlign w:val="center"/>
          </w:tcPr>
          <w:p w14:paraId="279CB7FC">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 w:eastAsia="zh-CN"/>
              </w:rPr>
            </w:pPr>
            <w:r>
              <w:rPr>
                <w:rFonts w:hint="eastAsia" w:ascii="宋体" w:hAnsi="宋体" w:eastAsia="宋体" w:cs="宋体"/>
                <w:b w:val="0"/>
                <w:bCs w:val="0"/>
                <w:sz w:val="24"/>
                <w:szCs w:val="24"/>
                <w:lang w:val="en"/>
              </w:rPr>
              <w:t>5</w:t>
            </w:r>
            <w:r>
              <w:rPr>
                <w:rFonts w:hint="eastAsia" w:ascii="宋体" w:hAnsi="宋体" w:eastAsia="宋体" w:cs="宋体"/>
                <w:b w:val="0"/>
                <w:bCs w:val="0"/>
                <w:sz w:val="24"/>
                <w:szCs w:val="24"/>
                <w:lang w:val="en-US" w:eastAsia="zh-CN"/>
              </w:rPr>
              <w:t>9</w:t>
            </w:r>
          </w:p>
        </w:tc>
        <w:tc>
          <w:tcPr>
            <w:tcW w:w="1512" w:type="dxa"/>
            <w:vMerge w:val="restart"/>
            <w:tcBorders>
              <w:tl2br w:val="nil"/>
              <w:tr2bl w:val="nil"/>
            </w:tcBorders>
            <w:noWrap w:val="0"/>
            <w:vAlign w:val="center"/>
          </w:tcPr>
          <w:p w14:paraId="6801BA7A">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《互联网广告管理办法》</w:t>
            </w:r>
          </w:p>
        </w:tc>
        <w:tc>
          <w:tcPr>
            <w:tcW w:w="4200" w:type="dxa"/>
            <w:vMerge w:val="restart"/>
            <w:tcBorders>
              <w:tl2br w:val="nil"/>
              <w:tr2bl w:val="nil"/>
            </w:tcBorders>
            <w:noWrap w:val="0"/>
            <w:vAlign w:val="center"/>
          </w:tcPr>
          <w:p w14:paraId="4E3A3FC6">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《互联网广告管理办法》第二十九条第二款</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互联网平台经营者违反本办法第十六条第二项规定，明知或者应知互联网广告活动违法不予制止的，依照广告法第六十三条规定予以处罚。　</w:t>
            </w:r>
          </w:p>
          <w:p w14:paraId="18494F3D">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《广告法》</w:t>
            </w:r>
            <w:r>
              <w:rPr>
                <w:rFonts w:hint="eastAsia" w:ascii="宋体" w:hAnsi="宋体" w:eastAsia="宋体" w:cs="宋体"/>
                <w:b w:val="0"/>
                <w:bCs w:val="0"/>
                <w:sz w:val="24"/>
                <w:szCs w:val="24"/>
              </w:rPr>
              <w:t>第六十三条</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违反本法第四十五条规定，公共场所的管理者和电信业务经营者、互联网信息服务提供者，明知或者应知广告活动违法不予制止的，由市场监督管理部门没收违法所得，违法所得五万元以上的，并处违法所得一倍以上三倍以下的罚款，违法所得不足五万元的，并处一万元以上五万元以下的罚款；情节严重的，由有关部门依法停止相关业务。</w:t>
            </w:r>
          </w:p>
        </w:tc>
        <w:tc>
          <w:tcPr>
            <w:tcW w:w="1123" w:type="dxa"/>
            <w:tcBorders>
              <w:tl2br w:val="nil"/>
              <w:tr2bl w:val="nil"/>
            </w:tcBorders>
            <w:noWrap w:val="0"/>
            <w:vAlign w:val="center"/>
          </w:tcPr>
          <w:p w14:paraId="681D6D9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较轻</w:t>
            </w:r>
          </w:p>
        </w:tc>
        <w:tc>
          <w:tcPr>
            <w:tcW w:w="3345" w:type="dxa"/>
            <w:tcBorders>
              <w:tl2br w:val="nil"/>
              <w:tr2bl w:val="nil"/>
            </w:tcBorders>
            <w:noWrap w:val="0"/>
            <w:vAlign w:val="center"/>
          </w:tcPr>
          <w:p w14:paraId="41C5CD22">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影响较小，违法所得1万元以下的。</w:t>
            </w:r>
          </w:p>
        </w:tc>
        <w:tc>
          <w:tcPr>
            <w:tcW w:w="3300" w:type="dxa"/>
            <w:tcBorders>
              <w:tl2br w:val="nil"/>
              <w:tr2bl w:val="nil"/>
            </w:tcBorders>
            <w:noWrap w:val="0"/>
            <w:vAlign w:val="center"/>
          </w:tcPr>
          <w:p w14:paraId="1CD8DE5B">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没收违法所得，并处1万元以上2万元以下的罚款。</w:t>
            </w:r>
          </w:p>
        </w:tc>
      </w:tr>
      <w:tr w14:paraId="207B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8" w:hRule="atLeast"/>
          <w:jc w:val="center"/>
        </w:trPr>
        <w:tc>
          <w:tcPr>
            <w:tcW w:w="643" w:type="dxa"/>
            <w:vMerge w:val="continue"/>
            <w:tcBorders>
              <w:tl2br w:val="nil"/>
              <w:tr2bl w:val="nil"/>
            </w:tcBorders>
            <w:noWrap w:val="0"/>
            <w:vAlign w:val="center"/>
          </w:tcPr>
          <w:p w14:paraId="0569537A">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3D322BEB">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243A2936">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0630901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一般</w:t>
            </w:r>
          </w:p>
        </w:tc>
        <w:tc>
          <w:tcPr>
            <w:tcW w:w="3345" w:type="dxa"/>
            <w:tcBorders>
              <w:tl2br w:val="nil"/>
              <w:tr2bl w:val="nil"/>
            </w:tcBorders>
            <w:noWrap w:val="0"/>
            <w:vAlign w:val="center"/>
          </w:tcPr>
          <w:p w14:paraId="4BE66712">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影响小，违法所得1万元以上5万元以下的。</w:t>
            </w:r>
          </w:p>
        </w:tc>
        <w:tc>
          <w:tcPr>
            <w:tcW w:w="3300" w:type="dxa"/>
            <w:tcBorders>
              <w:tl2br w:val="nil"/>
              <w:tr2bl w:val="nil"/>
            </w:tcBorders>
            <w:noWrap w:val="0"/>
            <w:vAlign w:val="center"/>
          </w:tcPr>
          <w:p w14:paraId="41774352">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没收违法所得，并处2万元以上5万元以下的罚款。</w:t>
            </w:r>
          </w:p>
        </w:tc>
      </w:tr>
      <w:tr w14:paraId="6401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4" w:hRule="atLeast"/>
          <w:jc w:val="center"/>
        </w:trPr>
        <w:tc>
          <w:tcPr>
            <w:tcW w:w="643" w:type="dxa"/>
            <w:vMerge w:val="continue"/>
            <w:tcBorders>
              <w:tl2br w:val="nil"/>
              <w:tr2bl w:val="nil"/>
            </w:tcBorders>
            <w:noWrap w:val="0"/>
            <w:vAlign w:val="center"/>
          </w:tcPr>
          <w:p w14:paraId="1172CD20">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3E3EB8B4">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6B119958">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55DD178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较重</w:t>
            </w:r>
          </w:p>
        </w:tc>
        <w:tc>
          <w:tcPr>
            <w:tcW w:w="3345" w:type="dxa"/>
            <w:tcBorders>
              <w:tl2br w:val="nil"/>
              <w:tr2bl w:val="nil"/>
            </w:tcBorders>
            <w:noWrap w:val="0"/>
            <w:vAlign w:val="center"/>
          </w:tcPr>
          <w:p w14:paraId="24E267A0">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影响较大，违法所得5万元以上的。</w:t>
            </w:r>
          </w:p>
        </w:tc>
        <w:tc>
          <w:tcPr>
            <w:tcW w:w="3300" w:type="dxa"/>
            <w:tcBorders>
              <w:tl2br w:val="nil"/>
              <w:tr2bl w:val="nil"/>
            </w:tcBorders>
            <w:noWrap w:val="0"/>
            <w:vAlign w:val="center"/>
          </w:tcPr>
          <w:p w14:paraId="7D383E4A">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没收违法所得，并处违法所得1倍以上3倍以下的罚款。</w:t>
            </w:r>
          </w:p>
        </w:tc>
      </w:tr>
      <w:tr w14:paraId="2494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643" w:type="dxa"/>
            <w:vMerge w:val="continue"/>
            <w:tcBorders>
              <w:tl2br w:val="nil"/>
              <w:tr2bl w:val="nil"/>
            </w:tcBorders>
            <w:noWrap w:val="0"/>
            <w:vAlign w:val="center"/>
          </w:tcPr>
          <w:p w14:paraId="72FAB6E8">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261773DC">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6CCB734A">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4C3B9C6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严重</w:t>
            </w:r>
          </w:p>
        </w:tc>
        <w:tc>
          <w:tcPr>
            <w:tcW w:w="3345" w:type="dxa"/>
            <w:tcBorders>
              <w:tl2br w:val="nil"/>
              <w:tr2bl w:val="nil"/>
            </w:tcBorders>
            <w:noWrap w:val="0"/>
            <w:vAlign w:val="center"/>
          </w:tcPr>
          <w:p w14:paraId="3CD055CE">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影响大，情节严重的。</w:t>
            </w:r>
          </w:p>
        </w:tc>
        <w:tc>
          <w:tcPr>
            <w:tcW w:w="3300" w:type="dxa"/>
            <w:tcBorders>
              <w:tl2br w:val="nil"/>
              <w:tr2bl w:val="nil"/>
            </w:tcBorders>
            <w:noWrap w:val="0"/>
            <w:vAlign w:val="center"/>
          </w:tcPr>
          <w:p w14:paraId="10014896">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由有关部门依法停止相关业务。</w:t>
            </w:r>
          </w:p>
        </w:tc>
      </w:tr>
      <w:tr w14:paraId="691F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643" w:type="dxa"/>
            <w:vMerge w:val="restart"/>
            <w:tcBorders>
              <w:tl2br w:val="nil"/>
              <w:tr2bl w:val="nil"/>
            </w:tcBorders>
            <w:noWrap w:val="0"/>
            <w:vAlign w:val="center"/>
          </w:tcPr>
          <w:p w14:paraId="14F63763">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60</w:t>
            </w:r>
          </w:p>
        </w:tc>
        <w:tc>
          <w:tcPr>
            <w:tcW w:w="1512" w:type="dxa"/>
            <w:vMerge w:val="restart"/>
            <w:tcBorders>
              <w:tl2br w:val="nil"/>
              <w:tr2bl w:val="nil"/>
            </w:tcBorders>
            <w:noWrap w:val="0"/>
            <w:vAlign w:val="center"/>
          </w:tcPr>
          <w:p w14:paraId="2010DDFF">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《互联网广告管理办法》</w:t>
            </w:r>
          </w:p>
        </w:tc>
        <w:tc>
          <w:tcPr>
            <w:tcW w:w="4200" w:type="dxa"/>
            <w:vMerge w:val="restart"/>
            <w:tcBorders>
              <w:tl2br w:val="nil"/>
              <w:tr2bl w:val="nil"/>
            </w:tcBorders>
            <w:noWrap w:val="0"/>
            <w:vAlign w:val="center"/>
          </w:tcPr>
          <w:p w14:paraId="07CAB21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第三十条第一款</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违反本办法第十七条第一款规定，法律、行政法规有规定的，依照其规定；法律、行政法规没有规定的，由县级以上市场监督管理部门责令改正，对广告主、广告经营者、广告发布者处五千元以上三万元以下的罚款。</w:t>
            </w:r>
          </w:p>
        </w:tc>
        <w:tc>
          <w:tcPr>
            <w:tcW w:w="1123" w:type="dxa"/>
            <w:tcBorders>
              <w:tl2br w:val="nil"/>
              <w:tr2bl w:val="nil"/>
            </w:tcBorders>
            <w:noWrap w:val="0"/>
            <w:vAlign w:val="center"/>
          </w:tcPr>
          <w:p w14:paraId="24E6A36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较轻</w:t>
            </w:r>
          </w:p>
        </w:tc>
        <w:tc>
          <w:tcPr>
            <w:tcW w:w="3345" w:type="dxa"/>
            <w:tcBorders>
              <w:tl2br w:val="nil"/>
              <w:tr2bl w:val="nil"/>
            </w:tcBorders>
            <w:noWrap w:val="0"/>
            <w:vAlign w:val="center"/>
          </w:tcPr>
          <w:p w14:paraId="2F2AD85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影响较小，广告费用在2万元以下的。</w:t>
            </w:r>
          </w:p>
        </w:tc>
        <w:tc>
          <w:tcPr>
            <w:tcW w:w="3300" w:type="dxa"/>
            <w:tcBorders>
              <w:tl2br w:val="nil"/>
              <w:tr2bl w:val="nil"/>
            </w:tcBorders>
            <w:noWrap w:val="0"/>
            <w:vAlign w:val="center"/>
          </w:tcPr>
          <w:p w14:paraId="2AF36E8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处5</w:t>
            </w:r>
            <w:r>
              <w:rPr>
                <w:rFonts w:hint="eastAsia" w:ascii="宋体" w:hAnsi="宋体" w:cs="宋体"/>
                <w:b w:val="0"/>
                <w:bCs w:val="0"/>
                <w:sz w:val="24"/>
                <w:szCs w:val="24"/>
                <w:highlight w:val="none"/>
                <w:lang w:val="en-US" w:eastAsia="zh-CN"/>
              </w:rPr>
              <w:t>000</w:t>
            </w:r>
            <w:r>
              <w:rPr>
                <w:rFonts w:hint="eastAsia" w:ascii="宋体" w:hAnsi="宋体" w:eastAsia="宋体" w:cs="宋体"/>
                <w:b w:val="0"/>
                <w:bCs w:val="0"/>
                <w:sz w:val="24"/>
                <w:szCs w:val="24"/>
                <w:highlight w:val="none"/>
              </w:rPr>
              <w:t>元以上1</w:t>
            </w:r>
            <w:r>
              <w:rPr>
                <w:rFonts w:hint="eastAsia" w:ascii="宋体" w:hAnsi="宋体" w:eastAsia="宋体" w:cs="宋体"/>
                <w:b w:val="0"/>
                <w:bCs w:val="0"/>
                <w:sz w:val="24"/>
                <w:szCs w:val="24"/>
                <w:highlight w:val="none"/>
                <w:lang w:val="en-US" w:eastAsia="zh-CN"/>
              </w:rPr>
              <w:t>.25</w:t>
            </w:r>
            <w:r>
              <w:rPr>
                <w:rFonts w:hint="eastAsia" w:ascii="宋体" w:hAnsi="宋体" w:eastAsia="宋体" w:cs="宋体"/>
                <w:b w:val="0"/>
                <w:bCs w:val="0"/>
                <w:sz w:val="24"/>
                <w:szCs w:val="24"/>
                <w:highlight w:val="none"/>
              </w:rPr>
              <w:t>万元以下的罚款。</w:t>
            </w:r>
          </w:p>
        </w:tc>
      </w:tr>
      <w:tr w14:paraId="2B09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643" w:type="dxa"/>
            <w:vMerge w:val="continue"/>
            <w:tcBorders>
              <w:tl2br w:val="nil"/>
              <w:tr2bl w:val="nil"/>
            </w:tcBorders>
            <w:noWrap w:val="0"/>
            <w:vAlign w:val="center"/>
          </w:tcPr>
          <w:p w14:paraId="4B3C26B6">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24DE950D">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29BEC70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10020F7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一般</w:t>
            </w:r>
          </w:p>
        </w:tc>
        <w:tc>
          <w:tcPr>
            <w:tcW w:w="3345" w:type="dxa"/>
            <w:tcBorders>
              <w:tl2br w:val="nil"/>
              <w:tr2bl w:val="nil"/>
            </w:tcBorders>
            <w:noWrap w:val="0"/>
            <w:vAlign w:val="center"/>
          </w:tcPr>
          <w:p w14:paraId="66F79BC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影响小，广告费用2万元以上10万元以下的。</w:t>
            </w:r>
          </w:p>
        </w:tc>
        <w:tc>
          <w:tcPr>
            <w:tcW w:w="3300" w:type="dxa"/>
            <w:tcBorders>
              <w:tl2br w:val="nil"/>
              <w:tr2bl w:val="nil"/>
            </w:tcBorders>
            <w:noWrap w:val="0"/>
            <w:vAlign w:val="center"/>
          </w:tcPr>
          <w:p w14:paraId="7A257D0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处1</w:t>
            </w:r>
            <w:r>
              <w:rPr>
                <w:rFonts w:hint="eastAsia" w:ascii="宋体" w:hAnsi="宋体" w:eastAsia="宋体" w:cs="宋体"/>
                <w:b w:val="0"/>
                <w:bCs w:val="0"/>
                <w:sz w:val="24"/>
                <w:szCs w:val="24"/>
                <w:highlight w:val="none"/>
                <w:lang w:val="en-US" w:eastAsia="zh-CN"/>
              </w:rPr>
              <w:t>.25</w:t>
            </w:r>
            <w:r>
              <w:rPr>
                <w:rFonts w:hint="eastAsia" w:ascii="宋体" w:hAnsi="宋体" w:eastAsia="宋体" w:cs="宋体"/>
                <w:b w:val="0"/>
                <w:bCs w:val="0"/>
                <w:sz w:val="24"/>
                <w:szCs w:val="24"/>
                <w:highlight w:val="none"/>
              </w:rPr>
              <w:t>万元以上2</w:t>
            </w:r>
            <w:r>
              <w:rPr>
                <w:rFonts w:hint="eastAsia" w:ascii="宋体" w:hAnsi="宋体" w:eastAsia="宋体" w:cs="宋体"/>
                <w:b w:val="0"/>
                <w:bCs w:val="0"/>
                <w:sz w:val="24"/>
                <w:szCs w:val="24"/>
                <w:highlight w:val="none"/>
                <w:lang w:val="en-US" w:eastAsia="zh-CN"/>
              </w:rPr>
              <w:t>.25</w:t>
            </w:r>
            <w:r>
              <w:rPr>
                <w:rFonts w:hint="eastAsia" w:ascii="宋体" w:hAnsi="宋体" w:eastAsia="宋体" w:cs="宋体"/>
                <w:b w:val="0"/>
                <w:bCs w:val="0"/>
                <w:sz w:val="24"/>
                <w:szCs w:val="24"/>
                <w:highlight w:val="none"/>
              </w:rPr>
              <w:t>万元以下的罚款。</w:t>
            </w:r>
          </w:p>
        </w:tc>
      </w:tr>
      <w:tr w14:paraId="05A6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643" w:type="dxa"/>
            <w:vMerge w:val="continue"/>
            <w:tcBorders>
              <w:tl2br w:val="nil"/>
              <w:tr2bl w:val="nil"/>
            </w:tcBorders>
            <w:noWrap w:val="0"/>
            <w:vAlign w:val="center"/>
          </w:tcPr>
          <w:p w14:paraId="37CC566F">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6CA20878">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77F8814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2CA027B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较重</w:t>
            </w:r>
          </w:p>
        </w:tc>
        <w:tc>
          <w:tcPr>
            <w:tcW w:w="3345" w:type="dxa"/>
            <w:tcBorders>
              <w:tl2br w:val="nil"/>
              <w:tr2bl w:val="nil"/>
            </w:tcBorders>
            <w:noWrap w:val="0"/>
            <w:vAlign w:val="center"/>
          </w:tcPr>
          <w:p w14:paraId="706AAC2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有下列情形之一的：</w:t>
            </w:r>
          </w:p>
          <w:p w14:paraId="7292B7D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⑴造成重大影响的；</w:t>
            </w:r>
          </w:p>
          <w:p w14:paraId="7FFC1AF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⑵广告费用10万元以上的。</w:t>
            </w:r>
          </w:p>
        </w:tc>
        <w:tc>
          <w:tcPr>
            <w:tcW w:w="3300" w:type="dxa"/>
            <w:tcBorders>
              <w:tl2br w:val="nil"/>
              <w:tr2bl w:val="nil"/>
            </w:tcBorders>
            <w:noWrap w:val="0"/>
            <w:vAlign w:val="center"/>
          </w:tcPr>
          <w:p w14:paraId="5C438AE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处2</w:t>
            </w:r>
            <w:r>
              <w:rPr>
                <w:rFonts w:hint="eastAsia" w:ascii="宋体" w:hAnsi="宋体" w:eastAsia="宋体" w:cs="宋体"/>
                <w:b w:val="0"/>
                <w:bCs w:val="0"/>
                <w:sz w:val="24"/>
                <w:szCs w:val="24"/>
                <w:lang w:val="en-US" w:eastAsia="zh-CN"/>
              </w:rPr>
              <w:t>.25</w:t>
            </w:r>
            <w:r>
              <w:rPr>
                <w:rFonts w:hint="eastAsia" w:ascii="宋体" w:hAnsi="宋体" w:eastAsia="宋体" w:cs="宋体"/>
                <w:b w:val="0"/>
                <w:bCs w:val="0"/>
                <w:sz w:val="24"/>
                <w:szCs w:val="24"/>
              </w:rPr>
              <w:t>万元以上3万元以下的罚款。</w:t>
            </w:r>
          </w:p>
        </w:tc>
      </w:tr>
      <w:tr w14:paraId="29C72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643" w:type="dxa"/>
            <w:vMerge w:val="restart"/>
            <w:tcBorders>
              <w:tl2br w:val="nil"/>
              <w:tr2bl w:val="nil"/>
            </w:tcBorders>
            <w:noWrap w:val="0"/>
            <w:vAlign w:val="center"/>
          </w:tcPr>
          <w:p w14:paraId="4AAD59BE">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61</w:t>
            </w:r>
          </w:p>
        </w:tc>
        <w:tc>
          <w:tcPr>
            <w:tcW w:w="1512" w:type="dxa"/>
            <w:vMerge w:val="restart"/>
            <w:tcBorders>
              <w:tl2br w:val="nil"/>
              <w:tr2bl w:val="nil"/>
            </w:tcBorders>
            <w:noWrap w:val="0"/>
            <w:vAlign w:val="center"/>
          </w:tcPr>
          <w:p w14:paraId="113C55EF">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《互联网广告管理办法》</w:t>
            </w:r>
          </w:p>
        </w:tc>
        <w:tc>
          <w:tcPr>
            <w:tcW w:w="4200" w:type="dxa"/>
            <w:vMerge w:val="restart"/>
            <w:tcBorders>
              <w:tl2br w:val="nil"/>
              <w:tr2bl w:val="nil"/>
            </w:tcBorders>
            <w:noWrap w:val="0"/>
            <w:vAlign w:val="center"/>
          </w:tcPr>
          <w:p w14:paraId="2636B22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《互联网广告管理办法》第三十条第二款</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违反本办法第十七条第二款规定，未经用户同意、请求或者用户明确表示拒绝，向其交通工具、导航设备、智能家电等发送互联网广告的，依照广告法第六十二条第一款规定予以处罚；在用户发送的电子邮件或者互联网即时通讯信息中附加广告或者广告链接的，由县级以上市场监督管理部门责令改正，处五千元以上三万元以下的罚款。</w:t>
            </w:r>
          </w:p>
          <w:p w14:paraId="02AD2C3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《广告法》</w:t>
            </w:r>
            <w:r>
              <w:rPr>
                <w:rFonts w:hint="eastAsia" w:ascii="宋体" w:hAnsi="宋体" w:eastAsia="宋体" w:cs="宋体"/>
                <w:b w:val="0"/>
                <w:bCs w:val="0"/>
                <w:sz w:val="24"/>
                <w:szCs w:val="24"/>
              </w:rPr>
              <w:t>第六十二条</w:t>
            </w:r>
            <w:r>
              <w:rPr>
                <w:rFonts w:hint="eastAsia" w:ascii="宋体" w:hAnsi="宋体" w:cs="宋体"/>
                <w:b w:val="0"/>
                <w:bCs w:val="0"/>
                <w:sz w:val="24"/>
                <w:szCs w:val="24"/>
                <w:lang w:val="en-US" w:eastAsia="zh-CN"/>
              </w:rPr>
              <w:t xml:space="preserve"> </w:t>
            </w:r>
            <w:r>
              <w:rPr>
                <w:rFonts w:hint="eastAsia" w:ascii="宋体" w:hAnsi="宋体" w:eastAsia="宋体" w:cs="宋体"/>
                <w:b w:val="0"/>
                <w:bCs w:val="0"/>
                <w:sz w:val="24"/>
                <w:szCs w:val="24"/>
              </w:rPr>
              <w:t>违反本法第四十三条规定发送广告的，由有关部门责令停止违法行为，对广告</w:t>
            </w:r>
            <w:r>
              <w:rPr>
                <w:rFonts w:hint="eastAsia" w:ascii="宋体" w:hAnsi="宋体" w:eastAsia="宋体" w:cs="宋体"/>
                <w:b w:val="0"/>
                <w:bCs w:val="0"/>
                <w:spacing w:val="-6"/>
                <w:sz w:val="24"/>
                <w:szCs w:val="24"/>
              </w:rPr>
              <w:t>主处五千元以上三万元以下的罚款。</w:t>
            </w:r>
          </w:p>
        </w:tc>
        <w:tc>
          <w:tcPr>
            <w:tcW w:w="1123" w:type="dxa"/>
            <w:tcBorders>
              <w:tl2br w:val="nil"/>
              <w:tr2bl w:val="nil"/>
            </w:tcBorders>
            <w:noWrap w:val="0"/>
            <w:vAlign w:val="center"/>
          </w:tcPr>
          <w:p w14:paraId="63D5E6D9">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较轻</w:t>
            </w:r>
          </w:p>
        </w:tc>
        <w:tc>
          <w:tcPr>
            <w:tcW w:w="3345" w:type="dxa"/>
            <w:tcBorders>
              <w:tl2br w:val="nil"/>
              <w:tr2bl w:val="nil"/>
            </w:tcBorders>
            <w:noWrap w:val="0"/>
            <w:vAlign w:val="center"/>
          </w:tcPr>
          <w:p w14:paraId="0E435AAD">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影响较小，广告费用在2万元以下的。</w:t>
            </w:r>
          </w:p>
        </w:tc>
        <w:tc>
          <w:tcPr>
            <w:tcW w:w="3300" w:type="dxa"/>
            <w:tcBorders>
              <w:tl2br w:val="nil"/>
              <w:tr2bl w:val="nil"/>
            </w:tcBorders>
            <w:noWrap w:val="0"/>
            <w:vAlign w:val="center"/>
          </w:tcPr>
          <w:p w14:paraId="5074071F">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处5</w:t>
            </w:r>
            <w:r>
              <w:rPr>
                <w:rFonts w:hint="eastAsia" w:ascii="宋体" w:hAnsi="宋体" w:cs="宋体"/>
                <w:b w:val="0"/>
                <w:bCs w:val="0"/>
                <w:sz w:val="24"/>
                <w:szCs w:val="24"/>
                <w:highlight w:val="none"/>
                <w:lang w:val="en-US" w:eastAsia="zh-CN"/>
              </w:rPr>
              <w:t>000</w:t>
            </w:r>
            <w:r>
              <w:rPr>
                <w:rFonts w:hint="eastAsia" w:ascii="宋体" w:hAnsi="宋体" w:eastAsia="宋体" w:cs="宋体"/>
                <w:b w:val="0"/>
                <w:bCs w:val="0"/>
                <w:sz w:val="24"/>
                <w:szCs w:val="24"/>
                <w:highlight w:val="none"/>
              </w:rPr>
              <w:t>元以上1</w:t>
            </w:r>
            <w:r>
              <w:rPr>
                <w:rFonts w:hint="eastAsia" w:ascii="宋体" w:hAnsi="宋体" w:eastAsia="宋体" w:cs="宋体"/>
                <w:b w:val="0"/>
                <w:bCs w:val="0"/>
                <w:sz w:val="24"/>
                <w:szCs w:val="24"/>
                <w:highlight w:val="none"/>
                <w:lang w:val="en-US" w:eastAsia="zh-CN"/>
              </w:rPr>
              <w:t>.25</w:t>
            </w:r>
            <w:r>
              <w:rPr>
                <w:rFonts w:hint="eastAsia" w:ascii="宋体" w:hAnsi="宋体" w:eastAsia="宋体" w:cs="宋体"/>
                <w:b w:val="0"/>
                <w:bCs w:val="0"/>
                <w:sz w:val="24"/>
                <w:szCs w:val="24"/>
                <w:highlight w:val="none"/>
              </w:rPr>
              <w:t>万元以下的罚款。</w:t>
            </w:r>
          </w:p>
        </w:tc>
      </w:tr>
      <w:tr w14:paraId="742F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643" w:type="dxa"/>
            <w:vMerge w:val="continue"/>
            <w:tcBorders>
              <w:tl2br w:val="nil"/>
              <w:tr2bl w:val="nil"/>
            </w:tcBorders>
            <w:noWrap w:val="0"/>
            <w:vAlign w:val="center"/>
          </w:tcPr>
          <w:p w14:paraId="394E2C97">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12E19C47">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0CA27F6F">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6F6B11B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一般</w:t>
            </w:r>
          </w:p>
        </w:tc>
        <w:tc>
          <w:tcPr>
            <w:tcW w:w="3345" w:type="dxa"/>
            <w:tcBorders>
              <w:tl2br w:val="nil"/>
              <w:tr2bl w:val="nil"/>
            </w:tcBorders>
            <w:noWrap w:val="0"/>
            <w:vAlign w:val="center"/>
          </w:tcPr>
          <w:p w14:paraId="10FC1462">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影响小，广告费用2万元以上10万元以下的。</w:t>
            </w:r>
          </w:p>
        </w:tc>
        <w:tc>
          <w:tcPr>
            <w:tcW w:w="3300" w:type="dxa"/>
            <w:tcBorders>
              <w:tl2br w:val="nil"/>
              <w:tr2bl w:val="nil"/>
            </w:tcBorders>
            <w:noWrap w:val="0"/>
            <w:vAlign w:val="center"/>
          </w:tcPr>
          <w:p w14:paraId="1ED890F1">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处1</w:t>
            </w:r>
            <w:r>
              <w:rPr>
                <w:rFonts w:hint="eastAsia" w:ascii="宋体" w:hAnsi="宋体" w:eastAsia="宋体" w:cs="宋体"/>
                <w:b w:val="0"/>
                <w:bCs w:val="0"/>
                <w:sz w:val="24"/>
                <w:szCs w:val="24"/>
                <w:highlight w:val="none"/>
                <w:lang w:val="en-US" w:eastAsia="zh-CN"/>
              </w:rPr>
              <w:t>.25</w:t>
            </w:r>
            <w:r>
              <w:rPr>
                <w:rFonts w:hint="eastAsia" w:ascii="宋体" w:hAnsi="宋体" w:eastAsia="宋体" w:cs="宋体"/>
                <w:b w:val="0"/>
                <w:bCs w:val="0"/>
                <w:sz w:val="24"/>
                <w:szCs w:val="24"/>
                <w:highlight w:val="none"/>
              </w:rPr>
              <w:t>万元以上2</w:t>
            </w:r>
            <w:r>
              <w:rPr>
                <w:rFonts w:hint="eastAsia" w:ascii="宋体" w:hAnsi="宋体" w:eastAsia="宋体" w:cs="宋体"/>
                <w:b w:val="0"/>
                <w:bCs w:val="0"/>
                <w:sz w:val="24"/>
                <w:szCs w:val="24"/>
                <w:highlight w:val="none"/>
                <w:lang w:val="en-US" w:eastAsia="zh-CN"/>
              </w:rPr>
              <w:t>.25</w:t>
            </w:r>
            <w:r>
              <w:rPr>
                <w:rFonts w:hint="eastAsia" w:ascii="宋体" w:hAnsi="宋体" w:eastAsia="宋体" w:cs="宋体"/>
                <w:b w:val="0"/>
                <w:bCs w:val="0"/>
                <w:sz w:val="24"/>
                <w:szCs w:val="24"/>
                <w:highlight w:val="none"/>
              </w:rPr>
              <w:t>万元以下的罚款。</w:t>
            </w:r>
          </w:p>
        </w:tc>
      </w:tr>
      <w:tr w14:paraId="32C4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3" w:hRule="atLeast"/>
          <w:jc w:val="center"/>
        </w:trPr>
        <w:tc>
          <w:tcPr>
            <w:tcW w:w="643" w:type="dxa"/>
            <w:vMerge w:val="continue"/>
            <w:tcBorders>
              <w:tl2br w:val="nil"/>
              <w:tr2bl w:val="nil"/>
            </w:tcBorders>
            <w:noWrap w:val="0"/>
            <w:vAlign w:val="center"/>
          </w:tcPr>
          <w:p w14:paraId="2F2D7F33">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rPr>
            </w:pPr>
          </w:p>
        </w:tc>
        <w:tc>
          <w:tcPr>
            <w:tcW w:w="1512" w:type="dxa"/>
            <w:vMerge w:val="continue"/>
            <w:tcBorders>
              <w:tl2br w:val="nil"/>
              <w:tr2bl w:val="nil"/>
            </w:tcBorders>
            <w:noWrap w:val="0"/>
            <w:vAlign w:val="center"/>
          </w:tcPr>
          <w:p w14:paraId="312757A8">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rPr>
            </w:pPr>
          </w:p>
        </w:tc>
        <w:tc>
          <w:tcPr>
            <w:tcW w:w="4200" w:type="dxa"/>
            <w:vMerge w:val="continue"/>
            <w:tcBorders>
              <w:tl2br w:val="nil"/>
              <w:tr2bl w:val="nil"/>
            </w:tcBorders>
            <w:noWrap w:val="0"/>
            <w:vAlign w:val="center"/>
          </w:tcPr>
          <w:p w14:paraId="644441FA">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tc>
        <w:tc>
          <w:tcPr>
            <w:tcW w:w="1123" w:type="dxa"/>
            <w:tcBorders>
              <w:tl2br w:val="nil"/>
              <w:tr2bl w:val="nil"/>
            </w:tcBorders>
            <w:noWrap w:val="0"/>
            <w:vAlign w:val="center"/>
          </w:tcPr>
          <w:p w14:paraId="1601DEF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较重</w:t>
            </w:r>
          </w:p>
        </w:tc>
        <w:tc>
          <w:tcPr>
            <w:tcW w:w="3345" w:type="dxa"/>
            <w:tcBorders>
              <w:tl2br w:val="nil"/>
              <w:tr2bl w:val="nil"/>
            </w:tcBorders>
            <w:noWrap w:val="0"/>
            <w:vAlign w:val="center"/>
          </w:tcPr>
          <w:p w14:paraId="2C86EA9C">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有下列情形之一的：</w:t>
            </w:r>
          </w:p>
          <w:p w14:paraId="0236CD63">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⑴造成重大影响的；</w:t>
            </w:r>
          </w:p>
          <w:p w14:paraId="47A26048">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⑵广告费用10万元以上的。</w:t>
            </w:r>
          </w:p>
        </w:tc>
        <w:tc>
          <w:tcPr>
            <w:tcW w:w="3300" w:type="dxa"/>
            <w:tcBorders>
              <w:tl2br w:val="nil"/>
              <w:tr2bl w:val="nil"/>
            </w:tcBorders>
            <w:noWrap w:val="0"/>
            <w:vAlign w:val="top"/>
          </w:tcPr>
          <w:p w14:paraId="7CEE23A7">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p>
          <w:p w14:paraId="36818141">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处2</w:t>
            </w:r>
            <w:r>
              <w:rPr>
                <w:rFonts w:hint="eastAsia" w:ascii="宋体" w:hAnsi="宋体" w:eastAsia="宋体" w:cs="宋体"/>
                <w:b w:val="0"/>
                <w:bCs w:val="0"/>
                <w:sz w:val="24"/>
                <w:szCs w:val="24"/>
                <w:lang w:val="en-US" w:eastAsia="zh-CN"/>
              </w:rPr>
              <w:t>.25</w:t>
            </w:r>
            <w:r>
              <w:rPr>
                <w:rFonts w:hint="eastAsia" w:ascii="宋体" w:hAnsi="宋体" w:eastAsia="宋体" w:cs="宋体"/>
                <w:b w:val="0"/>
                <w:bCs w:val="0"/>
                <w:sz w:val="24"/>
                <w:szCs w:val="24"/>
              </w:rPr>
              <w:t>万元以上3万元以下的罚款。</w:t>
            </w:r>
          </w:p>
        </w:tc>
      </w:tr>
      <w:tr w14:paraId="7728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643" w:type="dxa"/>
            <w:vMerge w:val="restart"/>
            <w:tcBorders>
              <w:tl2br w:val="nil"/>
              <w:tr2bl w:val="nil"/>
            </w:tcBorders>
            <w:noWrap w:val="0"/>
            <w:vAlign w:val="center"/>
          </w:tcPr>
          <w:p w14:paraId="354C2AC6">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highlight w:val="none"/>
                <w:lang w:val="en" w:eastAsia="zh-CN"/>
              </w:rPr>
            </w:pPr>
            <w:r>
              <w:rPr>
                <w:rFonts w:hint="eastAsia" w:ascii="宋体" w:hAnsi="宋体" w:eastAsia="宋体" w:cs="宋体"/>
                <w:b w:val="0"/>
                <w:bCs w:val="0"/>
                <w:sz w:val="24"/>
                <w:szCs w:val="24"/>
                <w:highlight w:val="none"/>
                <w:lang w:val="en" w:eastAsia="zh-CN"/>
              </w:rPr>
              <w:t>6</w:t>
            </w:r>
            <w:r>
              <w:rPr>
                <w:rFonts w:hint="eastAsia" w:ascii="宋体" w:hAnsi="宋体" w:eastAsia="宋体" w:cs="宋体"/>
                <w:b w:val="0"/>
                <w:bCs w:val="0"/>
                <w:sz w:val="24"/>
                <w:szCs w:val="24"/>
                <w:highlight w:val="none"/>
                <w:lang w:val="en-US" w:eastAsia="zh-CN"/>
              </w:rPr>
              <w:t>2</w:t>
            </w:r>
          </w:p>
        </w:tc>
        <w:tc>
          <w:tcPr>
            <w:tcW w:w="1512" w:type="dxa"/>
            <w:vMerge w:val="restart"/>
            <w:tcBorders>
              <w:tl2br w:val="nil"/>
              <w:tr2bl w:val="nil"/>
            </w:tcBorders>
            <w:noWrap w:val="0"/>
            <w:vAlign w:val="center"/>
          </w:tcPr>
          <w:p w14:paraId="6E9BCF31">
            <w:pPr>
              <w:keepNext w:val="0"/>
              <w:keepLines w:val="0"/>
              <w:pageBreakBefore w:val="0"/>
              <w:widowControl/>
              <w:suppressLineNumbers w:val="0"/>
              <w:kinsoku/>
              <w:wordWrap/>
              <w:overflowPunct/>
              <w:topLinePunct w:val="0"/>
              <w:autoSpaceDE/>
              <w:autoSpaceDN/>
              <w:bidi w:val="0"/>
              <w:adjustRightInd/>
              <w:snapToGrid/>
              <w:spacing w:line="420" w:lineRule="exact"/>
              <w:ind w:left="42" w:leftChars="20"/>
              <w:jc w:val="both"/>
              <w:textAlignment w:val="auto"/>
              <w:outlineLvl w:val="2"/>
              <w:rPr>
                <w:rFonts w:hint="eastAsia" w:ascii="宋体" w:hAnsi="宋体" w:eastAsia="宋体" w:cs="宋体"/>
                <w:b w:val="0"/>
                <w:bCs w:val="0"/>
                <w:sz w:val="24"/>
                <w:szCs w:val="24"/>
                <w:shd w:val="clear" w:color="FFFFFF" w:fill="D9D9D9"/>
              </w:rPr>
            </w:pPr>
            <w:bookmarkStart w:id="78" w:name="_Toc31815"/>
            <w:bookmarkStart w:id="79" w:name="_Toc3892"/>
            <w:bookmarkStart w:id="80" w:name="_Toc7264"/>
            <w:bookmarkStart w:id="81" w:name="_Toc9869"/>
            <w:bookmarkStart w:id="82" w:name="_Toc28646"/>
            <w:r>
              <w:rPr>
                <w:rFonts w:hint="eastAsia" w:ascii="宋体" w:hAnsi="宋体" w:eastAsia="宋体" w:cs="宋体"/>
                <w:b w:val="0"/>
                <w:bCs w:val="0"/>
                <w:sz w:val="24"/>
                <w:szCs w:val="24"/>
                <w:highlight w:val="none"/>
              </w:rPr>
              <w:t>《房地产广告发布规定》</w:t>
            </w:r>
            <w:r>
              <w:rPr>
                <w:rFonts w:hint="eastAsia" w:ascii="宋体" w:hAnsi="宋体" w:eastAsia="宋体" w:cs="宋体"/>
                <w:b w:val="0"/>
                <w:bCs w:val="0"/>
                <w:i w:val="0"/>
                <w:caps w:val="0"/>
                <w:color w:val="000000"/>
                <w:spacing w:val="0"/>
                <w:kern w:val="0"/>
                <w:sz w:val="24"/>
                <w:szCs w:val="24"/>
                <w:shd w:val="clear" w:color="auto" w:fill="auto"/>
                <w:lang w:val="en-US" w:eastAsia="zh-CN" w:bidi="ar"/>
              </w:rPr>
              <w:t>（</w:t>
            </w:r>
            <w:r>
              <w:rPr>
                <w:rFonts w:hint="eastAsia" w:ascii="宋体" w:hAnsi="宋体" w:cs="宋体"/>
                <w:b w:val="0"/>
                <w:bCs w:val="0"/>
                <w:i w:val="0"/>
                <w:caps w:val="0"/>
                <w:color w:val="000000"/>
                <w:spacing w:val="0"/>
                <w:kern w:val="0"/>
                <w:sz w:val="24"/>
                <w:szCs w:val="24"/>
                <w:shd w:val="clear" w:color="auto" w:fill="auto"/>
                <w:lang w:val="en-US" w:eastAsia="zh-CN" w:bidi="ar"/>
              </w:rPr>
              <w:t>2021年6月1日起施行</w:t>
            </w:r>
            <w:r>
              <w:rPr>
                <w:rFonts w:hint="eastAsia" w:ascii="宋体" w:hAnsi="宋体" w:eastAsia="宋体" w:cs="宋体"/>
                <w:b w:val="0"/>
                <w:bCs w:val="0"/>
                <w:i w:val="0"/>
                <w:caps w:val="0"/>
                <w:color w:val="000000"/>
                <w:spacing w:val="0"/>
                <w:kern w:val="0"/>
                <w:sz w:val="24"/>
                <w:szCs w:val="24"/>
                <w:shd w:val="clear" w:color="auto" w:fill="auto"/>
                <w:lang w:val="en-US" w:eastAsia="zh-CN" w:bidi="ar"/>
              </w:rPr>
              <w:t>）</w:t>
            </w:r>
            <w:bookmarkEnd w:id="78"/>
            <w:bookmarkEnd w:id="79"/>
            <w:bookmarkEnd w:id="80"/>
            <w:bookmarkEnd w:id="81"/>
            <w:bookmarkEnd w:id="82"/>
          </w:p>
          <w:p w14:paraId="471721AC">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highlight w:val="none"/>
                <w:lang w:val="en-US" w:eastAsia="zh-CN"/>
              </w:rPr>
            </w:pPr>
          </w:p>
        </w:tc>
        <w:tc>
          <w:tcPr>
            <w:tcW w:w="4200" w:type="dxa"/>
            <w:vMerge w:val="restart"/>
            <w:tcBorders>
              <w:tl2br w:val="nil"/>
              <w:tr2bl w:val="nil"/>
            </w:tcBorders>
            <w:noWrap w:val="0"/>
            <w:vAlign w:val="center"/>
          </w:tcPr>
          <w:p w14:paraId="3A69147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第二十一条</w:t>
            </w:r>
            <w:r>
              <w:rPr>
                <w:rFonts w:hint="eastAsia" w:ascii="宋体" w:hAnsi="宋体" w:cs="宋体"/>
                <w:b w:val="0"/>
                <w:bCs w:val="0"/>
                <w:sz w:val="24"/>
                <w:szCs w:val="24"/>
                <w:highlight w:val="none"/>
                <w:lang w:val="en-US" w:eastAsia="zh-CN"/>
              </w:rPr>
              <w:t xml:space="preserve"> </w:t>
            </w:r>
            <w:r>
              <w:rPr>
                <w:rFonts w:hint="eastAsia" w:ascii="宋体" w:hAnsi="宋体" w:eastAsia="宋体" w:cs="宋体"/>
                <w:b w:val="0"/>
                <w:bCs w:val="0"/>
                <w:sz w:val="24"/>
                <w:szCs w:val="24"/>
                <w:highlight w:val="none"/>
              </w:rPr>
              <w:t>违反本规定发布广告，《广告法》及其他法律法规有规定的，依照有关法律法规规定予以处罚。法律法规没有规定的，对负有责任的广告主、广告经营者、广告发布者，处以违法所得三倍以下但不超过三万元的罚款；没有违法所得的，处以一万元以下的罚款。</w:t>
            </w:r>
          </w:p>
        </w:tc>
        <w:tc>
          <w:tcPr>
            <w:tcW w:w="1123" w:type="dxa"/>
            <w:tcBorders>
              <w:tl2br w:val="nil"/>
              <w:tr2bl w:val="nil"/>
            </w:tcBorders>
            <w:noWrap w:val="0"/>
            <w:vAlign w:val="center"/>
          </w:tcPr>
          <w:p w14:paraId="6E0524F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较轻</w:t>
            </w:r>
          </w:p>
        </w:tc>
        <w:tc>
          <w:tcPr>
            <w:tcW w:w="3345" w:type="dxa"/>
            <w:tcBorders>
              <w:tl2br w:val="nil"/>
              <w:tr2bl w:val="nil"/>
            </w:tcBorders>
            <w:noWrap w:val="0"/>
            <w:vAlign w:val="center"/>
          </w:tcPr>
          <w:p w14:paraId="20F50A81">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影响较小，广告费用在2万元以下的。</w:t>
            </w:r>
          </w:p>
        </w:tc>
        <w:tc>
          <w:tcPr>
            <w:tcW w:w="3300" w:type="dxa"/>
            <w:tcBorders>
              <w:tl2br w:val="nil"/>
              <w:tr2bl w:val="nil"/>
            </w:tcBorders>
            <w:noWrap w:val="0"/>
            <w:vAlign w:val="center"/>
          </w:tcPr>
          <w:p w14:paraId="5B12C14D">
            <w:pPr>
              <w:keepNext w:val="0"/>
              <w:keepLines w:val="0"/>
              <w:pageBreakBefore w:val="0"/>
              <w:widowControl w:val="0"/>
              <w:kinsoku/>
              <w:wordWrap/>
              <w:overflowPunct/>
              <w:topLinePunct w:val="0"/>
              <w:autoSpaceDE/>
              <w:autoSpaceDN/>
              <w:bidi w:val="0"/>
              <w:adjustRightInd/>
              <w:snapToGrid/>
              <w:spacing w:before="32" w:beforeLines="10" w:after="32" w:afterLines="10" w:line="366" w:lineRule="exact"/>
              <w:jc w:val="both"/>
              <w:textAlignment w:val="auto"/>
              <w:rPr>
                <w:rFonts w:hint="eastAsia" w:ascii="宋体" w:hAnsi="宋体" w:eastAsia="宋体" w:cs="宋体"/>
                <w:b w:val="0"/>
                <w:bCs w:val="0"/>
                <w:sz w:val="24"/>
                <w:szCs w:val="24"/>
                <w:highlight w:val="none"/>
              </w:rPr>
            </w:pPr>
            <w:bookmarkStart w:id="83" w:name="OLE_LINK1"/>
            <w:r>
              <w:rPr>
                <w:rFonts w:hint="eastAsia" w:ascii="宋体" w:hAnsi="宋体" w:cs="宋体"/>
                <w:b w:val="0"/>
                <w:bCs w:val="0"/>
                <w:sz w:val="24"/>
                <w:szCs w:val="24"/>
                <w:highlight w:val="none"/>
                <w:lang w:val="en-US" w:eastAsia="zh-CN"/>
              </w:rPr>
              <w:t>处以</w:t>
            </w:r>
            <w:bookmarkEnd w:id="83"/>
            <w:r>
              <w:rPr>
                <w:rFonts w:hint="eastAsia" w:ascii="宋体" w:hAnsi="宋体" w:eastAsia="宋体" w:cs="宋体"/>
                <w:b w:val="0"/>
                <w:bCs w:val="0"/>
                <w:sz w:val="24"/>
                <w:szCs w:val="24"/>
                <w:highlight w:val="none"/>
              </w:rPr>
              <w:t>违法所得1倍罚款，但不超过3万元；没有违法所得的，处3000元以下的罚款。</w:t>
            </w:r>
          </w:p>
        </w:tc>
      </w:tr>
      <w:tr w14:paraId="6A89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643" w:type="dxa"/>
            <w:vMerge w:val="continue"/>
            <w:tcBorders>
              <w:tl2br w:val="nil"/>
              <w:tr2bl w:val="nil"/>
            </w:tcBorders>
            <w:noWrap w:val="0"/>
            <w:vAlign w:val="center"/>
          </w:tcPr>
          <w:p w14:paraId="023718CA">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highlight w:val="none"/>
              </w:rPr>
            </w:pPr>
          </w:p>
        </w:tc>
        <w:tc>
          <w:tcPr>
            <w:tcW w:w="1512" w:type="dxa"/>
            <w:vMerge w:val="continue"/>
            <w:tcBorders>
              <w:tl2br w:val="nil"/>
              <w:tr2bl w:val="nil"/>
            </w:tcBorders>
            <w:noWrap w:val="0"/>
            <w:vAlign w:val="center"/>
          </w:tcPr>
          <w:p w14:paraId="36D2F9EC">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highlight w:val="none"/>
              </w:rPr>
            </w:pPr>
          </w:p>
        </w:tc>
        <w:tc>
          <w:tcPr>
            <w:tcW w:w="4200" w:type="dxa"/>
            <w:vMerge w:val="continue"/>
            <w:tcBorders>
              <w:tl2br w:val="nil"/>
              <w:tr2bl w:val="nil"/>
            </w:tcBorders>
            <w:noWrap w:val="0"/>
            <w:vAlign w:val="center"/>
          </w:tcPr>
          <w:p w14:paraId="6C012A76">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p>
        </w:tc>
        <w:tc>
          <w:tcPr>
            <w:tcW w:w="1123" w:type="dxa"/>
            <w:tcBorders>
              <w:tl2br w:val="nil"/>
              <w:tr2bl w:val="nil"/>
            </w:tcBorders>
            <w:noWrap w:val="0"/>
            <w:vAlign w:val="center"/>
          </w:tcPr>
          <w:p w14:paraId="7F95629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一般</w:t>
            </w:r>
          </w:p>
        </w:tc>
        <w:tc>
          <w:tcPr>
            <w:tcW w:w="3345" w:type="dxa"/>
            <w:tcBorders>
              <w:tl2br w:val="nil"/>
              <w:tr2bl w:val="nil"/>
            </w:tcBorders>
            <w:noWrap w:val="0"/>
            <w:vAlign w:val="center"/>
          </w:tcPr>
          <w:p w14:paraId="6B791333">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影响小，广告费用2万元以上10万元以下的。</w:t>
            </w:r>
          </w:p>
        </w:tc>
        <w:tc>
          <w:tcPr>
            <w:tcW w:w="3300" w:type="dxa"/>
            <w:tcBorders>
              <w:tl2br w:val="nil"/>
              <w:tr2bl w:val="nil"/>
            </w:tcBorders>
            <w:noWrap w:val="0"/>
            <w:vAlign w:val="center"/>
          </w:tcPr>
          <w:p w14:paraId="0D589B30">
            <w:pPr>
              <w:keepNext w:val="0"/>
              <w:keepLines w:val="0"/>
              <w:pageBreakBefore w:val="0"/>
              <w:widowControl w:val="0"/>
              <w:kinsoku/>
              <w:wordWrap/>
              <w:overflowPunct/>
              <w:topLinePunct w:val="0"/>
              <w:autoSpaceDE/>
              <w:autoSpaceDN/>
              <w:bidi w:val="0"/>
              <w:adjustRightInd/>
              <w:snapToGrid/>
              <w:spacing w:before="32" w:beforeLines="10" w:after="32" w:afterLines="10" w:line="366" w:lineRule="exact"/>
              <w:jc w:val="both"/>
              <w:textAlignment w:val="auto"/>
              <w:rPr>
                <w:rFonts w:hint="eastAsia" w:ascii="宋体" w:hAnsi="宋体" w:eastAsia="宋体" w:cs="宋体"/>
                <w:b w:val="0"/>
                <w:bCs w:val="0"/>
                <w:sz w:val="24"/>
                <w:szCs w:val="24"/>
                <w:highlight w:val="none"/>
              </w:rPr>
            </w:pPr>
            <w:r>
              <w:rPr>
                <w:rFonts w:hint="eastAsia" w:ascii="宋体" w:hAnsi="宋体" w:cs="宋体"/>
                <w:b w:val="0"/>
                <w:bCs w:val="0"/>
                <w:sz w:val="24"/>
                <w:szCs w:val="24"/>
                <w:highlight w:val="none"/>
                <w:lang w:val="en-US" w:eastAsia="zh-CN"/>
              </w:rPr>
              <w:t>处以</w:t>
            </w:r>
            <w:r>
              <w:rPr>
                <w:rFonts w:hint="eastAsia" w:ascii="宋体" w:hAnsi="宋体" w:eastAsia="宋体" w:cs="宋体"/>
                <w:b w:val="0"/>
                <w:bCs w:val="0"/>
                <w:sz w:val="24"/>
                <w:szCs w:val="24"/>
                <w:highlight w:val="none"/>
              </w:rPr>
              <w:t>违法所得1倍以上2倍以下的罚款，但不超过3万元；没有违法所得的，处3000元以上7000元以下的罚款。</w:t>
            </w:r>
          </w:p>
        </w:tc>
      </w:tr>
      <w:tr w14:paraId="43618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643" w:type="dxa"/>
            <w:vMerge w:val="continue"/>
            <w:tcBorders>
              <w:tl2br w:val="nil"/>
              <w:tr2bl w:val="nil"/>
            </w:tcBorders>
            <w:noWrap w:val="0"/>
            <w:vAlign w:val="center"/>
          </w:tcPr>
          <w:p w14:paraId="6E87FB88">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highlight w:val="none"/>
              </w:rPr>
            </w:pPr>
          </w:p>
        </w:tc>
        <w:tc>
          <w:tcPr>
            <w:tcW w:w="1512" w:type="dxa"/>
            <w:vMerge w:val="continue"/>
            <w:tcBorders>
              <w:tl2br w:val="nil"/>
              <w:tr2bl w:val="nil"/>
            </w:tcBorders>
            <w:noWrap w:val="0"/>
            <w:vAlign w:val="center"/>
          </w:tcPr>
          <w:p w14:paraId="7A4CABA5">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highlight w:val="none"/>
              </w:rPr>
            </w:pPr>
          </w:p>
        </w:tc>
        <w:tc>
          <w:tcPr>
            <w:tcW w:w="4200" w:type="dxa"/>
            <w:vMerge w:val="continue"/>
            <w:tcBorders>
              <w:tl2br w:val="nil"/>
              <w:tr2bl w:val="nil"/>
            </w:tcBorders>
            <w:noWrap w:val="0"/>
            <w:vAlign w:val="center"/>
          </w:tcPr>
          <w:p w14:paraId="0D1B813D">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p>
        </w:tc>
        <w:tc>
          <w:tcPr>
            <w:tcW w:w="1123" w:type="dxa"/>
            <w:tcBorders>
              <w:tl2br w:val="nil"/>
              <w:tr2bl w:val="nil"/>
            </w:tcBorders>
            <w:noWrap w:val="0"/>
            <w:vAlign w:val="center"/>
          </w:tcPr>
          <w:p w14:paraId="4F269C9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较重</w:t>
            </w:r>
          </w:p>
        </w:tc>
        <w:tc>
          <w:tcPr>
            <w:tcW w:w="3345" w:type="dxa"/>
            <w:tcBorders>
              <w:tl2br w:val="nil"/>
              <w:tr2bl w:val="nil"/>
            </w:tcBorders>
            <w:noWrap w:val="0"/>
            <w:vAlign w:val="center"/>
          </w:tcPr>
          <w:p w14:paraId="2D7CF148">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有下列情形之一的：</w:t>
            </w:r>
          </w:p>
          <w:p w14:paraId="06943A98">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⑴造成重大影响的；</w:t>
            </w:r>
          </w:p>
          <w:p w14:paraId="4F9054C8">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⑵广告费用10万元以上的。</w:t>
            </w:r>
          </w:p>
        </w:tc>
        <w:tc>
          <w:tcPr>
            <w:tcW w:w="3300" w:type="dxa"/>
            <w:tcBorders>
              <w:tl2br w:val="nil"/>
              <w:tr2bl w:val="nil"/>
            </w:tcBorders>
            <w:noWrap w:val="0"/>
            <w:vAlign w:val="center"/>
          </w:tcPr>
          <w:p w14:paraId="1DB3DB14">
            <w:pPr>
              <w:keepNext w:val="0"/>
              <w:keepLines w:val="0"/>
              <w:pageBreakBefore w:val="0"/>
              <w:widowControl w:val="0"/>
              <w:kinsoku/>
              <w:wordWrap/>
              <w:overflowPunct/>
              <w:topLinePunct w:val="0"/>
              <w:autoSpaceDE/>
              <w:autoSpaceDN/>
              <w:bidi w:val="0"/>
              <w:adjustRightInd/>
              <w:snapToGrid/>
              <w:spacing w:before="32" w:beforeLines="10" w:after="32" w:afterLines="10" w:line="366" w:lineRule="exact"/>
              <w:jc w:val="both"/>
              <w:textAlignment w:val="auto"/>
              <w:rPr>
                <w:rFonts w:hint="eastAsia" w:ascii="宋体" w:hAnsi="宋体" w:eastAsia="宋体" w:cs="宋体"/>
                <w:b w:val="0"/>
                <w:bCs w:val="0"/>
                <w:sz w:val="24"/>
                <w:szCs w:val="24"/>
                <w:highlight w:val="none"/>
              </w:rPr>
            </w:pPr>
            <w:r>
              <w:rPr>
                <w:rFonts w:hint="eastAsia" w:ascii="宋体" w:hAnsi="宋体" w:cs="宋体"/>
                <w:b w:val="0"/>
                <w:bCs w:val="0"/>
                <w:sz w:val="24"/>
                <w:szCs w:val="24"/>
                <w:highlight w:val="none"/>
                <w:lang w:val="en-US" w:eastAsia="zh-CN"/>
              </w:rPr>
              <w:t>处以</w:t>
            </w:r>
            <w:r>
              <w:rPr>
                <w:rFonts w:hint="eastAsia" w:ascii="宋体" w:hAnsi="宋体" w:eastAsia="宋体" w:cs="宋体"/>
                <w:b w:val="0"/>
                <w:bCs w:val="0"/>
                <w:sz w:val="24"/>
                <w:szCs w:val="24"/>
                <w:highlight w:val="none"/>
              </w:rPr>
              <w:t>违法所得2倍以上3倍以下的罚款，但不超过3万元；没有违法所得的，处7000元以上1万元以下的罚款。</w:t>
            </w:r>
          </w:p>
        </w:tc>
      </w:tr>
      <w:tr w14:paraId="2CE3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643" w:type="dxa"/>
            <w:vMerge w:val="restart"/>
            <w:tcBorders>
              <w:tl2br w:val="nil"/>
              <w:tr2bl w:val="nil"/>
            </w:tcBorders>
            <w:noWrap w:val="0"/>
            <w:vAlign w:val="center"/>
          </w:tcPr>
          <w:p w14:paraId="68B37A5D">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highlight w:val="none"/>
                <w:lang w:val="en" w:eastAsia="zh-CN"/>
              </w:rPr>
            </w:pPr>
            <w:r>
              <w:rPr>
                <w:rFonts w:hint="eastAsia" w:ascii="宋体" w:hAnsi="宋体" w:eastAsia="宋体" w:cs="宋体"/>
                <w:b w:val="0"/>
                <w:bCs w:val="0"/>
                <w:sz w:val="24"/>
                <w:szCs w:val="24"/>
                <w:highlight w:val="none"/>
                <w:lang w:val="en" w:eastAsia="zh-CN"/>
              </w:rPr>
              <w:t>6</w:t>
            </w:r>
            <w:r>
              <w:rPr>
                <w:rFonts w:hint="eastAsia" w:ascii="宋体" w:hAnsi="宋体" w:eastAsia="宋体" w:cs="宋体"/>
                <w:b w:val="0"/>
                <w:bCs w:val="0"/>
                <w:sz w:val="24"/>
                <w:szCs w:val="24"/>
                <w:highlight w:val="none"/>
                <w:lang w:val="en-US" w:eastAsia="zh-CN"/>
              </w:rPr>
              <w:t>3</w:t>
            </w:r>
          </w:p>
        </w:tc>
        <w:tc>
          <w:tcPr>
            <w:tcW w:w="1512" w:type="dxa"/>
            <w:vMerge w:val="restart"/>
            <w:tcBorders>
              <w:tl2br w:val="nil"/>
              <w:tr2bl w:val="nil"/>
            </w:tcBorders>
            <w:noWrap w:val="0"/>
            <w:vAlign w:val="center"/>
          </w:tcPr>
          <w:p w14:paraId="50BE5699">
            <w:pPr>
              <w:keepNext w:val="0"/>
              <w:keepLines w:val="0"/>
              <w:pageBreakBefore w:val="0"/>
              <w:widowControl/>
              <w:suppressLineNumbers w:val="0"/>
              <w:kinsoku/>
              <w:wordWrap/>
              <w:overflowPunct/>
              <w:topLinePunct w:val="0"/>
              <w:autoSpaceDE/>
              <w:autoSpaceDN/>
              <w:bidi w:val="0"/>
              <w:adjustRightInd/>
              <w:snapToGrid/>
              <w:spacing w:line="420" w:lineRule="exact"/>
              <w:ind w:left="42" w:leftChars="20"/>
              <w:jc w:val="both"/>
              <w:textAlignment w:val="auto"/>
              <w:outlineLvl w:val="2"/>
              <w:rPr>
                <w:rFonts w:hint="eastAsia" w:ascii="宋体" w:hAnsi="宋体" w:eastAsia="宋体" w:cs="宋体"/>
                <w:b w:val="0"/>
                <w:bCs w:val="0"/>
                <w:sz w:val="24"/>
                <w:szCs w:val="24"/>
              </w:rPr>
            </w:pPr>
            <w:bookmarkStart w:id="84" w:name="_Toc844"/>
            <w:bookmarkStart w:id="85" w:name="_Toc28070"/>
            <w:bookmarkStart w:id="86" w:name="_Toc17086"/>
            <w:bookmarkStart w:id="87" w:name="_Toc19951"/>
            <w:bookmarkStart w:id="88" w:name="_Toc14436"/>
            <w:r>
              <w:rPr>
                <w:rFonts w:hint="eastAsia" w:ascii="宋体" w:hAnsi="宋体" w:eastAsia="宋体" w:cs="宋体"/>
                <w:b w:val="0"/>
                <w:bCs w:val="0"/>
                <w:sz w:val="24"/>
                <w:szCs w:val="24"/>
                <w:highlight w:val="none"/>
              </w:rPr>
              <w:t>《农药广告审查发布规定》</w:t>
            </w:r>
            <w:r>
              <w:rPr>
                <w:rFonts w:hint="eastAsia" w:ascii="宋体" w:hAnsi="宋体" w:eastAsia="宋体" w:cs="宋体"/>
                <w:b w:val="0"/>
                <w:bCs w:val="0"/>
                <w:i w:val="0"/>
                <w:caps w:val="0"/>
                <w:color w:val="000000"/>
                <w:spacing w:val="0"/>
                <w:kern w:val="0"/>
                <w:sz w:val="24"/>
                <w:szCs w:val="24"/>
                <w:shd w:val="clear" w:color="auto" w:fill="auto"/>
                <w:lang w:val="en-US" w:eastAsia="zh-CN" w:bidi="ar"/>
              </w:rPr>
              <w:t>（20</w:t>
            </w:r>
            <w:r>
              <w:rPr>
                <w:rFonts w:hint="eastAsia" w:ascii="宋体" w:hAnsi="宋体" w:cs="宋体"/>
                <w:b w:val="0"/>
                <w:bCs w:val="0"/>
                <w:i w:val="0"/>
                <w:caps w:val="0"/>
                <w:color w:val="000000"/>
                <w:spacing w:val="0"/>
                <w:kern w:val="0"/>
                <w:sz w:val="24"/>
                <w:szCs w:val="24"/>
                <w:shd w:val="clear" w:color="auto" w:fill="auto"/>
                <w:lang w:val="en-US" w:eastAsia="zh-CN" w:bidi="ar"/>
              </w:rPr>
              <w:t>20</w:t>
            </w:r>
            <w:r>
              <w:rPr>
                <w:rFonts w:hint="eastAsia" w:ascii="宋体" w:hAnsi="宋体" w:eastAsia="宋体" w:cs="宋体"/>
                <w:b w:val="0"/>
                <w:bCs w:val="0"/>
                <w:i w:val="0"/>
                <w:caps w:val="0"/>
                <w:color w:val="000000"/>
                <w:spacing w:val="0"/>
                <w:kern w:val="0"/>
                <w:sz w:val="24"/>
                <w:szCs w:val="24"/>
                <w:shd w:val="clear" w:color="auto" w:fill="auto"/>
                <w:lang w:val="en-US" w:eastAsia="zh-CN" w:bidi="ar"/>
              </w:rPr>
              <w:t>年</w:t>
            </w:r>
            <w:r>
              <w:rPr>
                <w:rFonts w:hint="default" w:ascii="宋体" w:hAnsi="宋体" w:cs="宋体"/>
                <w:b w:val="0"/>
                <w:bCs w:val="0"/>
                <w:i w:val="0"/>
                <w:caps w:val="0"/>
                <w:color w:val="000000"/>
                <w:spacing w:val="0"/>
                <w:kern w:val="0"/>
                <w:sz w:val="24"/>
                <w:szCs w:val="24"/>
                <w:shd w:val="clear" w:color="auto" w:fill="auto"/>
                <w:lang w:val="en" w:eastAsia="zh-CN" w:bidi="ar"/>
              </w:rPr>
              <w:t>1</w:t>
            </w:r>
            <w:r>
              <w:rPr>
                <w:rFonts w:hint="eastAsia" w:ascii="宋体" w:hAnsi="宋体" w:cs="宋体"/>
                <w:b w:val="0"/>
                <w:bCs w:val="0"/>
                <w:i w:val="0"/>
                <w:caps w:val="0"/>
                <w:color w:val="000000"/>
                <w:spacing w:val="0"/>
                <w:kern w:val="0"/>
                <w:sz w:val="24"/>
                <w:szCs w:val="24"/>
                <w:shd w:val="clear" w:color="auto" w:fill="auto"/>
                <w:lang w:val="en-US" w:eastAsia="zh-CN" w:bidi="ar"/>
              </w:rPr>
              <w:t>0</w:t>
            </w:r>
            <w:r>
              <w:rPr>
                <w:rFonts w:hint="eastAsia" w:ascii="宋体" w:hAnsi="宋体" w:eastAsia="宋体" w:cs="宋体"/>
                <w:b w:val="0"/>
                <w:bCs w:val="0"/>
                <w:i w:val="0"/>
                <w:caps w:val="0"/>
                <w:color w:val="000000"/>
                <w:spacing w:val="0"/>
                <w:kern w:val="0"/>
                <w:sz w:val="24"/>
                <w:szCs w:val="24"/>
                <w:shd w:val="clear" w:color="auto" w:fill="auto"/>
                <w:lang w:val="en-US" w:eastAsia="zh-CN" w:bidi="ar"/>
              </w:rPr>
              <w:t>月</w:t>
            </w:r>
            <w:r>
              <w:rPr>
                <w:rFonts w:hint="default" w:ascii="宋体" w:hAnsi="宋体" w:cs="宋体"/>
                <w:b w:val="0"/>
                <w:bCs w:val="0"/>
                <w:i w:val="0"/>
                <w:caps w:val="0"/>
                <w:color w:val="000000"/>
                <w:spacing w:val="0"/>
                <w:kern w:val="0"/>
                <w:sz w:val="24"/>
                <w:szCs w:val="24"/>
                <w:shd w:val="clear" w:color="auto" w:fill="auto"/>
                <w:lang w:val="en" w:eastAsia="zh-CN" w:bidi="ar"/>
              </w:rPr>
              <w:t>2</w:t>
            </w:r>
            <w:r>
              <w:rPr>
                <w:rFonts w:hint="eastAsia" w:ascii="宋体" w:hAnsi="宋体" w:cs="宋体"/>
                <w:b w:val="0"/>
                <w:bCs w:val="0"/>
                <w:i w:val="0"/>
                <w:caps w:val="0"/>
                <w:color w:val="000000"/>
                <w:spacing w:val="0"/>
                <w:kern w:val="0"/>
                <w:sz w:val="24"/>
                <w:szCs w:val="24"/>
                <w:shd w:val="clear" w:color="auto" w:fill="auto"/>
                <w:lang w:val="en-US" w:eastAsia="zh-CN" w:bidi="ar"/>
              </w:rPr>
              <w:t>3</w:t>
            </w:r>
            <w:r>
              <w:rPr>
                <w:rFonts w:hint="eastAsia" w:ascii="宋体" w:hAnsi="宋体" w:eastAsia="宋体" w:cs="宋体"/>
                <w:b w:val="0"/>
                <w:bCs w:val="0"/>
                <w:i w:val="0"/>
                <w:caps w:val="0"/>
                <w:color w:val="000000"/>
                <w:spacing w:val="0"/>
                <w:kern w:val="0"/>
                <w:sz w:val="24"/>
                <w:szCs w:val="24"/>
                <w:shd w:val="clear" w:color="auto" w:fill="auto"/>
                <w:lang w:val="en-US" w:eastAsia="zh-CN" w:bidi="ar"/>
              </w:rPr>
              <w:t>日</w:t>
            </w:r>
            <w:r>
              <w:rPr>
                <w:rFonts w:hint="eastAsia" w:ascii="宋体" w:hAnsi="宋体" w:cs="宋体"/>
                <w:b w:val="0"/>
                <w:bCs w:val="0"/>
                <w:i w:val="0"/>
                <w:caps w:val="0"/>
                <w:color w:val="000000"/>
                <w:spacing w:val="0"/>
                <w:kern w:val="0"/>
                <w:sz w:val="24"/>
                <w:szCs w:val="24"/>
                <w:shd w:val="clear" w:color="auto" w:fill="auto"/>
                <w:lang w:val="en-US" w:eastAsia="zh-CN" w:bidi="ar"/>
              </w:rPr>
              <w:t>起施行</w:t>
            </w:r>
            <w:r>
              <w:rPr>
                <w:rFonts w:hint="eastAsia" w:ascii="宋体" w:hAnsi="宋体" w:eastAsia="宋体" w:cs="宋体"/>
                <w:b w:val="0"/>
                <w:bCs w:val="0"/>
                <w:i w:val="0"/>
                <w:caps w:val="0"/>
                <w:color w:val="000000"/>
                <w:spacing w:val="0"/>
                <w:kern w:val="0"/>
                <w:sz w:val="24"/>
                <w:szCs w:val="24"/>
                <w:shd w:val="clear" w:color="auto" w:fill="auto"/>
                <w:lang w:val="en-US" w:eastAsia="zh-CN" w:bidi="ar"/>
              </w:rPr>
              <w:t>）</w:t>
            </w:r>
            <w:bookmarkEnd w:id="84"/>
            <w:bookmarkEnd w:id="85"/>
            <w:bookmarkEnd w:id="86"/>
            <w:bookmarkEnd w:id="87"/>
            <w:bookmarkEnd w:id="88"/>
          </w:p>
          <w:p w14:paraId="209DECB9">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highlight w:val="none"/>
                <w:lang w:val="en-US" w:eastAsia="zh-CN"/>
              </w:rPr>
            </w:pPr>
          </w:p>
        </w:tc>
        <w:tc>
          <w:tcPr>
            <w:tcW w:w="4200" w:type="dxa"/>
            <w:vMerge w:val="restart"/>
            <w:tcBorders>
              <w:tl2br w:val="nil"/>
              <w:tr2bl w:val="nil"/>
            </w:tcBorders>
            <w:noWrap w:val="0"/>
            <w:vAlign w:val="center"/>
          </w:tcPr>
          <w:p w14:paraId="38F1989D">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第十三条</w:t>
            </w:r>
            <w:r>
              <w:rPr>
                <w:rFonts w:hint="eastAsia" w:ascii="宋体" w:hAnsi="宋体" w:cs="宋体"/>
                <w:b w:val="0"/>
                <w:bCs w:val="0"/>
                <w:sz w:val="24"/>
                <w:szCs w:val="24"/>
                <w:highlight w:val="none"/>
                <w:lang w:val="en-US" w:eastAsia="zh-CN"/>
              </w:rPr>
              <w:t xml:space="preserve"> </w:t>
            </w:r>
            <w:r>
              <w:rPr>
                <w:rFonts w:hint="eastAsia" w:ascii="宋体" w:hAnsi="宋体" w:eastAsia="宋体" w:cs="宋体"/>
                <w:b w:val="0"/>
                <w:bCs w:val="0"/>
                <w:sz w:val="24"/>
                <w:szCs w:val="24"/>
                <w:highlight w:val="none"/>
              </w:rPr>
              <w:t>违反本规定发布广告，《广告法》及其他法律法规有规定的，依照有关法律法规规定予以处罚。法律法规没有规定的，对负有责任的广告主、广告经营者、广告发布者，处以违法所得三倍以下但不超过三万元的罚款；没有违法所得的，处以一万元以下的罚款。</w:t>
            </w:r>
          </w:p>
        </w:tc>
        <w:tc>
          <w:tcPr>
            <w:tcW w:w="1123" w:type="dxa"/>
            <w:tcBorders>
              <w:tl2br w:val="nil"/>
              <w:tr2bl w:val="nil"/>
            </w:tcBorders>
            <w:noWrap w:val="0"/>
            <w:vAlign w:val="center"/>
          </w:tcPr>
          <w:p w14:paraId="04964FA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较轻</w:t>
            </w:r>
          </w:p>
        </w:tc>
        <w:tc>
          <w:tcPr>
            <w:tcW w:w="3345" w:type="dxa"/>
            <w:tcBorders>
              <w:tl2br w:val="nil"/>
              <w:tr2bl w:val="nil"/>
            </w:tcBorders>
            <w:noWrap w:val="0"/>
            <w:vAlign w:val="center"/>
          </w:tcPr>
          <w:p w14:paraId="5EF8A3CC">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影响较小，广告费用在2万元以下的。</w:t>
            </w:r>
          </w:p>
        </w:tc>
        <w:tc>
          <w:tcPr>
            <w:tcW w:w="3300" w:type="dxa"/>
            <w:tcBorders>
              <w:tl2br w:val="nil"/>
              <w:tr2bl w:val="nil"/>
            </w:tcBorders>
            <w:noWrap w:val="0"/>
            <w:vAlign w:val="center"/>
          </w:tcPr>
          <w:p w14:paraId="01C6CF46">
            <w:pPr>
              <w:keepNext w:val="0"/>
              <w:keepLines w:val="0"/>
              <w:pageBreakBefore w:val="0"/>
              <w:widowControl w:val="0"/>
              <w:kinsoku/>
              <w:wordWrap/>
              <w:overflowPunct/>
              <w:topLinePunct w:val="0"/>
              <w:autoSpaceDE/>
              <w:autoSpaceDN/>
              <w:bidi w:val="0"/>
              <w:adjustRightInd/>
              <w:snapToGrid/>
              <w:spacing w:before="32" w:beforeLines="10" w:after="32" w:afterLines="10" w:line="366"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处以违法所得1倍罚款，但不超过3万元；没有违法所得的，处3000元以下的罚款。</w:t>
            </w:r>
          </w:p>
        </w:tc>
      </w:tr>
      <w:tr w14:paraId="5ACD2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643" w:type="dxa"/>
            <w:vMerge w:val="continue"/>
            <w:tcBorders>
              <w:tl2br w:val="nil"/>
              <w:tr2bl w:val="nil"/>
            </w:tcBorders>
            <w:noWrap w:val="0"/>
            <w:vAlign w:val="center"/>
          </w:tcPr>
          <w:p w14:paraId="6C6EA7C2">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highlight w:val="none"/>
              </w:rPr>
            </w:pPr>
          </w:p>
        </w:tc>
        <w:tc>
          <w:tcPr>
            <w:tcW w:w="1512" w:type="dxa"/>
            <w:vMerge w:val="continue"/>
            <w:tcBorders>
              <w:tl2br w:val="nil"/>
              <w:tr2bl w:val="nil"/>
            </w:tcBorders>
            <w:noWrap w:val="0"/>
            <w:vAlign w:val="center"/>
          </w:tcPr>
          <w:p w14:paraId="34AF3769">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highlight w:val="none"/>
              </w:rPr>
            </w:pPr>
          </w:p>
        </w:tc>
        <w:tc>
          <w:tcPr>
            <w:tcW w:w="4200" w:type="dxa"/>
            <w:vMerge w:val="continue"/>
            <w:tcBorders>
              <w:tl2br w:val="nil"/>
              <w:tr2bl w:val="nil"/>
            </w:tcBorders>
            <w:noWrap w:val="0"/>
            <w:vAlign w:val="center"/>
          </w:tcPr>
          <w:p w14:paraId="160F507A">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p>
        </w:tc>
        <w:tc>
          <w:tcPr>
            <w:tcW w:w="1123" w:type="dxa"/>
            <w:tcBorders>
              <w:tl2br w:val="nil"/>
              <w:tr2bl w:val="nil"/>
            </w:tcBorders>
            <w:noWrap w:val="0"/>
            <w:vAlign w:val="center"/>
          </w:tcPr>
          <w:p w14:paraId="7D81766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一般</w:t>
            </w:r>
          </w:p>
        </w:tc>
        <w:tc>
          <w:tcPr>
            <w:tcW w:w="3345" w:type="dxa"/>
            <w:tcBorders>
              <w:tl2br w:val="nil"/>
              <w:tr2bl w:val="nil"/>
            </w:tcBorders>
            <w:noWrap w:val="0"/>
            <w:vAlign w:val="center"/>
          </w:tcPr>
          <w:p w14:paraId="669F2AA4">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影响小，广告费用2万元以上10万元以下的。</w:t>
            </w:r>
          </w:p>
        </w:tc>
        <w:tc>
          <w:tcPr>
            <w:tcW w:w="3300" w:type="dxa"/>
            <w:tcBorders>
              <w:tl2br w:val="nil"/>
              <w:tr2bl w:val="nil"/>
            </w:tcBorders>
            <w:noWrap w:val="0"/>
            <w:vAlign w:val="center"/>
          </w:tcPr>
          <w:p w14:paraId="6D8F98D3">
            <w:pPr>
              <w:keepNext w:val="0"/>
              <w:keepLines w:val="0"/>
              <w:pageBreakBefore w:val="0"/>
              <w:widowControl w:val="0"/>
              <w:kinsoku/>
              <w:wordWrap/>
              <w:overflowPunct/>
              <w:topLinePunct w:val="0"/>
              <w:autoSpaceDE/>
              <w:autoSpaceDN/>
              <w:bidi w:val="0"/>
              <w:adjustRightInd/>
              <w:snapToGrid/>
              <w:spacing w:before="32" w:beforeLines="10" w:after="32" w:afterLines="10" w:line="366"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处以违法所得1倍以上2倍以下的罚款，但不超过3万元；没有违法所得的，处3000元以上7000元以下的罚款。</w:t>
            </w:r>
          </w:p>
        </w:tc>
      </w:tr>
      <w:tr w14:paraId="5338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43" w:type="dxa"/>
            <w:vMerge w:val="continue"/>
            <w:tcBorders>
              <w:tl2br w:val="nil"/>
              <w:tr2bl w:val="nil"/>
            </w:tcBorders>
            <w:noWrap w:val="0"/>
            <w:vAlign w:val="center"/>
          </w:tcPr>
          <w:p w14:paraId="25EB6DF3">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sz w:val="24"/>
                <w:szCs w:val="24"/>
                <w:highlight w:val="none"/>
              </w:rPr>
            </w:pPr>
          </w:p>
        </w:tc>
        <w:tc>
          <w:tcPr>
            <w:tcW w:w="1512" w:type="dxa"/>
            <w:vMerge w:val="continue"/>
            <w:tcBorders>
              <w:tl2br w:val="nil"/>
              <w:tr2bl w:val="nil"/>
            </w:tcBorders>
            <w:noWrap w:val="0"/>
            <w:vAlign w:val="center"/>
          </w:tcPr>
          <w:p w14:paraId="25CD8216">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sz w:val="24"/>
                <w:szCs w:val="24"/>
                <w:highlight w:val="none"/>
              </w:rPr>
            </w:pPr>
          </w:p>
        </w:tc>
        <w:tc>
          <w:tcPr>
            <w:tcW w:w="4200" w:type="dxa"/>
            <w:vMerge w:val="continue"/>
            <w:tcBorders>
              <w:tl2br w:val="nil"/>
              <w:tr2bl w:val="nil"/>
            </w:tcBorders>
            <w:noWrap w:val="0"/>
            <w:vAlign w:val="center"/>
          </w:tcPr>
          <w:p w14:paraId="2D29574B">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p>
        </w:tc>
        <w:tc>
          <w:tcPr>
            <w:tcW w:w="1123" w:type="dxa"/>
            <w:tcBorders>
              <w:tl2br w:val="nil"/>
              <w:tr2bl w:val="nil"/>
            </w:tcBorders>
            <w:noWrap w:val="0"/>
            <w:vAlign w:val="center"/>
          </w:tcPr>
          <w:p w14:paraId="5DD48BB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较重</w:t>
            </w:r>
          </w:p>
        </w:tc>
        <w:tc>
          <w:tcPr>
            <w:tcW w:w="3345" w:type="dxa"/>
            <w:tcBorders>
              <w:tl2br w:val="nil"/>
              <w:tr2bl w:val="nil"/>
            </w:tcBorders>
            <w:noWrap w:val="0"/>
            <w:vAlign w:val="center"/>
          </w:tcPr>
          <w:p w14:paraId="0ECB7942">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有下列情形之一的：</w:t>
            </w:r>
          </w:p>
          <w:p w14:paraId="73B42D13">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⑴造成重大影响的；</w:t>
            </w:r>
          </w:p>
          <w:p w14:paraId="63D5A63A">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⑵广告费用10万元以上的。</w:t>
            </w:r>
          </w:p>
        </w:tc>
        <w:tc>
          <w:tcPr>
            <w:tcW w:w="3300" w:type="dxa"/>
            <w:tcBorders>
              <w:tl2br w:val="nil"/>
              <w:tr2bl w:val="nil"/>
            </w:tcBorders>
            <w:noWrap w:val="0"/>
            <w:vAlign w:val="center"/>
          </w:tcPr>
          <w:p w14:paraId="3769FD46">
            <w:pPr>
              <w:keepNext w:val="0"/>
              <w:keepLines w:val="0"/>
              <w:pageBreakBefore w:val="0"/>
              <w:widowControl w:val="0"/>
              <w:kinsoku/>
              <w:wordWrap/>
              <w:overflowPunct/>
              <w:topLinePunct w:val="0"/>
              <w:autoSpaceDE/>
              <w:autoSpaceDN/>
              <w:bidi w:val="0"/>
              <w:adjustRightInd/>
              <w:snapToGrid/>
              <w:spacing w:before="32" w:beforeLines="10" w:after="32" w:afterLines="10" w:line="366"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处以违法所得2倍以上3倍以下的罚款，但不超过3万元；没有违法所得的，处7000元以上1万元以下的罚款。</w:t>
            </w:r>
          </w:p>
        </w:tc>
      </w:tr>
      <w:tr w14:paraId="6A251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643" w:type="dxa"/>
            <w:vMerge w:val="restart"/>
            <w:tcBorders>
              <w:tl2br w:val="nil"/>
              <w:tr2bl w:val="nil"/>
            </w:tcBorders>
            <w:noWrap w:val="0"/>
            <w:vAlign w:val="center"/>
          </w:tcPr>
          <w:p w14:paraId="13CAC847">
            <w:pPr>
              <w:keepNext w:val="0"/>
              <w:keepLines w:val="0"/>
              <w:pageBreakBefore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宋体" w:hAnsi="宋体" w:eastAsia="宋体" w:cs="宋体"/>
                <w:b w:val="0"/>
                <w:bCs w:val="0"/>
                <w:sz w:val="24"/>
                <w:szCs w:val="24"/>
                <w:highlight w:val="none"/>
                <w:lang w:val="en" w:eastAsia="zh-CN"/>
              </w:rPr>
            </w:pPr>
            <w:r>
              <w:rPr>
                <w:rFonts w:hint="eastAsia" w:ascii="宋体" w:hAnsi="宋体" w:eastAsia="宋体" w:cs="宋体"/>
                <w:b w:val="0"/>
                <w:bCs w:val="0"/>
                <w:sz w:val="24"/>
                <w:szCs w:val="24"/>
                <w:highlight w:val="none"/>
                <w:lang w:val="en" w:eastAsia="zh-CN"/>
              </w:rPr>
              <w:t>6</w:t>
            </w:r>
            <w:r>
              <w:rPr>
                <w:rFonts w:hint="eastAsia" w:ascii="宋体" w:hAnsi="宋体" w:eastAsia="宋体" w:cs="宋体"/>
                <w:b w:val="0"/>
                <w:bCs w:val="0"/>
                <w:sz w:val="24"/>
                <w:szCs w:val="24"/>
                <w:highlight w:val="none"/>
                <w:lang w:val="en-US" w:eastAsia="zh-CN"/>
              </w:rPr>
              <w:t>4</w:t>
            </w:r>
          </w:p>
        </w:tc>
        <w:tc>
          <w:tcPr>
            <w:tcW w:w="1512" w:type="dxa"/>
            <w:vMerge w:val="restart"/>
            <w:tcBorders>
              <w:tl2br w:val="nil"/>
              <w:tr2bl w:val="nil"/>
            </w:tcBorders>
            <w:noWrap w:val="0"/>
            <w:vAlign w:val="center"/>
          </w:tcPr>
          <w:p w14:paraId="3B07DF89">
            <w:pPr>
              <w:keepNext w:val="0"/>
              <w:keepLines w:val="0"/>
              <w:pageBreakBefore w:val="0"/>
              <w:widowControl/>
              <w:suppressLineNumbers w:val="0"/>
              <w:kinsoku/>
              <w:wordWrap/>
              <w:overflowPunct/>
              <w:topLinePunct w:val="0"/>
              <w:autoSpaceDE/>
              <w:autoSpaceDN/>
              <w:bidi w:val="0"/>
              <w:adjustRightInd/>
              <w:snapToGrid/>
              <w:spacing w:line="420" w:lineRule="exact"/>
              <w:ind w:left="42" w:leftChars="20"/>
              <w:jc w:val="both"/>
              <w:textAlignment w:val="auto"/>
              <w:outlineLvl w:val="2"/>
              <w:rPr>
                <w:rFonts w:hint="eastAsia" w:ascii="宋体" w:hAnsi="宋体" w:eastAsia="宋体" w:cs="宋体"/>
                <w:b w:val="0"/>
                <w:bCs w:val="0"/>
                <w:sz w:val="24"/>
                <w:szCs w:val="24"/>
                <w:highlight w:val="none"/>
                <w:lang w:val="en-US" w:eastAsia="zh-CN"/>
              </w:rPr>
            </w:pPr>
            <w:bookmarkStart w:id="89" w:name="_Toc5057"/>
            <w:bookmarkStart w:id="90" w:name="_Toc27283"/>
            <w:bookmarkStart w:id="91" w:name="_Toc10841"/>
            <w:bookmarkStart w:id="92" w:name="_Toc3171"/>
            <w:bookmarkStart w:id="93" w:name="_Toc2540"/>
            <w:r>
              <w:rPr>
                <w:rFonts w:hint="eastAsia" w:ascii="宋体" w:hAnsi="宋体" w:eastAsia="宋体" w:cs="宋体"/>
                <w:b w:val="0"/>
                <w:bCs w:val="0"/>
                <w:sz w:val="24"/>
                <w:szCs w:val="24"/>
                <w:highlight w:val="none"/>
              </w:rPr>
              <w:t>《兽药广告审查发布规定》</w:t>
            </w:r>
            <w:bookmarkEnd w:id="89"/>
            <w:r>
              <w:rPr>
                <w:rFonts w:hint="eastAsia" w:ascii="宋体" w:hAnsi="宋体" w:eastAsia="宋体" w:cs="宋体"/>
                <w:b w:val="0"/>
                <w:bCs w:val="0"/>
                <w:i w:val="0"/>
                <w:caps w:val="0"/>
                <w:color w:val="000000"/>
                <w:spacing w:val="0"/>
                <w:kern w:val="0"/>
                <w:sz w:val="24"/>
                <w:szCs w:val="24"/>
                <w:shd w:val="clear" w:color="auto" w:fill="auto"/>
                <w:lang w:val="en-US" w:eastAsia="zh-CN" w:bidi="ar"/>
              </w:rPr>
              <w:t>（20</w:t>
            </w:r>
            <w:r>
              <w:rPr>
                <w:rFonts w:hint="eastAsia" w:ascii="宋体" w:hAnsi="宋体" w:cs="宋体"/>
                <w:b w:val="0"/>
                <w:bCs w:val="0"/>
                <w:i w:val="0"/>
                <w:caps w:val="0"/>
                <w:color w:val="000000"/>
                <w:spacing w:val="0"/>
                <w:kern w:val="0"/>
                <w:sz w:val="24"/>
                <w:szCs w:val="24"/>
                <w:shd w:val="clear" w:color="auto" w:fill="auto"/>
                <w:lang w:val="en-US" w:eastAsia="zh-CN" w:bidi="ar"/>
              </w:rPr>
              <w:t>20</w:t>
            </w:r>
            <w:r>
              <w:rPr>
                <w:rFonts w:hint="eastAsia" w:ascii="宋体" w:hAnsi="宋体" w:eastAsia="宋体" w:cs="宋体"/>
                <w:b w:val="0"/>
                <w:bCs w:val="0"/>
                <w:i w:val="0"/>
                <w:caps w:val="0"/>
                <w:color w:val="000000"/>
                <w:spacing w:val="0"/>
                <w:kern w:val="0"/>
                <w:sz w:val="24"/>
                <w:szCs w:val="24"/>
                <w:shd w:val="clear" w:color="auto" w:fill="auto"/>
                <w:lang w:val="en-US" w:eastAsia="zh-CN" w:bidi="ar"/>
              </w:rPr>
              <w:t>年</w:t>
            </w:r>
            <w:r>
              <w:rPr>
                <w:rFonts w:hint="default" w:ascii="宋体" w:hAnsi="宋体" w:cs="宋体"/>
                <w:b w:val="0"/>
                <w:bCs w:val="0"/>
                <w:i w:val="0"/>
                <w:caps w:val="0"/>
                <w:color w:val="000000"/>
                <w:spacing w:val="0"/>
                <w:kern w:val="0"/>
                <w:sz w:val="24"/>
                <w:szCs w:val="24"/>
                <w:shd w:val="clear" w:color="auto" w:fill="auto"/>
                <w:lang w:val="en" w:eastAsia="zh-CN" w:bidi="ar"/>
              </w:rPr>
              <w:t>1</w:t>
            </w:r>
            <w:r>
              <w:rPr>
                <w:rFonts w:hint="eastAsia" w:ascii="宋体" w:hAnsi="宋体" w:cs="宋体"/>
                <w:b w:val="0"/>
                <w:bCs w:val="0"/>
                <w:i w:val="0"/>
                <w:caps w:val="0"/>
                <w:color w:val="000000"/>
                <w:spacing w:val="0"/>
                <w:kern w:val="0"/>
                <w:sz w:val="24"/>
                <w:szCs w:val="24"/>
                <w:shd w:val="clear" w:color="auto" w:fill="auto"/>
                <w:lang w:val="en-US" w:eastAsia="zh-CN" w:bidi="ar"/>
              </w:rPr>
              <w:t>0</w:t>
            </w:r>
            <w:r>
              <w:rPr>
                <w:rFonts w:hint="eastAsia" w:ascii="宋体" w:hAnsi="宋体" w:eastAsia="宋体" w:cs="宋体"/>
                <w:b w:val="0"/>
                <w:bCs w:val="0"/>
                <w:i w:val="0"/>
                <w:caps w:val="0"/>
                <w:color w:val="000000"/>
                <w:spacing w:val="0"/>
                <w:kern w:val="0"/>
                <w:sz w:val="24"/>
                <w:szCs w:val="24"/>
                <w:shd w:val="clear" w:color="auto" w:fill="auto"/>
                <w:lang w:val="en-US" w:eastAsia="zh-CN" w:bidi="ar"/>
              </w:rPr>
              <w:t>月</w:t>
            </w:r>
            <w:r>
              <w:rPr>
                <w:rFonts w:hint="default" w:ascii="宋体" w:hAnsi="宋体" w:cs="宋体"/>
                <w:b w:val="0"/>
                <w:bCs w:val="0"/>
                <w:i w:val="0"/>
                <w:caps w:val="0"/>
                <w:color w:val="000000"/>
                <w:spacing w:val="0"/>
                <w:kern w:val="0"/>
                <w:sz w:val="24"/>
                <w:szCs w:val="24"/>
                <w:shd w:val="clear" w:color="auto" w:fill="auto"/>
                <w:lang w:val="en" w:eastAsia="zh-CN" w:bidi="ar"/>
              </w:rPr>
              <w:t>2</w:t>
            </w:r>
            <w:r>
              <w:rPr>
                <w:rFonts w:hint="eastAsia" w:ascii="宋体" w:hAnsi="宋体" w:cs="宋体"/>
                <w:b w:val="0"/>
                <w:bCs w:val="0"/>
                <w:i w:val="0"/>
                <w:caps w:val="0"/>
                <w:color w:val="000000"/>
                <w:spacing w:val="0"/>
                <w:kern w:val="0"/>
                <w:sz w:val="24"/>
                <w:szCs w:val="24"/>
                <w:shd w:val="clear" w:color="auto" w:fill="auto"/>
                <w:lang w:val="en-US" w:eastAsia="zh-CN" w:bidi="ar"/>
              </w:rPr>
              <w:t>3</w:t>
            </w:r>
            <w:r>
              <w:rPr>
                <w:rFonts w:hint="eastAsia" w:ascii="宋体" w:hAnsi="宋体" w:eastAsia="宋体" w:cs="宋体"/>
                <w:b w:val="0"/>
                <w:bCs w:val="0"/>
                <w:i w:val="0"/>
                <w:caps w:val="0"/>
                <w:color w:val="000000"/>
                <w:spacing w:val="0"/>
                <w:kern w:val="0"/>
                <w:sz w:val="24"/>
                <w:szCs w:val="24"/>
                <w:shd w:val="clear" w:color="auto" w:fill="auto"/>
                <w:lang w:val="en-US" w:eastAsia="zh-CN" w:bidi="ar"/>
              </w:rPr>
              <w:t>日</w:t>
            </w:r>
            <w:r>
              <w:rPr>
                <w:rFonts w:hint="eastAsia" w:ascii="宋体" w:hAnsi="宋体" w:cs="宋体"/>
                <w:b w:val="0"/>
                <w:bCs w:val="0"/>
                <w:i w:val="0"/>
                <w:caps w:val="0"/>
                <w:color w:val="000000"/>
                <w:spacing w:val="0"/>
                <w:kern w:val="0"/>
                <w:sz w:val="24"/>
                <w:szCs w:val="24"/>
                <w:shd w:val="clear" w:color="auto" w:fill="auto"/>
                <w:lang w:val="en-US" w:eastAsia="zh-CN" w:bidi="ar"/>
              </w:rPr>
              <w:t>起施行</w:t>
            </w:r>
            <w:r>
              <w:rPr>
                <w:rFonts w:hint="eastAsia" w:ascii="宋体" w:hAnsi="宋体" w:eastAsia="宋体" w:cs="宋体"/>
                <w:b w:val="0"/>
                <w:bCs w:val="0"/>
                <w:i w:val="0"/>
                <w:caps w:val="0"/>
                <w:color w:val="000000"/>
                <w:spacing w:val="0"/>
                <w:kern w:val="0"/>
                <w:sz w:val="24"/>
                <w:szCs w:val="24"/>
                <w:shd w:val="clear" w:color="auto" w:fill="auto"/>
                <w:lang w:val="en-US" w:eastAsia="zh-CN" w:bidi="ar"/>
              </w:rPr>
              <w:t>）</w:t>
            </w:r>
            <w:bookmarkEnd w:id="90"/>
            <w:bookmarkEnd w:id="91"/>
            <w:bookmarkEnd w:id="92"/>
            <w:bookmarkEnd w:id="93"/>
          </w:p>
        </w:tc>
        <w:tc>
          <w:tcPr>
            <w:tcW w:w="4200" w:type="dxa"/>
            <w:vMerge w:val="restart"/>
            <w:tcBorders>
              <w:tl2br w:val="nil"/>
              <w:tr2bl w:val="nil"/>
            </w:tcBorders>
            <w:noWrap w:val="0"/>
            <w:vAlign w:val="center"/>
          </w:tcPr>
          <w:p w14:paraId="234785C7">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第十二条</w:t>
            </w:r>
            <w:r>
              <w:rPr>
                <w:rFonts w:hint="eastAsia" w:ascii="宋体" w:hAnsi="宋体" w:cs="宋体"/>
                <w:b w:val="0"/>
                <w:bCs w:val="0"/>
                <w:sz w:val="24"/>
                <w:szCs w:val="24"/>
                <w:highlight w:val="none"/>
                <w:lang w:val="en-US" w:eastAsia="zh-CN"/>
              </w:rPr>
              <w:t xml:space="preserve"> </w:t>
            </w:r>
            <w:r>
              <w:rPr>
                <w:rFonts w:hint="eastAsia" w:ascii="宋体" w:hAnsi="宋体" w:eastAsia="宋体" w:cs="宋体"/>
                <w:b w:val="0"/>
                <w:bCs w:val="0"/>
                <w:sz w:val="24"/>
                <w:szCs w:val="24"/>
                <w:highlight w:val="none"/>
              </w:rPr>
              <w:t>违反本规定发布广告，《广告法》及其他法律法规有规定的，依照有关法律法规规定予以处罚。法律法规没有规定的，对负有责任的广告主、广告经营者、广告发布者，</w:t>
            </w:r>
            <w:bookmarkStart w:id="94" w:name="OLE_LINK2"/>
            <w:r>
              <w:rPr>
                <w:rFonts w:hint="eastAsia" w:ascii="宋体" w:hAnsi="宋体" w:eastAsia="宋体" w:cs="宋体"/>
                <w:b w:val="0"/>
                <w:bCs w:val="0"/>
                <w:sz w:val="24"/>
                <w:szCs w:val="24"/>
                <w:highlight w:val="none"/>
              </w:rPr>
              <w:t>处以</w:t>
            </w:r>
            <w:bookmarkEnd w:id="94"/>
            <w:r>
              <w:rPr>
                <w:rFonts w:hint="eastAsia" w:ascii="宋体" w:hAnsi="宋体" w:eastAsia="宋体" w:cs="宋体"/>
                <w:b w:val="0"/>
                <w:bCs w:val="0"/>
                <w:sz w:val="24"/>
                <w:szCs w:val="24"/>
                <w:highlight w:val="none"/>
              </w:rPr>
              <w:t>违法所得三倍以下但不超过三万元的罚款；没有违法所得的，处以一万元以下的罚款。</w:t>
            </w:r>
          </w:p>
        </w:tc>
        <w:tc>
          <w:tcPr>
            <w:tcW w:w="1123" w:type="dxa"/>
            <w:tcBorders>
              <w:tl2br w:val="nil"/>
              <w:tr2bl w:val="nil"/>
            </w:tcBorders>
            <w:noWrap w:val="0"/>
            <w:vAlign w:val="center"/>
          </w:tcPr>
          <w:p w14:paraId="41E4EE0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较轻</w:t>
            </w:r>
          </w:p>
        </w:tc>
        <w:tc>
          <w:tcPr>
            <w:tcW w:w="3345" w:type="dxa"/>
            <w:tcBorders>
              <w:tl2br w:val="nil"/>
              <w:tr2bl w:val="nil"/>
            </w:tcBorders>
            <w:noWrap w:val="0"/>
            <w:vAlign w:val="center"/>
          </w:tcPr>
          <w:p w14:paraId="4FE6E5E7">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影响较小，广告费用在2万元以下的。</w:t>
            </w:r>
          </w:p>
        </w:tc>
        <w:tc>
          <w:tcPr>
            <w:tcW w:w="3300" w:type="dxa"/>
            <w:tcBorders>
              <w:tl2br w:val="nil"/>
              <w:tr2bl w:val="nil"/>
            </w:tcBorders>
            <w:noWrap w:val="0"/>
            <w:vAlign w:val="center"/>
          </w:tcPr>
          <w:p w14:paraId="1A8BD1D5">
            <w:pPr>
              <w:keepNext w:val="0"/>
              <w:keepLines w:val="0"/>
              <w:pageBreakBefore w:val="0"/>
              <w:widowControl w:val="0"/>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处以违法所得1倍罚款，但不超过3万元；没有违法所得的，处3000元以下的罚款。</w:t>
            </w:r>
          </w:p>
        </w:tc>
      </w:tr>
      <w:tr w14:paraId="5279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jc w:val="center"/>
        </w:trPr>
        <w:tc>
          <w:tcPr>
            <w:tcW w:w="643" w:type="dxa"/>
            <w:vMerge w:val="continue"/>
            <w:tcBorders>
              <w:tl2br w:val="nil"/>
              <w:tr2bl w:val="nil"/>
            </w:tcBorders>
            <w:noWrap w:val="0"/>
            <w:vAlign w:val="center"/>
          </w:tcPr>
          <w:p w14:paraId="3499E713">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kern w:val="0"/>
                <w:sz w:val="24"/>
                <w:szCs w:val="24"/>
                <w:highlight w:val="none"/>
              </w:rPr>
            </w:pPr>
          </w:p>
        </w:tc>
        <w:tc>
          <w:tcPr>
            <w:tcW w:w="1512" w:type="dxa"/>
            <w:vMerge w:val="continue"/>
            <w:tcBorders>
              <w:tl2br w:val="nil"/>
              <w:tr2bl w:val="nil"/>
            </w:tcBorders>
            <w:noWrap w:val="0"/>
            <w:vAlign w:val="center"/>
          </w:tcPr>
          <w:p w14:paraId="1C0A8846">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kern w:val="0"/>
                <w:sz w:val="24"/>
                <w:szCs w:val="24"/>
                <w:highlight w:val="none"/>
              </w:rPr>
            </w:pPr>
          </w:p>
        </w:tc>
        <w:tc>
          <w:tcPr>
            <w:tcW w:w="4200" w:type="dxa"/>
            <w:vMerge w:val="continue"/>
            <w:tcBorders>
              <w:tl2br w:val="nil"/>
              <w:tr2bl w:val="nil"/>
            </w:tcBorders>
            <w:noWrap w:val="0"/>
            <w:vAlign w:val="center"/>
          </w:tcPr>
          <w:p w14:paraId="3841EABC">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p>
        </w:tc>
        <w:tc>
          <w:tcPr>
            <w:tcW w:w="1123" w:type="dxa"/>
            <w:tcBorders>
              <w:tl2br w:val="nil"/>
              <w:tr2bl w:val="nil"/>
            </w:tcBorders>
            <w:noWrap w:val="0"/>
            <w:vAlign w:val="center"/>
          </w:tcPr>
          <w:p w14:paraId="27CAB92B">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一般</w:t>
            </w:r>
          </w:p>
        </w:tc>
        <w:tc>
          <w:tcPr>
            <w:tcW w:w="3345" w:type="dxa"/>
            <w:tcBorders>
              <w:tl2br w:val="nil"/>
              <w:tr2bl w:val="nil"/>
            </w:tcBorders>
            <w:noWrap w:val="0"/>
            <w:vAlign w:val="center"/>
          </w:tcPr>
          <w:p w14:paraId="4F4D4C6F">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影响小，广告费用2万元以上10万元以下的。</w:t>
            </w:r>
          </w:p>
        </w:tc>
        <w:tc>
          <w:tcPr>
            <w:tcW w:w="3300" w:type="dxa"/>
            <w:tcBorders>
              <w:tl2br w:val="nil"/>
              <w:tr2bl w:val="nil"/>
            </w:tcBorders>
            <w:noWrap w:val="0"/>
            <w:vAlign w:val="center"/>
          </w:tcPr>
          <w:p w14:paraId="1825B254">
            <w:pPr>
              <w:keepNext w:val="0"/>
              <w:keepLines w:val="0"/>
              <w:pageBreakBefore w:val="0"/>
              <w:widowControl w:val="0"/>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处以违法所得1倍以上2倍以下的罚款，但不超过3万元；没有违法所得的，处3000元以上7000元以下的罚款。</w:t>
            </w:r>
          </w:p>
        </w:tc>
      </w:tr>
      <w:tr w14:paraId="2529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9" w:hRule="atLeast"/>
          <w:jc w:val="center"/>
        </w:trPr>
        <w:tc>
          <w:tcPr>
            <w:tcW w:w="643" w:type="dxa"/>
            <w:vMerge w:val="continue"/>
            <w:tcBorders>
              <w:tl2br w:val="nil"/>
              <w:tr2bl w:val="nil"/>
            </w:tcBorders>
            <w:noWrap w:val="0"/>
            <w:vAlign w:val="center"/>
          </w:tcPr>
          <w:p w14:paraId="285F48F2">
            <w:pPr>
              <w:keepNext w:val="0"/>
              <w:keepLines w:val="0"/>
              <w:pageBreakBefore w:val="0"/>
              <w:kinsoku/>
              <w:wordWrap/>
              <w:overflowPunct/>
              <w:topLinePunct w:val="0"/>
              <w:autoSpaceDE/>
              <w:autoSpaceDN/>
              <w:bidi w:val="0"/>
              <w:adjustRightInd/>
              <w:snapToGrid/>
              <w:spacing w:line="420" w:lineRule="exact"/>
              <w:ind w:firstLineChars="0"/>
              <w:jc w:val="center"/>
              <w:textAlignment w:val="auto"/>
              <w:rPr>
                <w:rFonts w:hint="eastAsia" w:ascii="宋体" w:hAnsi="宋体" w:eastAsia="宋体" w:cs="宋体"/>
                <w:b w:val="0"/>
                <w:bCs w:val="0"/>
                <w:kern w:val="0"/>
                <w:sz w:val="24"/>
                <w:szCs w:val="24"/>
                <w:highlight w:val="none"/>
              </w:rPr>
            </w:pPr>
          </w:p>
        </w:tc>
        <w:tc>
          <w:tcPr>
            <w:tcW w:w="1512" w:type="dxa"/>
            <w:vMerge w:val="continue"/>
            <w:tcBorders>
              <w:tl2br w:val="nil"/>
              <w:tr2bl w:val="nil"/>
            </w:tcBorders>
            <w:noWrap w:val="0"/>
            <w:vAlign w:val="center"/>
          </w:tcPr>
          <w:p w14:paraId="75842965">
            <w:pPr>
              <w:keepNext w:val="0"/>
              <w:keepLines w:val="0"/>
              <w:pageBreakBefore w:val="0"/>
              <w:kinsoku/>
              <w:wordWrap/>
              <w:overflowPunct/>
              <w:topLinePunct w:val="0"/>
              <w:autoSpaceDE/>
              <w:autoSpaceDN/>
              <w:bidi w:val="0"/>
              <w:adjustRightInd/>
              <w:snapToGrid/>
              <w:spacing w:line="420" w:lineRule="exact"/>
              <w:ind w:left="42" w:leftChars="20"/>
              <w:jc w:val="both"/>
              <w:textAlignment w:val="auto"/>
              <w:rPr>
                <w:rFonts w:hint="eastAsia" w:ascii="宋体" w:hAnsi="宋体" w:eastAsia="宋体" w:cs="宋体"/>
                <w:b w:val="0"/>
                <w:bCs w:val="0"/>
                <w:kern w:val="0"/>
                <w:sz w:val="24"/>
                <w:szCs w:val="24"/>
                <w:highlight w:val="none"/>
              </w:rPr>
            </w:pPr>
          </w:p>
        </w:tc>
        <w:tc>
          <w:tcPr>
            <w:tcW w:w="4200" w:type="dxa"/>
            <w:vMerge w:val="continue"/>
            <w:tcBorders>
              <w:tl2br w:val="nil"/>
              <w:tr2bl w:val="nil"/>
            </w:tcBorders>
            <w:noWrap w:val="0"/>
            <w:vAlign w:val="center"/>
          </w:tcPr>
          <w:p w14:paraId="0BC5BB7D">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p>
        </w:tc>
        <w:tc>
          <w:tcPr>
            <w:tcW w:w="1123" w:type="dxa"/>
            <w:tcBorders>
              <w:tl2br w:val="nil"/>
              <w:tr2bl w:val="nil"/>
            </w:tcBorders>
            <w:noWrap w:val="0"/>
            <w:vAlign w:val="center"/>
          </w:tcPr>
          <w:p w14:paraId="3C94EB0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较重</w:t>
            </w:r>
          </w:p>
        </w:tc>
        <w:tc>
          <w:tcPr>
            <w:tcW w:w="3345" w:type="dxa"/>
            <w:tcBorders>
              <w:tl2br w:val="nil"/>
              <w:tr2bl w:val="nil"/>
            </w:tcBorders>
            <w:noWrap w:val="0"/>
            <w:vAlign w:val="center"/>
          </w:tcPr>
          <w:p w14:paraId="54B9CF7E">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有下列情形之一的：</w:t>
            </w:r>
          </w:p>
          <w:p w14:paraId="557B957A">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⑴造成重大影响的；</w:t>
            </w:r>
          </w:p>
          <w:p w14:paraId="7D4916B5">
            <w:pPr>
              <w:keepNext w:val="0"/>
              <w:keepLines w:val="0"/>
              <w:pageBreakBefore w:val="0"/>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⑵广告费用10万元以上的。</w:t>
            </w:r>
          </w:p>
        </w:tc>
        <w:tc>
          <w:tcPr>
            <w:tcW w:w="3300" w:type="dxa"/>
            <w:tcBorders>
              <w:tl2br w:val="nil"/>
              <w:tr2bl w:val="nil"/>
            </w:tcBorders>
            <w:noWrap w:val="0"/>
            <w:vAlign w:val="center"/>
          </w:tcPr>
          <w:p w14:paraId="12B6774E">
            <w:pPr>
              <w:keepNext w:val="0"/>
              <w:keepLines w:val="0"/>
              <w:pageBreakBefore w:val="0"/>
              <w:widowControl w:val="0"/>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sz w:val="24"/>
                <w:szCs w:val="24"/>
                <w:highlight w:val="none"/>
                <w:lang w:val="en" w:eastAsia="zh-CN"/>
              </w:rPr>
            </w:pPr>
            <w:r>
              <w:rPr>
                <w:rFonts w:hint="eastAsia" w:ascii="宋体" w:hAnsi="宋体" w:eastAsia="宋体" w:cs="宋体"/>
                <w:b w:val="0"/>
                <w:bCs w:val="0"/>
                <w:sz w:val="24"/>
                <w:szCs w:val="24"/>
                <w:highlight w:val="none"/>
              </w:rPr>
              <w:t>处以违法所得2倍以上3倍以下罚款，但不超过3万元；没有违法所得的，处7000元以上1万元以下的罚款</w:t>
            </w:r>
            <w:r>
              <w:rPr>
                <w:rFonts w:hint="eastAsia" w:ascii="宋体" w:hAnsi="宋体" w:eastAsia="宋体" w:cs="宋体"/>
                <w:b w:val="0"/>
                <w:bCs w:val="0"/>
                <w:sz w:val="24"/>
                <w:szCs w:val="24"/>
                <w:highlight w:val="none"/>
                <w:lang w:eastAsia="zh-CN"/>
              </w:rPr>
              <w:t>。</w:t>
            </w:r>
          </w:p>
        </w:tc>
      </w:tr>
    </w:tbl>
    <w:p w14:paraId="7303CAD7">
      <w:pPr>
        <w:sectPr>
          <w:pgSz w:w="16838" w:h="11906" w:orient="landscape"/>
          <w:pgMar w:top="1417" w:right="1417" w:bottom="1417" w:left="1417" w:header="851" w:footer="992" w:gutter="0"/>
          <w:cols w:space="0" w:num="1"/>
          <w:rtlGutter w:val="0"/>
          <w:docGrid w:type="lines" w:linePitch="312" w:charSpace="0"/>
        </w:sectPr>
      </w:pPr>
    </w:p>
    <w:p w14:paraId="4233A0D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default" w:ascii="方正小标宋简体" w:hAnsi="方正小标宋简体" w:eastAsia="方正小标宋简体" w:cs="方正小标宋简体"/>
          <w:b w:val="0"/>
          <w:bCs/>
          <w:kern w:val="44"/>
          <w:sz w:val="36"/>
          <w:szCs w:val="20"/>
          <w:lang w:val="en-US" w:eastAsia="zh-CN" w:bidi="ar-SA"/>
        </w:rPr>
      </w:pPr>
      <w:bookmarkStart w:id="95" w:name="_Toc6435"/>
      <w:bookmarkStart w:id="96" w:name="_Toc8120"/>
      <w:bookmarkStart w:id="97" w:name="_Toc25526"/>
      <w:bookmarkStart w:id="98" w:name="_Toc12820"/>
      <w:r>
        <w:rPr>
          <w:rFonts w:hint="default" w:ascii="方正小标宋简体" w:hAnsi="方正小标宋简体" w:eastAsia="方正小标宋简体" w:cs="方正小标宋简体"/>
          <w:b w:val="0"/>
          <w:bCs/>
          <w:kern w:val="44"/>
          <w:sz w:val="36"/>
          <w:szCs w:val="20"/>
          <w:lang w:val="en-US" w:eastAsia="zh-CN" w:bidi="ar-SA"/>
        </w:rPr>
        <w:t>第三节  适用网络交易监管、合同监管法律、法规、规章的裁量标准</w:t>
      </w:r>
      <w:bookmarkEnd w:id="95"/>
      <w:bookmarkEnd w:id="96"/>
      <w:bookmarkEnd w:id="97"/>
      <w:bookmarkEnd w:id="98"/>
    </w:p>
    <w:tbl>
      <w:tblPr>
        <w:tblStyle w:val="10"/>
        <w:tblW w:w="1417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6"/>
        <w:gridCol w:w="1588"/>
        <w:gridCol w:w="4181"/>
        <w:gridCol w:w="1125"/>
        <w:gridCol w:w="3274"/>
        <w:gridCol w:w="3389"/>
      </w:tblGrid>
      <w:tr w14:paraId="46927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blHeader/>
          <w:jc w:val="center"/>
        </w:trPr>
        <w:tc>
          <w:tcPr>
            <w:tcW w:w="616" w:type="dxa"/>
            <w:tcBorders>
              <w:top w:val="single" w:color="000000" w:sz="8" w:space="0"/>
              <w:left w:val="single" w:color="000000" w:sz="8" w:space="0"/>
              <w:bottom w:val="single" w:color="000000" w:sz="8" w:space="0"/>
              <w:right w:val="single" w:color="000000" w:sz="8" w:space="0"/>
            </w:tcBorders>
            <w:noWrap w:val="0"/>
            <w:vAlign w:val="center"/>
          </w:tcPr>
          <w:p w14:paraId="6929123A">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lang w:val="en-US" w:eastAsia="zh-CN"/>
              </w:rPr>
              <w:t>代码</w:t>
            </w:r>
          </w:p>
        </w:tc>
        <w:tc>
          <w:tcPr>
            <w:tcW w:w="1588" w:type="dxa"/>
            <w:tcBorders>
              <w:top w:val="single" w:color="000000" w:sz="8" w:space="0"/>
              <w:left w:val="single" w:color="000000" w:sz="8" w:space="0"/>
              <w:bottom w:val="single" w:color="000000" w:sz="8" w:space="0"/>
              <w:right w:val="single" w:color="000000" w:sz="8" w:space="0"/>
            </w:tcBorders>
            <w:noWrap w:val="0"/>
            <w:vAlign w:val="center"/>
          </w:tcPr>
          <w:p w14:paraId="13888449">
            <w:pPr>
              <w:keepNext w:val="0"/>
              <w:keepLines w:val="0"/>
              <w:pageBreakBefore w:val="0"/>
              <w:widowControl/>
              <w:kinsoku/>
              <w:wordWrap/>
              <w:overflowPunct/>
              <w:topLinePunct w:val="0"/>
              <w:autoSpaceDE/>
              <w:autoSpaceDN/>
              <w:bidi w:val="0"/>
              <w:adjustRightInd/>
              <w:snapToGrid/>
              <w:spacing w:line="400" w:lineRule="exact"/>
              <w:ind w:left="42" w:leftChars="20" w:right="42" w:rightChars="20"/>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lang w:val="en-US" w:eastAsia="zh-CN"/>
              </w:rPr>
              <w:t>法律名称</w:t>
            </w:r>
          </w:p>
        </w:tc>
        <w:tc>
          <w:tcPr>
            <w:tcW w:w="4181" w:type="dxa"/>
            <w:tcBorders>
              <w:top w:val="single" w:color="000000" w:sz="8" w:space="0"/>
              <w:left w:val="single" w:color="000000" w:sz="8" w:space="0"/>
              <w:bottom w:val="single" w:color="000000" w:sz="8" w:space="0"/>
              <w:right w:val="single" w:color="000000" w:sz="8" w:space="0"/>
            </w:tcBorders>
            <w:noWrap w:val="0"/>
            <w:vAlign w:val="center"/>
          </w:tcPr>
          <w:p w14:paraId="18F9ACC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lang w:val="en-US" w:eastAsia="zh-CN"/>
              </w:rPr>
              <w:t>法律依据</w:t>
            </w:r>
          </w:p>
        </w:tc>
        <w:tc>
          <w:tcPr>
            <w:tcW w:w="1125" w:type="dxa"/>
            <w:tcBorders>
              <w:top w:val="single" w:color="000000" w:sz="8" w:space="0"/>
              <w:left w:val="single" w:color="000000" w:sz="8" w:space="0"/>
              <w:bottom w:val="single" w:color="000000" w:sz="8" w:space="0"/>
              <w:right w:val="single" w:color="000000" w:sz="8" w:space="0"/>
            </w:tcBorders>
            <w:noWrap w:val="0"/>
            <w:vAlign w:val="center"/>
          </w:tcPr>
          <w:p w14:paraId="4A8AA88A">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lang w:val="en-US" w:eastAsia="zh-CN"/>
              </w:rPr>
              <w:t>违法程度</w:t>
            </w:r>
          </w:p>
        </w:tc>
        <w:tc>
          <w:tcPr>
            <w:tcW w:w="3274" w:type="dxa"/>
            <w:tcBorders>
              <w:top w:val="single" w:color="000000" w:sz="8" w:space="0"/>
              <w:left w:val="single" w:color="000000" w:sz="8" w:space="0"/>
              <w:bottom w:val="single" w:color="000000" w:sz="8" w:space="0"/>
              <w:right w:val="single" w:color="000000" w:sz="8" w:space="0"/>
            </w:tcBorders>
            <w:noWrap w:val="0"/>
            <w:vAlign w:val="center"/>
          </w:tcPr>
          <w:p w14:paraId="13AE1CD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lang w:val="en-US" w:eastAsia="zh-CN"/>
              </w:rPr>
              <w:t>判断基准</w:t>
            </w:r>
          </w:p>
        </w:tc>
        <w:tc>
          <w:tcPr>
            <w:tcW w:w="3389" w:type="dxa"/>
            <w:tcBorders>
              <w:top w:val="single" w:color="000000" w:sz="8" w:space="0"/>
              <w:left w:val="single" w:color="000000" w:sz="8" w:space="0"/>
              <w:bottom w:val="single" w:color="000000" w:sz="8" w:space="0"/>
              <w:right w:val="single" w:color="000000" w:sz="8" w:space="0"/>
            </w:tcBorders>
            <w:noWrap w:val="0"/>
            <w:vAlign w:val="center"/>
          </w:tcPr>
          <w:p w14:paraId="4142D15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lang w:val="en-US" w:eastAsia="zh-CN"/>
              </w:rPr>
              <w:t>处罚基准</w:t>
            </w:r>
          </w:p>
        </w:tc>
      </w:tr>
      <w:tr w14:paraId="49F5B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9" w:hRule="atLeast"/>
          <w:jc w:val="center"/>
        </w:trPr>
        <w:tc>
          <w:tcPr>
            <w:tcW w:w="616" w:type="dxa"/>
            <w:vMerge w:val="restart"/>
            <w:tcBorders>
              <w:top w:val="single" w:color="000000" w:sz="8" w:space="0"/>
              <w:left w:val="single" w:color="000000" w:sz="4" w:space="0"/>
              <w:bottom w:val="single" w:color="000000" w:sz="4" w:space="0"/>
              <w:right w:val="single" w:color="000000" w:sz="4" w:space="0"/>
            </w:tcBorders>
            <w:noWrap w:val="0"/>
            <w:vAlign w:val="center"/>
          </w:tcPr>
          <w:p w14:paraId="134A423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65</w:t>
            </w:r>
          </w:p>
        </w:tc>
        <w:tc>
          <w:tcPr>
            <w:tcW w:w="1588" w:type="dxa"/>
            <w:vMerge w:val="restart"/>
            <w:tcBorders>
              <w:top w:val="single" w:color="000000" w:sz="8" w:space="0"/>
              <w:left w:val="single" w:color="000000" w:sz="4" w:space="0"/>
              <w:bottom w:val="single" w:color="000000" w:sz="4" w:space="0"/>
              <w:right w:val="single" w:color="000000" w:sz="4" w:space="0"/>
            </w:tcBorders>
            <w:noWrap w:val="0"/>
            <w:vAlign w:val="center"/>
          </w:tcPr>
          <w:p w14:paraId="42B2F14D">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right="42" w:rightChars="20"/>
              <w:jc w:val="both"/>
              <w:textAlignment w:val="auto"/>
              <w:outlineLvl w:val="2"/>
              <w:rPr>
                <w:rFonts w:hint="eastAsia" w:ascii="宋体" w:hAnsi="宋体" w:eastAsia="宋体" w:cs="宋体"/>
                <w:color w:val="auto"/>
                <w:sz w:val="24"/>
                <w:szCs w:val="24"/>
              </w:rPr>
            </w:pPr>
            <w:bookmarkStart w:id="99" w:name="_Toc3511"/>
            <w:bookmarkStart w:id="100" w:name="_Toc30014"/>
            <w:bookmarkStart w:id="101" w:name="_Toc10877"/>
            <w:bookmarkStart w:id="102" w:name="_Toc5132"/>
            <w:bookmarkStart w:id="103" w:name="_Toc24920"/>
            <w:r>
              <w:rPr>
                <w:rFonts w:hint="eastAsia" w:ascii="宋体" w:hAnsi="宋体" w:eastAsia="宋体" w:cs="宋体"/>
                <w:color w:val="auto"/>
                <w:sz w:val="24"/>
                <w:szCs w:val="24"/>
                <w:lang w:val="en-US" w:eastAsia="zh-CN"/>
              </w:rPr>
              <w:t>《中华人民共和国电子商务法》（</w:t>
            </w:r>
            <w:r>
              <w:rPr>
                <w:rFonts w:hint="eastAsia" w:ascii="宋体" w:hAnsi="宋体" w:eastAsia="宋体" w:cs="宋体"/>
                <w:color w:val="auto"/>
                <w:kern w:val="0"/>
                <w:sz w:val="24"/>
                <w:szCs w:val="24"/>
                <w:lang w:val="en-US" w:eastAsia="zh-CN" w:bidi="ar"/>
              </w:rPr>
              <w:t>20</w:t>
            </w:r>
            <w:r>
              <w:rPr>
                <w:rFonts w:hint="eastAsia" w:ascii="宋体" w:hAnsi="宋体" w:cs="宋体"/>
                <w:color w:val="auto"/>
                <w:kern w:val="0"/>
                <w:sz w:val="24"/>
                <w:szCs w:val="24"/>
                <w:lang w:val="en-US" w:eastAsia="zh-CN" w:bidi="ar"/>
              </w:rPr>
              <w:t>19</w:t>
            </w:r>
            <w:r>
              <w:rPr>
                <w:rFonts w:hint="default" w:ascii="宋体" w:hAnsi="宋体" w:cs="宋体"/>
                <w:color w:val="auto"/>
                <w:kern w:val="0"/>
                <w:sz w:val="24"/>
                <w:szCs w:val="24"/>
                <w:lang w:eastAsia="zh-CN" w:bidi="ar"/>
              </w:rPr>
              <w:t>年1月1日</w:t>
            </w:r>
            <w:r>
              <w:rPr>
                <w:rFonts w:hint="eastAsia" w:ascii="宋体" w:hAnsi="宋体" w:cs="宋体"/>
                <w:color w:val="auto"/>
                <w:kern w:val="0"/>
                <w:sz w:val="24"/>
                <w:szCs w:val="24"/>
                <w:lang w:val="en-US" w:eastAsia="zh-CN" w:bidi="ar"/>
              </w:rPr>
              <w:t>起施行</w:t>
            </w:r>
            <w:r>
              <w:rPr>
                <w:rFonts w:hint="eastAsia" w:ascii="宋体" w:hAnsi="宋体" w:eastAsia="宋体" w:cs="宋体"/>
                <w:color w:val="auto"/>
                <w:sz w:val="24"/>
                <w:szCs w:val="24"/>
                <w:lang w:val="en-US" w:eastAsia="zh-CN"/>
              </w:rPr>
              <w:t>）</w:t>
            </w:r>
            <w:bookmarkEnd w:id="99"/>
            <w:bookmarkEnd w:id="100"/>
            <w:bookmarkEnd w:id="101"/>
            <w:bookmarkEnd w:id="102"/>
            <w:bookmarkEnd w:id="103"/>
          </w:p>
        </w:tc>
        <w:tc>
          <w:tcPr>
            <w:tcW w:w="4181" w:type="dxa"/>
            <w:vMerge w:val="restart"/>
            <w:tcBorders>
              <w:top w:val="single" w:color="000000" w:sz="8" w:space="0"/>
              <w:left w:val="single" w:color="000000" w:sz="4" w:space="0"/>
              <w:bottom w:val="single" w:color="000000" w:sz="4" w:space="0"/>
              <w:right w:val="single" w:color="000000" w:sz="4" w:space="0"/>
            </w:tcBorders>
            <w:noWrap w:val="0"/>
            <w:vAlign w:val="center"/>
          </w:tcPr>
          <w:p w14:paraId="340C23AA">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第七十六条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电子商务经营者违反本法规定，有下列行为之一的，由市场监督管理部门责令限期改正，可以处一万元以下的罚款，对其中的电子商务平台经营者，依照本法第八十一条第一款的规定处罚：</w:t>
            </w:r>
          </w:p>
          <w:p w14:paraId="0D877750">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（一）未在首页显著位置公示营业执照信息、行政许可信息、属于不需要办理市场主体登记情形等信息，或者上述信息的链接标识的；</w:t>
            </w:r>
          </w:p>
          <w:p w14:paraId="73DF54B1">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（二）未在首页显著位置持续公示终止电子商务的有关信息的；</w:t>
            </w:r>
          </w:p>
          <w:p w14:paraId="0FA039DB">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w:t>
            </w:r>
            <w:r>
              <w:rPr>
                <w:rFonts w:hint="eastAsia" w:ascii="宋体" w:hAnsi="宋体" w:eastAsia="宋体" w:cs="宋体"/>
                <w:color w:val="auto"/>
                <w:spacing w:val="-6"/>
                <w:sz w:val="24"/>
                <w:szCs w:val="24"/>
                <w:lang w:val="en-US" w:eastAsia="zh-CN"/>
              </w:rPr>
              <w:t>未明示用户信息查询、更正、</w:t>
            </w:r>
            <w:r>
              <w:rPr>
                <w:rFonts w:hint="eastAsia" w:ascii="宋体" w:hAnsi="宋体" w:eastAsia="宋体" w:cs="宋体"/>
                <w:color w:val="auto"/>
                <w:sz w:val="24"/>
                <w:szCs w:val="24"/>
                <w:lang w:val="en-US" w:eastAsia="zh-CN"/>
              </w:rPr>
              <w:t>删除以及用户注销的方式、程序，或者对用户信息查询、更正、删除以及用户注销设置不合理条件的。</w:t>
            </w:r>
          </w:p>
          <w:p w14:paraId="60D89969">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电子商务平台经营者对违反前款规定</w:t>
            </w:r>
            <w:r>
              <w:rPr>
                <w:rFonts w:hint="eastAsia" w:ascii="宋体" w:hAnsi="宋体" w:eastAsia="宋体" w:cs="宋体"/>
                <w:color w:val="auto"/>
                <w:spacing w:val="-6"/>
                <w:sz w:val="24"/>
                <w:szCs w:val="24"/>
                <w:lang w:val="en-US" w:eastAsia="zh-CN"/>
              </w:rPr>
              <w:t>的平台内经营者未采取必要措施的，由</w:t>
            </w:r>
            <w:r>
              <w:rPr>
                <w:rFonts w:hint="eastAsia" w:ascii="宋体" w:hAnsi="宋体" w:eastAsia="宋体" w:cs="宋体"/>
                <w:color w:val="auto"/>
                <w:spacing w:val="0"/>
                <w:sz w:val="24"/>
                <w:szCs w:val="24"/>
                <w:lang w:val="en-US" w:eastAsia="zh-CN"/>
              </w:rPr>
              <w:t>市场监督管理部门责令限期改正，可以处二万元以上十万元以下的罚款。</w:t>
            </w:r>
          </w:p>
        </w:tc>
        <w:tc>
          <w:tcPr>
            <w:tcW w:w="1125" w:type="dxa"/>
            <w:tcBorders>
              <w:top w:val="single" w:color="000000" w:sz="8" w:space="0"/>
              <w:left w:val="single" w:color="000000" w:sz="4" w:space="0"/>
              <w:bottom w:val="single" w:color="000000" w:sz="4" w:space="0"/>
              <w:right w:val="single" w:color="000000" w:sz="4" w:space="0"/>
            </w:tcBorders>
            <w:noWrap w:val="0"/>
            <w:vAlign w:val="center"/>
          </w:tcPr>
          <w:p w14:paraId="4E3E4AA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较轻</w:t>
            </w:r>
          </w:p>
        </w:tc>
        <w:tc>
          <w:tcPr>
            <w:tcW w:w="3274" w:type="dxa"/>
            <w:tcBorders>
              <w:top w:val="single" w:color="000000" w:sz="8" w:space="0"/>
              <w:left w:val="single" w:color="000000" w:sz="4" w:space="0"/>
              <w:bottom w:val="single" w:color="000000" w:sz="4" w:space="0"/>
              <w:right w:val="single" w:color="000000" w:sz="4" w:space="0"/>
            </w:tcBorders>
            <w:noWrap w:val="0"/>
            <w:vAlign w:val="center"/>
          </w:tcPr>
          <w:p w14:paraId="0A3A070E">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违法行为持续</w:t>
            </w:r>
            <w:r>
              <w:rPr>
                <w:rFonts w:hint="default" w:ascii="宋体" w:hAnsi="宋体" w:cs="宋体"/>
                <w:color w:val="auto"/>
                <w:sz w:val="24"/>
                <w:szCs w:val="24"/>
                <w:lang w:val="en" w:eastAsia="zh-CN"/>
              </w:rPr>
              <w:t>1</w:t>
            </w:r>
            <w:r>
              <w:rPr>
                <w:rFonts w:hint="eastAsia" w:ascii="宋体" w:hAnsi="宋体" w:eastAsia="宋体" w:cs="宋体"/>
                <w:color w:val="auto"/>
                <w:sz w:val="24"/>
                <w:szCs w:val="24"/>
                <w:lang w:val="en-US" w:eastAsia="zh-CN"/>
              </w:rPr>
              <w:t>个月以下的。</w:t>
            </w:r>
          </w:p>
        </w:tc>
        <w:tc>
          <w:tcPr>
            <w:tcW w:w="3389" w:type="dxa"/>
            <w:tcBorders>
              <w:top w:val="single" w:color="000000" w:sz="8" w:space="0"/>
              <w:left w:val="single" w:color="000000" w:sz="4" w:space="0"/>
              <w:bottom w:val="single" w:color="000000" w:sz="4" w:space="0"/>
              <w:right w:val="single" w:color="000000" w:sz="4" w:space="0"/>
            </w:tcBorders>
            <w:noWrap w:val="0"/>
            <w:vAlign w:val="center"/>
          </w:tcPr>
          <w:p w14:paraId="356C9D2E">
            <w:pPr>
              <w:keepNext w:val="0"/>
              <w:keepLines w:val="0"/>
              <w:pageBreakBefore w:val="0"/>
              <w:widowControl w:val="0"/>
              <w:kinsoku/>
              <w:wordWrap/>
              <w:overflowPunct/>
              <w:topLinePunct w:val="0"/>
              <w:autoSpaceDE/>
              <w:autoSpaceDN/>
              <w:bidi w:val="0"/>
              <w:adjustRightInd/>
              <w:snapToGrid/>
              <w:spacing w:before="32" w:beforeLines="10" w:after="32" w:afterLines="10" w:line="350" w:lineRule="exact"/>
              <w:textAlignment w:val="auto"/>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lang w:val="en-US" w:eastAsia="zh-CN"/>
              </w:rPr>
              <w:t>对电子商务经营者，责令限期改正，可以处</w:t>
            </w:r>
            <w:r>
              <w:rPr>
                <w:rFonts w:hint="eastAsia" w:ascii="宋体" w:hAnsi="宋体" w:cs="宋体"/>
                <w:color w:val="auto"/>
                <w:spacing w:val="-6"/>
                <w:sz w:val="24"/>
                <w:szCs w:val="24"/>
                <w:lang w:val="en-US" w:eastAsia="zh-CN"/>
              </w:rPr>
              <w:t>3000</w:t>
            </w:r>
            <w:r>
              <w:rPr>
                <w:rFonts w:hint="eastAsia" w:ascii="宋体" w:hAnsi="宋体" w:eastAsia="宋体" w:cs="宋体"/>
                <w:color w:val="auto"/>
                <w:spacing w:val="-6"/>
                <w:sz w:val="24"/>
                <w:szCs w:val="24"/>
                <w:lang w:val="en-US" w:eastAsia="zh-CN"/>
              </w:rPr>
              <w:t>元以下的罚款；电子商务平台经营者对违反前款规定的平台内经营者未采取必要措施的，责令限期改正，可以处</w:t>
            </w:r>
            <w:r>
              <w:rPr>
                <w:rFonts w:hint="eastAsia" w:ascii="宋体" w:hAnsi="宋体" w:cs="宋体"/>
                <w:color w:val="auto"/>
                <w:spacing w:val="-6"/>
                <w:sz w:val="24"/>
                <w:szCs w:val="24"/>
                <w:lang w:val="en-US" w:eastAsia="zh-CN"/>
              </w:rPr>
              <w:t>2</w:t>
            </w:r>
            <w:r>
              <w:rPr>
                <w:rFonts w:hint="eastAsia" w:ascii="宋体" w:hAnsi="宋体" w:eastAsia="宋体" w:cs="宋体"/>
                <w:color w:val="auto"/>
                <w:spacing w:val="-6"/>
                <w:sz w:val="24"/>
                <w:szCs w:val="24"/>
                <w:lang w:val="en-US" w:eastAsia="zh-CN"/>
              </w:rPr>
              <w:t>万元以上</w:t>
            </w:r>
            <w:r>
              <w:rPr>
                <w:rFonts w:hint="eastAsia" w:ascii="宋体" w:hAnsi="宋体" w:cs="宋体"/>
                <w:color w:val="auto"/>
                <w:spacing w:val="-6"/>
                <w:sz w:val="24"/>
                <w:szCs w:val="24"/>
                <w:lang w:val="en-US" w:eastAsia="zh-CN"/>
              </w:rPr>
              <w:t>4.4万</w:t>
            </w:r>
            <w:r>
              <w:rPr>
                <w:rFonts w:hint="eastAsia" w:ascii="宋体" w:hAnsi="宋体" w:eastAsia="宋体" w:cs="宋体"/>
                <w:color w:val="auto"/>
                <w:spacing w:val="-6"/>
                <w:sz w:val="24"/>
                <w:szCs w:val="24"/>
                <w:lang w:val="en-US" w:eastAsia="zh-CN"/>
              </w:rPr>
              <w:t>元以下的罚款。</w:t>
            </w:r>
          </w:p>
        </w:tc>
      </w:tr>
      <w:tr w14:paraId="751D6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4"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8CDA8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8F973B">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37634A">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2F9A1CC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一般</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41959C84">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违法行为持续</w:t>
            </w:r>
            <w:r>
              <w:rPr>
                <w:rFonts w:hint="default" w:ascii="宋体" w:hAnsi="宋体" w:cs="宋体"/>
                <w:color w:val="auto"/>
                <w:sz w:val="24"/>
                <w:szCs w:val="24"/>
                <w:lang w:val="en" w:eastAsia="zh-CN"/>
              </w:rPr>
              <w:t>1</w:t>
            </w:r>
            <w:r>
              <w:rPr>
                <w:rFonts w:hint="eastAsia" w:ascii="宋体" w:hAnsi="宋体" w:eastAsia="宋体" w:cs="宋体"/>
                <w:color w:val="auto"/>
                <w:sz w:val="24"/>
                <w:szCs w:val="24"/>
                <w:lang w:val="en-US" w:eastAsia="zh-CN"/>
              </w:rPr>
              <w:t>个月以上</w:t>
            </w:r>
            <w:r>
              <w:rPr>
                <w:rFonts w:hint="default" w:ascii="宋体" w:hAnsi="宋体" w:cs="宋体"/>
                <w:color w:val="auto"/>
                <w:sz w:val="24"/>
                <w:szCs w:val="24"/>
                <w:lang w:val="en" w:eastAsia="zh-CN"/>
              </w:rPr>
              <w:t>6</w:t>
            </w:r>
            <w:r>
              <w:rPr>
                <w:rFonts w:hint="eastAsia" w:ascii="宋体" w:hAnsi="宋体" w:eastAsia="宋体" w:cs="宋体"/>
                <w:color w:val="auto"/>
                <w:sz w:val="24"/>
                <w:szCs w:val="24"/>
                <w:lang w:val="en-US" w:eastAsia="zh-CN"/>
              </w:rPr>
              <w:t>个月以下的。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418F162D">
            <w:pPr>
              <w:keepNext w:val="0"/>
              <w:keepLines w:val="0"/>
              <w:pageBreakBefore w:val="0"/>
              <w:widowControl w:val="0"/>
              <w:kinsoku/>
              <w:wordWrap/>
              <w:overflowPunct/>
              <w:topLinePunct w:val="0"/>
              <w:autoSpaceDE/>
              <w:autoSpaceDN/>
              <w:bidi w:val="0"/>
              <w:adjustRightInd/>
              <w:snapToGrid/>
              <w:spacing w:before="32" w:beforeLines="10" w:after="32" w:afterLines="10" w:line="350" w:lineRule="exact"/>
              <w:textAlignment w:val="auto"/>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lang w:val="en-US" w:eastAsia="zh-CN"/>
              </w:rPr>
              <w:t>对电子商务经营者，责令限期改正，可以处</w:t>
            </w:r>
            <w:r>
              <w:rPr>
                <w:rFonts w:hint="eastAsia" w:ascii="宋体" w:hAnsi="宋体" w:cs="宋体"/>
                <w:color w:val="auto"/>
                <w:spacing w:val="-6"/>
                <w:sz w:val="24"/>
                <w:szCs w:val="24"/>
                <w:lang w:val="en-US" w:eastAsia="zh-CN"/>
              </w:rPr>
              <w:t>3000</w:t>
            </w:r>
            <w:r>
              <w:rPr>
                <w:rFonts w:hint="eastAsia" w:ascii="宋体" w:hAnsi="宋体" w:eastAsia="宋体" w:cs="宋体"/>
                <w:color w:val="auto"/>
                <w:spacing w:val="-6"/>
                <w:sz w:val="24"/>
                <w:szCs w:val="24"/>
                <w:lang w:val="en-US" w:eastAsia="zh-CN"/>
              </w:rPr>
              <w:t>元以上</w:t>
            </w:r>
            <w:r>
              <w:rPr>
                <w:rFonts w:hint="eastAsia" w:ascii="宋体" w:hAnsi="宋体" w:cs="宋体"/>
                <w:color w:val="auto"/>
                <w:spacing w:val="-6"/>
                <w:sz w:val="24"/>
                <w:szCs w:val="24"/>
                <w:lang w:val="en-US" w:eastAsia="zh-CN"/>
              </w:rPr>
              <w:t>7000</w:t>
            </w:r>
            <w:r>
              <w:rPr>
                <w:rFonts w:hint="eastAsia" w:ascii="宋体" w:hAnsi="宋体" w:eastAsia="宋体" w:cs="宋体"/>
                <w:color w:val="auto"/>
                <w:spacing w:val="-6"/>
                <w:sz w:val="24"/>
                <w:szCs w:val="24"/>
                <w:lang w:val="en-US" w:eastAsia="zh-CN"/>
              </w:rPr>
              <w:t>元以下的罚款；电子商务平台经营者对违反前款规定的平台内经营者未采取必要措施的，责令限期改正，可以处</w:t>
            </w:r>
            <w:r>
              <w:rPr>
                <w:rFonts w:hint="eastAsia" w:ascii="宋体" w:hAnsi="宋体" w:cs="宋体"/>
                <w:color w:val="auto"/>
                <w:spacing w:val="-6"/>
                <w:sz w:val="24"/>
                <w:szCs w:val="24"/>
                <w:lang w:val="en-US" w:eastAsia="zh-CN"/>
              </w:rPr>
              <w:t>4.4万</w:t>
            </w:r>
            <w:r>
              <w:rPr>
                <w:rFonts w:hint="eastAsia" w:ascii="宋体" w:hAnsi="宋体" w:eastAsia="宋体" w:cs="宋体"/>
                <w:color w:val="auto"/>
                <w:spacing w:val="-6"/>
                <w:sz w:val="24"/>
                <w:szCs w:val="24"/>
                <w:lang w:val="en-US" w:eastAsia="zh-CN"/>
              </w:rPr>
              <w:t>元以上</w:t>
            </w:r>
            <w:r>
              <w:rPr>
                <w:rFonts w:hint="eastAsia" w:ascii="宋体" w:hAnsi="宋体" w:cs="宋体"/>
                <w:color w:val="auto"/>
                <w:spacing w:val="-6"/>
                <w:sz w:val="24"/>
                <w:szCs w:val="24"/>
                <w:lang w:val="en-US" w:eastAsia="zh-CN"/>
              </w:rPr>
              <w:t>7.6万</w:t>
            </w:r>
            <w:r>
              <w:rPr>
                <w:rFonts w:hint="eastAsia" w:ascii="宋体" w:hAnsi="宋体" w:eastAsia="宋体" w:cs="宋体"/>
                <w:color w:val="auto"/>
                <w:spacing w:val="-6"/>
                <w:sz w:val="24"/>
                <w:szCs w:val="24"/>
                <w:lang w:val="en-US" w:eastAsia="zh-CN"/>
              </w:rPr>
              <w:t>元以下的罚款。</w:t>
            </w:r>
          </w:p>
        </w:tc>
      </w:tr>
      <w:tr w14:paraId="1519D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3"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B40AA7">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F5A939">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B0152C">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5FC799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7E126CF4">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违法行为持续</w:t>
            </w:r>
            <w:r>
              <w:rPr>
                <w:rFonts w:hint="default" w:ascii="宋体" w:hAnsi="宋体" w:cs="宋体"/>
                <w:color w:val="auto"/>
                <w:sz w:val="24"/>
                <w:szCs w:val="24"/>
                <w:lang w:val="en" w:eastAsia="zh-CN"/>
              </w:rPr>
              <w:t>6</w:t>
            </w:r>
            <w:r>
              <w:rPr>
                <w:rFonts w:hint="eastAsia" w:ascii="宋体" w:hAnsi="宋体" w:eastAsia="宋体" w:cs="宋体"/>
                <w:color w:val="auto"/>
                <w:sz w:val="24"/>
                <w:szCs w:val="24"/>
                <w:lang w:val="en-US" w:eastAsia="zh-CN"/>
              </w:rPr>
              <w:t>个月以上的。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43A8E5F6">
            <w:pPr>
              <w:keepNext w:val="0"/>
              <w:keepLines w:val="0"/>
              <w:pageBreakBefore w:val="0"/>
              <w:widowControl w:val="0"/>
              <w:kinsoku/>
              <w:wordWrap/>
              <w:overflowPunct/>
              <w:topLinePunct w:val="0"/>
              <w:autoSpaceDE/>
              <w:autoSpaceDN/>
              <w:bidi w:val="0"/>
              <w:adjustRightInd/>
              <w:snapToGrid/>
              <w:spacing w:before="32" w:beforeLines="10" w:after="32" w:afterLines="10" w:line="350" w:lineRule="exact"/>
              <w:textAlignment w:val="auto"/>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lang w:val="en-US" w:eastAsia="zh-CN"/>
              </w:rPr>
              <w:t>对电子商务经营者，责令限期改正，可以处</w:t>
            </w:r>
            <w:r>
              <w:rPr>
                <w:rFonts w:hint="eastAsia" w:ascii="宋体" w:hAnsi="宋体" w:cs="宋体"/>
                <w:color w:val="auto"/>
                <w:spacing w:val="-6"/>
                <w:sz w:val="24"/>
                <w:szCs w:val="24"/>
                <w:lang w:val="en-US" w:eastAsia="zh-CN"/>
              </w:rPr>
              <w:t>7000</w:t>
            </w:r>
            <w:r>
              <w:rPr>
                <w:rFonts w:hint="eastAsia" w:ascii="宋体" w:hAnsi="宋体" w:eastAsia="宋体" w:cs="宋体"/>
                <w:color w:val="auto"/>
                <w:spacing w:val="-6"/>
                <w:sz w:val="24"/>
                <w:szCs w:val="24"/>
                <w:lang w:val="en-US" w:eastAsia="zh-CN"/>
              </w:rPr>
              <w:t>元以上</w:t>
            </w:r>
            <w:r>
              <w:rPr>
                <w:rFonts w:hint="eastAsia" w:ascii="宋体" w:hAnsi="宋体" w:cs="宋体"/>
                <w:color w:val="auto"/>
                <w:spacing w:val="-6"/>
                <w:sz w:val="24"/>
                <w:szCs w:val="24"/>
                <w:lang w:val="en-US" w:eastAsia="zh-CN"/>
              </w:rPr>
              <w:t>1</w:t>
            </w:r>
            <w:r>
              <w:rPr>
                <w:rFonts w:hint="eastAsia" w:ascii="宋体" w:hAnsi="宋体" w:eastAsia="宋体" w:cs="宋体"/>
                <w:color w:val="auto"/>
                <w:spacing w:val="-6"/>
                <w:sz w:val="24"/>
                <w:szCs w:val="24"/>
                <w:lang w:val="en-US" w:eastAsia="zh-CN"/>
              </w:rPr>
              <w:t>万元以下的罚款；电子商务平台经营者对违反前款规定的平台内经营者未采取必要措施的，责令限期改正，可以处</w:t>
            </w:r>
            <w:r>
              <w:rPr>
                <w:rFonts w:hint="eastAsia" w:ascii="宋体" w:hAnsi="宋体" w:cs="宋体"/>
                <w:color w:val="auto"/>
                <w:spacing w:val="-6"/>
                <w:sz w:val="24"/>
                <w:szCs w:val="24"/>
                <w:lang w:val="en-US" w:eastAsia="zh-CN"/>
              </w:rPr>
              <w:t>7.6万</w:t>
            </w:r>
            <w:r>
              <w:rPr>
                <w:rFonts w:hint="eastAsia" w:ascii="宋体" w:hAnsi="宋体" w:eastAsia="宋体" w:cs="宋体"/>
                <w:color w:val="auto"/>
                <w:spacing w:val="-6"/>
                <w:sz w:val="24"/>
                <w:szCs w:val="24"/>
                <w:lang w:val="en-US" w:eastAsia="zh-CN"/>
              </w:rPr>
              <w:t>元以上</w:t>
            </w:r>
            <w:r>
              <w:rPr>
                <w:rFonts w:hint="eastAsia" w:ascii="宋体" w:hAnsi="宋体" w:cs="宋体"/>
                <w:color w:val="auto"/>
                <w:spacing w:val="-6"/>
                <w:sz w:val="24"/>
                <w:szCs w:val="24"/>
                <w:lang w:val="en-US" w:eastAsia="zh-CN"/>
              </w:rPr>
              <w:t>10</w:t>
            </w:r>
            <w:r>
              <w:rPr>
                <w:rFonts w:hint="eastAsia" w:ascii="宋体" w:hAnsi="宋体" w:eastAsia="宋体" w:cs="宋体"/>
                <w:color w:val="auto"/>
                <w:spacing w:val="-6"/>
                <w:sz w:val="24"/>
                <w:szCs w:val="24"/>
                <w:lang w:val="en-US" w:eastAsia="zh-CN"/>
              </w:rPr>
              <w:t>万元以下的罚款。</w:t>
            </w:r>
          </w:p>
        </w:tc>
      </w:tr>
      <w:tr w14:paraId="2151C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425" w:hRule="exact"/>
          <w:jc w:val="center"/>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3B60FAD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66</w:t>
            </w:r>
          </w:p>
        </w:tc>
        <w:tc>
          <w:tcPr>
            <w:tcW w:w="1588" w:type="dxa"/>
            <w:vMerge w:val="restart"/>
            <w:tcBorders>
              <w:top w:val="single" w:color="000000" w:sz="4" w:space="0"/>
              <w:left w:val="single" w:color="000000" w:sz="4" w:space="0"/>
              <w:bottom w:val="single" w:color="000000" w:sz="4" w:space="0"/>
              <w:right w:val="single" w:color="000000" w:sz="4" w:space="0"/>
            </w:tcBorders>
            <w:noWrap w:val="0"/>
            <w:vAlign w:val="center"/>
          </w:tcPr>
          <w:p w14:paraId="52D3FB3E">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《中华人民共和国电子商务法》</w:t>
            </w:r>
          </w:p>
        </w:tc>
        <w:tc>
          <w:tcPr>
            <w:tcW w:w="4181" w:type="dxa"/>
            <w:vMerge w:val="restart"/>
            <w:tcBorders>
              <w:top w:val="single" w:color="000000" w:sz="4" w:space="0"/>
              <w:left w:val="single" w:color="000000" w:sz="4" w:space="0"/>
              <w:bottom w:val="single" w:color="000000" w:sz="4" w:space="0"/>
              <w:right w:val="single" w:color="000000" w:sz="4" w:space="0"/>
            </w:tcBorders>
            <w:noWrap w:val="0"/>
            <w:vAlign w:val="center"/>
          </w:tcPr>
          <w:p w14:paraId="3D26ECD2">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第七十七条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电子商务经营者违反本法第十八条第一款规定提供搜索结果，或者违反本法第十九条规定搭售商品、服务的，由市场监督管理部门</w:t>
            </w:r>
          </w:p>
          <w:p w14:paraId="1EB446FB">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责令限期改正，没收违法所得，可以并处五万元以上二十万元以下的罚款；情节严重的，并处二十万元以上五十万元以下的罚款。　</w:t>
            </w:r>
          </w:p>
          <w:p w14:paraId="4BD3245D">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第十八条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电子商务经营者根据消费者的兴趣爱好、消费习惯等特征向其提供商品或者服务的搜索结果的，应当同时向该消费者提供不针对其个人特征的选项，尊重和平等保护消费者合法权益。</w:t>
            </w:r>
          </w:p>
          <w:p w14:paraId="44098C5B">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电子商务经营者向消费者发送广告的，应当遵守《中华人民共和国广告法》的有关规定。</w:t>
            </w:r>
          </w:p>
          <w:p w14:paraId="47D41CBD">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第十九条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电子商务经营者搭售商品或者服务，应当以显著方式提请消费者注意，不得将搭售商品或者服务作为默认同意的选项。</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EB9D50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较轻</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2A433A89">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违法行为持续</w:t>
            </w:r>
            <w:r>
              <w:rPr>
                <w:rFonts w:hint="default" w:ascii="宋体" w:hAnsi="宋体" w:cs="宋体"/>
                <w:color w:val="auto"/>
                <w:sz w:val="24"/>
                <w:szCs w:val="24"/>
                <w:lang w:val="en" w:eastAsia="zh-CN"/>
              </w:rPr>
              <w:t>1</w:t>
            </w:r>
            <w:r>
              <w:rPr>
                <w:rFonts w:hint="eastAsia" w:ascii="宋体" w:hAnsi="宋体" w:eastAsia="宋体" w:cs="宋体"/>
                <w:color w:val="auto"/>
                <w:sz w:val="24"/>
                <w:szCs w:val="24"/>
                <w:lang w:val="en-US" w:eastAsia="zh-CN"/>
              </w:rPr>
              <w:t>个月以下的。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660AEE6E">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责令限期改正，没收违法所得，可以并处</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万元以上</w:t>
            </w:r>
            <w:r>
              <w:rPr>
                <w:rFonts w:hint="eastAsia" w:ascii="宋体" w:hAnsi="宋体" w:cs="宋体"/>
                <w:color w:val="auto"/>
                <w:sz w:val="24"/>
                <w:szCs w:val="24"/>
                <w:lang w:val="en-US" w:eastAsia="zh-CN"/>
              </w:rPr>
              <w:t>9.5万</w:t>
            </w:r>
            <w:r>
              <w:rPr>
                <w:rFonts w:hint="eastAsia" w:ascii="宋体" w:hAnsi="宋体" w:eastAsia="宋体" w:cs="宋体"/>
                <w:color w:val="auto"/>
                <w:sz w:val="24"/>
                <w:szCs w:val="24"/>
                <w:lang w:val="en-US" w:eastAsia="zh-CN"/>
              </w:rPr>
              <w:t>元以下的罚款。</w:t>
            </w:r>
          </w:p>
        </w:tc>
      </w:tr>
      <w:tr w14:paraId="374E5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848"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66F5D5">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7B3DE4">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D6E603">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26FC32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一般</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107C855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违法行为持续</w:t>
            </w:r>
            <w:r>
              <w:rPr>
                <w:rFonts w:hint="default" w:ascii="宋体" w:hAnsi="宋体" w:cs="宋体"/>
                <w:color w:val="auto"/>
                <w:sz w:val="24"/>
                <w:szCs w:val="24"/>
                <w:lang w:val="en" w:eastAsia="zh-CN"/>
              </w:rPr>
              <w:t>1</w:t>
            </w:r>
            <w:r>
              <w:rPr>
                <w:rFonts w:hint="eastAsia" w:ascii="宋体" w:hAnsi="宋体" w:eastAsia="宋体" w:cs="宋体"/>
                <w:color w:val="auto"/>
                <w:sz w:val="24"/>
                <w:szCs w:val="24"/>
                <w:lang w:val="en-US" w:eastAsia="zh-CN"/>
              </w:rPr>
              <w:t>个月以上</w:t>
            </w:r>
            <w:r>
              <w:rPr>
                <w:rFonts w:hint="default" w:ascii="宋体" w:hAnsi="宋体" w:cs="宋体"/>
                <w:color w:val="auto"/>
                <w:sz w:val="24"/>
                <w:szCs w:val="24"/>
                <w:lang w:val="en" w:eastAsia="zh-CN"/>
              </w:rPr>
              <w:t>6</w:t>
            </w:r>
            <w:r>
              <w:rPr>
                <w:rFonts w:hint="eastAsia" w:ascii="宋体" w:hAnsi="宋体" w:eastAsia="宋体" w:cs="宋体"/>
                <w:color w:val="auto"/>
                <w:sz w:val="24"/>
                <w:szCs w:val="24"/>
                <w:lang w:val="en-US" w:eastAsia="zh-CN"/>
              </w:rPr>
              <w:t>个月以下的。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5DD820E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责令限期改正，没收违法所得，可以并处</w:t>
            </w:r>
            <w:r>
              <w:rPr>
                <w:rFonts w:hint="eastAsia" w:ascii="宋体" w:hAnsi="宋体" w:cs="宋体"/>
                <w:color w:val="auto"/>
                <w:sz w:val="24"/>
                <w:szCs w:val="24"/>
                <w:lang w:val="en-US" w:eastAsia="zh-CN"/>
              </w:rPr>
              <w:t>9.5万</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15.5万</w:t>
            </w:r>
            <w:r>
              <w:rPr>
                <w:rFonts w:hint="eastAsia" w:ascii="宋体" w:hAnsi="宋体" w:eastAsia="宋体" w:cs="宋体"/>
                <w:color w:val="auto"/>
                <w:sz w:val="24"/>
                <w:szCs w:val="24"/>
                <w:lang w:val="en-US" w:eastAsia="zh-CN"/>
              </w:rPr>
              <w:t>元以下的罚款。</w:t>
            </w:r>
          </w:p>
        </w:tc>
      </w:tr>
      <w:tr w14:paraId="2F218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767"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152683">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7EBF83">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E0531C">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6C61277">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3955A98B">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违法行为持续</w:t>
            </w:r>
            <w:r>
              <w:rPr>
                <w:rFonts w:hint="default" w:ascii="宋体" w:hAnsi="宋体" w:cs="宋体"/>
                <w:color w:val="auto"/>
                <w:sz w:val="24"/>
                <w:szCs w:val="24"/>
                <w:lang w:val="en" w:eastAsia="zh-CN"/>
              </w:rPr>
              <w:t>6</w:t>
            </w:r>
            <w:r>
              <w:rPr>
                <w:rFonts w:hint="eastAsia" w:ascii="宋体" w:hAnsi="宋体" w:eastAsia="宋体" w:cs="宋体"/>
                <w:color w:val="auto"/>
                <w:sz w:val="24"/>
                <w:szCs w:val="24"/>
                <w:lang w:val="en-US" w:eastAsia="zh-CN"/>
              </w:rPr>
              <w:t>个月以上的。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381AF5F2">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责令限期改正，没收违法所得，可以并处</w:t>
            </w:r>
            <w:r>
              <w:rPr>
                <w:rFonts w:hint="eastAsia" w:ascii="宋体" w:hAnsi="宋体" w:cs="宋体"/>
                <w:color w:val="auto"/>
                <w:sz w:val="24"/>
                <w:szCs w:val="24"/>
                <w:lang w:val="en-US" w:eastAsia="zh-CN"/>
              </w:rPr>
              <w:t>15.5万</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20</w:t>
            </w:r>
            <w:r>
              <w:rPr>
                <w:rFonts w:hint="eastAsia" w:ascii="宋体" w:hAnsi="宋体" w:eastAsia="宋体" w:cs="宋体"/>
                <w:color w:val="auto"/>
                <w:sz w:val="24"/>
                <w:szCs w:val="24"/>
                <w:lang w:val="en-US" w:eastAsia="zh-CN"/>
              </w:rPr>
              <w:t>万元以下的罚款。</w:t>
            </w:r>
          </w:p>
        </w:tc>
      </w:tr>
      <w:tr w14:paraId="2FBE7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383"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3C734C">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F9CC8B">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39CDD4">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8E2432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严重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6419E9A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en-US" w:eastAsia="zh-CN"/>
              </w:rPr>
            </w:pPr>
          </w:p>
          <w:p w14:paraId="4D23B2A0">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造成重大社会影响等严重后果的。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697E11B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责令限期改正，没收违法所得，并处</w:t>
            </w:r>
            <w:r>
              <w:rPr>
                <w:rFonts w:hint="eastAsia" w:ascii="宋体" w:hAnsi="宋体" w:cs="宋体"/>
                <w:color w:val="auto"/>
                <w:sz w:val="24"/>
                <w:szCs w:val="24"/>
                <w:lang w:val="en-US" w:eastAsia="zh-CN"/>
              </w:rPr>
              <w:t>20</w:t>
            </w:r>
            <w:r>
              <w:rPr>
                <w:rFonts w:hint="eastAsia" w:ascii="宋体" w:hAnsi="宋体" w:eastAsia="宋体" w:cs="宋体"/>
                <w:color w:val="auto"/>
                <w:sz w:val="24"/>
                <w:szCs w:val="24"/>
                <w:lang w:val="en-US" w:eastAsia="zh-CN"/>
              </w:rPr>
              <w:t>万元以上</w:t>
            </w:r>
            <w:r>
              <w:rPr>
                <w:rFonts w:hint="eastAsia" w:ascii="宋体" w:hAnsi="宋体" w:cs="宋体"/>
                <w:color w:val="auto"/>
                <w:sz w:val="24"/>
                <w:szCs w:val="24"/>
                <w:lang w:val="en-US" w:eastAsia="zh-CN"/>
              </w:rPr>
              <w:t>50</w:t>
            </w:r>
            <w:r>
              <w:rPr>
                <w:rFonts w:hint="eastAsia" w:ascii="宋体" w:hAnsi="宋体" w:eastAsia="宋体" w:cs="宋体"/>
                <w:color w:val="auto"/>
                <w:sz w:val="24"/>
                <w:szCs w:val="24"/>
                <w:lang w:val="en-US" w:eastAsia="zh-CN"/>
              </w:rPr>
              <w:t>万元以下的罚款。</w:t>
            </w:r>
          </w:p>
        </w:tc>
      </w:tr>
      <w:tr w14:paraId="50558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7"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401CCBB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67</w:t>
            </w:r>
          </w:p>
        </w:tc>
        <w:tc>
          <w:tcPr>
            <w:tcW w:w="1588" w:type="dxa"/>
            <w:vMerge w:val="restart"/>
            <w:tcBorders>
              <w:top w:val="single" w:color="000000" w:sz="4" w:space="0"/>
              <w:left w:val="single" w:color="000000" w:sz="4" w:space="0"/>
              <w:bottom w:val="single" w:color="000000" w:sz="4" w:space="0"/>
              <w:right w:val="single" w:color="000000" w:sz="4" w:space="0"/>
            </w:tcBorders>
            <w:noWrap w:val="0"/>
            <w:vAlign w:val="center"/>
          </w:tcPr>
          <w:p w14:paraId="2CF49D11">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《中华人民共和国电子商务法》</w:t>
            </w:r>
          </w:p>
        </w:tc>
        <w:tc>
          <w:tcPr>
            <w:tcW w:w="4181" w:type="dxa"/>
            <w:vMerge w:val="restart"/>
            <w:tcBorders>
              <w:top w:val="single" w:color="000000" w:sz="4" w:space="0"/>
              <w:left w:val="single" w:color="000000" w:sz="4" w:space="0"/>
              <w:bottom w:val="single" w:color="000000" w:sz="4" w:space="0"/>
              <w:right w:val="single" w:color="000000" w:sz="4" w:space="0"/>
            </w:tcBorders>
            <w:noWrap w:val="0"/>
            <w:vAlign w:val="center"/>
          </w:tcPr>
          <w:p w14:paraId="612928FF">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第七十八条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电子商务经营者违反本法第二十一条规定，未向消费者明示押金退还的方式、程序，对押金退还设置不合理条件，或者不及时退还押金的，由有关主管部门责令限期改正，可以处五万元以上二十万元以下的罚款；情节严重的，处二十万元以上五十万元以下的罚款。</w:t>
            </w:r>
          </w:p>
          <w:p w14:paraId="5100126F">
            <w:pPr>
              <w:keepNext w:val="0"/>
              <w:keepLines w:val="0"/>
              <w:pageBreakBefore w:val="0"/>
              <w:widowControl w:val="0"/>
              <w:kinsoku/>
              <w:wordWrap/>
              <w:overflowPunct/>
              <w:topLinePunct w:val="0"/>
              <w:autoSpaceDE/>
              <w:autoSpaceDN/>
              <w:bidi w:val="0"/>
              <w:adjustRightInd/>
              <w:snapToGrid/>
              <w:spacing w:line="38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第二十一条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电子商务经营者按照约定向消费者收取押金的，应当明示押金退还的方式、程序，不得对押金退还设置不合理条件。消费者申请退还押金，符合押金退还条件的，电子商务经营者应当及时退还。</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DB6F70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较轻</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2D844009">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违法行为持续</w:t>
            </w:r>
            <w:r>
              <w:rPr>
                <w:rFonts w:hint="default" w:ascii="宋体" w:hAnsi="宋体" w:cs="宋体"/>
                <w:color w:val="auto"/>
                <w:sz w:val="24"/>
                <w:szCs w:val="24"/>
                <w:lang w:val="en" w:eastAsia="zh-CN"/>
              </w:rPr>
              <w:t>1</w:t>
            </w:r>
            <w:r>
              <w:rPr>
                <w:rFonts w:hint="eastAsia" w:ascii="宋体" w:hAnsi="宋体" w:eastAsia="宋体" w:cs="宋体"/>
                <w:color w:val="auto"/>
                <w:sz w:val="24"/>
                <w:szCs w:val="24"/>
                <w:lang w:val="en-US" w:eastAsia="zh-CN"/>
              </w:rPr>
              <w:t>个月以下的。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3D8B647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责令限期改正，可以并处</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万元以上</w:t>
            </w:r>
            <w:r>
              <w:rPr>
                <w:rFonts w:hint="eastAsia" w:ascii="宋体" w:hAnsi="宋体" w:cs="宋体"/>
                <w:color w:val="auto"/>
                <w:sz w:val="24"/>
                <w:szCs w:val="24"/>
                <w:lang w:val="en-US" w:eastAsia="zh-CN"/>
              </w:rPr>
              <w:t>9.5万</w:t>
            </w:r>
            <w:r>
              <w:rPr>
                <w:rFonts w:hint="eastAsia" w:ascii="宋体" w:hAnsi="宋体" w:eastAsia="宋体" w:cs="宋体"/>
                <w:color w:val="auto"/>
                <w:sz w:val="24"/>
                <w:szCs w:val="24"/>
                <w:lang w:val="en-US" w:eastAsia="zh-CN"/>
              </w:rPr>
              <w:t>元以下的罚款。</w:t>
            </w:r>
          </w:p>
        </w:tc>
      </w:tr>
      <w:tr w14:paraId="2EED6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7"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A6DFC6">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931D69">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9CD8BB">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A33988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一般</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15D5B26B">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违法行为持续</w:t>
            </w:r>
            <w:r>
              <w:rPr>
                <w:rFonts w:hint="default" w:ascii="宋体" w:hAnsi="宋体" w:cs="宋体"/>
                <w:color w:val="auto"/>
                <w:sz w:val="24"/>
                <w:szCs w:val="24"/>
                <w:lang w:val="en" w:eastAsia="zh-CN"/>
              </w:rPr>
              <w:t>1</w:t>
            </w:r>
            <w:r>
              <w:rPr>
                <w:rFonts w:hint="eastAsia" w:ascii="宋体" w:hAnsi="宋体" w:eastAsia="宋体" w:cs="宋体"/>
                <w:color w:val="auto"/>
                <w:sz w:val="24"/>
                <w:szCs w:val="24"/>
                <w:lang w:val="en-US" w:eastAsia="zh-CN"/>
              </w:rPr>
              <w:t>个月以上</w:t>
            </w:r>
            <w:r>
              <w:rPr>
                <w:rFonts w:hint="default" w:ascii="宋体" w:hAnsi="宋体" w:cs="宋体"/>
                <w:color w:val="auto"/>
                <w:sz w:val="24"/>
                <w:szCs w:val="24"/>
                <w:lang w:val="en" w:eastAsia="zh-CN"/>
              </w:rPr>
              <w:t>6</w:t>
            </w:r>
            <w:r>
              <w:rPr>
                <w:rFonts w:hint="eastAsia" w:ascii="宋体" w:hAnsi="宋体" w:eastAsia="宋体" w:cs="宋体"/>
                <w:color w:val="auto"/>
                <w:sz w:val="24"/>
                <w:szCs w:val="24"/>
                <w:lang w:val="en-US" w:eastAsia="zh-CN"/>
              </w:rPr>
              <w:t>个月以下的。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47439D6E">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责令限期改正，可以并处</w:t>
            </w:r>
            <w:r>
              <w:rPr>
                <w:rFonts w:hint="eastAsia" w:ascii="宋体" w:hAnsi="宋体" w:cs="宋体"/>
                <w:color w:val="auto"/>
                <w:sz w:val="24"/>
                <w:szCs w:val="24"/>
                <w:lang w:val="en-US" w:eastAsia="zh-CN"/>
              </w:rPr>
              <w:t>9.5万</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15.5</w:t>
            </w:r>
            <w:r>
              <w:rPr>
                <w:rFonts w:hint="eastAsia" w:ascii="宋体" w:hAnsi="宋体" w:eastAsia="宋体" w:cs="宋体"/>
                <w:color w:val="auto"/>
                <w:sz w:val="24"/>
                <w:szCs w:val="24"/>
                <w:lang w:val="en-US" w:eastAsia="zh-CN"/>
              </w:rPr>
              <w:t>万以下的罚款</w:t>
            </w:r>
          </w:p>
        </w:tc>
      </w:tr>
      <w:tr w14:paraId="0D2F5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6"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7CD525">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D08EA9">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195D5B">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F6A1B17">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762DF0FC">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违法行为持续</w:t>
            </w:r>
            <w:r>
              <w:rPr>
                <w:rFonts w:hint="default" w:ascii="宋体" w:hAnsi="宋体" w:cs="宋体"/>
                <w:color w:val="auto"/>
                <w:sz w:val="24"/>
                <w:szCs w:val="24"/>
                <w:lang w:val="en" w:eastAsia="zh-CN"/>
              </w:rPr>
              <w:t>6</w:t>
            </w:r>
            <w:r>
              <w:rPr>
                <w:rFonts w:hint="eastAsia" w:ascii="宋体" w:hAnsi="宋体" w:eastAsia="宋体" w:cs="宋体"/>
                <w:color w:val="auto"/>
                <w:sz w:val="24"/>
                <w:szCs w:val="24"/>
                <w:lang w:val="en-US" w:eastAsia="zh-CN"/>
              </w:rPr>
              <w:t>个月以上的。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057CFFA7">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责令限期改正，可以并处</w:t>
            </w:r>
            <w:r>
              <w:rPr>
                <w:rFonts w:hint="eastAsia" w:ascii="宋体" w:hAnsi="宋体" w:cs="宋体"/>
                <w:color w:val="auto"/>
                <w:sz w:val="24"/>
                <w:szCs w:val="24"/>
                <w:lang w:val="en-US" w:eastAsia="zh-CN"/>
              </w:rPr>
              <w:t>15.5万</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20</w:t>
            </w:r>
            <w:r>
              <w:rPr>
                <w:rFonts w:hint="eastAsia" w:ascii="宋体" w:hAnsi="宋体" w:eastAsia="宋体" w:cs="宋体"/>
                <w:color w:val="auto"/>
                <w:sz w:val="24"/>
                <w:szCs w:val="24"/>
                <w:lang w:val="en-US" w:eastAsia="zh-CN"/>
              </w:rPr>
              <w:t>万元以下的罚款。</w:t>
            </w:r>
          </w:p>
        </w:tc>
      </w:tr>
      <w:tr w14:paraId="62AF4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2"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BE1B7A">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405BD6">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16F2AE">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293886B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严重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254D062C">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造成重大社会影响等严重后果的。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0DD1A2F0">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责令限期改正，处</w:t>
            </w:r>
            <w:r>
              <w:rPr>
                <w:rFonts w:hint="eastAsia" w:ascii="宋体" w:hAnsi="宋体" w:cs="宋体"/>
                <w:color w:val="auto"/>
                <w:sz w:val="24"/>
                <w:szCs w:val="24"/>
                <w:lang w:val="en-US" w:eastAsia="zh-CN"/>
              </w:rPr>
              <w:t>20</w:t>
            </w:r>
            <w:r>
              <w:rPr>
                <w:rFonts w:hint="eastAsia" w:ascii="宋体" w:hAnsi="宋体" w:eastAsia="宋体" w:cs="宋体"/>
                <w:color w:val="auto"/>
                <w:sz w:val="24"/>
                <w:szCs w:val="24"/>
                <w:lang w:val="en-US" w:eastAsia="zh-CN"/>
              </w:rPr>
              <w:t>万元以上</w:t>
            </w:r>
            <w:r>
              <w:rPr>
                <w:rFonts w:hint="eastAsia" w:ascii="宋体" w:hAnsi="宋体" w:cs="宋体"/>
                <w:color w:val="auto"/>
                <w:sz w:val="24"/>
                <w:szCs w:val="24"/>
                <w:lang w:val="en-US" w:eastAsia="zh-CN"/>
              </w:rPr>
              <w:t>50</w:t>
            </w:r>
            <w:r>
              <w:rPr>
                <w:rFonts w:hint="eastAsia" w:ascii="宋体" w:hAnsi="宋体" w:eastAsia="宋体" w:cs="宋体"/>
                <w:color w:val="auto"/>
                <w:sz w:val="24"/>
                <w:szCs w:val="24"/>
                <w:lang w:val="en-US" w:eastAsia="zh-CN"/>
              </w:rPr>
              <w:t>万元以下的罚款。</w:t>
            </w:r>
          </w:p>
        </w:tc>
      </w:tr>
      <w:tr w14:paraId="1FABE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4"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610D7BE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68</w:t>
            </w:r>
          </w:p>
        </w:tc>
        <w:tc>
          <w:tcPr>
            <w:tcW w:w="1588" w:type="dxa"/>
            <w:vMerge w:val="restart"/>
            <w:tcBorders>
              <w:top w:val="single" w:color="000000" w:sz="4" w:space="0"/>
              <w:left w:val="single" w:color="000000" w:sz="4" w:space="0"/>
              <w:bottom w:val="single" w:color="000000" w:sz="4" w:space="0"/>
              <w:right w:val="single" w:color="000000" w:sz="4" w:space="0"/>
            </w:tcBorders>
            <w:noWrap w:val="0"/>
            <w:vAlign w:val="center"/>
          </w:tcPr>
          <w:p w14:paraId="036E6994">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《中华人民共和国电子商务法》</w:t>
            </w:r>
          </w:p>
        </w:tc>
        <w:tc>
          <w:tcPr>
            <w:tcW w:w="4181" w:type="dxa"/>
            <w:vMerge w:val="restart"/>
            <w:tcBorders>
              <w:top w:val="single" w:color="000000" w:sz="4" w:space="0"/>
              <w:left w:val="single" w:color="000000" w:sz="4" w:space="0"/>
              <w:bottom w:val="single" w:color="000000" w:sz="4" w:space="0"/>
              <w:right w:val="single" w:color="000000" w:sz="4" w:space="0"/>
            </w:tcBorders>
            <w:noWrap w:val="0"/>
            <w:vAlign w:val="center"/>
          </w:tcPr>
          <w:p w14:paraId="020F120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第八十条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电子商务平台经营者有下列行为之一的，由有关主管部门责令限期改正；逾期不改正的，处二万元以上十万元以下的罚款；情节严重的，责令停业整顿，并处十万元以上五十万元以下的罚款：</w:t>
            </w:r>
          </w:p>
          <w:p w14:paraId="34A5A40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（一）不履行本法第二十七条规定的核验、登记义务的；</w:t>
            </w:r>
          </w:p>
          <w:p w14:paraId="303EBC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（二）不按照本法第二十八条规定向市场监督管理部门、税务部门报送有关信息的；</w:t>
            </w:r>
          </w:p>
          <w:p w14:paraId="4091B37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（三）不按照本法第二十九条规定对违法情形采取必要的处置措施，或者未向有关主管部门报告的；</w:t>
            </w:r>
          </w:p>
          <w:p w14:paraId="5644112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（四）不履行本法第三十一条规定的商品和服务信息、交易信息保存义务的。</w:t>
            </w:r>
          </w:p>
          <w:p w14:paraId="41D2CEF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法律、行政法规对前款规定的违法行为的处罚另有规定的，依照其规定。</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3C9574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较轻</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3CB44FA6">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逾期 10日以下未改正的。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47FFF7A6">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万元以上</w:t>
            </w:r>
            <w:r>
              <w:rPr>
                <w:rFonts w:hint="eastAsia" w:ascii="宋体" w:hAnsi="宋体" w:cs="宋体"/>
                <w:color w:val="auto"/>
                <w:sz w:val="24"/>
                <w:szCs w:val="24"/>
                <w:lang w:val="en-US" w:eastAsia="zh-CN"/>
              </w:rPr>
              <w:t>4.4万</w:t>
            </w:r>
            <w:r>
              <w:rPr>
                <w:rFonts w:hint="eastAsia" w:ascii="宋体" w:hAnsi="宋体" w:eastAsia="宋体" w:cs="宋体"/>
                <w:color w:val="auto"/>
                <w:sz w:val="24"/>
                <w:szCs w:val="24"/>
                <w:lang w:val="en-US" w:eastAsia="zh-CN"/>
              </w:rPr>
              <w:t>元以下的罚款。</w:t>
            </w:r>
          </w:p>
        </w:tc>
      </w:tr>
      <w:tr w14:paraId="7D4F9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1B6CE5">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564351">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A1B787">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2F00F32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一般</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10AB6090">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逾期10日以上30日以下未改正的。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2E0C7CDF">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w:t>
            </w:r>
            <w:r>
              <w:rPr>
                <w:rFonts w:hint="eastAsia" w:ascii="宋体" w:hAnsi="宋体" w:cs="宋体"/>
                <w:color w:val="auto"/>
                <w:sz w:val="24"/>
                <w:szCs w:val="24"/>
                <w:lang w:val="en-US" w:eastAsia="zh-CN"/>
              </w:rPr>
              <w:t>4.4万</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7.6万</w:t>
            </w:r>
            <w:r>
              <w:rPr>
                <w:rFonts w:hint="eastAsia" w:ascii="宋体" w:hAnsi="宋体" w:eastAsia="宋体" w:cs="宋体"/>
                <w:color w:val="auto"/>
                <w:sz w:val="24"/>
                <w:szCs w:val="24"/>
                <w:lang w:val="en-US" w:eastAsia="zh-CN"/>
              </w:rPr>
              <w:t>元以下的罚款。</w:t>
            </w:r>
          </w:p>
        </w:tc>
      </w:tr>
      <w:tr w14:paraId="22EB8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8"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B77A5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A3DBB1">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200626">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834D36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4FA302FF">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逾期30日以上未改正的。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6A47B0E9">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w:t>
            </w:r>
            <w:r>
              <w:rPr>
                <w:rFonts w:hint="eastAsia" w:ascii="宋体" w:hAnsi="宋体" w:cs="宋体"/>
                <w:color w:val="auto"/>
                <w:sz w:val="24"/>
                <w:szCs w:val="24"/>
                <w:lang w:val="en-US" w:eastAsia="zh-CN"/>
              </w:rPr>
              <w:t>7.6万</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万元以下的罚款。</w:t>
            </w:r>
          </w:p>
        </w:tc>
      </w:tr>
      <w:tr w14:paraId="252DD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4"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19A85E">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216071">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CCF095">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284299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严重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3E763E5F">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造成重大社会影响等严重后果的。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062D9866">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责令停业整顿，并处</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万元以上</w:t>
            </w:r>
            <w:r>
              <w:rPr>
                <w:rFonts w:hint="eastAsia" w:ascii="宋体" w:hAnsi="宋体" w:cs="宋体"/>
                <w:color w:val="auto"/>
                <w:sz w:val="24"/>
                <w:szCs w:val="24"/>
                <w:lang w:val="en-US" w:eastAsia="zh-CN"/>
              </w:rPr>
              <w:t>50</w:t>
            </w:r>
            <w:r>
              <w:rPr>
                <w:rFonts w:hint="eastAsia" w:ascii="宋体" w:hAnsi="宋体" w:eastAsia="宋体" w:cs="宋体"/>
                <w:color w:val="auto"/>
                <w:sz w:val="24"/>
                <w:szCs w:val="24"/>
                <w:lang w:val="en-US" w:eastAsia="zh-CN"/>
              </w:rPr>
              <w:t>万元以下的罚款。</w:t>
            </w:r>
          </w:p>
        </w:tc>
      </w:tr>
      <w:tr w14:paraId="5BF9E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7"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6ED17BE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69</w:t>
            </w:r>
          </w:p>
        </w:tc>
        <w:tc>
          <w:tcPr>
            <w:tcW w:w="1588" w:type="dxa"/>
            <w:vMerge w:val="restart"/>
            <w:tcBorders>
              <w:top w:val="single" w:color="000000" w:sz="4" w:space="0"/>
              <w:left w:val="single" w:color="000000" w:sz="4" w:space="0"/>
              <w:bottom w:val="single" w:color="000000" w:sz="4" w:space="0"/>
              <w:right w:val="single" w:color="000000" w:sz="4" w:space="0"/>
            </w:tcBorders>
            <w:noWrap w:val="0"/>
            <w:vAlign w:val="center"/>
          </w:tcPr>
          <w:p w14:paraId="4865BAC2">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《中华人民共和国电子商务法》</w:t>
            </w:r>
          </w:p>
        </w:tc>
        <w:tc>
          <w:tcPr>
            <w:tcW w:w="4181" w:type="dxa"/>
            <w:vMerge w:val="restart"/>
            <w:tcBorders>
              <w:top w:val="single" w:color="000000" w:sz="4" w:space="0"/>
              <w:left w:val="single" w:color="000000" w:sz="4" w:space="0"/>
              <w:bottom w:val="single" w:color="000000" w:sz="4" w:space="0"/>
              <w:right w:val="single" w:color="000000" w:sz="4" w:space="0"/>
            </w:tcBorders>
            <w:noWrap w:val="0"/>
            <w:vAlign w:val="center"/>
          </w:tcPr>
          <w:p w14:paraId="74BE3F2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第八十一条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电子商务平台经营者违反本法规定，有下列行为之一的，由市场监督管理部门责令限期改正，可以处二万元以上十万元以下的罚款；情节严重的，处十万元以上五十万元以下的罚款：</w:t>
            </w:r>
          </w:p>
          <w:p w14:paraId="430807C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（一）未在首页显著位置持续公示平台服务协议、交易规则信息或者上述信息的链接标识的；</w:t>
            </w:r>
          </w:p>
          <w:p w14:paraId="72F03D0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（二）修改交易规则未在首页显著位置公开征求意见，未按照规定的时间提前公示修改内容，或者阻止平台内经营者退出的；</w:t>
            </w:r>
          </w:p>
          <w:p w14:paraId="6541AC5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（三）未以显著方式区分标记自营业务和平台内经营者开展的业务的；</w:t>
            </w:r>
          </w:p>
          <w:p w14:paraId="680EFBA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（四）未为消费者提供对平台内销售的商品或者提供的服务进行评价的途径，或者擅自删除消费者的评价的。</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5A4389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较轻</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4C0BD952">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违法行为持续</w:t>
            </w:r>
            <w:r>
              <w:rPr>
                <w:rFonts w:hint="default" w:ascii="宋体" w:hAnsi="宋体" w:cs="宋体"/>
                <w:color w:val="auto"/>
                <w:sz w:val="24"/>
                <w:szCs w:val="24"/>
                <w:lang w:val="en" w:eastAsia="zh-CN"/>
              </w:rPr>
              <w:t>1</w:t>
            </w:r>
            <w:r>
              <w:rPr>
                <w:rFonts w:hint="eastAsia" w:ascii="宋体" w:hAnsi="宋体" w:eastAsia="宋体" w:cs="宋体"/>
                <w:color w:val="auto"/>
                <w:sz w:val="24"/>
                <w:szCs w:val="24"/>
                <w:lang w:val="en-US" w:eastAsia="zh-CN"/>
              </w:rPr>
              <w:t>个月以下的。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066088F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责令限期改正，可以处</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万元以上</w:t>
            </w:r>
            <w:r>
              <w:rPr>
                <w:rFonts w:hint="eastAsia" w:ascii="宋体" w:hAnsi="宋体" w:cs="宋体"/>
                <w:color w:val="auto"/>
                <w:sz w:val="24"/>
                <w:szCs w:val="24"/>
                <w:lang w:val="en-US" w:eastAsia="zh-CN"/>
              </w:rPr>
              <w:t>4.4万</w:t>
            </w:r>
            <w:r>
              <w:rPr>
                <w:rFonts w:hint="eastAsia" w:ascii="宋体" w:hAnsi="宋体" w:eastAsia="宋体" w:cs="宋体"/>
                <w:color w:val="auto"/>
                <w:sz w:val="24"/>
                <w:szCs w:val="24"/>
                <w:lang w:val="en-US" w:eastAsia="zh-CN"/>
              </w:rPr>
              <w:t>元以下的罚款。</w:t>
            </w:r>
          </w:p>
        </w:tc>
      </w:tr>
      <w:tr w14:paraId="18A82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5"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CA66B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17FC84">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DCFC2A">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7FE7EA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一般</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630C9AEA">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违法行为持续</w:t>
            </w:r>
            <w:r>
              <w:rPr>
                <w:rFonts w:hint="default" w:ascii="宋体" w:hAnsi="宋体" w:cs="宋体"/>
                <w:color w:val="auto"/>
                <w:sz w:val="24"/>
                <w:szCs w:val="24"/>
                <w:lang w:val="en" w:eastAsia="zh-CN"/>
              </w:rPr>
              <w:t>1</w:t>
            </w:r>
            <w:r>
              <w:rPr>
                <w:rFonts w:hint="eastAsia" w:ascii="宋体" w:hAnsi="宋体" w:eastAsia="宋体" w:cs="宋体"/>
                <w:color w:val="auto"/>
                <w:sz w:val="24"/>
                <w:szCs w:val="24"/>
                <w:lang w:val="en-US" w:eastAsia="zh-CN"/>
              </w:rPr>
              <w:t>个月以上</w:t>
            </w:r>
            <w:r>
              <w:rPr>
                <w:rFonts w:hint="default" w:ascii="宋体" w:hAnsi="宋体" w:cs="宋体"/>
                <w:color w:val="auto"/>
                <w:sz w:val="24"/>
                <w:szCs w:val="24"/>
                <w:lang w:val="en" w:eastAsia="zh-CN"/>
              </w:rPr>
              <w:t>6</w:t>
            </w:r>
            <w:r>
              <w:rPr>
                <w:rFonts w:hint="eastAsia" w:ascii="宋体" w:hAnsi="宋体" w:eastAsia="宋体" w:cs="宋体"/>
                <w:color w:val="auto"/>
                <w:sz w:val="24"/>
                <w:szCs w:val="24"/>
                <w:lang w:val="en-US" w:eastAsia="zh-CN"/>
              </w:rPr>
              <w:t>个月以下的。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10C2FC75">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责令限期改正，可以处</w:t>
            </w:r>
            <w:r>
              <w:rPr>
                <w:rFonts w:hint="eastAsia" w:ascii="宋体" w:hAnsi="宋体" w:cs="宋体"/>
                <w:color w:val="auto"/>
                <w:sz w:val="24"/>
                <w:szCs w:val="24"/>
                <w:lang w:val="en-US" w:eastAsia="zh-CN"/>
              </w:rPr>
              <w:t>4.4万</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7.6万</w:t>
            </w:r>
            <w:r>
              <w:rPr>
                <w:rFonts w:hint="eastAsia" w:ascii="宋体" w:hAnsi="宋体" w:eastAsia="宋体" w:cs="宋体"/>
                <w:color w:val="auto"/>
                <w:sz w:val="24"/>
                <w:szCs w:val="24"/>
                <w:lang w:val="en-US" w:eastAsia="zh-CN"/>
              </w:rPr>
              <w:t>元以下的罚款。</w:t>
            </w:r>
          </w:p>
        </w:tc>
      </w:tr>
      <w:tr w14:paraId="3B5F3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2"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14F1C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6D8A6C">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814F22">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2B3618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45B189B9">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违法行为持续</w:t>
            </w:r>
            <w:r>
              <w:rPr>
                <w:rFonts w:hint="default" w:ascii="宋体" w:hAnsi="宋体" w:cs="宋体"/>
                <w:color w:val="auto"/>
                <w:sz w:val="24"/>
                <w:szCs w:val="24"/>
                <w:lang w:val="en" w:eastAsia="zh-CN"/>
              </w:rPr>
              <w:t>6</w:t>
            </w:r>
            <w:r>
              <w:rPr>
                <w:rFonts w:hint="eastAsia" w:ascii="宋体" w:hAnsi="宋体" w:eastAsia="宋体" w:cs="宋体"/>
                <w:color w:val="auto"/>
                <w:sz w:val="24"/>
                <w:szCs w:val="24"/>
                <w:lang w:val="en-US" w:eastAsia="zh-CN"/>
              </w:rPr>
              <w:t>个月以上的。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20570583">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责令限期改正，可以处</w:t>
            </w:r>
            <w:r>
              <w:rPr>
                <w:rFonts w:hint="eastAsia" w:ascii="宋体" w:hAnsi="宋体" w:cs="宋体"/>
                <w:color w:val="auto"/>
                <w:sz w:val="24"/>
                <w:szCs w:val="24"/>
                <w:lang w:val="en-US" w:eastAsia="zh-CN"/>
              </w:rPr>
              <w:t>7.6万</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万元以下的罚款。</w:t>
            </w:r>
          </w:p>
        </w:tc>
      </w:tr>
      <w:tr w14:paraId="29865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9"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1420F6">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1E8335">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EF3F51">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4B8B2D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严重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043FF9B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造成重大社会影响等严重后果的。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5834E81C">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w:t>
            </w:r>
            <w:r>
              <w:rPr>
                <w:rFonts w:hint="eastAsia" w:ascii="宋体" w:hAnsi="宋体" w:cs="宋体"/>
                <w:color w:val="auto"/>
                <w:sz w:val="24"/>
                <w:szCs w:val="24"/>
                <w:lang w:val="en-US" w:eastAsia="zh-CN"/>
              </w:rPr>
              <w:t>10</w:t>
            </w:r>
            <w:r>
              <w:rPr>
                <w:rFonts w:hint="eastAsia" w:ascii="宋体" w:hAnsi="宋体" w:eastAsia="宋体" w:cs="宋体"/>
                <w:color w:val="auto"/>
                <w:sz w:val="24"/>
                <w:szCs w:val="24"/>
                <w:lang w:val="en-US" w:eastAsia="zh-CN"/>
              </w:rPr>
              <w:t>万元以上</w:t>
            </w:r>
            <w:r>
              <w:rPr>
                <w:rFonts w:hint="eastAsia" w:ascii="宋体" w:hAnsi="宋体" w:cs="宋体"/>
                <w:color w:val="auto"/>
                <w:sz w:val="24"/>
                <w:szCs w:val="24"/>
                <w:lang w:val="en-US" w:eastAsia="zh-CN"/>
              </w:rPr>
              <w:t>50</w:t>
            </w:r>
            <w:r>
              <w:rPr>
                <w:rFonts w:hint="eastAsia" w:ascii="宋体" w:hAnsi="宋体" w:eastAsia="宋体" w:cs="宋体"/>
                <w:color w:val="auto"/>
                <w:sz w:val="24"/>
                <w:szCs w:val="24"/>
                <w:lang w:val="en-US" w:eastAsia="zh-CN"/>
              </w:rPr>
              <w:t>万元以下的罚款。</w:t>
            </w:r>
          </w:p>
        </w:tc>
      </w:tr>
      <w:tr w14:paraId="62C99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8"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0068DB9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70</w:t>
            </w:r>
          </w:p>
        </w:tc>
        <w:tc>
          <w:tcPr>
            <w:tcW w:w="1588" w:type="dxa"/>
            <w:vMerge w:val="restart"/>
            <w:tcBorders>
              <w:top w:val="single" w:color="000000" w:sz="4" w:space="0"/>
              <w:left w:val="single" w:color="000000" w:sz="4" w:space="0"/>
              <w:bottom w:val="single" w:color="000000" w:sz="4" w:space="0"/>
              <w:right w:val="single" w:color="000000" w:sz="4" w:space="0"/>
            </w:tcBorders>
            <w:noWrap w:val="0"/>
            <w:vAlign w:val="center"/>
          </w:tcPr>
          <w:p w14:paraId="43519CC7">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《中华人民共和国电子商务法》</w:t>
            </w:r>
          </w:p>
        </w:tc>
        <w:tc>
          <w:tcPr>
            <w:tcW w:w="4181" w:type="dxa"/>
            <w:vMerge w:val="restart"/>
            <w:tcBorders>
              <w:top w:val="single" w:color="000000" w:sz="4" w:space="0"/>
              <w:left w:val="single" w:color="000000" w:sz="4" w:space="0"/>
              <w:bottom w:val="single" w:color="000000" w:sz="4" w:space="0"/>
              <w:right w:val="single" w:color="000000" w:sz="4" w:space="0"/>
            </w:tcBorders>
            <w:noWrap w:val="0"/>
            <w:vAlign w:val="center"/>
          </w:tcPr>
          <w:p w14:paraId="2F56B89B">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第八十二条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电子商务平台经营者违反本法第三十五条规定，对平台内经营者在平台内的交易、交易价格或者与其他经营者的交易等进行不合理限制或者附加不合理条件，或者向平台内经营者收取不合理费用的，由市场监督管理部门责令限期改正，可以处五万元以上五十万元以下的罚款；情节严重的，处五十万元以上二百万元以下的罚款。</w:t>
            </w:r>
          </w:p>
          <w:p w14:paraId="6D9FE03B">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第三十五条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电子商务平台经营者不得利用服务协议、交易规则以及技术等手段，对平台内经营者在平台内的交易、交易价格以及与其他经营者的交易等进行不合理限制或者附加不合理条件，或者向平台内经营者收取不合理费用。</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13DFB0F">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较轻</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19AA0C12">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设定不合理限制或者附加不合理条件的持续时间</w:t>
            </w:r>
            <w:r>
              <w:rPr>
                <w:rFonts w:hint="eastAsia" w:ascii="宋体" w:hAnsi="宋体" w:cs="宋体"/>
                <w:color w:val="auto"/>
                <w:sz w:val="24"/>
                <w:szCs w:val="24"/>
                <w:lang w:val="en-US" w:eastAsia="zh-CN"/>
              </w:rPr>
              <w:t>不超过</w:t>
            </w:r>
            <w:r>
              <w:rPr>
                <w:rFonts w:hint="default" w:ascii="宋体" w:hAnsi="宋体" w:cs="宋体"/>
                <w:color w:val="auto"/>
                <w:sz w:val="24"/>
                <w:szCs w:val="24"/>
                <w:lang w:val="en" w:eastAsia="zh-CN"/>
              </w:rPr>
              <w:t>1</w:t>
            </w:r>
            <w:r>
              <w:rPr>
                <w:rFonts w:hint="eastAsia" w:ascii="宋体" w:hAnsi="宋体" w:eastAsia="宋体" w:cs="宋体"/>
                <w:color w:val="auto"/>
                <w:sz w:val="24"/>
                <w:szCs w:val="24"/>
                <w:lang w:val="en-US" w:eastAsia="zh-CN"/>
              </w:rPr>
              <w:t>个月的，或者收取的不合理费用在</w:t>
            </w:r>
            <w:r>
              <w:rPr>
                <w:rFonts w:hint="default" w:ascii="宋体" w:hAnsi="宋体" w:cs="宋体"/>
                <w:color w:val="auto"/>
                <w:sz w:val="24"/>
                <w:szCs w:val="24"/>
                <w:lang w:val="en" w:eastAsia="zh-CN"/>
              </w:rPr>
              <w:t>5</w:t>
            </w:r>
            <w:r>
              <w:rPr>
                <w:rFonts w:hint="eastAsia" w:ascii="宋体" w:hAnsi="宋体" w:eastAsia="宋体" w:cs="宋体"/>
                <w:color w:val="auto"/>
                <w:sz w:val="24"/>
                <w:szCs w:val="24"/>
                <w:lang w:val="en-US" w:eastAsia="zh-CN"/>
              </w:rPr>
              <w:t>万元以下的。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515395B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责令限期改正，可以处</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万元以上</w:t>
            </w:r>
            <w:r>
              <w:rPr>
                <w:rFonts w:hint="eastAsia" w:ascii="宋体" w:hAnsi="宋体" w:cs="宋体"/>
                <w:color w:val="auto"/>
                <w:sz w:val="24"/>
                <w:szCs w:val="24"/>
                <w:lang w:val="en-US" w:eastAsia="zh-CN"/>
              </w:rPr>
              <w:t>18.5万</w:t>
            </w:r>
            <w:r>
              <w:rPr>
                <w:rFonts w:hint="eastAsia" w:ascii="宋体" w:hAnsi="宋体" w:eastAsia="宋体" w:cs="宋体"/>
                <w:color w:val="auto"/>
                <w:sz w:val="24"/>
                <w:szCs w:val="24"/>
                <w:lang w:val="en-US" w:eastAsia="zh-CN"/>
              </w:rPr>
              <w:t>元以下的罚款。</w:t>
            </w:r>
          </w:p>
        </w:tc>
      </w:tr>
      <w:tr w14:paraId="2ED9C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1"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E88D4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61731F">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926C17">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89870B2">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一般</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44CAB9B7">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设定不合理限制或者附加不合理条件的持续时间在</w:t>
            </w:r>
            <w:r>
              <w:rPr>
                <w:rFonts w:hint="default" w:ascii="宋体" w:hAnsi="宋体" w:cs="宋体"/>
                <w:color w:val="auto"/>
                <w:sz w:val="24"/>
                <w:szCs w:val="24"/>
                <w:lang w:val="en" w:eastAsia="zh-CN"/>
              </w:rPr>
              <w:t>1</w:t>
            </w:r>
            <w:r>
              <w:rPr>
                <w:rFonts w:hint="eastAsia" w:ascii="宋体" w:hAnsi="宋体" w:eastAsia="宋体" w:cs="宋体"/>
                <w:color w:val="auto"/>
                <w:sz w:val="24"/>
                <w:szCs w:val="24"/>
                <w:lang w:val="en-US" w:eastAsia="zh-CN"/>
              </w:rPr>
              <w:t>个月以上</w:t>
            </w:r>
            <w:r>
              <w:rPr>
                <w:rFonts w:hint="default" w:ascii="宋体" w:hAnsi="宋体" w:cs="宋体"/>
                <w:color w:val="auto"/>
                <w:sz w:val="24"/>
                <w:szCs w:val="24"/>
                <w:lang w:val="en" w:eastAsia="zh-CN"/>
              </w:rPr>
              <w:t>6</w:t>
            </w:r>
            <w:r>
              <w:rPr>
                <w:rFonts w:hint="eastAsia" w:ascii="宋体" w:hAnsi="宋体" w:eastAsia="宋体" w:cs="宋体"/>
                <w:color w:val="auto"/>
                <w:sz w:val="24"/>
                <w:szCs w:val="24"/>
                <w:lang w:val="en-US" w:eastAsia="zh-CN"/>
              </w:rPr>
              <w:t>个月以下的，或者收取的不合理费用在</w:t>
            </w:r>
            <w:r>
              <w:rPr>
                <w:rFonts w:hint="default" w:ascii="宋体" w:hAnsi="宋体" w:cs="宋体"/>
                <w:color w:val="auto"/>
                <w:sz w:val="24"/>
                <w:szCs w:val="24"/>
                <w:lang w:val="en" w:eastAsia="zh-CN"/>
              </w:rPr>
              <w:t>5</w:t>
            </w:r>
            <w:r>
              <w:rPr>
                <w:rFonts w:hint="eastAsia" w:ascii="宋体" w:hAnsi="宋体" w:eastAsia="宋体" w:cs="宋体"/>
                <w:color w:val="auto"/>
                <w:sz w:val="24"/>
                <w:szCs w:val="24"/>
                <w:lang w:val="en-US" w:eastAsia="zh-CN"/>
              </w:rPr>
              <w:t>万</w:t>
            </w:r>
            <w:r>
              <w:rPr>
                <w:rFonts w:hint="eastAsia" w:ascii="宋体" w:hAnsi="宋体" w:cs="宋体"/>
                <w:color w:val="auto"/>
                <w:sz w:val="24"/>
                <w:szCs w:val="24"/>
                <w:lang w:val="en-US" w:eastAsia="zh-CN"/>
              </w:rPr>
              <w:t>元以上</w:t>
            </w:r>
            <w:r>
              <w:rPr>
                <w:rFonts w:hint="default" w:ascii="宋体" w:hAnsi="宋体" w:cs="宋体"/>
                <w:color w:val="auto"/>
                <w:sz w:val="24"/>
                <w:szCs w:val="24"/>
                <w:lang w:val="en" w:eastAsia="zh-CN"/>
              </w:rPr>
              <w:t>50</w:t>
            </w:r>
            <w:r>
              <w:rPr>
                <w:rFonts w:hint="eastAsia" w:ascii="宋体" w:hAnsi="宋体" w:eastAsia="宋体" w:cs="宋体"/>
                <w:color w:val="auto"/>
                <w:sz w:val="24"/>
                <w:szCs w:val="24"/>
                <w:lang w:val="en-US" w:eastAsia="zh-CN"/>
              </w:rPr>
              <w:t>万元以下的。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28640D85">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责令限期改正，可以处</w:t>
            </w:r>
            <w:r>
              <w:rPr>
                <w:rFonts w:hint="eastAsia" w:ascii="宋体" w:hAnsi="宋体" w:cs="宋体"/>
                <w:color w:val="auto"/>
                <w:sz w:val="24"/>
                <w:szCs w:val="24"/>
                <w:lang w:val="en-US" w:eastAsia="zh-CN"/>
              </w:rPr>
              <w:t>18.5万</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36.5万</w:t>
            </w:r>
            <w:r>
              <w:rPr>
                <w:rFonts w:hint="eastAsia" w:ascii="宋体" w:hAnsi="宋体" w:eastAsia="宋体" w:cs="宋体"/>
                <w:color w:val="auto"/>
                <w:sz w:val="24"/>
                <w:szCs w:val="24"/>
                <w:lang w:val="en-US" w:eastAsia="zh-CN"/>
              </w:rPr>
              <w:t>元以下的罚款。</w:t>
            </w:r>
          </w:p>
        </w:tc>
      </w:tr>
      <w:tr w14:paraId="682A0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8"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B9D10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C45232">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6CFE8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178F409">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125098A5">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设定不合理限制或者附加不合理条件的持续时间在</w:t>
            </w:r>
            <w:r>
              <w:rPr>
                <w:rFonts w:hint="default" w:ascii="宋体" w:hAnsi="宋体" w:cs="宋体"/>
                <w:color w:val="auto"/>
                <w:sz w:val="24"/>
                <w:szCs w:val="24"/>
                <w:lang w:val="en" w:eastAsia="zh-CN"/>
              </w:rPr>
              <w:t>6</w:t>
            </w:r>
            <w:r>
              <w:rPr>
                <w:rFonts w:hint="eastAsia" w:ascii="宋体" w:hAnsi="宋体" w:eastAsia="宋体" w:cs="宋体"/>
                <w:color w:val="auto"/>
                <w:sz w:val="24"/>
                <w:szCs w:val="24"/>
                <w:lang w:val="en-US" w:eastAsia="zh-CN"/>
              </w:rPr>
              <w:t>个月以上的，或者收取的不合理费用在</w:t>
            </w:r>
            <w:r>
              <w:rPr>
                <w:rFonts w:hint="default" w:ascii="宋体" w:hAnsi="宋体" w:cs="宋体"/>
                <w:color w:val="auto"/>
                <w:sz w:val="24"/>
                <w:szCs w:val="24"/>
                <w:lang w:val="en" w:eastAsia="zh-CN"/>
              </w:rPr>
              <w:t>50</w:t>
            </w:r>
            <w:r>
              <w:rPr>
                <w:rFonts w:hint="eastAsia" w:ascii="宋体" w:hAnsi="宋体" w:eastAsia="宋体" w:cs="宋体"/>
                <w:color w:val="auto"/>
                <w:sz w:val="24"/>
                <w:szCs w:val="24"/>
                <w:lang w:val="en-US" w:eastAsia="zh-CN"/>
              </w:rPr>
              <w:t>万元以上的。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0DBDF767">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责令限期改正，可以处</w:t>
            </w:r>
            <w:r>
              <w:rPr>
                <w:rFonts w:hint="eastAsia" w:ascii="宋体" w:hAnsi="宋体" w:cs="宋体"/>
                <w:color w:val="auto"/>
                <w:sz w:val="24"/>
                <w:szCs w:val="24"/>
                <w:lang w:val="en-US" w:eastAsia="zh-CN"/>
              </w:rPr>
              <w:t>36.5万</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50</w:t>
            </w:r>
            <w:r>
              <w:rPr>
                <w:rFonts w:hint="eastAsia" w:ascii="宋体" w:hAnsi="宋体" w:eastAsia="宋体" w:cs="宋体"/>
                <w:color w:val="auto"/>
                <w:sz w:val="24"/>
                <w:szCs w:val="24"/>
                <w:lang w:val="en-US" w:eastAsia="zh-CN"/>
              </w:rPr>
              <w:t>万元以下的罚款。</w:t>
            </w:r>
          </w:p>
        </w:tc>
      </w:tr>
      <w:tr w14:paraId="396B8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3"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A5033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0ECCD2">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5CB156">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382CDFC">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严重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3DF84860">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造成重大社会影响等严重后果的。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232B87CF">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责令限期改正，处</w:t>
            </w:r>
            <w:r>
              <w:rPr>
                <w:rFonts w:hint="eastAsia" w:ascii="宋体" w:hAnsi="宋体" w:cs="宋体"/>
                <w:color w:val="auto"/>
                <w:sz w:val="24"/>
                <w:szCs w:val="24"/>
                <w:lang w:val="en-US" w:eastAsia="zh-CN"/>
              </w:rPr>
              <w:t>50</w:t>
            </w:r>
            <w:r>
              <w:rPr>
                <w:rFonts w:hint="eastAsia" w:ascii="宋体" w:hAnsi="宋体" w:eastAsia="宋体" w:cs="宋体"/>
                <w:color w:val="auto"/>
                <w:sz w:val="24"/>
                <w:szCs w:val="24"/>
                <w:lang w:val="en-US" w:eastAsia="zh-CN"/>
              </w:rPr>
              <w:t>万元以上</w:t>
            </w:r>
            <w:r>
              <w:rPr>
                <w:rFonts w:hint="eastAsia" w:ascii="宋体" w:hAnsi="宋体" w:cs="宋体"/>
                <w:color w:val="auto"/>
                <w:sz w:val="24"/>
                <w:szCs w:val="24"/>
                <w:lang w:val="en-US" w:eastAsia="zh-CN"/>
              </w:rPr>
              <w:t>200</w:t>
            </w:r>
            <w:r>
              <w:rPr>
                <w:rFonts w:hint="eastAsia" w:ascii="宋体" w:hAnsi="宋体" w:eastAsia="宋体" w:cs="宋体"/>
                <w:color w:val="auto"/>
                <w:sz w:val="24"/>
                <w:szCs w:val="24"/>
                <w:lang w:val="en-US" w:eastAsia="zh-CN"/>
              </w:rPr>
              <w:t>万元以下的罚款。</w:t>
            </w:r>
          </w:p>
        </w:tc>
      </w:tr>
      <w:tr w14:paraId="70764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exact"/>
          <w:jc w:val="center"/>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262974A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71</w:t>
            </w:r>
          </w:p>
        </w:tc>
        <w:tc>
          <w:tcPr>
            <w:tcW w:w="1588" w:type="dxa"/>
            <w:vMerge w:val="restart"/>
            <w:tcBorders>
              <w:top w:val="single" w:color="000000" w:sz="4" w:space="0"/>
              <w:left w:val="single" w:color="000000" w:sz="4" w:space="0"/>
              <w:bottom w:val="single" w:color="000000" w:sz="4" w:space="0"/>
              <w:right w:val="single" w:color="000000" w:sz="4" w:space="0"/>
            </w:tcBorders>
            <w:noWrap w:val="0"/>
            <w:vAlign w:val="center"/>
          </w:tcPr>
          <w:p w14:paraId="08C43E99">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《中华人民共和国电子商务法》</w:t>
            </w:r>
          </w:p>
        </w:tc>
        <w:tc>
          <w:tcPr>
            <w:tcW w:w="4181" w:type="dxa"/>
            <w:vMerge w:val="restart"/>
            <w:tcBorders>
              <w:top w:val="single" w:color="000000" w:sz="4" w:space="0"/>
              <w:left w:val="single" w:color="000000" w:sz="4" w:space="0"/>
              <w:bottom w:val="single" w:color="000000" w:sz="4" w:space="0"/>
              <w:right w:val="single" w:color="000000" w:sz="4" w:space="0"/>
            </w:tcBorders>
            <w:noWrap w:val="0"/>
            <w:vAlign w:val="center"/>
          </w:tcPr>
          <w:p w14:paraId="26124440">
            <w:pPr>
              <w:keepNext w:val="0"/>
              <w:keepLines w:val="0"/>
              <w:pageBreakBefore w:val="0"/>
              <w:widowControl w:val="0"/>
              <w:kinsoku/>
              <w:wordWrap/>
              <w:overflowPunct/>
              <w:topLinePunct w:val="0"/>
              <w:autoSpaceDE/>
              <w:autoSpaceDN/>
              <w:bidi w:val="0"/>
              <w:adjustRightInd/>
              <w:snapToGrid/>
              <w:spacing w:line="384"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第八十三条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电子商务平台经营者违反本法第三十八条规定，对平台内经营者侵害消费者合法权益行为未采取必要措施，或者对平台内经营者未尽到资质资格审核义务，或者对消费者未尽到安全保障义务的，由市场监督管理部门责令限期改正，可以处五万元以上五十万元以下的罚款；情节严重的，责令停业整顿，并处五十万元以上二百万元以下的罚款。</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87574D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较轻</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4E240D6C">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违法行为持续</w:t>
            </w:r>
            <w:r>
              <w:rPr>
                <w:rFonts w:hint="default" w:ascii="宋体" w:hAnsi="宋体" w:cs="宋体"/>
                <w:color w:val="auto"/>
                <w:sz w:val="24"/>
                <w:szCs w:val="24"/>
                <w:lang w:val="en" w:eastAsia="zh-CN"/>
              </w:rPr>
              <w:t>1</w:t>
            </w:r>
            <w:r>
              <w:rPr>
                <w:rFonts w:hint="eastAsia" w:ascii="宋体" w:hAnsi="宋体" w:eastAsia="宋体" w:cs="宋体"/>
                <w:color w:val="auto"/>
                <w:sz w:val="24"/>
                <w:szCs w:val="24"/>
                <w:lang w:val="en-US" w:eastAsia="zh-CN"/>
              </w:rPr>
              <w:t>个月以下的。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613E3A2A">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责令限期改正，可以处</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万元以上</w:t>
            </w:r>
            <w:r>
              <w:rPr>
                <w:rFonts w:hint="eastAsia" w:ascii="宋体" w:hAnsi="宋体" w:cs="宋体"/>
                <w:color w:val="auto"/>
                <w:sz w:val="24"/>
                <w:szCs w:val="24"/>
                <w:lang w:val="en-US" w:eastAsia="zh-CN"/>
              </w:rPr>
              <w:t>18.5万</w:t>
            </w:r>
            <w:r>
              <w:rPr>
                <w:rFonts w:hint="eastAsia" w:ascii="宋体" w:hAnsi="宋体" w:eastAsia="宋体" w:cs="宋体"/>
                <w:color w:val="auto"/>
                <w:sz w:val="24"/>
                <w:szCs w:val="24"/>
                <w:lang w:val="en-US" w:eastAsia="zh-CN"/>
              </w:rPr>
              <w:t>元以下的罚款。</w:t>
            </w:r>
          </w:p>
        </w:tc>
      </w:tr>
      <w:tr w14:paraId="4CC77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exac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517706">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05A461">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BE0ED1">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A839777">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一般</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371CD4BB">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违法行为持续</w:t>
            </w:r>
            <w:r>
              <w:rPr>
                <w:rFonts w:hint="default" w:ascii="宋体" w:hAnsi="宋体" w:cs="宋体"/>
                <w:color w:val="auto"/>
                <w:sz w:val="24"/>
                <w:szCs w:val="24"/>
                <w:lang w:val="en" w:eastAsia="zh-CN"/>
              </w:rPr>
              <w:t>1</w:t>
            </w:r>
            <w:r>
              <w:rPr>
                <w:rFonts w:hint="eastAsia" w:ascii="宋体" w:hAnsi="宋体" w:eastAsia="宋体" w:cs="宋体"/>
                <w:color w:val="auto"/>
                <w:sz w:val="24"/>
                <w:szCs w:val="24"/>
                <w:lang w:val="en-US" w:eastAsia="zh-CN"/>
              </w:rPr>
              <w:t>个月以上</w:t>
            </w:r>
            <w:r>
              <w:rPr>
                <w:rFonts w:hint="default" w:ascii="宋体" w:hAnsi="宋体" w:cs="宋体"/>
                <w:color w:val="auto"/>
                <w:sz w:val="24"/>
                <w:szCs w:val="24"/>
                <w:lang w:val="en" w:eastAsia="zh-CN"/>
              </w:rPr>
              <w:t>6</w:t>
            </w:r>
            <w:r>
              <w:rPr>
                <w:rFonts w:hint="eastAsia" w:ascii="宋体" w:hAnsi="宋体" w:eastAsia="宋体" w:cs="宋体"/>
                <w:color w:val="auto"/>
                <w:sz w:val="24"/>
                <w:szCs w:val="24"/>
                <w:lang w:val="en-US" w:eastAsia="zh-CN"/>
              </w:rPr>
              <w:t>个月以下的</w:t>
            </w:r>
            <w:r>
              <w:rPr>
                <w:rFonts w:hint="eastAsia" w:ascii="宋体" w:hAnsi="宋体" w:cs="宋体"/>
                <w:color w:val="auto"/>
                <w:sz w:val="24"/>
                <w:szCs w:val="24"/>
                <w:lang w:val="en-US" w:eastAsia="zh-CN"/>
              </w:rPr>
              <w:t>。</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3F5B9C77">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责令限期改正，可以处</w:t>
            </w:r>
            <w:r>
              <w:rPr>
                <w:rFonts w:hint="eastAsia" w:ascii="宋体" w:hAnsi="宋体" w:cs="宋体"/>
                <w:color w:val="auto"/>
                <w:sz w:val="24"/>
                <w:szCs w:val="24"/>
                <w:lang w:val="en-US" w:eastAsia="zh-CN"/>
              </w:rPr>
              <w:t>18.5万</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36.5万</w:t>
            </w:r>
            <w:r>
              <w:rPr>
                <w:rFonts w:hint="eastAsia" w:ascii="宋体" w:hAnsi="宋体" w:eastAsia="宋体" w:cs="宋体"/>
                <w:color w:val="auto"/>
                <w:sz w:val="24"/>
                <w:szCs w:val="24"/>
                <w:lang w:val="en-US" w:eastAsia="zh-CN"/>
              </w:rPr>
              <w:t>元以下的罚款。</w:t>
            </w:r>
          </w:p>
        </w:tc>
      </w:tr>
      <w:tr w14:paraId="259E1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exac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3670BA">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1BAD0F">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FFDF83">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8597F7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2A590BE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违法行为持续</w:t>
            </w:r>
            <w:r>
              <w:rPr>
                <w:rFonts w:hint="default" w:ascii="宋体" w:hAnsi="宋体" w:cs="宋体"/>
                <w:color w:val="auto"/>
                <w:sz w:val="24"/>
                <w:szCs w:val="24"/>
                <w:lang w:val="en" w:eastAsia="zh-CN"/>
              </w:rPr>
              <w:t>6</w:t>
            </w:r>
            <w:r>
              <w:rPr>
                <w:rFonts w:hint="eastAsia" w:ascii="宋体" w:hAnsi="宋体" w:eastAsia="宋体" w:cs="宋体"/>
                <w:color w:val="auto"/>
                <w:sz w:val="24"/>
                <w:szCs w:val="24"/>
                <w:lang w:val="en-US" w:eastAsia="zh-CN"/>
              </w:rPr>
              <w:t>个月以上的。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36C77A90">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责令限期改正，可以处</w:t>
            </w:r>
            <w:r>
              <w:rPr>
                <w:rFonts w:hint="eastAsia" w:ascii="宋体" w:hAnsi="宋体" w:cs="宋体"/>
                <w:color w:val="auto"/>
                <w:sz w:val="24"/>
                <w:szCs w:val="24"/>
                <w:lang w:val="en-US" w:eastAsia="zh-CN"/>
              </w:rPr>
              <w:t>36.5万</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50</w:t>
            </w:r>
            <w:r>
              <w:rPr>
                <w:rFonts w:hint="eastAsia" w:ascii="宋体" w:hAnsi="宋体" w:eastAsia="宋体" w:cs="宋体"/>
                <w:color w:val="auto"/>
                <w:sz w:val="24"/>
                <w:szCs w:val="24"/>
                <w:lang w:val="en-US" w:eastAsia="zh-CN"/>
              </w:rPr>
              <w:t>万元以下的罚款。</w:t>
            </w:r>
          </w:p>
        </w:tc>
      </w:tr>
      <w:tr w14:paraId="20CDC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exac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CBC0F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DE5743">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BE922C">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33FD89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严重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4490A8AB">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造成重大社会影响等严重后果的。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3ABD24FC">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责令停业整顿，并处</w:t>
            </w:r>
            <w:r>
              <w:rPr>
                <w:rFonts w:hint="eastAsia" w:ascii="宋体" w:hAnsi="宋体" w:cs="宋体"/>
                <w:color w:val="auto"/>
                <w:sz w:val="24"/>
                <w:szCs w:val="24"/>
                <w:lang w:val="en-US" w:eastAsia="zh-CN"/>
              </w:rPr>
              <w:t>50</w:t>
            </w:r>
            <w:r>
              <w:rPr>
                <w:rFonts w:hint="eastAsia" w:ascii="宋体" w:hAnsi="宋体" w:eastAsia="宋体" w:cs="宋体"/>
                <w:color w:val="auto"/>
                <w:sz w:val="24"/>
                <w:szCs w:val="24"/>
                <w:lang w:val="en-US" w:eastAsia="zh-CN"/>
              </w:rPr>
              <w:t>万元以上</w:t>
            </w:r>
            <w:r>
              <w:rPr>
                <w:rFonts w:hint="eastAsia" w:ascii="宋体" w:hAnsi="宋体" w:cs="宋体"/>
                <w:color w:val="auto"/>
                <w:sz w:val="24"/>
                <w:szCs w:val="24"/>
                <w:lang w:val="en-US" w:eastAsia="zh-CN"/>
              </w:rPr>
              <w:t>200</w:t>
            </w:r>
            <w:r>
              <w:rPr>
                <w:rFonts w:hint="eastAsia" w:ascii="宋体" w:hAnsi="宋体" w:eastAsia="宋体" w:cs="宋体"/>
                <w:color w:val="auto"/>
                <w:sz w:val="24"/>
                <w:szCs w:val="24"/>
                <w:lang w:val="en-US" w:eastAsia="zh-CN"/>
              </w:rPr>
              <w:t>万元以下的罚款。</w:t>
            </w:r>
          </w:p>
        </w:tc>
      </w:tr>
      <w:tr w14:paraId="76E63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exact"/>
          <w:jc w:val="center"/>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4CD74C9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72</w:t>
            </w:r>
          </w:p>
        </w:tc>
        <w:tc>
          <w:tcPr>
            <w:tcW w:w="1588" w:type="dxa"/>
            <w:vMerge w:val="restart"/>
            <w:tcBorders>
              <w:top w:val="single" w:color="000000" w:sz="4" w:space="0"/>
              <w:left w:val="single" w:color="000000" w:sz="4" w:space="0"/>
              <w:bottom w:val="single" w:color="000000" w:sz="4" w:space="0"/>
              <w:right w:val="single" w:color="000000" w:sz="4" w:space="0"/>
            </w:tcBorders>
            <w:noWrap w:val="0"/>
            <w:vAlign w:val="center"/>
          </w:tcPr>
          <w:p w14:paraId="3D2E49CC">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《中华人民共和国电子商务法》</w:t>
            </w:r>
          </w:p>
        </w:tc>
        <w:tc>
          <w:tcPr>
            <w:tcW w:w="4181" w:type="dxa"/>
            <w:vMerge w:val="restart"/>
            <w:tcBorders>
              <w:top w:val="single" w:color="000000" w:sz="4" w:space="0"/>
              <w:left w:val="single" w:color="000000" w:sz="4" w:space="0"/>
              <w:bottom w:val="single" w:color="000000" w:sz="4" w:space="0"/>
              <w:right w:val="single" w:color="000000" w:sz="4" w:space="0"/>
            </w:tcBorders>
            <w:noWrap w:val="0"/>
            <w:vAlign w:val="center"/>
          </w:tcPr>
          <w:p w14:paraId="5708F8C7">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第八十四条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电子商务平台经营者违反本法第四十二条、第四十五条规定，对平台内经营者实施侵犯知识产权行为未依法采取必要措施的，由有关知识产权行政部门责令限期改正；逾期不改正的，处五万元以上五十万元以下的罚款；情节严重的，处五十万元以上二百万元以下的罚款。</w:t>
            </w:r>
          </w:p>
          <w:p w14:paraId="03008659">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 xml:space="preserve"> </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32B15B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较轻</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5F72E795">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逾期10日以下未改正的。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25972AFB">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万元以上</w:t>
            </w:r>
            <w:r>
              <w:rPr>
                <w:rFonts w:hint="eastAsia" w:ascii="宋体" w:hAnsi="宋体" w:cs="宋体"/>
                <w:color w:val="auto"/>
                <w:sz w:val="24"/>
                <w:szCs w:val="24"/>
                <w:lang w:val="en-US" w:eastAsia="zh-CN"/>
              </w:rPr>
              <w:t>18.5万</w:t>
            </w:r>
            <w:r>
              <w:rPr>
                <w:rFonts w:hint="eastAsia" w:ascii="宋体" w:hAnsi="宋体" w:eastAsia="宋体" w:cs="宋体"/>
                <w:color w:val="auto"/>
                <w:sz w:val="24"/>
                <w:szCs w:val="24"/>
                <w:lang w:val="en-US" w:eastAsia="zh-CN"/>
              </w:rPr>
              <w:t>元以下的罚款。</w:t>
            </w:r>
          </w:p>
        </w:tc>
      </w:tr>
      <w:tr w14:paraId="395D0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exac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C6D0AC">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B3C101">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8FA078">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9B479A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一般</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4B5E4447">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逾期10日以上30日以下未改正的。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1F844FCA">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w:t>
            </w:r>
            <w:r>
              <w:rPr>
                <w:rFonts w:hint="eastAsia" w:ascii="宋体" w:hAnsi="宋体" w:cs="宋体"/>
                <w:color w:val="auto"/>
                <w:sz w:val="24"/>
                <w:szCs w:val="24"/>
                <w:lang w:val="en-US" w:eastAsia="zh-CN"/>
              </w:rPr>
              <w:t>18.5万</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36.5万</w:t>
            </w:r>
            <w:r>
              <w:rPr>
                <w:rFonts w:hint="eastAsia" w:ascii="宋体" w:hAnsi="宋体" w:eastAsia="宋体" w:cs="宋体"/>
                <w:color w:val="auto"/>
                <w:sz w:val="24"/>
                <w:szCs w:val="24"/>
                <w:lang w:val="en-US" w:eastAsia="zh-CN"/>
              </w:rPr>
              <w:t>元以下的罚款。</w:t>
            </w:r>
          </w:p>
        </w:tc>
      </w:tr>
      <w:tr w14:paraId="258C1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exac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788F66">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E4D28B">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C62FE7">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61D1CE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7C195A62">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逾期30日以上未改正的。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69FA33B9">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w:t>
            </w:r>
            <w:r>
              <w:rPr>
                <w:rFonts w:hint="eastAsia" w:ascii="宋体" w:hAnsi="宋体" w:cs="宋体"/>
                <w:color w:val="auto"/>
                <w:sz w:val="24"/>
                <w:szCs w:val="24"/>
                <w:lang w:val="en-US" w:eastAsia="zh-CN"/>
              </w:rPr>
              <w:t>36.5万</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50</w:t>
            </w:r>
            <w:r>
              <w:rPr>
                <w:rFonts w:hint="eastAsia" w:ascii="宋体" w:hAnsi="宋体" w:eastAsia="宋体" w:cs="宋体"/>
                <w:color w:val="auto"/>
                <w:sz w:val="24"/>
                <w:szCs w:val="24"/>
                <w:lang w:val="en-US" w:eastAsia="zh-CN"/>
              </w:rPr>
              <w:t>万元以下的罚款。</w:t>
            </w:r>
          </w:p>
        </w:tc>
      </w:tr>
      <w:tr w14:paraId="34180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exac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AEA065">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C8AC9D">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89EDF4">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A3AA59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严重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061333ED">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造成重大社会影响等严重后果的。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675A349E">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w:t>
            </w:r>
            <w:r>
              <w:rPr>
                <w:rFonts w:hint="eastAsia" w:ascii="宋体" w:hAnsi="宋体" w:cs="宋体"/>
                <w:color w:val="auto"/>
                <w:sz w:val="24"/>
                <w:szCs w:val="24"/>
                <w:lang w:val="en-US" w:eastAsia="zh-CN"/>
              </w:rPr>
              <w:t>50</w:t>
            </w:r>
            <w:r>
              <w:rPr>
                <w:rFonts w:hint="eastAsia" w:ascii="宋体" w:hAnsi="宋体" w:eastAsia="宋体" w:cs="宋体"/>
                <w:color w:val="auto"/>
                <w:sz w:val="24"/>
                <w:szCs w:val="24"/>
                <w:lang w:val="en-US" w:eastAsia="zh-CN"/>
              </w:rPr>
              <w:t>万元以上</w:t>
            </w:r>
            <w:r>
              <w:rPr>
                <w:rFonts w:hint="eastAsia" w:ascii="宋体" w:hAnsi="宋体" w:cs="宋体"/>
                <w:color w:val="auto"/>
                <w:sz w:val="24"/>
                <w:szCs w:val="24"/>
                <w:lang w:val="en-US" w:eastAsia="zh-CN"/>
              </w:rPr>
              <w:t>200</w:t>
            </w:r>
            <w:r>
              <w:rPr>
                <w:rFonts w:hint="eastAsia" w:ascii="宋体" w:hAnsi="宋体" w:eastAsia="宋体" w:cs="宋体"/>
                <w:color w:val="auto"/>
                <w:sz w:val="24"/>
                <w:szCs w:val="24"/>
                <w:lang w:val="en-US" w:eastAsia="zh-CN"/>
              </w:rPr>
              <w:t>万元以下的罚款。</w:t>
            </w:r>
          </w:p>
        </w:tc>
      </w:tr>
      <w:tr w14:paraId="16325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7"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1504FD2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73</w:t>
            </w:r>
          </w:p>
        </w:tc>
        <w:tc>
          <w:tcPr>
            <w:tcW w:w="1588" w:type="dxa"/>
            <w:vMerge w:val="restart"/>
            <w:tcBorders>
              <w:top w:val="single" w:color="000000" w:sz="4" w:space="0"/>
              <w:left w:val="single" w:color="000000" w:sz="4" w:space="0"/>
              <w:bottom w:val="single" w:color="000000" w:sz="4" w:space="0"/>
              <w:right w:val="single" w:color="000000" w:sz="4" w:space="0"/>
            </w:tcBorders>
            <w:noWrap w:val="0"/>
            <w:vAlign w:val="center"/>
          </w:tcPr>
          <w:p w14:paraId="385C1728">
            <w:pPr>
              <w:keepNext w:val="0"/>
              <w:keepLines w:val="0"/>
              <w:pageBreakBefore w:val="0"/>
              <w:widowControl w:val="0"/>
              <w:kinsoku/>
              <w:wordWrap/>
              <w:overflowPunct/>
              <w:topLinePunct w:val="0"/>
              <w:autoSpaceDE/>
              <w:autoSpaceDN/>
              <w:bidi w:val="0"/>
              <w:adjustRightInd/>
              <w:snapToGrid/>
              <w:spacing w:line="400" w:lineRule="exact"/>
              <w:ind w:left="42" w:leftChars="20" w:right="42" w:rightChars="20"/>
              <w:jc w:val="both"/>
              <w:textAlignment w:val="auto"/>
              <w:outlineLvl w:val="2"/>
              <w:rPr>
                <w:rFonts w:hint="eastAsia" w:ascii="宋体" w:hAnsi="宋体" w:eastAsia="宋体" w:cs="宋体"/>
                <w:color w:val="auto"/>
                <w:sz w:val="24"/>
                <w:szCs w:val="24"/>
                <w:lang w:val="en-US" w:eastAsia="zh-CN"/>
              </w:rPr>
            </w:pPr>
            <w:bookmarkStart w:id="104" w:name="_Toc20643"/>
            <w:bookmarkStart w:id="105" w:name="_Toc19892"/>
            <w:bookmarkStart w:id="106" w:name="_Toc19327"/>
            <w:bookmarkStart w:id="107" w:name="_Toc21326"/>
            <w:bookmarkStart w:id="108" w:name="_Toc22252"/>
            <w:r>
              <w:rPr>
                <w:rFonts w:hint="eastAsia" w:ascii="宋体" w:hAnsi="宋体" w:eastAsia="宋体" w:cs="宋体"/>
                <w:color w:val="auto"/>
                <w:sz w:val="24"/>
                <w:szCs w:val="24"/>
                <w:lang w:val="en-US" w:eastAsia="zh-CN"/>
              </w:rPr>
              <w:t>《网络交易监督管理办法》</w:t>
            </w:r>
            <w:bookmarkEnd w:id="104"/>
            <w:bookmarkEnd w:id="105"/>
            <w:bookmarkEnd w:id="106"/>
            <w:bookmarkEnd w:id="107"/>
            <w:bookmarkEnd w:id="108"/>
          </w:p>
          <w:p w14:paraId="1DBA195C">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outlineLvl w:val="2"/>
              <w:rPr>
                <w:rFonts w:hint="default" w:ascii="宋体" w:hAnsi="宋体" w:eastAsia="宋体" w:cs="宋体"/>
                <w:color w:val="auto"/>
                <w:sz w:val="24"/>
                <w:szCs w:val="24"/>
                <w:lang w:eastAsia="zh-CN"/>
              </w:rPr>
            </w:pPr>
            <w:bookmarkStart w:id="109" w:name="_Toc7585"/>
            <w:bookmarkStart w:id="110" w:name="_Toc9986"/>
            <w:r>
              <w:rPr>
                <w:rFonts w:hint="default" w:ascii="宋体" w:hAnsi="宋体" w:eastAsia="宋体" w:cs="宋体"/>
                <w:color w:val="auto"/>
                <w:sz w:val="24"/>
                <w:szCs w:val="24"/>
                <w:lang w:eastAsia="zh-CN"/>
              </w:rPr>
              <w:t>（2025年5月1日</w:t>
            </w:r>
            <w:r>
              <w:rPr>
                <w:rFonts w:hint="eastAsia" w:ascii="宋体" w:hAnsi="宋体" w:cs="宋体"/>
                <w:color w:val="auto"/>
                <w:sz w:val="24"/>
                <w:szCs w:val="24"/>
                <w:lang w:val="en-US" w:eastAsia="zh-CN"/>
              </w:rPr>
              <w:t>起</w:t>
            </w:r>
            <w:r>
              <w:rPr>
                <w:rFonts w:hint="default" w:ascii="宋体" w:hAnsi="宋体" w:eastAsia="宋体" w:cs="宋体"/>
                <w:color w:val="auto"/>
                <w:sz w:val="24"/>
                <w:szCs w:val="24"/>
                <w:lang w:eastAsia="zh-CN"/>
              </w:rPr>
              <w:t>施行）</w:t>
            </w:r>
            <w:bookmarkEnd w:id="109"/>
            <w:bookmarkEnd w:id="110"/>
          </w:p>
          <w:p w14:paraId="77B5E278">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lang w:val="en-US" w:eastAsia="zh-CN"/>
              </w:rPr>
            </w:pPr>
          </w:p>
        </w:tc>
        <w:tc>
          <w:tcPr>
            <w:tcW w:w="4181" w:type="dxa"/>
            <w:vMerge w:val="restart"/>
            <w:tcBorders>
              <w:top w:val="single" w:color="000000" w:sz="4" w:space="0"/>
              <w:left w:val="single" w:color="000000" w:sz="4" w:space="0"/>
              <w:bottom w:val="single" w:color="000000" w:sz="4" w:space="0"/>
              <w:right w:val="single" w:color="000000" w:sz="4" w:space="0"/>
            </w:tcBorders>
            <w:noWrap w:val="0"/>
            <w:vAlign w:val="center"/>
          </w:tcPr>
          <w:p w14:paraId="18E3525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第四十条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 xml:space="preserve">网络交易平台经营者违反本办法第十条，拒不为入驻的平台内经营者出具网络经营场所相关材料的，由市场监督管理部门责令限期改正；逾期不改正的，处一万元以上三万元以下罚款。        </w:t>
            </w:r>
          </w:p>
          <w:p w14:paraId="3302117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第十条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平台内经营者申请将网络经营场所登记为经营场所的，由其入驻的网络交易平台为其出具符合登记机关要求的网络经营场所相关材料。</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5A343A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较轻</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28D4F123">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拒不为1个入驻的平台内经营者出具网络经营场所相关材料的。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3CED759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万元以上</w:t>
            </w:r>
            <w:r>
              <w:rPr>
                <w:rFonts w:hint="eastAsia" w:ascii="宋体" w:hAnsi="宋体" w:cs="宋体"/>
                <w:color w:val="auto"/>
                <w:sz w:val="24"/>
                <w:szCs w:val="24"/>
                <w:lang w:val="en-US" w:eastAsia="zh-CN"/>
              </w:rPr>
              <w:t>1.6万</w:t>
            </w:r>
            <w:r>
              <w:rPr>
                <w:rFonts w:hint="eastAsia" w:ascii="宋体" w:hAnsi="宋体" w:eastAsia="宋体" w:cs="宋体"/>
                <w:color w:val="auto"/>
                <w:sz w:val="24"/>
                <w:szCs w:val="24"/>
                <w:lang w:val="en-US" w:eastAsia="zh-CN"/>
              </w:rPr>
              <w:t>元以下罚款。</w:t>
            </w:r>
          </w:p>
        </w:tc>
      </w:tr>
      <w:tr w14:paraId="05115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4"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931F3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FD80B1">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C36084">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A5F797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一般</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681C7C4D">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拒不为1个至10个入驻的平台内经营者出具网络经营场所相关材料的。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635D4BF3">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w:t>
            </w:r>
            <w:r>
              <w:rPr>
                <w:rFonts w:hint="eastAsia" w:ascii="宋体" w:hAnsi="宋体" w:cs="宋体"/>
                <w:color w:val="auto"/>
                <w:sz w:val="24"/>
                <w:szCs w:val="24"/>
                <w:lang w:val="en-US" w:eastAsia="zh-CN"/>
              </w:rPr>
              <w:t>1.6万</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2.4万</w:t>
            </w:r>
            <w:r>
              <w:rPr>
                <w:rFonts w:hint="eastAsia" w:ascii="宋体" w:hAnsi="宋体" w:eastAsia="宋体" w:cs="宋体"/>
                <w:color w:val="auto"/>
                <w:sz w:val="24"/>
                <w:szCs w:val="24"/>
                <w:lang w:val="en-US" w:eastAsia="zh-CN"/>
              </w:rPr>
              <w:t>元以下罚款。</w:t>
            </w:r>
          </w:p>
        </w:tc>
      </w:tr>
      <w:tr w14:paraId="7B99B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8"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E09CF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203E29">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39CEE8">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5DB377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3007B99C">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拒不为10个以上入驻的平台内经营者出具网络经营场所相关材料的。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075D5BE3">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w:t>
            </w:r>
            <w:r>
              <w:rPr>
                <w:rFonts w:hint="eastAsia" w:ascii="宋体" w:hAnsi="宋体" w:cs="宋体"/>
                <w:color w:val="auto"/>
                <w:sz w:val="24"/>
                <w:szCs w:val="24"/>
                <w:lang w:val="en-US" w:eastAsia="zh-CN"/>
              </w:rPr>
              <w:t>2.4万</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万元以下罚款。</w:t>
            </w:r>
          </w:p>
        </w:tc>
      </w:tr>
      <w:tr w14:paraId="685F3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3"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00F75D4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74</w:t>
            </w:r>
          </w:p>
        </w:tc>
        <w:tc>
          <w:tcPr>
            <w:tcW w:w="1588" w:type="dxa"/>
            <w:vMerge w:val="restart"/>
            <w:tcBorders>
              <w:top w:val="single" w:color="000000" w:sz="4" w:space="0"/>
              <w:left w:val="single" w:color="000000" w:sz="4" w:space="0"/>
              <w:bottom w:val="single" w:color="000000" w:sz="4" w:space="0"/>
              <w:right w:val="single" w:color="000000" w:sz="4" w:space="0"/>
            </w:tcBorders>
            <w:noWrap w:val="0"/>
            <w:vAlign w:val="center"/>
          </w:tcPr>
          <w:p w14:paraId="37B2BAB1">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default"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《网络交易监督管理办法》</w:t>
            </w:r>
          </w:p>
          <w:p w14:paraId="2202FF37">
            <w:pPr>
              <w:pStyle w:val="16"/>
              <w:keepNext w:val="0"/>
              <w:keepLines w:val="0"/>
              <w:ind w:left="42" w:leftChars="20" w:right="42" w:rightChars="20"/>
              <w:jc w:val="both"/>
              <w:textAlignment w:val="auto"/>
              <w:rPr>
                <w:rFonts w:hint="eastAsia" w:ascii="宋体" w:hAnsi="宋体" w:eastAsia="宋体" w:cs="宋体"/>
              </w:rPr>
            </w:pPr>
          </w:p>
        </w:tc>
        <w:tc>
          <w:tcPr>
            <w:tcW w:w="4181" w:type="dxa"/>
            <w:vMerge w:val="restart"/>
            <w:tcBorders>
              <w:top w:val="single" w:color="000000" w:sz="4" w:space="0"/>
              <w:left w:val="single" w:color="000000" w:sz="4" w:space="0"/>
              <w:bottom w:val="single" w:color="000000" w:sz="4" w:space="0"/>
              <w:right w:val="single" w:color="000000" w:sz="4" w:space="0"/>
            </w:tcBorders>
            <w:noWrap w:val="0"/>
            <w:vAlign w:val="center"/>
          </w:tcPr>
          <w:p w14:paraId="78A72B8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第四十一条</w:t>
            </w:r>
            <w:r>
              <w:rPr>
                <w:rFonts w:hint="default" w:ascii="宋体" w:hAnsi="宋体" w:eastAsia="宋体" w:cs="宋体"/>
                <w:color w:val="auto"/>
                <w:sz w:val="24"/>
                <w:szCs w:val="24"/>
                <w:highlight w:val="none"/>
                <w:lang w:eastAsia="zh-CN"/>
              </w:rPr>
              <w:t>第一款</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网络交易经营者违反本办法第十一条、第十三条、第十六条、第十八条第二款，法律、行政法规有规定的，依照其规定；法律、行政法规没有规定的，由市场监督管理部门依职责责令限期改正，可以处三万元以下罚款。</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9E7B31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较轻</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3229258F">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违法行为持续</w:t>
            </w:r>
            <w:r>
              <w:rPr>
                <w:rFonts w:hint="default" w:ascii="宋体" w:hAnsi="宋体" w:cs="宋体"/>
                <w:color w:val="auto"/>
                <w:sz w:val="24"/>
                <w:szCs w:val="24"/>
                <w:lang w:val="en" w:eastAsia="zh-CN"/>
              </w:rPr>
              <w:t>1</w:t>
            </w:r>
            <w:r>
              <w:rPr>
                <w:rFonts w:hint="eastAsia" w:ascii="宋体" w:hAnsi="宋体" w:eastAsia="宋体" w:cs="宋体"/>
                <w:color w:val="auto"/>
                <w:sz w:val="24"/>
                <w:szCs w:val="24"/>
                <w:lang w:val="en-US" w:eastAsia="zh-CN"/>
              </w:rPr>
              <w:t>个月以下的。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77BBFDD2">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w:t>
            </w:r>
            <w:r>
              <w:rPr>
                <w:rFonts w:hint="eastAsia" w:ascii="宋体" w:hAnsi="宋体" w:cs="宋体"/>
                <w:color w:val="auto"/>
                <w:sz w:val="24"/>
                <w:szCs w:val="24"/>
                <w:lang w:val="en-US" w:eastAsia="zh-CN"/>
              </w:rPr>
              <w:t>9000</w:t>
            </w:r>
            <w:r>
              <w:rPr>
                <w:rFonts w:hint="eastAsia" w:ascii="宋体" w:hAnsi="宋体" w:eastAsia="宋体" w:cs="宋体"/>
                <w:color w:val="auto"/>
                <w:sz w:val="24"/>
                <w:szCs w:val="24"/>
                <w:lang w:val="en-US" w:eastAsia="zh-CN"/>
              </w:rPr>
              <w:t>元以下罚款。</w:t>
            </w:r>
          </w:p>
        </w:tc>
      </w:tr>
      <w:tr w14:paraId="54EA6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96ADF3">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A93201">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260848">
            <w:pPr>
              <w:keepNext w:val="0"/>
              <w:keepLines w:val="0"/>
              <w:pageBreakBefore w:val="0"/>
              <w:widowControl w:val="0"/>
              <w:kinsoku/>
              <w:wordWrap/>
              <w:overflowPunct/>
              <w:topLinePunct w:val="0"/>
              <w:autoSpaceDE/>
              <w:autoSpaceDN/>
              <w:bidi w:val="0"/>
              <w:adjustRightInd/>
              <w:snapToGrid/>
              <w:spacing w:line="386"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C3EF61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一般</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270B999A">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违法行为持续</w:t>
            </w:r>
            <w:r>
              <w:rPr>
                <w:rFonts w:hint="default" w:ascii="宋体" w:hAnsi="宋体" w:cs="宋体"/>
                <w:color w:val="auto"/>
                <w:sz w:val="24"/>
                <w:szCs w:val="24"/>
                <w:lang w:val="en" w:eastAsia="zh-CN"/>
              </w:rPr>
              <w:t>1</w:t>
            </w:r>
            <w:r>
              <w:rPr>
                <w:rFonts w:hint="eastAsia" w:ascii="宋体" w:hAnsi="宋体" w:eastAsia="宋体" w:cs="宋体"/>
                <w:color w:val="auto"/>
                <w:sz w:val="24"/>
                <w:szCs w:val="24"/>
                <w:lang w:val="en-US" w:eastAsia="zh-CN"/>
              </w:rPr>
              <w:t>个月以上</w:t>
            </w:r>
            <w:r>
              <w:rPr>
                <w:rFonts w:hint="default" w:ascii="宋体" w:hAnsi="宋体" w:cs="宋体"/>
                <w:color w:val="auto"/>
                <w:sz w:val="24"/>
                <w:szCs w:val="24"/>
                <w:lang w:val="en" w:eastAsia="zh-CN"/>
              </w:rPr>
              <w:t>6</w:t>
            </w:r>
            <w:r>
              <w:rPr>
                <w:rFonts w:hint="eastAsia" w:ascii="宋体" w:hAnsi="宋体" w:eastAsia="宋体" w:cs="宋体"/>
                <w:color w:val="auto"/>
                <w:sz w:val="24"/>
                <w:szCs w:val="24"/>
                <w:lang w:val="en-US" w:eastAsia="zh-CN"/>
              </w:rPr>
              <w:t>个月以下的。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26812A34">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w:t>
            </w:r>
            <w:r>
              <w:rPr>
                <w:rFonts w:hint="eastAsia" w:ascii="宋体" w:hAnsi="宋体" w:cs="宋体"/>
                <w:color w:val="auto"/>
                <w:sz w:val="24"/>
                <w:szCs w:val="24"/>
                <w:lang w:val="en-US" w:eastAsia="zh-CN"/>
              </w:rPr>
              <w:t>9000</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2.1万</w:t>
            </w:r>
            <w:r>
              <w:rPr>
                <w:rFonts w:hint="eastAsia" w:ascii="宋体" w:hAnsi="宋体" w:eastAsia="宋体" w:cs="宋体"/>
                <w:color w:val="auto"/>
                <w:sz w:val="24"/>
                <w:szCs w:val="24"/>
                <w:lang w:val="en-US" w:eastAsia="zh-CN"/>
              </w:rPr>
              <w:t>元以下罚款。</w:t>
            </w:r>
          </w:p>
        </w:tc>
      </w:tr>
      <w:tr w14:paraId="23D6A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8"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DF4C8A">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C206FF">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92B222">
            <w:pPr>
              <w:keepNext w:val="0"/>
              <w:keepLines w:val="0"/>
              <w:pageBreakBefore w:val="0"/>
              <w:widowControl w:val="0"/>
              <w:kinsoku/>
              <w:wordWrap/>
              <w:overflowPunct/>
              <w:topLinePunct w:val="0"/>
              <w:autoSpaceDE/>
              <w:autoSpaceDN/>
              <w:bidi w:val="0"/>
              <w:adjustRightInd/>
              <w:snapToGrid/>
              <w:spacing w:line="386"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7419AF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14A9B7A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违法行为持续</w:t>
            </w:r>
            <w:r>
              <w:rPr>
                <w:rFonts w:hint="default" w:ascii="宋体" w:hAnsi="宋体" w:cs="宋体"/>
                <w:color w:val="auto"/>
                <w:sz w:val="24"/>
                <w:szCs w:val="24"/>
                <w:lang w:val="en" w:eastAsia="zh-CN"/>
              </w:rPr>
              <w:t>6</w:t>
            </w:r>
            <w:r>
              <w:rPr>
                <w:rFonts w:hint="eastAsia" w:ascii="宋体" w:hAnsi="宋体" w:eastAsia="宋体" w:cs="宋体"/>
                <w:color w:val="auto"/>
                <w:sz w:val="24"/>
                <w:szCs w:val="24"/>
                <w:lang w:val="en-US" w:eastAsia="zh-CN"/>
              </w:rPr>
              <w:t>个月以上的。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77EF229F">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w:t>
            </w:r>
            <w:r>
              <w:rPr>
                <w:rFonts w:hint="eastAsia" w:ascii="宋体" w:hAnsi="宋体" w:cs="宋体"/>
                <w:color w:val="auto"/>
                <w:sz w:val="24"/>
                <w:szCs w:val="24"/>
                <w:lang w:val="en-US" w:eastAsia="zh-CN"/>
              </w:rPr>
              <w:t>2.1万</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万元以下罚款。</w:t>
            </w:r>
          </w:p>
        </w:tc>
      </w:tr>
      <w:tr w14:paraId="29BB6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8"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2FB7172E">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cs="宋体"/>
                <w:color w:val="auto"/>
                <w:sz w:val="24"/>
                <w:szCs w:val="24"/>
                <w:lang w:val="en-US" w:eastAsia="zh-CN"/>
              </w:rPr>
              <w:t>5</w:t>
            </w:r>
          </w:p>
        </w:tc>
        <w:tc>
          <w:tcPr>
            <w:tcW w:w="1588" w:type="dxa"/>
            <w:vMerge w:val="restart"/>
            <w:tcBorders>
              <w:top w:val="single" w:color="000000" w:sz="4" w:space="0"/>
              <w:left w:val="single" w:color="000000" w:sz="4" w:space="0"/>
              <w:bottom w:val="single" w:color="000000" w:sz="4" w:space="0"/>
              <w:right w:val="single" w:color="000000" w:sz="4" w:space="0"/>
            </w:tcBorders>
            <w:noWrap w:val="0"/>
            <w:vAlign w:val="center"/>
          </w:tcPr>
          <w:p w14:paraId="7D092C0E">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《网络交易监督管理办法》</w:t>
            </w:r>
          </w:p>
        </w:tc>
        <w:tc>
          <w:tcPr>
            <w:tcW w:w="4181" w:type="dxa"/>
            <w:vMerge w:val="restart"/>
            <w:tcBorders>
              <w:top w:val="single" w:color="000000" w:sz="4" w:space="0"/>
              <w:left w:val="single" w:color="000000" w:sz="4" w:space="0"/>
              <w:bottom w:val="single" w:color="000000" w:sz="4" w:space="0"/>
              <w:right w:val="single" w:color="000000" w:sz="4" w:space="0"/>
            </w:tcBorders>
            <w:noWrap w:val="0"/>
            <w:vAlign w:val="center"/>
          </w:tcPr>
          <w:p w14:paraId="3DA5C23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第四十六条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网络交易经营者违反本办法第二十二条的，由市场监督管理部门责令限期改正；逾期不改正的，处五千元以上三万元以下罚款。</w:t>
            </w:r>
          </w:p>
          <w:p w14:paraId="33F64B2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第二十二条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网络交易经营者应当按照国家市场监督管理总局及其授权的省级市场监督管理部门的要求，提供特定时段、特定品类、特定区域的商品或者服务的价格、销量、销售额等数据信息。</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26464BF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较轻</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35B448EC">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逾期10日以下未改正的。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4DFC0BD6">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w:t>
            </w:r>
            <w:r>
              <w:rPr>
                <w:rFonts w:hint="eastAsia" w:ascii="宋体" w:hAnsi="宋体" w:cs="宋体"/>
                <w:color w:val="auto"/>
                <w:sz w:val="24"/>
                <w:szCs w:val="24"/>
                <w:lang w:val="en-US" w:eastAsia="zh-CN"/>
              </w:rPr>
              <w:t>5000</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1.25万</w:t>
            </w:r>
            <w:r>
              <w:rPr>
                <w:rFonts w:hint="eastAsia" w:ascii="宋体" w:hAnsi="宋体" w:eastAsia="宋体" w:cs="宋体"/>
                <w:color w:val="auto"/>
                <w:sz w:val="24"/>
                <w:szCs w:val="24"/>
                <w:lang w:val="en-US" w:eastAsia="zh-CN"/>
              </w:rPr>
              <w:t>元以下罚款。</w:t>
            </w:r>
          </w:p>
        </w:tc>
      </w:tr>
      <w:tr w14:paraId="24B17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4"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4FA516">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B356A2">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FB2987">
            <w:pPr>
              <w:keepNext w:val="0"/>
              <w:keepLines w:val="0"/>
              <w:pageBreakBefore w:val="0"/>
              <w:widowControl w:val="0"/>
              <w:kinsoku/>
              <w:wordWrap/>
              <w:overflowPunct/>
              <w:topLinePunct w:val="0"/>
              <w:autoSpaceDE/>
              <w:autoSpaceDN/>
              <w:bidi w:val="0"/>
              <w:adjustRightInd/>
              <w:snapToGrid/>
              <w:spacing w:line="39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3ABEC3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一般</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12EB1700">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逾期10日以上30日以下未改正的。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5ECA131F">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w:t>
            </w:r>
            <w:r>
              <w:rPr>
                <w:rFonts w:hint="eastAsia" w:ascii="宋体" w:hAnsi="宋体" w:cs="宋体"/>
                <w:color w:val="auto"/>
                <w:sz w:val="24"/>
                <w:szCs w:val="24"/>
                <w:lang w:val="en-US" w:eastAsia="zh-CN"/>
              </w:rPr>
              <w:t>1.25万</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2.25万</w:t>
            </w:r>
            <w:r>
              <w:rPr>
                <w:rFonts w:hint="eastAsia" w:ascii="宋体" w:hAnsi="宋体" w:eastAsia="宋体" w:cs="宋体"/>
                <w:color w:val="auto"/>
                <w:sz w:val="24"/>
                <w:szCs w:val="24"/>
                <w:lang w:val="en-US" w:eastAsia="zh-CN"/>
              </w:rPr>
              <w:t>元以下罚款。</w:t>
            </w:r>
          </w:p>
        </w:tc>
      </w:tr>
      <w:tr w14:paraId="626BA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7"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1033D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C1461D">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D5012A">
            <w:pPr>
              <w:keepNext w:val="0"/>
              <w:keepLines w:val="0"/>
              <w:pageBreakBefore w:val="0"/>
              <w:widowControl w:val="0"/>
              <w:kinsoku/>
              <w:wordWrap/>
              <w:overflowPunct/>
              <w:topLinePunct w:val="0"/>
              <w:autoSpaceDE/>
              <w:autoSpaceDN/>
              <w:bidi w:val="0"/>
              <w:adjustRightInd/>
              <w:snapToGrid/>
              <w:spacing w:line="39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C38095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12F4FED3">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逾期30日以上未改正的。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7567DACE">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w:t>
            </w:r>
            <w:r>
              <w:rPr>
                <w:rFonts w:hint="eastAsia" w:ascii="宋体" w:hAnsi="宋体" w:cs="宋体"/>
                <w:color w:val="auto"/>
                <w:sz w:val="24"/>
                <w:szCs w:val="24"/>
                <w:lang w:val="en-US" w:eastAsia="zh-CN"/>
              </w:rPr>
              <w:t>2.25万</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万元以下罚款。</w:t>
            </w:r>
          </w:p>
        </w:tc>
      </w:tr>
      <w:tr w14:paraId="49C4F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1"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7A7CE6FC">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cs="宋体"/>
                <w:color w:val="auto"/>
                <w:sz w:val="24"/>
                <w:szCs w:val="24"/>
                <w:lang w:val="en-US" w:eastAsia="zh-CN"/>
              </w:rPr>
              <w:t>6</w:t>
            </w:r>
          </w:p>
        </w:tc>
        <w:tc>
          <w:tcPr>
            <w:tcW w:w="1588" w:type="dxa"/>
            <w:vMerge w:val="restart"/>
            <w:tcBorders>
              <w:top w:val="single" w:color="000000" w:sz="4" w:space="0"/>
              <w:left w:val="single" w:color="000000" w:sz="4" w:space="0"/>
              <w:bottom w:val="single" w:color="000000" w:sz="4" w:space="0"/>
              <w:right w:val="single" w:color="000000" w:sz="4" w:space="0"/>
            </w:tcBorders>
            <w:noWrap w:val="0"/>
            <w:vAlign w:val="center"/>
          </w:tcPr>
          <w:p w14:paraId="267143B0">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《网络交易监督管理办法》</w:t>
            </w:r>
          </w:p>
        </w:tc>
        <w:tc>
          <w:tcPr>
            <w:tcW w:w="4181" w:type="dxa"/>
            <w:vMerge w:val="restart"/>
            <w:tcBorders>
              <w:top w:val="single" w:color="000000" w:sz="4" w:space="0"/>
              <w:left w:val="single" w:color="000000" w:sz="4" w:space="0"/>
              <w:bottom w:val="single" w:color="000000" w:sz="4" w:space="0"/>
              <w:right w:val="single" w:color="000000" w:sz="4" w:space="0"/>
            </w:tcBorders>
            <w:noWrap w:val="0"/>
            <w:vAlign w:val="center"/>
          </w:tcPr>
          <w:p w14:paraId="61DF0086">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pacing w:val="0"/>
                <w:sz w:val="24"/>
                <w:szCs w:val="24"/>
                <w:lang w:val="en-US" w:eastAsia="zh-CN"/>
              </w:rPr>
            </w:pPr>
            <w:r>
              <w:rPr>
                <w:rFonts w:hint="eastAsia" w:ascii="宋体" w:hAnsi="宋体" w:eastAsia="宋体" w:cs="宋体"/>
                <w:color w:val="auto"/>
                <w:spacing w:val="0"/>
                <w:sz w:val="24"/>
                <w:szCs w:val="24"/>
                <w:lang w:val="en-US" w:eastAsia="zh-CN"/>
              </w:rPr>
              <w:t>第四十八条</w:t>
            </w:r>
            <w:r>
              <w:rPr>
                <w:rFonts w:hint="eastAsia" w:ascii="宋体" w:hAnsi="宋体" w:cs="宋体"/>
                <w:color w:val="auto"/>
                <w:spacing w:val="0"/>
                <w:sz w:val="24"/>
                <w:szCs w:val="24"/>
                <w:lang w:val="en-US" w:eastAsia="zh-CN"/>
              </w:rPr>
              <w:t xml:space="preserve"> </w:t>
            </w:r>
            <w:r>
              <w:rPr>
                <w:rFonts w:hint="eastAsia" w:ascii="宋体" w:hAnsi="宋体" w:eastAsia="宋体" w:cs="宋体"/>
                <w:color w:val="auto"/>
                <w:spacing w:val="0"/>
                <w:sz w:val="24"/>
                <w:szCs w:val="24"/>
                <w:lang w:val="en-US" w:eastAsia="zh-CN"/>
              </w:rPr>
              <w:t>网络交易平台经营者违反本办法第二十七条、第二十八条、第三十条的，由市场监督管理部门责令限期改正；逾期不改正的，处一万元以上三万元以下罚款。</w:t>
            </w:r>
          </w:p>
          <w:p w14:paraId="2E5E5377">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2570D1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较轻</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40A5FFC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逾期10日以下未改正的。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44E373A5">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万元以上</w:t>
            </w:r>
            <w:r>
              <w:rPr>
                <w:rFonts w:hint="eastAsia" w:ascii="宋体" w:hAnsi="宋体" w:cs="宋体"/>
                <w:color w:val="auto"/>
                <w:sz w:val="24"/>
                <w:szCs w:val="24"/>
                <w:lang w:val="en-US" w:eastAsia="zh-CN"/>
              </w:rPr>
              <w:t>1.6</w:t>
            </w:r>
            <w:r>
              <w:rPr>
                <w:rFonts w:hint="eastAsia" w:ascii="宋体" w:hAnsi="宋体" w:eastAsia="宋体" w:cs="宋体"/>
                <w:color w:val="auto"/>
                <w:sz w:val="24"/>
                <w:szCs w:val="24"/>
                <w:lang w:val="en-US" w:eastAsia="zh-CN"/>
              </w:rPr>
              <w:t>元以下罚款。</w:t>
            </w:r>
          </w:p>
        </w:tc>
      </w:tr>
      <w:tr w14:paraId="303BB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1"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2D392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D4260C">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273724">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2860C38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一般</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78C701C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逾期10日以上30日以下未改正的。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6615BE25">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w:t>
            </w:r>
            <w:r>
              <w:rPr>
                <w:rFonts w:hint="eastAsia" w:ascii="宋体" w:hAnsi="宋体" w:cs="宋体"/>
                <w:color w:val="auto"/>
                <w:sz w:val="24"/>
                <w:szCs w:val="24"/>
                <w:lang w:val="en-US" w:eastAsia="zh-CN"/>
              </w:rPr>
              <w:t>1.6万</w:t>
            </w:r>
            <w:r>
              <w:rPr>
                <w:rFonts w:hint="eastAsia" w:ascii="宋体" w:hAnsi="宋体" w:eastAsia="宋体" w:cs="宋体"/>
                <w:color w:val="auto"/>
                <w:sz w:val="24"/>
                <w:szCs w:val="24"/>
                <w:lang w:val="en-US" w:eastAsia="zh-CN"/>
              </w:rPr>
              <w:t>以上</w:t>
            </w:r>
            <w:r>
              <w:rPr>
                <w:rFonts w:hint="eastAsia" w:ascii="宋体" w:hAnsi="宋体" w:cs="宋体"/>
                <w:color w:val="auto"/>
                <w:sz w:val="24"/>
                <w:szCs w:val="24"/>
                <w:lang w:val="en-US" w:eastAsia="zh-CN"/>
              </w:rPr>
              <w:t>2.4万</w:t>
            </w:r>
            <w:r>
              <w:rPr>
                <w:rFonts w:hint="eastAsia" w:ascii="宋体" w:hAnsi="宋体" w:eastAsia="宋体" w:cs="宋体"/>
                <w:color w:val="auto"/>
                <w:sz w:val="24"/>
                <w:szCs w:val="24"/>
                <w:lang w:val="en-US" w:eastAsia="zh-CN"/>
              </w:rPr>
              <w:t>元以下罚款。</w:t>
            </w:r>
          </w:p>
        </w:tc>
      </w:tr>
      <w:tr w14:paraId="4F047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4"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F4016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1F2638">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D6AB60">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20593D6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0EB9BEFB">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逾期30日以上未改正的。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4EC86C60">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w:t>
            </w:r>
            <w:r>
              <w:rPr>
                <w:rFonts w:hint="eastAsia" w:ascii="宋体" w:hAnsi="宋体" w:cs="宋体"/>
                <w:color w:val="auto"/>
                <w:sz w:val="24"/>
                <w:szCs w:val="24"/>
                <w:lang w:val="en-US" w:eastAsia="zh-CN"/>
              </w:rPr>
              <w:t>2.4万</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万元以下罚款。</w:t>
            </w:r>
          </w:p>
        </w:tc>
      </w:tr>
      <w:tr w14:paraId="300E0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3"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0DE64E94">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cs="宋体"/>
                <w:color w:val="auto"/>
                <w:sz w:val="24"/>
                <w:szCs w:val="24"/>
                <w:lang w:val="en-US" w:eastAsia="zh-CN"/>
              </w:rPr>
              <w:t>7</w:t>
            </w:r>
          </w:p>
        </w:tc>
        <w:tc>
          <w:tcPr>
            <w:tcW w:w="1588" w:type="dxa"/>
            <w:vMerge w:val="restart"/>
            <w:tcBorders>
              <w:top w:val="single" w:color="000000" w:sz="4" w:space="0"/>
              <w:left w:val="single" w:color="000000" w:sz="4" w:space="0"/>
              <w:bottom w:val="single" w:color="000000" w:sz="4" w:space="0"/>
              <w:right w:val="single" w:color="000000" w:sz="4" w:space="0"/>
            </w:tcBorders>
            <w:noWrap w:val="0"/>
            <w:vAlign w:val="center"/>
          </w:tcPr>
          <w:p w14:paraId="35694BB1">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right="42" w:rightChars="20"/>
              <w:jc w:val="both"/>
              <w:textAlignment w:val="auto"/>
              <w:outlineLvl w:val="2"/>
              <w:rPr>
                <w:rFonts w:hint="eastAsia" w:ascii="宋体" w:hAnsi="宋体" w:eastAsia="宋体" w:cs="宋体"/>
                <w:color w:val="auto"/>
                <w:sz w:val="24"/>
                <w:szCs w:val="24"/>
              </w:rPr>
            </w:pPr>
            <w:bookmarkStart w:id="111" w:name="_Toc7136"/>
            <w:bookmarkStart w:id="112" w:name="_Toc3104"/>
            <w:bookmarkStart w:id="113" w:name="_Toc32368"/>
            <w:bookmarkStart w:id="114" w:name="_Toc7456"/>
            <w:bookmarkStart w:id="115" w:name="_Toc14320"/>
            <w:bookmarkStart w:id="116" w:name="_Toc21376"/>
            <w:r>
              <w:rPr>
                <w:rFonts w:hint="eastAsia" w:ascii="宋体" w:hAnsi="宋体" w:eastAsia="宋体" w:cs="宋体"/>
                <w:color w:val="auto"/>
                <w:sz w:val="24"/>
                <w:szCs w:val="24"/>
                <w:lang w:val="en-US" w:eastAsia="zh-CN"/>
              </w:rPr>
              <w:t>《网络交易监督管理办法》</w:t>
            </w:r>
            <w:bookmarkEnd w:id="111"/>
            <w:bookmarkEnd w:id="112"/>
            <w:bookmarkEnd w:id="113"/>
            <w:bookmarkEnd w:id="114"/>
            <w:bookmarkEnd w:id="115"/>
            <w:bookmarkEnd w:id="116"/>
          </w:p>
        </w:tc>
        <w:tc>
          <w:tcPr>
            <w:tcW w:w="4181" w:type="dxa"/>
            <w:vMerge w:val="restart"/>
            <w:tcBorders>
              <w:top w:val="single" w:color="000000" w:sz="4" w:space="0"/>
              <w:left w:val="single" w:color="000000" w:sz="4" w:space="0"/>
              <w:bottom w:val="single" w:color="000000" w:sz="4" w:space="0"/>
              <w:right w:val="single" w:color="000000" w:sz="4" w:space="0"/>
            </w:tcBorders>
            <w:noWrap w:val="0"/>
            <w:vAlign w:val="center"/>
          </w:tcPr>
          <w:p w14:paraId="6835C1DF">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第四十九条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网络交易平台经营者违反本办法第二十九条，法律、行政法规有规定的，依照其规定；法律、行政法规没有规定的，由市场监督管理部门依职责责令限期改正，可以处一万元以上三万元以下罚款。</w:t>
            </w:r>
          </w:p>
          <w:p w14:paraId="62B47E31">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第二十九条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网络交易平台经营者应当对平台内经营者及其发布的商品或者服务信息建立检查监控制度。网络交易平台经营者发现平台内的商品或者服务信息有违反市场监督管理法律、法规、规章，损害国家利益和社会公共利益，违背公序良俗的，应当依法采取必要的处置措施，保存有关记录，并向平台住所地县级以上市场监督管理部门报告。</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FBE510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较轻</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5DBDDEB0">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违法行为持续</w:t>
            </w:r>
            <w:r>
              <w:rPr>
                <w:rFonts w:hint="default" w:ascii="宋体" w:hAnsi="宋体" w:cs="宋体"/>
                <w:color w:val="auto"/>
                <w:sz w:val="24"/>
                <w:szCs w:val="24"/>
                <w:lang w:val="en" w:eastAsia="zh-CN"/>
              </w:rPr>
              <w:t>1</w:t>
            </w:r>
            <w:r>
              <w:rPr>
                <w:rFonts w:hint="eastAsia" w:ascii="宋体" w:hAnsi="宋体" w:eastAsia="宋体" w:cs="宋体"/>
                <w:color w:val="auto"/>
                <w:sz w:val="24"/>
                <w:szCs w:val="24"/>
                <w:lang w:val="en-US" w:eastAsia="zh-CN"/>
              </w:rPr>
              <w:t>个月以下的。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2D135B1F">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责令限期改正，可以处</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万元以上</w:t>
            </w:r>
            <w:r>
              <w:rPr>
                <w:rFonts w:hint="eastAsia" w:ascii="宋体" w:hAnsi="宋体" w:cs="宋体"/>
                <w:color w:val="auto"/>
                <w:sz w:val="24"/>
                <w:szCs w:val="24"/>
                <w:lang w:val="en-US" w:eastAsia="zh-CN"/>
              </w:rPr>
              <w:t>1.6万</w:t>
            </w:r>
            <w:r>
              <w:rPr>
                <w:rFonts w:hint="eastAsia" w:ascii="宋体" w:hAnsi="宋体" w:eastAsia="宋体" w:cs="宋体"/>
                <w:color w:val="auto"/>
                <w:sz w:val="24"/>
                <w:szCs w:val="24"/>
                <w:lang w:val="en-US" w:eastAsia="zh-CN"/>
              </w:rPr>
              <w:t>元以下罚款。</w:t>
            </w:r>
          </w:p>
        </w:tc>
      </w:tr>
      <w:tr w14:paraId="418FB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6"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BEB32D">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4ECB86">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4A6791">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9AEA05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一般</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45EA6329">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违法行为持续</w:t>
            </w:r>
            <w:r>
              <w:rPr>
                <w:rFonts w:hint="default" w:ascii="宋体" w:hAnsi="宋体" w:cs="宋体"/>
                <w:color w:val="auto"/>
                <w:sz w:val="24"/>
                <w:szCs w:val="24"/>
                <w:lang w:val="en" w:eastAsia="zh-CN"/>
              </w:rPr>
              <w:t>1</w:t>
            </w:r>
            <w:r>
              <w:rPr>
                <w:rFonts w:hint="eastAsia" w:ascii="宋体" w:hAnsi="宋体" w:eastAsia="宋体" w:cs="宋体"/>
                <w:color w:val="auto"/>
                <w:sz w:val="24"/>
                <w:szCs w:val="24"/>
                <w:lang w:val="en-US" w:eastAsia="zh-CN"/>
              </w:rPr>
              <w:t>个月以上</w:t>
            </w:r>
            <w:r>
              <w:rPr>
                <w:rFonts w:hint="default" w:ascii="宋体" w:hAnsi="宋体" w:cs="宋体"/>
                <w:color w:val="auto"/>
                <w:sz w:val="24"/>
                <w:szCs w:val="24"/>
                <w:lang w:val="en" w:eastAsia="zh-CN"/>
              </w:rPr>
              <w:t>6</w:t>
            </w:r>
            <w:r>
              <w:rPr>
                <w:rFonts w:hint="eastAsia" w:ascii="宋体" w:hAnsi="宋体" w:eastAsia="宋体" w:cs="宋体"/>
                <w:color w:val="auto"/>
                <w:sz w:val="24"/>
                <w:szCs w:val="24"/>
                <w:lang w:val="en-US" w:eastAsia="zh-CN"/>
              </w:rPr>
              <w:t>个月以下的。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4E1DEDB9">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责令限期改正，可以处</w:t>
            </w:r>
            <w:r>
              <w:rPr>
                <w:rFonts w:hint="eastAsia" w:ascii="宋体" w:hAnsi="宋体" w:cs="宋体"/>
                <w:color w:val="auto"/>
                <w:sz w:val="24"/>
                <w:szCs w:val="24"/>
                <w:lang w:val="en-US" w:eastAsia="zh-CN"/>
              </w:rPr>
              <w:t>1.6万</w:t>
            </w:r>
            <w:r>
              <w:rPr>
                <w:rFonts w:hint="eastAsia" w:ascii="宋体" w:hAnsi="宋体" w:eastAsia="宋体" w:cs="宋体"/>
                <w:color w:val="auto"/>
                <w:sz w:val="24"/>
                <w:szCs w:val="24"/>
                <w:lang w:val="en-US" w:eastAsia="zh-CN"/>
              </w:rPr>
              <w:t>元以上</w:t>
            </w:r>
            <w:r>
              <w:rPr>
                <w:rFonts w:hint="eastAsia" w:ascii="宋体" w:hAnsi="宋体" w:cs="宋体"/>
                <w:color w:val="auto"/>
                <w:sz w:val="24"/>
                <w:szCs w:val="24"/>
                <w:lang w:val="en-US" w:eastAsia="zh-CN"/>
              </w:rPr>
              <w:t>2.4万</w:t>
            </w:r>
            <w:r>
              <w:rPr>
                <w:rFonts w:hint="eastAsia" w:ascii="宋体" w:hAnsi="宋体" w:eastAsia="宋体" w:cs="宋体"/>
                <w:color w:val="auto"/>
                <w:sz w:val="24"/>
                <w:szCs w:val="24"/>
                <w:lang w:val="en-US" w:eastAsia="zh-CN"/>
              </w:rPr>
              <w:t>元以下罚款。</w:t>
            </w:r>
          </w:p>
        </w:tc>
      </w:tr>
      <w:tr w14:paraId="6F44B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4"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D49640">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34E0D3">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EFA9BD">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E84B78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5C870BAF">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违法行为持续</w:t>
            </w:r>
            <w:r>
              <w:rPr>
                <w:rFonts w:hint="default" w:ascii="宋体" w:hAnsi="宋体" w:cs="宋体"/>
                <w:color w:val="auto"/>
                <w:sz w:val="24"/>
                <w:szCs w:val="24"/>
                <w:lang w:val="en" w:eastAsia="zh-CN"/>
              </w:rPr>
              <w:t>6</w:t>
            </w:r>
            <w:r>
              <w:rPr>
                <w:rFonts w:hint="eastAsia" w:ascii="宋体" w:hAnsi="宋体" w:eastAsia="宋体" w:cs="宋体"/>
                <w:color w:val="auto"/>
                <w:sz w:val="24"/>
                <w:szCs w:val="24"/>
                <w:lang w:val="en-US" w:eastAsia="zh-CN"/>
              </w:rPr>
              <w:t>个月以上的。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73D23C4A">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责令限期改正，可以处</w:t>
            </w:r>
            <w:r>
              <w:rPr>
                <w:rFonts w:hint="eastAsia" w:ascii="宋体" w:hAnsi="宋体" w:cs="宋体"/>
                <w:color w:val="auto"/>
                <w:sz w:val="24"/>
                <w:szCs w:val="24"/>
                <w:lang w:val="en-US" w:eastAsia="zh-CN"/>
              </w:rPr>
              <w:t>2.4万</w:t>
            </w:r>
            <w:r>
              <w:rPr>
                <w:rFonts w:hint="eastAsia" w:ascii="宋体" w:hAnsi="宋体" w:eastAsia="宋体" w:cs="宋体"/>
                <w:color w:val="auto"/>
                <w:sz w:val="24"/>
                <w:szCs w:val="24"/>
                <w:lang w:val="en-US" w:eastAsia="zh-CN"/>
              </w:rPr>
              <w:t>以上</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万元以下罚款。</w:t>
            </w:r>
          </w:p>
        </w:tc>
      </w:tr>
      <w:tr w14:paraId="340DE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9"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01F4C3CD">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cs="宋体"/>
                <w:color w:val="auto"/>
                <w:sz w:val="24"/>
                <w:szCs w:val="24"/>
                <w:lang w:val="en-US" w:eastAsia="zh-CN"/>
              </w:rPr>
              <w:t>8</w:t>
            </w:r>
          </w:p>
        </w:tc>
        <w:tc>
          <w:tcPr>
            <w:tcW w:w="1588" w:type="dxa"/>
            <w:vMerge w:val="restart"/>
            <w:tcBorders>
              <w:top w:val="single" w:color="000000" w:sz="4" w:space="0"/>
              <w:left w:val="single" w:color="000000" w:sz="4" w:space="0"/>
              <w:bottom w:val="single" w:color="000000" w:sz="4" w:space="0"/>
              <w:right w:val="single" w:color="000000" w:sz="4" w:space="0"/>
            </w:tcBorders>
            <w:noWrap w:val="0"/>
            <w:vAlign w:val="center"/>
          </w:tcPr>
          <w:p w14:paraId="207AAAE6">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right="42" w:rightChars="20"/>
              <w:jc w:val="both"/>
              <w:textAlignment w:val="auto"/>
              <w:outlineLvl w:val="2"/>
              <w:rPr>
                <w:rFonts w:hint="eastAsia" w:ascii="宋体" w:hAnsi="宋体" w:eastAsia="宋体" w:cs="宋体"/>
                <w:color w:val="auto"/>
                <w:sz w:val="24"/>
                <w:szCs w:val="24"/>
              </w:rPr>
            </w:pPr>
            <w:bookmarkStart w:id="117" w:name="_Toc14961"/>
            <w:bookmarkStart w:id="118" w:name="_Toc24062"/>
            <w:bookmarkStart w:id="119" w:name="_Toc3130"/>
            <w:bookmarkStart w:id="120" w:name="_Toc10604"/>
            <w:bookmarkStart w:id="121" w:name="_Toc24465"/>
            <w:r>
              <w:rPr>
                <w:rFonts w:hint="eastAsia" w:ascii="宋体" w:hAnsi="宋体" w:eastAsia="宋体" w:cs="宋体"/>
                <w:color w:val="auto"/>
                <w:sz w:val="24"/>
                <w:szCs w:val="24"/>
                <w:lang w:val="en-US" w:eastAsia="zh-CN"/>
              </w:rPr>
              <w:t>《中华人民共和国拍卖法》（</w:t>
            </w:r>
            <w:r>
              <w:rPr>
                <w:rFonts w:hint="eastAsia" w:ascii="宋体" w:hAnsi="宋体" w:eastAsia="宋体" w:cs="宋体"/>
                <w:kern w:val="0"/>
                <w:sz w:val="24"/>
                <w:szCs w:val="24"/>
                <w:lang w:val="en-US" w:eastAsia="zh-CN" w:bidi="ar"/>
              </w:rPr>
              <w:t>20</w:t>
            </w:r>
            <w:r>
              <w:rPr>
                <w:rFonts w:hint="default" w:ascii="宋体" w:hAnsi="宋体" w:cs="宋体"/>
                <w:kern w:val="0"/>
                <w:sz w:val="24"/>
                <w:szCs w:val="24"/>
                <w:lang w:val="en" w:eastAsia="zh-CN" w:bidi="ar"/>
              </w:rPr>
              <w:t>15</w:t>
            </w:r>
            <w:r>
              <w:rPr>
                <w:rFonts w:hint="eastAsia" w:ascii="宋体" w:hAnsi="宋体" w:eastAsia="宋体" w:cs="宋体"/>
                <w:kern w:val="0"/>
                <w:sz w:val="24"/>
                <w:szCs w:val="24"/>
                <w:lang w:val="en-US" w:eastAsia="zh-CN" w:bidi="ar"/>
              </w:rPr>
              <w:t>年</w:t>
            </w:r>
            <w:r>
              <w:rPr>
                <w:rFonts w:hint="default" w:ascii="宋体" w:hAnsi="宋体" w:cs="宋体"/>
                <w:kern w:val="0"/>
                <w:sz w:val="24"/>
                <w:szCs w:val="24"/>
                <w:lang w:val="en" w:eastAsia="zh-CN" w:bidi="ar"/>
              </w:rPr>
              <w:t>4</w:t>
            </w:r>
            <w:r>
              <w:rPr>
                <w:rFonts w:hint="eastAsia" w:ascii="宋体" w:hAnsi="宋体" w:eastAsia="宋体" w:cs="宋体"/>
                <w:kern w:val="0"/>
                <w:sz w:val="24"/>
                <w:szCs w:val="24"/>
                <w:lang w:val="en-US" w:eastAsia="zh-CN" w:bidi="ar"/>
              </w:rPr>
              <w:t>月2</w:t>
            </w:r>
            <w:r>
              <w:rPr>
                <w:rFonts w:hint="default" w:ascii="宋体" w:hAnsi="宋体" w:cs="宋体"/>
                <w:kern w:val="0"/>
                <w:sz w:val="24"/>
                <w:szCs w:val="24"/>
                <w:lang w:val="en" w:eastAsia="zh-CN" w:bidi="ar"/>
              </w:rPr>
              <w:t>4</w:t>
            </w:r>
            <w:r>
              <w:rPr>
                <w:rFonts w:hint="eastAsia" w:ascii="宋体" w:hAnsi="宋体" w:eastAsia="宋体" w:cs="宋体"/>
                <w:kern w:val="0"/>
                <w:sz w:val="24"/>
                <w:szCs w:val="24"/>
                <w:lang w:val="en-US" w:eastAsia="zh-CN" w:bidi="ar"/>
              </w:rPr>
              <w:t>日</w:t>
            </w:r>
            <w:r>
              <w:rPr>
                <w:rFonts w:hint="eastAsia" w:ascii="宋体" w:hAnsi="宋体" w:cs="宋体"/>
                <w:kern w:val="0"/>
                <w:sz w:val="24"/>
                <w:szCs w:val="24"/>
                <w:lang w:val="en-US" w:eastAsia="zh-CN" w:bidi="ar"/>
              </w:rPr>
              <w:t>起施行</w:t>
            </w:r>
            <w:r>
              <w:rPr>
                <w:rFonts w:hint="eastAsia" w:ascii="宋体" w:hAnsi="宋体" w:eastAsia="宋体" w:cs="宋体"/>
                <w:color w:val="auto"/>
                <w:sz w:val="24"/>
                <w:szCs w:val="24"/>
                <w:lang w:val="en-US" w:eastAsia="zh-CN"/>
              </w:rPr>
              <w:t>）</w:t>
            </w:r>
            <w:bookmarkEnd w:id="117"/>
            <w:bookmarkEnd w:id="118"/>
            <w:bookmarkEnd w:id="119"/>
            <w:bookmarkEnd w:id="120"/>
            <w:bookmarkEnd w:id="121"/>
          </w:p>
        </w:tc>
        <w:tc>
          <w:tcPr>
            <w:tcW w:w="4181" w:type="dxa"/>
            <w:vMerge w:val="restart"/>
            <w:tcBorders>
              <w:top w:val="single" w:color="000000" w:sz="4" w:space="0"/>
              <w:left w:val="single" w:color="000000" w:sz="4" w:space="0"/>
              <w:bottom w:val="single" w:color="000000" w:sz="4" w:space="0"/>
              <w:right w:val="single" w:color="000000" w:sz="4" w:space="0"/>
            </w:tcBorders>
            <w:noWrap w:val="0"/>
            <w:vAlign w:val="center"/>
          </w:tcPr>
          <w:p w14:paraId="13F10917">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第六十条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违反本法第十一条的规定，未经许可登记设立拍卖企业的，由工商行政管理部门予以取缔，没收违法所得，并可以处违法所得一倍以上五倍以下的罚款。</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CB2507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较轻</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33898FCD">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有下列情形之一的：</w:t>
            </w:r>
          </w:p>
          <w:p w14:paraId="1B12C084">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组织开展了2次以下拍卖活动的；</w:t>
            </w:r>
          </w:p>
          <w:p w14:paraId="37465B0E">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pacing w:val="-6"/>
                <w:sz w:val="24"/>
                <w:szCs w:val="24"/>
                <w:lang w:val="en-US" w:eastAsia="zh-CN"/>
              </w:rPr>
              <w:t>违法所得10万元以下的。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5478330D">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予以取缔，没收违法所得，并可以处违法所得一倍以上二倍以下的罚款。</w:t>
            </w:r>
          </w:p>
        </w:tc>
      </w:tr>
      <w:tr w14:paraId="229D0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3"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147F8E">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934193">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7F8EDE">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833D21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一般</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20E1D686">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有下列情形之一的：</w:t>
            </w:r>
          </w:p>
          <w:p w14:paraId="6ABD3810">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组织开展了2次以上5次以下拍卖活动的；</w:t>
            </w:r>
          </w:p>
          <w:p w14:paraId="4E39EBA4">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违法所得10万元以上30万元以下的。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6619B0E6">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予以取缔，没收违法所得，并可以处违法所得二倍以上四倍以下的罚款。</w:t>
            </w:r>
          </w:p>
        </w:tc>
      </w:tr>
      <w:tr w14:paraId="7657C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4"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33791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793203">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87B33E">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7F05FA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35F53CAB">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有下列情形之一的：</w:t>
            </w:r>
          </w:p>
          <w:p w14:paraId="44EF6606">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组织开展了5次以上拍卖活动的；</w:t>
            </w:r>
          </w:p>
          <w:p w14:paraId="3E73CCA4">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违法所得30万元以上的；</w:t>
            </w:r>
          </w:p>
          <w:p w14:paraId="548408BA">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造成重大社会影响等严重后果的。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19DCB823">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予以取缔，没收违法所得，并可以处违法所得四倍以上五倍以下的罚款。</w:t>
            </w:r>
          </w:p>
        </w:tc>
      </w:tr>
      <w:tr w14:paraId="23580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exact"/>
          <w:jc w:val="center"/>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386B281E">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4"/>
                <w:szCs w:val="24"/>
              </w:rPr>
            </w:pPr>
            <w:r>
              <w:rPr>
                <w:rFonts w:hint="eastAsia" w:ascii="宋体" w:hAnsi="宋体" w:cs="宋体"/>
                <w:color w:val="auto"/>
                <w:sz w:val="24"/>
                <w:szCs w:val="24"/>
                <w:lang w:val="en-US" w:eastAsia="zh-CN"/>
              </w:rPr>
              <w:t>79</w:t>
            </w:r>
          </w:p>
        </w:tc>
        <w:tc>
          <w:tcPr>
            <w:tcW w:w="1588" w:type="dxa"/>
            <w:vMerge w:val="restart"/>
            <w:tcBorders>
              <w:top w:val="single" w:color="000000" w:sz="4" w:space="0"/>
              <w:left w:val="single" w:color="000000" w:sz="4" w:space="0"/>
              <w:bottom w:val="single" w:color="000000" w:sz="4" w:space="0"/>
              <w:right w:val="single" w:color="000000" w:sz="4" w:space="0"/>
            </w:tcBorders>
            <w:noWrap w:val="0"/>
            <w:vAlign w:val="center"/>
          </w:tcPr>
          <w:p w14:paraId="4643F0C2">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《中华人民共和国拍卖法》</w:t>
            </w:r>
          </w:p>
        </w:tc>
        <w:tc>
          <w:tcPr>
            <w:tcW w:w="4181" w:type="dxa"/>
            <w:vMerge w:val="restart"/>
            <w:tcBorders>
              <w:top w:val="single" w:color="000000" w:sz="4" w:space="0"/>
              <w:left w:val="single" w:color="000000" w:sz="4" w:space="0"/>
              <w:bottom w:val="single" w:color="000000" w:sz="4" w:space="0"/>
              <w:right w:val="single" w:color="000000" w:sz="4" w:space="0"/>
            </w:tcBorders>
            <w:noWrap w:val="0"/>
            <w:vAlign w:val="center"/>
          </w:tcPr>
          <w:p w14:paraId="4ACA6CC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第六十二条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拍卖人及其工作人员违反本法第二十二条的规定，参与竞买或者委托他人代为竞买的，由工商行政管理部门对拍卖人给予警告，可以处拍卖佣金一倍以上五倍以下的罚款；情节严重的，吊销营业执照。</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4E22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较轻</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38E35998">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拍卖佣金在10万元以下的。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49C4FBB8">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给予警告，可以处拍卖佣金一倍以上二倍以下的罚款。</w:t>
            </w:r>
          </w:p>
        </w:tc>
      </w:tr>
      <w:tr w14:paraId="63056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exac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E9136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772C25">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FE796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B88694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一般</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66A7F96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拍卖佣金10万元以上50万元以下的。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0ED4114A">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给予警告，可以处拍卖佣金二倍以上四倍以下的罚款。</w:t>
            </w:r>
          </w:p>
        </w:tc>
      </w:tr>
      <w:tr w14:paraId="3A993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exac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1638D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D59AFE">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E0FD7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BA714F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3CB2DBD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拍卖佣金50万元以</w:t>
            </w:r>
            <w:r>
              <w:rPr>
                <w:rFonts w:hint="eastAsia" w:ascii="宋体" w:hAnsi="宋体" w:cs="宋体"/>
                <w:color w:val="auto"/>
                <w:sz w:val="24"/>
                <w:szCs w:val="24"/>
                <w:lang w:val="en-US" w:eastAsia="zh-CN"/>
              </w:rPr>
              <w:t>上</w:t>
            </w:r>
            <w:r>
              <w:rPr>
                <w:rFonts w:hint="eastAsia" w:ascii="宋体" w:hAnsi="宋体" w:eastAsia="宋体" w:cs="宋体"/>
                <w:color w:val="auto"/>
                <w:sz w:val="24"/>
                <w:szCs w:val="24"/>
                <w:lang w:val="en-US" w:eastAsia="zh-CN"/>
              </w:rPr>
              <w:t>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477E7201">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给予警告，可以处拍卖佣金四倍以上五倍以下的罚款。</w:t>
            </w:r>
          </w:p>
        </w:tc>
      </w:tr>
      <w:tr w14:paraId="08CAE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exac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84E08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697C0B">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D7A87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9ECE6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严重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72BB3BA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造</w:t>
            </w:r>
            <w:r>
              <w:rPr>
                <w:rFonts w:hint="eastAsia" w:ascii="宋体" w:hAnsi="宋体" w:eastAsia="宋体" w:cs="宋体"/>
                <w:color w:val="auto"/>
                <w:spacing w:val="-11"/>
                <w:sz w:val="24"/>
                <w:szCs w:val="24"/>
                <w:lang w:val="en-US" w:eastAsia="zh-CN"/>
              </w:rPr>
              <w:t>成重大社会影响等严重后果的</w:t>
            </w:r>
            <w:r>
              <w:rPr>
                <w:rFonts w:hint="eastAsia" w:ascii="宋体" w:hAnsi="宋体" w:eastAsia="宋体" w:cs="宋体"/>
                <w:color w:val="auto"/>
                <w:sz w:val="24"/>
                <w:szCs w:val="24"/>
                <w:lang w:val="en-US" w:eastAsia="zh-CN"/>
              </w:rPr>
              <w:t>。</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23F3182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吊销营业执照。</w:t>
            </w:r>
          </w:p>
        </w:tc>
      </w:tr>
      <w:tr w14:paraId="71715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exact"/>
          <w:jc w:val="center"/>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5C1F8E84">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cs="宋体"/>
                <w:color w:val="auto"/>
                <w:sz w:val="24"/>
                <w:szCs w:val="24"/>
                <w:lang w:val="en-US" w:eastAsia="zh-CN"/>
              </w:rPr>
              <w:t>0</w:t>
            </w:r>
          </w:p>
        </w:tc>
        <w:tc>
          <w:tcPr>
            <w:tcW w:w="1588" w:type="dxa"/>
            <w:vMerge w:val="restart"/>
            <w:tcBorders>
              <w:top w:val="single" w:color="000000" w:sz="4" w:space="0"/>
              <w:left w:val="single" w:color="000000" w:sz="4" w:space="0"/>
              <w:bottom w:val="single" w:color="000000" w:sz="4" w:space="0"/>
              <w:right w:val="single" w:color="000000" w:sz="4" w:space="0"/>
            </w:tcBorders>
            <w:noWrap w:val="0"/>
            <w:vAlign w:val="center"/>
          </w:tcPr>
          <w:p w14:paraId="2693E6C3">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《中华人民共和国拍卖法》</w:t>
            </w:r>
          </w:p>
        </w:tc>
        <w:tc>
          <w:tcPr>
            <w:tcW w:w="4181" w:type="dxa"/>
            <w:vMerge w:val="restart"/>
            <w:tcBorders>
              <w:top w:val="single" w:color="000000" w:sz="4" w:space="0"/>
              <w:left w:val="single" w:color="000000" w:sz="4" w:space="0"/>
              <w:bottom w:val="single" w:color="000000" w:sz="4" w:space="0"/>
              <w:right w:val="single" w:color="000000" w:sz="4" w:space="0"/>
            </w:tcBorders>
            <w:noWrap w:val="0"/>
            <w:vAlign w:val="center"/>
          </w:tcPr>
          <w:p w14:paraId="00E085C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第六十四条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违反本法第三十条的规定，委托人参与竞买或者委托他人代为竞买的，工商行政管理部门可以对委托人处拍卖成交价百分之三十以下的罚款。</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8061D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较轻</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53E7D57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拍卖成交价10万元以下的。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5556E86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处拍卖成交价百分之十以下的罚款。</w:t>
            </w:r>
          </w:p>
        </w:tc>
      </w:tr>
      <w:tr w14:paraId="4BB6A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exac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ABF82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3523E0">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7D92F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F27093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一般</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096A281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拍卖成交价10万元以上100万元以下的。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09CC526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处拍卖成交价百分之十以上百分之二十以下的罚款。</w:t>
            </w:r>
          </w:p>
        </w:tc>
      </w:tr>
      <w:tr w14:paraId="77A3F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5"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4CF63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C2C0D5">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EFC36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7AD7A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14D43A2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有下列情形之一的：</w:t>
            </w:r>
          </w:p>
          <w:p w14:paraId="55C66C9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pacing w:val="-11"/>
                <w:sz w:val="24"/>
                <w:szCs w:val="24"/>
                <w:lang w:val="en-US" w:eastAsia="zh-CN"/>
              </w:rPr>
            </w:pPr>
            <w:r>
              <w:rPr>
                <w:rFonts w:hint="eastAsia" w:ascii="宋体" w:hAnsi="宋体" w:cs="宋体"/>
                <w:color w:val="auto"/>
                <w:spacing w:val="-11"/>
                <w:sz w:val="24"/>
                <w:szCs w:val="24"/>
                <w:lang w:val="en-US" w:eastAsia="zh-CN"/>
              </w:rPr>
              <w:t>(1)</w:t>
            </w:r>
            <w:r>
              <w:rPr>
                <w:rFonts w:hint="eastAsia" w:ascii="宋体" w:hAnsi="宋体" w:eastAsia="宋体" w:cs="宋体"/>
                <w:color w:val="auto"/>
                <w:spacing w:val="-11"/>
                <w:sz w:val="24"/>
                <w:szCs w:val="24"/>
                <w:lang w:val="en-US" w:eastAsia="zh-CN"/>
              </w:rPr>
              <w:t>拍卖成交价100万元以上的；</w:t>
            </w:r>
          </w:p>
          <w:p w14:paraId="66EE90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造成重大社会影响等严重后果的。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69846DE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处拍卖成交价百分之二十以上百分之三十以下的罚款。</w:t>
            </w:r>
          </w:p>
        </w:tc>
      </w:tr>
      <w:tr w14:paraId="01F5E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9"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348D8886">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cs="宋体"/>
                <w:color w:val="auto"/>
                <w:sz w:val="24"/>
                <w:szCs w:val="24"/>
                <w:lang w:val="en-US" w:eastAsia="zh-CN"/>
              </w:rPr>
              <w:t>1</w:t>
            </w:r>
          </w:p>
        </w:tc>
        <w:tc>
          <w:tcPr>
            <w:tcW w:w="1588" w:type="dxa"/>
            <w:vMerge w:val="restart"/>
            <w:tcBorders>
              <w:top w:val="single" w:color="000000" w:sz="4" w:space="0"/>
              <w:left w:val="single" w:color="000000" w:sz="4" w:space="0"/>
              <w:bottom w:val="single" w:color="000000" w:sz="4" w:space="0"/>
              <w:right w:val="single" w:color="000000" w:sz="4" w:space="0"/>
            </w:tcBorders>
            <w:noWrap w:val="0"/>
            <w:vAlign w:val="center"/>
          </w:tcPr>
          <w:p w14:paraId="6F8A3D6E">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《中华人民共和国拍卖法》</w:t>
            </w:r>
          </w:p>
        </w:tc>
        <w:tc>
          <w:tcPr>
            <w:tcW w:w="4181" w:type="dxa"/>
            <w:vMerge w:val="restart"/>
            <w:tcBorders>
              <w:top w:val="single" w:color="000000" w:sz="4" w:space="0"/>
              <w:left w:val="single" w:color="000000" w:sz="4" w:space="0"/>
              <w:bottom w:val="single" w:color="000000" w:sz="4" w:space="0"/>
              <w:right w:val="single" w:color="000000" w:sz="4" w:space="0"/>
            </w:tcBorders>
            <w:noWrap w:val="0"/>
            <w:vAlign w:val="center"/>
          </w:tcPr>
          <w:p w14:paraId="6866BCE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第六十五条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3564D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较轻</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63B3FAE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最高应价30万元以下的。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4F3ED26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对参与恶意串通的竞买人处最高应价百分之十的罚款；对参与恶意串通的拍卖人处最高应价百分之十至百分之二十的罚款。</w:t>
            </w:r>
          </w:p>
        </w:tc>
      </w:tr>
      <w:tr w14:paraId="175BE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5"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020C12">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AEB918">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C5170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A64058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一般</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19846E8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最高应价30万元以上200万元以下的。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67A17B4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对参与恶意串通的竞买人处最高应价百分之十以上百分之二十以下的罚款；对参与恶意串通的拍卖人处最高应价百分之二十以上百分之四十以下的罚款。</w:t>
            </w:r>
          </w:p>
        </w:tc>
      </w:tr>
      <w:tr w14:paraId="3FDAD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2"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2303B9">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452596">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1A892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337CF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5A7C531C">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有下列情形之一的：</w:t>
            </w:r>
          </w:p>
          <w:p w14:paraId="381DDAA3">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最高应价200万元以上的；</w:t>
            </w:r>
          </w:p>
          <w:p w14:paraId="4945F28C">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造成重大社会影响等严重后果的。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67A7D7F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对参与恶意串通的竞买人处最高应价百分之二十以上百分之三十以下的罚款；对参与恶意串通的拍卖人处最高应价百分之四十以上百分之五十以下的罚款。</w:t>
            </w:r>
          </w:p>
        </w:tc>
      </w:tr>
      <w:tr w14:paraId="3B436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6686AE83">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8</w:t>
            </w:r>
            <w:r>
              <w:rPr>
                <w:rFonts w:hint="eastAsia" w:ascii="宋体" w:hAnsi="宋体" w:cs="宋体"/>
                <w:color w:val="auto"/>
                <w:sz w:val="24"/>
                <w:szCs w:val="24"/>
                <w:lang w:val="en-US" w:eastAsia="zh-CN"/>
              </w:rPr>
              <w:t>2</w:t>
            </w:r>
          </w:p>
        </w:tc>
        <w:tc>
          <w:tcPr>
            <w:tcW w:w="1588" w:type="dxa"/>
            <w:vMerge w:val="restart"/>
            <w:tcBorders>
              <w:top w:val="single" w:color="000000" w:sz="4" w:space="0"/>
              <w:left w:val="single" w:color="000000" w:sz="4" w:space="0"/>
              <w:bottom w:val="single" w:color="000000" w:sz="4" w:space="0"/>
              <w:right w:val="single" w:color="000000" w:sz="4" w:space="0"/>
            </w:tcBorders>
            <w:noWrap w:val="0"/>
            <w:vAlign w:val="center"/>
          </w:tcPr>
          <w:p w14:paraId="69E217E6">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《中华人民共和国拍卖法》</w:t>
            </w:r>
          </w:p>
        </w:tc>
        <w:tc>
          <w:tcPr>
            <w:tcW w:w="4181" w:type="dxa"/>
            <w:vMerge w:val="restart"/>
            <w:tcBorders>
              <w:top w:val="single" w:color="000000" w:sz="4" w:space="0"/>
              <w:left w:val="single" w:color="000000" w:sz="4" w:space="0"/>
              <w:bottom w:val="single" w:color="000000" w:sz="4" w:space="0"/>
              <w:right w:val="single" w:color="000000" w:sz="4" w:space="0"/>
            </w:tcBorders>
            <w:noWrap w:val="0"/>
            <w:vAlign w:val="center"/>
          </w:tcPr>
          <w:p w14:paraId="64DD962B">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第六十六条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违反本法第四章第四节关于佣金比例的规定收取佣金的，拍卖人应当将超收部分返还委托人、买受人。物价管理部门可以对拍卖人处拍卖佣金一倍以上五倍以下的罚款。</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911A69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较轻</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7E749189">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拍卖佣金10万元以下的。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7789A01A">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处拍卖佣金一倍以上二倍以下的罚款。</w:t>
            </w:r>
          </w:p>
        </w:tc>
      </w:tr>
      <w:tr w14:paraId="3E379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381F5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D4BA35">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2FAC6C">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CA266D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一般</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08B377FC">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拍卖佣金10万元以上50万元以下的。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36D80B52">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处拍卖佣金二倍以上四倍以下的罚款。</w:t>
            </w:r>
          </w:p>
        </w:tc>
      </w:tr>
      <w:tr w14:paraId="5A5AF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0"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A6776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6779F7">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3EC441">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4FC295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较重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350CFFAA">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有下列情形之一的：</w:t>
            </w:r>
          </w:p>
          <w:p w14:paraId="71944B9A">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拍卖佣金50万元以上的；</w:t>
            </w:r>
          </w:p>
          <w:p w14:paraId="7D260964">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造成重大社会影响等严重后果的。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6F8F8385">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处拍卖佣金四倍以上五倍以下的罚款。</w:t>
            </w:r>
          </w:p>
        </w:tc>
      </w:tr>
      <w:tr w14:paraId="6B8E9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jc w:val="center"/>
        </w:trPr>
        <w:tc>
          <w:tcPr>
            <w:tcW w:w="616" w:type="dxa"/>
            <w:vMerge w:val="restart"/>
            <w:tcBorders>
              <w:top w:val="single" w:color="000000" w:sz="4" w:space="0"/>
              <w:left w:val="single" w:color="000000" w:sz="4" w:space="0"/>
              <w:right w:val="single" w:color="000000" w:sz="4" w:space="0"/>
            </w:tcBorders>
            <w:noWrap w:val="0"/>
            <w:vAlign w:val="center"/>
          </w:tcPr>
          <w:p w14:paraId="0F1C3A25">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83</w:t>
            </w:r>
          </w:p>
        </w:tc>
        <w:tc>
          <w:tcPr>
            <w:tcW w:w="1588" w:type="dxa"/>
            <w:vMerge w:val="restart"/>
            <w:tcBorders>
              <w:top w:val="single" w:color="000000" w:sz="4" w:space="0"/>
              <w:left w:val="single" w:color="000000" w:sz="4" w:space="0"/>
              <w:right w:val="single" w:color="000000" w:sz="4" w:space="0"/>
            </w:tcBorders>
            <w:noWrap w:val="0"/>
            <w:vAlign w:val="center"/>
          </w:tcPr>
          <w:p w14:paraId="1ADC9883">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outlineLvl w:val="1"/>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rPr>
              <w:t>《拍卖监督管理办法》</w:t>
            </w:r>
            <w:r>
              <w:rPr>
                <w:rFonts w:hint="default" w:ascii="宋体" w:hAnsi="宋体" w:cs="宋体"/>
                <w:color w:val="auto"/>
                <w:sz w:val="24"/>
                <w:szCs w:val="24"/>
                <w:highlight w:val="none"/>
              </w:rPr>
              <w:t>（</w:t>
            </w:r>
            <w:r>
              <w:rPr>
                <w:rFonts w:hint="eastAsia" w:ascii="宋体" w:hAnsi="宋体" w:cs="宋体"/>
                <w:color w:val="auto"/>
                <w:sz w:val="24"/>
                <w:szCs w:val="24"/>
                <w:highlight w:val="none"/>
                <w:lang w:val="en-US" w:eastAsia="zh-CN"/>
              </w:rPr>
              <w:t>2020年10月23日起施行</w:t>
            </w:r>
            <w:r>
              <w:rPr>
                <w:rFonts w:hint="default" w:ascii="宋体" w:hAnsi="宋体" w:cs="宋体"/>
                <w:color w:val="auto"/>
                <w:sz w:val="24"/>
                <w:szCs w:val="24"/>
                <w:highlight w:val="none"/>
              </w:rPr>
              <w:t>）</w:t>
            </w:r>
          </w:p>
        </w:tc>
        <w:tc>
          <w:tcPr>
            <w:tcW w:w="4181" w:type="dxa"/>
            <w:vMerge w:val="restart"/>
            <w:tcBorders>
              <w:top w:val="single" w:color="000000" w:sz="4" w:space="0"/>
              <w:left w:val="single" w:color="000000" w:sz="4" w:space="0"/>
              <w:right w:val="single" w:color="000000" w:sz="4" w:space="0"/>
            </w:tcBorders>
            <w:noWrap w:val="0"/>
            <w:vAlign w:val="center"/>
          </w:tcPr>
          <w:p w14:paraId="0F59C500">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第十三条</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拍卖人违反本办法第五条第七项规定的，由市场监督管理部门予以警告，并可处10000元以下的罚款。</w:t>
            </w:r>
          </w:p>
        </w:tc>
        <w:tc>
          <w:tcPr>
            <w:tcW w:w="1125" w:type="dxa"/>
            <w:tcBorders>
              <w:top w:val="single" w:color="000000" w:sz="4" w:space="0"/>
              <w:left w:val="single" w:color="000000" w:sz="4" w:space="0"/>
              <w:bottom w:val="single" w:color="auto" w:sz="4" w:space="0"/>
              <w:right w:val="single" w:color="000000" w:sz="4" w:space="0"/>
            </w:tcBorders>
            <w:noWrap w:val="0"/>
            <w:vAlign w:val="center"/>
          </w:tcPr>
          <w:p w14:paraId="2E71117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较轻</w:t>
            </w:r>
          </w:p>
        </w:tc>
        <w:tc>
          <w:tcPr>
            <w:tcW w:w="3274" w:type="dxa"/>
            <w:tcBorders>
              <w:top w:val="single" w:color="000000" w:sz="4" w:space="0"/>
              <w:left w:val="single" w:color="000000" w:sz="4" w:space="0"/>
              <w:bottom w:val="single" w:color="auto" w:sz="4" w:space="0"/>
              <w:right w:val="single" w:color="000000" w:sz="4" w:space="0"/>
            </w:tcBorders>
            <w:noWrap w:val="0"/>
            <w:vAlign w:val="center"/>
          </w:tcPr>
          <w:p w14:paraId="3D43DA54">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拍卖佣金不足5万元。</w:t>
            </w:r>
          </w:p>
        </w:tc>
        <w:tc>
          <w:tcPr>
            <w:tcW w:w="3389" w:type="dxa"/>
            <w:tcBorders>
              <w:top w:val="single" w:color="000000" w:sz="4" w:space="0"/>
              <w:left w:val="single" w:color="000000" w:sz="4" w:space="0"/>
              <w:bottom w:val="single" w:color="auto" w:sz="4" w:space="0"/>
              <w:right w:val="single" w:color="000000" w:sz="4" w:space="0"/>
            </w:tcBorders>
            <w:noWrap w:val="0"/>
            <w:vAlign w:val="center"/>
          </w:tcPr>
          <w:p w14:paraId="736DEAAC">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予以警告，并</w:t>
            </w:r>
            <w:r>
              <w:rPr>
                <w:rFonts w:hint="eastAsia" w:ascii="宋体" w:hAnsi="宋体" w:cs="宋体"/>
                <w:color w:val="auto"/>
                <w:sz w:val="24"/>
                <w:szCs w:val="24"/>
                <w:highlight w:val="none"/>
                <w:lang w:val="en-US" w:eastAsia="zh-CN"/>
              </w:rPr>
              <w:t>可</w:t>
            </w:r>
            <w:r>
              <w:rPr>
                <w:rFonts w:hint="eastAsia" w:ascii="宋体" w:hAnsi="宋体" w:eastAsia="宋体" w:cs="宋体"/>
                <w:color w:val="auto"/>
                <w:sz w:val="24"/>
                <w:szCs w:val="24"/>
                <w:highlight w:val="none"/>
                <w:lang w:val="en-US" w:eastAsia="zh-CN"/>
              </w:rPr>
              <w:t>处3000元以下罚款</w:t>
            </w:r>
            <w:r>
              <w:rPr>
                <w:rFonts w:hint="eastAsia" w:ascii="宋体" w:hAnsi="宋体" w:cs="宋体"/>
                <w:color w:val="auto"/>
                <w:sz w:val="24"/>
                <w:szCs w:val="24"/>
                <w:highlight w:val="none"/>
                <w:lang w:val="en-US" w:eastAsia="zh-CN"/>
              </w:rPr>
              <w:t>。</w:t>
            </w:r>
          </w:p>
        </w:tc>
      </w:tr>
      <w:tr w14:paraId="3F7E4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1" w:hRule="atLeast"/>
          <w:jc w:val="center"/>
        </w:trPr>
        <w:tc>
          <w:tcPr>
            <w:tcW w:w="616" w:type="dxa"/>
            <w:vMerge w:val="continue"/>
            <w:tcBorders>
              <w:left w:val="single" w:color="000000" w:sz="4" w:space="0"/>
              <w:bottom w:val="single" w:color="000000" w:sz="4" w:space="0"/>
              <w:right w:val="single" w:color="000000" w:sz="4" w:space="0"/>
            </w:tcBorders>
            <w:noWrap w:val="0"/>
            <w:vAlign w:val="center"/>
          </w:tcPr>
          <w:p w14:paraId="0CA83EB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p>
        </w:tc>
        <w:tc>
          <w:tcPr>
            <w:tcW w:w="1588" w:type="dxa"/>
            <w:vMerge w:val="continue"/>
            <w:tcBorders>
              <w:left w:val="single" w:color="000000" w:sz="4" w:space="0"/>
              <w:bottom w:val="single" w:color="000000" w:sz="4" w:space="0"/>
              <w:right w:val="single" w:color="000000" w:sz="4" w:space="0"/>
            </w:tcBorders>
            <w:noWrap w:val="0"/>
            <w:vAlign w:val="center"/>
          </w:tcPr>
          <w:p w14:paraId="0F9773C0">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highlight w:val="none"/>
              </w:rPr>
            </w:pPr>
          </w:p>
        </w:tc>
        <w:tc>
          <w:tcPr>
            <w:tcW w:w="4181" w:type="dxa"/>
            <w:vMerge w:val="continue"/>
            <w:tcBorders>
              <w:left w:val="single" w:color="000000" w:sz="4" w:space="0"/>
              <w:bottom w:val="single" w:color="000000" w:sz="4" w:space="0"/>
              <w:right w:val="single" w:color="000000" w:sz="4" w:space="0"/>
            </w:tcBorders>
            <w:noWrap w:val="0"/>
            <w:vAlign w:val="center"/>
          </w:tcPr>
          <w:p w14:paraId="1689082B">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p>
        </w:tc>
        <w:tc>
          <w:tcPr>
            <w:tcW w:w="1125" w:type="dxa"/>
            <w:tcBorders>
              <w:top w:val="single" w:color="auto" w:sz="4" w:space="0"/>
              <w:left w:val="single" w:color="000000" w:sz="4" w:space="0"/>
              <w:bottom w:val="single" w:color="auto" w:sz="4" w:space="0"/>
              <w:right w:val="single" w:color="000000" w:sz="4" w:space="0"/>
            </w:tcBorders>
            <w:noWrap w:val="0"/>
            <w:vAlign w:val="center"/>
          </w:tcPr>
          <w:p w14:paraId="484B8A5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一般</w:t>
            </w:r>
          </w:p>
        </w:tc>
        <w:tc>
          <w:tcPr>
            <w:tcW w:w="3274" w:type="dxa"/>
            <w:tcBorders>
              <w:top w:val="single" w:color="auto" w:sz="4" w:space="0"/>
              <w:left w:val="single" w:color="000000" w:sz="4" w:space="0"/>
              <w:bottom w:val="single" w:color="auto" w:sz="4" w:space="0"/>
              <w:right w:val="single" w:color="000000" w:sz="4" w:space="0"/>
            </w:tcBorders>
            <w:noWrap w:val="0"/>
            <w:vAlign w:val="center"/>
          </w:tcPr>
          <w:p w14:paraId="608B607F">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拍卖佣金5万元以上30万元以下。</w:t>
            </w:r>
          </w:p>
        </w:tc>
        <w:tc>
          <w:tcPr>
            <w:tcW w:w="3389" w:type="dxa"/>
            <w:tcBorders>
              <w:top w:val="single" w:color="auto" w:sz="4" w:space="0"/>
              <w:left w:val="single" w:color="000000" w:sz="4" w:space="0"/>
              <w:bottom w:val="single" w:color="auto" w:sz="4" w:space="0"/>
              <w:right w:val="single" w:color="000000" w:sz="4" w:space="0"/>
            </w:tcBorders>
            <w:noWrap w:val="0"/>
            <w:vAlign w:val="center"/>
          </w:tcPr>
          <w:p w14:paraId="383350E0">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予以警告，并</w:t>
            </w:r>
            <w:r>
              <w:rPr>
                <w:rFonts w:hint="eastAsia" w:ascii="宋体" w:hAnsi="宋体" w:cs="宋体"/>
                <w:color w:val="auto"/>
                <w:sz w:val="24"/>
                <w:szCs w:val="24"/>
                <w:highlight w:val="none"/>
                <w:lang w:val="en-US" w:eastAsia="zh-CN"/>
              </w:rPr>
              <w:t>可</w:t>
            </w:r>
            <w:r>
              <w:rPr>
                <w:rFonts w:hint="eastAsia" w:ascii="宋体" w:hAnsi="宋体" w:eastAsia="宋体" w:cs="宋体"/>
                <w:color w:val="auto"/>
                <w:sz w:val="24"/>
                <w:szCs w:val="24"/>
                <w:highlight w:val="none"/>
                <w:lang w:val="en-US" w:eastAsia="zh-CN"/>
              </w:rPr>
              <w:t>处3000元以上，7000以下罚款</w:t>
            </w:r>
            <w:r>
              <w:rPr>
                <w:rFonts w:hint="eastAsia" w:ascii="宋体" w:hAnsi="宋体" w:cs="宋体"/>
                <w:color w:val="auto"/>
                <w:sz w:val="24"/>
                <w:szCs w:val="24"/>
                <w:highlight w:val="none"/>
                <w:lang w:val="en-US" w:eastAsia="zh-CN"/>
              </w:rPr>
              <w:t>。</w:t>
            </w:r>
          </w:p>
        </w:tc>
      </w:tr>
      <w:tr w14:paraId="791E1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9" w:hRule="atLeast"/>
          <w:jc w:val="center"/>
        </w:trPr>
        <w:tc>
          <w:tcPr>
            <w:tcW w:w="616" w:type="dxa"/>
            <w:vMerge w:val="continue"/>
            <w:tcBorders>
              <w:left w:val="single" w:color="000000" w:sz="4" w:space="0"/>
              <w:bottom w:val="single" w:color="000000" w:sz="4" w:space="0"/>
              <w:right w:val="single" w:color="000000" w:sz="4" w:space="0"/>
            </w:tcBorders>
            <w:noWrap w:val="0"/>
            <w:vAlign w:val="center"/>
          </w:tcPr>
          <w:p w14:paraId="5E293DE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p>
        </w:tc>
        <w:tc>
          <w:tcPr>
            <w:tcW w:w="1588" w:type="dxa"/>
            <w:vMerge w:val="continue"/>
            <w:tcBorders>
              <w:left w:val="single" w:color="000000" w:sz="4" w:space="0"/>
              <w:bottom w:val="single" w:color="000000" w:sz="4" w:space="0"/>
              <w:right w:val="single" w:color="000000" w:sz="4" w:space="0"/>
            </w:tcBorders>
            <w:noWrap w:val="0"/>
            <w:vAlign w:val="center"/>
          </w:tcPr>
          <w:p w14:paraId="3A03B611">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highlight w:val="none"/>
              </w:rPr>
            </w:pPr>
          </w:p>
        </w:tc>
        <w:tc>
          <w:tcPr>
            <w:tcW w:w="4181" w:type="dxa"/>
            <w:vMerge w:val="continue"/>
            <w:tcBorders>
              <w:left w:val="single" w:color="000000" w:sz="4" w:space="0"/>
              <w:bottom w:val="single" w:color="000000" w:sz="4" w:space="0"/>
              <w:right w:val="single" w:color="000000" w:sz="4" w:space="0"/>
            </w:tcBorders>
            <w:noWrap w:val="0"/>
            <w:vAlign w:val="center"/>
          </w:tcPr>
          <w:p w14:paraId="3B72C970">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rPr>
            </w:pPr>
          </w:p>
        </w:tc>
        <w:tc>
          <w:tcPr>
            <w:tcW w:w="1125" w:type="dxa"/>
            <w:tcBorders>
              <w:top w:val="single" w:color="auto" w:sz="4" w:space="0"/>
              <w:left w:val="single" w:color="000000" w:sz="4" w:space="0"/>
              <w:bottom w:val="single" w:color="000000" w:sz="4" w:space="0"/>
              <w:right w:val="single" w:color="000000" w:sz="4" w:space="0"/>
            </w:tcBorders>
            <w:noWrap w:val="0"/>
            <w:vAlign w:val="center"/>
          </w:tcPr>
          <w:p w14:paraId="69A9B82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较重</w:t>
            </w:r>
          </w:p>
        </w:tc>
        <w:tc>
          <w:tcPr>
            <w:tcW w:w="3274" w:type="dxa"/>
            <w:tcBorders>
              <w:top w:val="single" w:color="auto" w:sz="4" w:space="0"/>
              <w:left w:val="single" w:color="000000" w:sz="4" w:space="0"/>
              <w:bottom w:val="single" w:color="000000" w:sz="4" w:space="0"/>
              <w:right w:val="single" w:color="000000" w:sz="4" w:space="0"/>
            </w:tcBorders>
            <w:noWrap w:val="0"/>
            <w:vAlign w:val="center"/>
          </w:tcPr>
          <w:p w14:paraId="3E0DC094">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拍卖佣金30万元以上。</w:t>
            </w:r>
          </w:p>
        </w:tc>
        <w:tc>
          <w:tcPr>
            <w:tcW w:w="3389" w:type="dxa"/>
            <w:tcBorders>
              <w:top w:val="single" w:color="auto" w:sz="4" w:space="0"/>
              <w:left w:val="single" w:color="000000" w:sz="4" w:space="0"/>
              <w:bottom w:val="single" w:color="000000" w:sz="4" w:space="0"/>
              <w:right w:val="single" w:color="000000" w:sz="4" w:space="0"/>
            </w:tcBorders>
            <w:noWrap w:val="0"/>
            <w:vAlign w:val="center"/>
          </w:tcPr>
          <w:p w14:paraId="199783C6">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予以警告，并</w:t>
            </w:r>
            <w:r>
              <w:rPr>
                <w:rFonts w:hint="eastAsia" w:ascii="宋体" w:hAnsi="宋体" w:cs="宋体"/>
                <w:color w:val="auto"/>
                <w:sz w:val="24"/>
                <w:szCs w:val="24"/>
                <w:highlight w:val="none"/>
                <w:lang w:val="en-US" w:eastAsia="zh-CN"/>
              </w:rPr>
              <w:t>可</w:t>
            </w:r>
            <w:r>
              <w:rPr>
                <w:rFonts w:hint="eastAsia" w:ascii="宋体" w:hAnsi="宋体" w:eastAsia="宋体" w:cs="宋体"/>
                <w:color w:val="auto"/>
                <w:sz w:val="24"/>
                <w:szCs w:val="24"/>
                <w:highlight w:val="none"/>
                <w:lang w:val="en-US" w:eastAsia="zh-CN"/>
              </w:rPr>
              <w:t>处7000元以上1</w:t>
            </w:r>
            <w:r>
              <w:rPr>
                <w:rFonts w:hint="eastAsia" w:ascii="宋体" w:hAnsi="宋体" w:cs="宋体"/>
                <w:color w:val="auto"/>
                <w:sz w:val="24"/>
                <w:szCs w:val="24"/>
                <w:highlight w:val="none"/>
                <w:lang w:val="en-US" w:eastAsia="zh-CN"/>
              </w:rPr>
              <w:t>万元</w:t>
            </w:r>
            <w:r>
              <w:rPr>
                <w:rFonts w:hint="eastAsia" w:ascii="宋体" w:hAnsi="宋体" w:eastAsia="宋体" w:cs="宋体"/>
                <w:color w:val="auto"/>
                <w:sz w:val="24"/>
                <w:szCs w:val="24"/>
                <w:highlight w:val="none"/>
                <w:lang w:val="en-US" w:eastAsia="zh-CN"/>
              </w:rPr>
              <w:t>以下罚款</w:t>
            </w:r>
            <w:r>
              <w:rPr>
                <w:rFonts w:hint="eastAsia" w:ascii="宋体" w:hAnsi="宋体" w:cs="宋体"/>
                <w:color w:val="auto"/>
                <w:sz w:val="24"/>
                <w:szCs w:val="24"/>
                <w:highlight w:val="none"/>
                <w:lang w:val="en-US" w:eastAsia="zh-CN"/>
              </w:rPr>
              <w:t>。</w:t>
            </w:r>
          </w:p>
        </w:tc>
      </w:tr>
      <w:tr w14:paraId="027E1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7" w:hRule="atLeast"/>
          <w:jc w:val="center"/>
        </w:trPr>
        <w:tc>
          <w:tcPr>
            <w:tcW w:w="616" w:type="dxa"/>
            <w:vMerge w:val="restart"/>
            <w:tcBorders>
              <w:top w:val="single" w:color="000000" w:sz="4" w:space="0"/>
              <w:left w:val="single" w:color="000000" w:sz="4" w:space="0"/>
              <w:bottom w:val="single" w:color="000000" w:sz="4" w:space="0"/>
              <w:right w:val="single" w:color="000000" w:sz="4" w:space="0"/>
            </w:tcBorders>
            <w:noWrap w:val="0"/>
            <w:vAlign w:val="center"/>
          </w:tcPr>
          <w:p w14:paraId="7ED812B9">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8</w:t>
            </w:r>
            <w:r>
              <w:rPr>
                <w:rFonts w:hint="eastAsia" w:ascii="宋体" w:hAnsi="宋体" w:cs="宋体"/>
                <w:color w:val="auto"/>
                <w:sz w:val="24"/>
                <w:szCs w:val="24"/>
                <w:lang w:val="en-US" w:eastAsia="zh-CN"/>
              </w:rPr>
              <w:t>4</w:t>
            </w:r>
          </w:p>
        </w:tc>
        <w:tc>
          <w:tcPr>
            <w:tcW w:w="1588" w:type="dxa"/>
            <w:vMerge w:val="restart"/>
            <w:tcBorders>
              <w:top w:val="single" w:color="000000" w:sz="4" w:space="0"/>
              <w:left w:val="single" w:color="000000" w:sz="4" w:space="0"/>
              <w:bottom w:val="single" w:color="000000" w:sz="4" w:space="0"/>
              <w:right w:val="single" w:color="000000" w:sz="4" w:space="0"/>
            </w:tcBorders>
            <w:noWrap w:val="0"/>
            <w:vAlign w:val="center"/>
          </w:tcPr>
          <w:p w14:paraId="5B62A97C">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right="42" w:rightChars="20"/>
              <w:jc w:val="both"/>
              <w:textAlignment w:val="auto"/>
              <w:outlineLvl w:val="2"/>
              <w:rPr>
                <w:rFonts w:hint="eastAsia" w:ascii="宋体" w:hAnsi="宋体" w:eastAsia="宋体" w:cs="宋体"/>
                <w:color w:val="auto"/>
                <w:sz w:val="24"/>
                <w:szCs w:val="24"/>
                <w:highlight w:val="none"/>
                <w:lang w:val="en-US" w:eastAsia="zh-CN"/>
              </w:rPr>
            </w:pPr>
            <w:bookmarkStart w:id="122" w:name="_Toc2227"/>
            <w:bookmarkStart w:id="123" w:name="_Toc15279"/>
            <w:bookmarkStart w:id="124" w:name="_Toc1698"/>
            <w:bookmarkStart w:id="125" w:name="_Toc7831"/>
            <w:bookmarkStart w:id="126" w:name="_Toc12135"/>
            <w:r>
              <w:rPr>
                <w:rFonts w:hint="eastAsia" w:ascii="宋体" w:hAnsi="宋体" w:eastAsia="宋体" w:cs="宋体"/>
                <w:color w:val="auto"/>
                <w:sz w:val="24"/>
                <w:szCs w:val="24"/>
                <w:highlight w:val="none"/>
                <w:lang w:val="en-US" w:eastAsia="zh-CN"/>
              </w:rPr>
              <w:t>《合同行政监督管理办法》</w:t>
            </w:r>
            <w:bookmarkEnd w:id="122"/>
            <w:r>
              <w:rPr>
                <w:rFonts w:hint="eastAsia" w:ascii="宋体" w:hAnsi="宋体" w:eastAsia="宋体" w:cs="宋体"/>
                <w:color w:val="auto"/>
                <w:sz w:val="24"/>
                <w:szCs w:val="24"/>
                <w:highlight w:val="none"/>
                <w:lang w:val="en-US" w:eastAsia="zh-CN"/>
              </w:rPr>
              <w:t>（2025年5月1日</w:t>
            </w:r>
            <w:r>
              <w:rPr>
                <w:rFonts w:hint="eastAsia" w:ascii="宋体" w:hAnsi="宋体" w:cs="宋体"/>
                <w:color w:val="auto"/>
                <w:sz w:val="24"/>
                <w:szCs w:val="24"/>
                <w:highlight w:val="none"/>
                <w:lang w:val="en-US" w:eastAsia="zh-CN"/>
              </w:rPr>
              <w:t>起施行</w:t>
            </w:r>
            <w:r>
              <w:rPr>
                <w:rFonts w:hint="eastAsia" w:ascii="宋体" w:hAnsi="宋体" w:eastAsia="宋体" w:cs="宋体"/>
                <w:color w:val="auto"/>
                <w:sz w:val="24"/>
                <w:szCs w:val="24"/>
                <w:highlight w:val="none"/>
                <w:lang w:val="en-US" w:eastAsia="zh-CN"/>
              </w:rPr>
              <w:t>）</w:t>
            </w:r>
            <w:bookmarkEnd w:id="123"/>
            <w:bookmarkEnd w:id="124"/>
            <w:bookmarkEnd w:id="125"/>
            <w:bookmarkEnd w:id="126"/>
          </w:p>
          <w:p w14:paraId="2E91C0A4">
            <w:pPr>
              <w:pStyle w:val="16"/>
              <w:keepNext w:val="0"/>
              <w:keepLines w:val="0"/>
              <w:ind w:left="42" w:leftChars="20" w:right="42" w:rightChars="20"/>
              <w:jc w:val="both"/>
              <w:textAlignment w:val="auto"/>
              <w:rPr>
                <w:rFonts w:hint="eastAsia" w:ascii="宋体" w:hAnsi="宋体" w:eastAsia="宋体" w:cs="宋体"/>
                <w:highlight w:val="none"/>
              </w:rPr>
            </w:pPr>
          </w:p>
        </w:tc>
        <w:tc>
          <w:tcPr>
            <w:tcW w:w="4181" w:type="dxa"/>
            <w:vMerge w:val="restart"/>
            <w:tcBorders>
              <w:top w:val="single" w:color="000000" w:sz="4" w:space="0"/>
              <w:left w:val="single" w:color="000000" w:sz="4" w:space="0"/>
              <w:bottom w:val="single" w:color="000000" w:sz="4" w:space="0"/>
              <w:right w:val="single" w:color="000000" w:sz="4" w:space="0"/>
            </w:tcBorders>
            <w:noWrap w:val="0"/>
            <w:vAlign w:val="center"/>
          </w:tcPr>
          <w:p w14:paraId="1D8F1971">
            <w:pPr>
              <w:keepNext w:val="0"/>
              <w:keepLines w:val="0"/>
              <w:spacing w:line="400" w:lineRule="exact"/>
              <w:textAlignment w:val="auto"/>
              <w:rPr>
                <w:rFonts w:hint="default" w:ascii="Calibri" w:hAnsi="Calibri" w:eastAsia="宋体" w:cs="Times New Roman"/>
                <w:highlight w:val="none"/>
              </w:rPr>
            </w:pPr>
            <w:r>
              <w:rPr>
                <w:rFonts w:hint="eastAsia" w:ascii="宋体" w:hAnsi="宋体" w:eastAsia="宋体" w:cs="宋体"/>
                <w:b w:val="0"/>
                <w:color w:val="auto"/>
                <w:sz w:val="24"/>
                <w:szCs w:val="24"/>
                <w:highlight w:val="none"/>
              </w:rPr>
              <w:t>第十八条第一款 经营者违反本办法第五条、第九条、第十二条，法律、行政法规有规定的，依照其规定；法律、行政法规没有规定的，由县级以上市场监督管理部门责令限期改正，给予警告，可以处十万元以下罚款。</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069510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较轻</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0D23C80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cs="宋体"/>
                <w:sz w:val="24"/>
                <w:szCs w:val="24"/>
                <w:highlight w:val="none"/>
                <w:lang w:val="en-US" w:eastAsia="zh-CN"/>
              </w:rPr>
              <w:t>涉案</w:t>
            </w:r>
            <w:r>
              <w:rPr>
                <w:rFonts w:hint="eastAsia" w:ascii="宋体" w:hAnsi="宋体" w:eastAsia="宋体" w:cs="宋体"/>
                <w:sz w:val="24"/>
                <w:szCs w:val="24"/>
                <w:highlight w:val="none"/>
              </w:rPr>
              <w:t>合同标的额</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万元以下的。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5191D34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给予警告，并可以处</w:t>
            </w:r>
            <w:r>
              <w:rPr>
                <w:rFonts w:hint="eastAsia" w:ascii="宋体" w:hAnsi="宋体" w:cs="宋体"/>
                <w:sz w:val="24"/>
                <w:szCs w:val="24"/>
                <w:highlight w:val="none"/>
                <w:lang w:eastAsia="zh-CN"/>
              </w:rPr>
              <w:t>3</w:t>
            </w:r>
            <w:r>
              <w:rPr>
                <w:rFonts w:hint="eastAsia" w:ascii="宋体" w:hAnsi="宋体" w:eastAsia="宋体" w:cs="宋体"/>
                <w:sz w:val="24"/>
                <w:szCs w:val="24"/>
                <w:highlight w:val="none"/>
              </w:rPr>
              <w:t>万元以下罚款。</w:t>
            </w:r>
          </w:p>
        </w:tc>
      </w:tr>
      <w:tr w14:paraId="539FD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2"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E8421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AD9F37">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highlight w:val="yellow"/>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15482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yellow"/>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1A236C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一般</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31B9791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cs="宋体"/>
                <w:sz w:val="24"/>
                <w:szCs w:val="24"/>
                <w:highlight w:val="none"/>
                <w:lang w:val="en-US" w:eastAsia="zh-CN"/>
              </w:rPr>
              <w:t>涉案</w:t>
            </w:r>
            <w:r>
              <w:rPr>
                <w:rFonts w:hint="eastAsia" w:ascii="宋体" w:hAnsi="宋体" w:eastAsia="宋体" w:cs="宋体"/>
                <w:sz w:val="24"/>
                <w:szCs w:val="24"/>
                <w:highlight w:val="none"/>
              </w:rPr>
              <w:t>合同标的额</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万元以</w:t>
            </w:r>
            <w:r>
              <w:rPr>
                <w:rFonts w:hint="eastAsia" w:ascii="宋体" w:hAnsi="宋体" w:cs="宋体"/>
                <w:sz w:val="24"/>
                <w:szCs w:val="24"/>
                <w:highlight w:val="none"/>
                <w:lang w:val="en-US" w:eastAsia="zh-CN"/>
              </w:rPr>
              <w:t>上7万以下</w:t>
            </w:r>
            <w:r>
              <w:rPr>
                <w:rFonts w:hint="eastAsia" w:ascii="宋体" w:hAnsi="宋体" w:eastAsia="宋体" w:cs="宋体"/>
                <w:sz w:val="24"/>
                <w:szCs w:val="24"/>
                <w:highlight w:val="none"/>
              </w:rPr>
              <w:t>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29B394D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给予警告，并可以处</w:t>
            </w:r>
            <w:r>
              <w:rPr>
                <w:rFonts w:hint="eastAsia" w:ascii="宋体" w:hAnsi="宋体" w:cs="宋体"/>
                <w:sz w:val="24"/>
                <w:szCs w:val="24"/>
                <w:highlight w:val="none"/>
                <w:lang w:eastAsia="zh-CN"/>
              </w:rPr>
              <w:t>3</w:t>
            </w:r>
            <w:r>
              <w:rPr>
                <w:rFonts w:hint="eastAsia" w:ascii="宋体" w:hAnsi="宋体" w:eastAsia="宋体" w:cs="宋体"/>
                <w:sz w:val="24"/>
                <w:szCs w:val="24"/>
                <w:highlight w:val="none"/>
              </w:rPr>
              <w:t>万元以上</w:t>
            </w:r>
            <w:r>
              <w:rPr>
                <w:rFonts w:hint="eastAsia" w:ascii="宋体" w:hAnsi="宋体" w:cs="宋体"/>
                <w:sz w:val="24"/>
                <w:szCs w:val="24"/>
                <w:highlight w:val="none"/>
                <w:lang w:eastAsia="zh-CN"/>
              </w:rPr>
              <w:t>7</w:t>
            </w:r>
            <w:r>
              <w:rPr>
                <w:rFonts w:hint="eastAsia" w:ascii="宋体" w:hAnsi="宋体" w:eastAsia="宋体" w:cs="宋体"/>
                <w:sz w:val="24"/>
                <w:szCs w:val="24"/>
                <w:highlight w:val="none"/>
              </w:rPr>
              <w:t>万元以下罚款。</w:t>
            </w:r>
          </w:p>
        </w:tc>
      </w:tr>
      <w:tr w14:paraId="78496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4" w:hRule="atLeast"/>
          <w:jc w:val="center"/>
        </w:trPr>
        <w:tc>
          <w:tcPr>
            <w:tcW w:w="61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9AD67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4C73C1">
            <w:pPr>
              <w:keepNext w:val="0"/>
              <w:keepLines w:val="0"/>
              <w:pageBreakBefore w:val="0"/>
              <w:kinsoku/>
              <w:wordWrap/>
              <w:overflowPunct/>
              <w:topLinePunct w:val="0"/>
              <w:autoSpaceDE/>
              <w:autoSpaceDN/>
              <w:bidi w:val="0"/>
              <w:adjustRightInd/>
              <w:snapToGrid/>
              <w:spacing w:line="400" w:lineRule="exact"/>
              <w:ind w:left="42" w:leftChars="20" w:right="42" w:rightChars="20"/>
              <w:jc w:val="both"/>
              <w:textAlignment w:val="auto"/>
              <w:rPr>
                <w:rFonts w:hint="eastAsia" w:ascii="宋体" w:hAnsi="宋体" w:eastAsia="宋体" w:cs="宋体"/>
                <w:color w:val="auto"/>
                <w:sz w:val="24"/>
                <w:szCs w:val="24"/>
                <w:highlight w:val="yellow"/>
              </w:rPr>
            </w:pPr>
          </w:p>
        </w:tc>
        <w:tc>
          <w:tcPr>
            <w:tcW w:w="41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C9AC3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yellow"/>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72C1F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较重</w:t>
            </w:r>
          </w:p>
        </w:tc>
        <w:tc>
          <w:tcPr>
            <w:tcW w:w="3274" w:type="dxa"/>
            <w:tcBorders>
              <w:top w:val="single" w:color="000000" w:sz="4" w:space="0"/>
              <w:left w:val="single" w:color="000000" w:sz="4" w:space="0"/>
              <w:bottom w:val="single" w:color="000000" w:sz="4" w:space="0"/>
              <w:right w:val="single" w:color="000000" w:sz="4" w:space="0"/>
            </w:tcBorders>
            <w:noWrap w:val="0"/>
            <w:vAlign w:val="center"/>
          </w:tcPr>
          <w:p w14:paraId="55A4765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cs="宋体"/>
                <w:sz w:val="24"/>
                <w:szCs w:val="24"/>
                <w:highlight w:val="none"/>
                <w:lang w:val="en-US" w:eastAsia="zh-CN"/>
              </w:rPr>
              <w:t>涉案</w:t>
            </w:r>
            <w:r>
              <w:rPr>
                <w:rFonts w:hint="eastAsia" w:ascii="宋体" w:hAnsi="宋体" w:eastAsia="宋体" w:cs="宋体"/>
                <w:sz w:val="24"/>
                <w:szCs w:val="24"/>
                <w:highlight w:val="none"/>
              </w:rPr>
              <w:t>合同标的额</w:t>
            </w:r>
            <w:r>
              <w:rPr>
                <w:rFonts w:hint="eastAsia" w:ascii="宋体" w:hAnsi="宋体" w:cs="宋体"/>
                <w:sz w:val="24"/>
                <w:szCs w:val="24"/>
                <w:highlight w:val="none"/>
                <w:lang w:val="en-US" w:eastAsia="zh-CN"/>
              </w:rPr>
              <w:t>7万以上</w:t>
            </w:r>
            <w:r>
              <w:rPr>
                <w:rFonts w:hint="eastAsia" w:ascii="宋体" w:hAnsi="宋体" w:eastAsia="宋体" w:cs="宋体"/>
                <w:sz w:val="24"/>
                <w:szCs w:val="24"/>
                <w:highlight w:val="none"/>
              </w:rPr>
              <w:t>的。</w:t>
            </w:r>
          </w:p>
        </w:tc>
        <w:tc>
          <w:tcPr>
            <w:tcW w:w="3389" w:type="dxa"/>
            <w:tcBorders>
              <w:top w:val="single" w:color="000000" w:sz="4" w:space="0"/>
              <w:left w:val="single" w:color="000000" w:sz="4" w:space="0"/>
              <w:bottom w:val="single" w:color="000000" w:sz="4" w:space="0"/>
              <w:right w:val="single" w:color="000000" w:sz="4" w:space="0"/>
            </w:tcBorders>
            <w:noWrap w:val="0"/>
            <w:vAlign w:val="center"/>
          </w:tcPr>
          <w:p w14:paraId="0986BB7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给予警告，并可以处</w:t>
            </w:r>
            <w:r>
              <w:rPr>
                <w:rFonts w:hint="eastAsia" w:ascii="宋体" w:hAnsi="宋体" w:cs="宋体"/>
                <w:sz w:val="24"/>
                <w:szCs w:val="24"/>
                <w:highlight w:val="none"/>
                <w:lang w:eastAsia="zh-CN"/>
              </w:rPr>
              <w:t>7</w:t>
            </w:r>
            <w:r>
              <w:rPr>
                <w:rFonts w:hint="eastAsia" w:ascii="宋体" w:hAnsi="宋体" w:eastAsia="宋体" w:cs="宋体"/>
                <w:sz w:val="24"/>
                <w:szCs w:val="24"/>
                <w:highlight w:val="none"/>
              </w:rPr>
              <w:t>万元以上</w:t>
            </w:r>
            <w:r>
              <w:rPr>
                <w:rFonts w:hint="eastAsia" w:ascii="宋体" w:hAnsi="宋体" w:cs="宋体"/>
                <w:sz w:val="24"/>
                <w:szCs w:val="24"/>
                <w:highlight w:val="none"/>
                <w:lang w:eastAsia="zh-CN"/>
              </w:rPr>
              <w:t>1</w:t>
            </w:r>
            <w:r>
              <w:rPr>
                <w:rFonts w:hint="eastAsia" w:ascii="宋体" w:hAnsi="宋体" w:cs="宋体"/>
                <w:sz w:val="24"/>
                <w:szCs w:val="24"/>
                <w:highlight w:val="none"/>
                <w:lang w:val="en-US" w:eastAsia="zh-CN"/>
              </w:rPr>
              <w:t>0</w:t>
            </w:r>
            <w:r>
              <w:rPr>
                <w:rFonts w:hint="eastAsia" w:ascii="宋体" w:hAnsi="宋体" w:eastAsia="宋体" w:cs="宋体"/>
                <w:sz w:val="24"/>
                <w:szCs w:val="24"/>
                <w:highlight w:val="none"/>
              </w:rPr>
              <w:t>万元以下罚款。</w:t>
            </w:r>
          </w:p>
        </w:tc>
      </w:tr>
    </w:tbl>
    <w:p w14:paraId="6B496F42"/>
    <w:p w14:paraId="7A9F4381"/>
    <w:p w14:paraId="35AE6744">
      <w:pPr>
        <w:keepNext w:val="0"/>
        <w:keepLines w:val="0"/>
        <w:pageBreakBefore w:val="0"/>
        <w:widowControl/>
        <w:suppressAutoHyphens/>
        <w:kinsoku/>
        <w:wordWrap/>
        <w:overflowPunct/>
        <w:topLinePunct w:val="0"/>
        <w:autoSpaceDE/>
        <w:autoSpaceDN/>
        <w:bidi w:val="0"/>
        <w:adjustRightInd/>
        <w:snapToGrid/>
        <w:spacing w:line="240" w:lineRule="auto"/>
        <w:jc w:val="left"/>
        <w:textAlignment w:val="auto"/>
        <w:outlineLvl w:val="9"/>
        <w:rPr>
          <w:rFonts w:hint="default" w:ascii="方正小标宋简体" w:hAnsi="方正小标宋简体" w:eastAsia="方正小标宋简体" w:cs="方正小标宋简体"/>
          <w:b w:val="0"/>
          <w:bCs/>
          <w:kern w:val="44"/>
          <w:sz w:val="36"/>
          <w:szCs w:val="20"/>
          <w:lang w:val="en-US" w:eastAsia="zh-CN" w:bidi="ar-SA"/>
        </w:rPr>
      </w:pPr>
      <w:bookmarkStart w:id="127" w:name="_Toc2246"/>
      <w:r>
        <w:rPr>
          <w:rFonts w:hint="default" w:ascii="方正小标宋简体" w:hAnsi="方正小标宋简体" w:eastAsia="方正小标宋简体" w:cs="方正小标宋简体"/>
          <w:b w:val="0"/>
          <w:bCs/>
          <w:kern w:val="44"/>
          <w:sz w:val="36"/>
          <w:szCs w:val="20"/>
          <w:lang w:val="en-US" w:eastAsia="zh-CN" w:bidi="ar-SA"/>
        </w:rPr>
        <w:br w:type="page"/>
      </w:r>
    </w:p>
    <w:p w14:paraId="4A8315C2">
      <w:pPr>
        <w:keepNext w:val="0"/>
        <w:keepLines w:val="0"/>
        <w:pageBreakBefore w:val="0"/>
        <w:widowControl w:val="0"/>
        <w:suppressAutoHyphens/>
        <w:kinsoku/>
        <w:wordWrap/>
        <w:overflowPunct/>
        <w:topLinePunct w:val="0"/>
        <w:autoSpaceDE/>
        <w:autoSpaceDN/>
        <w:bidi w:val="0"/>
        <w:adjustRightInd/>
        <w:snapToGrid/>
        <w:spacing w:line="240" w:lineRule="auto"/>
        <w:jc w:val="center"/>
        <w:textAlignment w:val="auto"/>
        <w:outlineLvl w:val="1"/>
        <w:rPr>
          <w:rFonts w:hint="default" w:ascii="方正小标宋简体" w:hAnsi="方正小标宋简体" w:eastAsia="方正小标宋简体" w:cs="方正小标宋简体"/>
          <w:b w:val="0"/>
          <w:bCs/>
          <w:kern w:val="44"/>
          <w:sz w:val="36"/>
          <w:szCs w:val="20"/>
          <w:lang w:val="en-US" w:eastAsia="zh-CN" w:bidi="ar-SA"/>
        </w:rPr>
      </w:pPr>
      <w:bookmarkStart w:id="128" w:name="_Toc24353"/>
      <w:bookmarkStart w:id="129" w:name="_Toc6383"/>
      <w:bookmarkStart w:id="130" w:name="_Toc17663"/>
      <w:bookmarkStart w:id="131" w:name="_Toc28677"/>
      <w:r>
        <w:rPr>
          <w:rFonts w:hint="default" w:ascii="方正小标宋简体" w:hAnsi="方正小标宋简体" w:eastAsia="方正小标宋简体" w:cs="方正小标宋简体"/>
          <w:b w:val="0"/>
          <w:bCs/>
          <w:kern w:val="44"/>
          <w:sz w:val="36"/>
          <w:szCs w:val="20"/>
          <w:lang w:val="en-US" w:eastAsia="zh-CN" w:bidi="ar-SA"/>
        </w:rPr>
        <w:t>第四节  适用产品质量监管法律、法规、规章的裁量标准</w:t>
      </w:r>
      <w:bookmarkEnd w:id="127"/>
      <w:bookmarkEnd w:id="128"/>
      <w:bookmarkEnd w:id="129"/>
      <w:bookmarkEnd w:id="130"/>
      <w:bookmarkEnd w:id="131"/>
    </w:p>
    <w:tbl>
      <w:tblPr>
        <w:tblStyle w:val="10"/>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750"/>
        <w:gridCol w:w="4203"/>
        <w:gridCol w:w="1141"/>
        <w:gridCol w:w="3133"/>
        <w:gridCol w:w="3336"/>
      </w:tblGrid>
      <w:tr w14:paraId="2AACA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blHeader/>
          <w:jc w:val="center"/>
        </w:trPr>
        <w:tc>
          <w:tcPr>
            <w:tcW w:w="610" w:type="dxa"/>
            <w:noWrap w:val="0"/>
            <w:vAlign w:val="center"/>
          </w:tcPr>
          <w:p w14:paraId="1390E94F">
            <w:pPr>
              <w:keepNext w:val="0"/>
              <w:keepLines w:val="0"/>
              <w:pageBreakBefore w:val="0"/>
              <w:widowControl/>
              <w:kinsoku/>
              <w:wordWrap/>
              <w:overflowPunct/>
              <w:topLinePunct w:val="0"/>
              <w:autoSpaceDE/>
              <w:autoSpaceDN/>
              <w:bidi w:val="0"/>
              <w:adjustRightInd/>
              <w:snapToGrid/>
              <w:spacing w:line="420" w:lineRule="exact"/>
              <w:ind w:left="-105" w:leftChars="-50" w:right="-105" w:rightChars="-50"/>
              <w:jc w:val="center"/>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序号</w:t>
            </w:r>
          </w:p>
        </w:tc>
        <w:tc>
          <w:tcPr>
            <w:tcW w:w="1750" w:type="dxa"/>
            <w:noWrap w:val="0"/>
            <w:vAlign w:val="center"/>
          </w:tcPr>
          <w:p w14:paraId="38302ED7">
            <w:pPr>
              <w:pageBreakBefore w:val="0"/>
              <w:widowControl/>
              <w:kinsoku/>
              <w:wordWrap/>
              <w:overflowPunct/>
              <w:topLinePunct w:val="0"/>
              <w:autoSpaceDE/>
              <w:autoSpaceDN/>
              <w:bidi w:val="0"/>
              <w:adjustRightInd/>
              <w:snapToGrid/>
              <w:spacing w:line="420" w:lineRule="exact"/>
              <w:jc w:val="center"/>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法律名称</w:t>
            </w:r>
          </w:p>
        </w:tc>
        <w:tc>
          <w:tcPr>
            <w:tcW w:w="4203" w:type="dxa"/>
            <w:noWrap w:val="0"/>
            <w:vAlign w:val="center"/>
          </w:tcPr>
          <w:p w14:paraId="19E8458D">
            <w:pPr>
              <w:pageBreakBefore w:val="0"/>
              <w:widowControl/>
              <w:kinsoku/>
              <w:wordWrap/>
              <w:overflowPunct/>
              <w:topLinePunct w:val="0"/>
              <w:autoSpaceDE/>
              <w:autoSpaceDN/>
              <w:bidi w:val="0"/>
              <w:adjustRightInd/>
              <w:snapToGrid/>
              <w:spacing w:line="420" w:lineRule="exact"/>
              <w:jc w:val="center"/>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法律依据</w:t>
            </w:r>
          </w:p>
        </w:tc>
        <w:tc>
          <w:tcPr>
            <w:tcW w:w="1141" w:type="dxa"/>
            <w:noWrap w:val="0"/>
            <w:vAlign w:val="center"/>
          </w:tcPr>
          <w:p w14:paraId="60552EF3">
            <w:pPr>
              <w:keepNext w:val="0"/>
              <w:keepLines w:val="0"/>
              <w:pageBreakBefore w:val="0"/>
              <w:widowControl/>
              <w:kinsoku/>
              <w:wordWrap/>
              <w:overflowPunct/>
              <w:topLinePunct w:val="0"/>
              <w:autoSpaceDE/>
              <w:autoSpaceDN/>
              <w:bidi w:val="0"/>
              <w:adjustRightInd/>
              <w:snapToGrid/>
              <w:spacing w:line="420" w:lineRule="exact"/>
              <w:ind w:left="-105" w:leftChars="-50" w:right="-105" w:rightChars="-50"/>
              <w:jc w:val="center"/>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违法程度</w:t>
            </w:r>
          </w:p>
        </w:tc>
        <w:tc>
          <w:tcPr>
            <w:tcW w:w="3133" w:type="dxa"/>
            <w:noWrap w:val="0"/>
            <w:vAlign w:val="center"/>
          </w:tcPr>
          <w:p w14:paraId="1C509592">
            <w:pPr>
              <w:pageBreakBefore w:val="0"/>
              <w:widowControl/>
              <w:kinsoku/>
              <w:wordWrap/>
              <w:overflowPunct/>
              <w:topLinePunct w:val="0"/>
              <w:autoSpaceDE/>
              <w:autoSpaceDN/>
              <w:bidi w:val="0"/>
              <w:adjustRightInd/>
              <w:snapToGrid/>
              <w:spacing w:line="420" w:lineRule="exact"/>
              <w:jc w:val="center"/>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判断标准</w:t>
            </w:r>
          </w:p>
        </w:tc>
        <w:tc>
          <w:tcPr>
            <w:tcW w:w="3336" w:type="dxa"/>
            <w:noWrap w:val="0"/>
            <w:vAlign w:val="center"/>
          </w:tcPr>
          <w:p w14:paraId="785CBF4A">
            <w:pPr>
              <w:pageBreakBefore w:val="0"/>
              <w:widowControl/>
              <w:kinsoku/>
              <w:wordWrap/>
              <w:overflowPunct/>
              <w:topLinePunct w:val="0"/>
              <w:autoSpaceDE/>
              <w:autoSpaceDN/>
              <w:bidi w:val="0"/>
              <w:adjustRightInd/>
              <w:snapToGrid/>
              <w:spacing w:line="420" w:lineRule="exact"/>
              <w:jc w:val="center"/>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处罚标准</w:t>
            </w:r>
          </w:p>
        </w:tc>
      </w:tr>
      <w:tr w14:paraId="78A62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0" w:type="dxa"/>
            <w:vMerge w:val="restart"/>
            <w:noWrap w:val="0"/>
            <w:vAlign w:val="center"/>
          </w:tcPr>
          <w:p w14:paraId="3A9C9B9A">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rPr>
              <w:t>8</w:t>
            </w:r>
            <w:r>
              <w:rPr>
                <w:rFonts w:hint="eastAsia" w:ascii="宋体" w:hAnsi="宋体" w:cs="宋体"/>
                <w:b w:val="0"/>
                <w:bCs w:val="0"/>
                <w:color w:val="auto"/>
                <w:kern w:val="0"/>
                <w:sz w:val="24"/>
                <w:szCs w:val="24"/>
                <w:lang w:val="en-US" w:eastAsia="zh-CN"/>
              </w:rPr>
              <w:t>5</w:t>
            </w:r>
          </w:p>
        </w:tc>
        <w:tc>
          <w:tcPr>
            <w:tcW w:w="1750" w:type="dxa"/>
            <w:vMerge w:val="restart"/>
            <w:noWrap w:val="0"/>
            <w:vAlign w:val="center"/>
          </w:tcPr>
          <w:p w14:paraId="0D2510B1">
            <w:pPr>
              <w:keepNext w:val="0"/>
              <w:keepLines w:val="0"/>
              <w:pageBreakBefore w:val="0"/>
              <w:widowControl/>
              <w:kinsoku/>
              <w:wordWrap/>
              <w:overflowPunct/>
              <w:topLinePunct w:val="0"/>
              <w:autoSpaceDE/>
              <w:autoSpaceDN/>
              <w:bidi w:val="0"/>
              <w:adjustRightInd/>
              <w:snapToGrid/>
              <w:spacing w:line="420" w:lineRule="exact"/>
              <w:textAlignment w:val="auto"/>
              <w:outlineLvl w:val="2"/>
              <w:rPr>
                <w:rFonts w:hint="eastAsia" w:ascii="宋体" w:hAnsi="宋体" w:eastAsia="宋体" w:cs="宋体"/>
                <w:b w:val="0"/>
                <w:bCs w:val="0"/>
                <w:color w:val="auto"/>
                <w:kern w:val="0"/>
                <w:sz w:val="24"/>
                <w:szCs w:val="24"/>
                <w:lang w:val="en-US" w:eastAsia="zh-CN"/>
              </w:rPr>
            </w:pPr>
            <w:bookmarkStart w:id="132" w:name="_Toc7173"/>
            <w:bookmarkStart w:id="133" w:name="_Toc1702"/>
            <w:bookmarkStart w:id="134" w:name="_Toc11978"/>
            <w:bookmarkStart w:id="135" w:name="_Toc1061"/>
            <w:bookmarkStart w:id="136" w:name="_Toc10811"/>
            <w:r>
              <w:rPr>
                <w:rFonts w:hint="eastAsia" w:ascii="宋体" w:hAnsi="宋体" w:eastAsia="宋体" w:cs="宋体"/>
                <w:b w:val="0"/>
                <w:bCs w:val="0"/>
                <w:color w:val="auto"/>
                <w:kern w:val="0"/>
                <w:sz w:val="24"/>
                <w:szCs w:val="24"/>
              </w:rPr>
              <w:t>《中华人民共和国产品质量法》</w:t>
            </w:r>
            <w:r>
              <w:rPr>
                <w:rFonts w:hint="eastAsia" w:ascii="宋体" w:hAnsi="宋体" w:eastAsia="宋体" w:cs="宋体"/>
                <w:b w:val="0"/>
                <w:bCs w:val="0"/>
                <w:color w:val="auto"/>
                <w:kern w:val="0"/>
                <w:sz w:val="24"/>
                <w:szCs w:val="24"/>
                <w:lang w:eastAsia="zh-CN"/>
              </w:rPr>
              <w:t>（</w:t>
            </w:r>
            <w:r>
              <w:rPr>
                <w:rFonts w:hint="eastAsia" w:ascii="宋体" w:hAnsi="宋体" w:eastAsia="宋体" w:cs="宋体"/>
                <w:b w:val="0"/>
                <w:bCs w:val="0"/>
                <w:color w:val="auto"/>
                <w:kern w:val="0"/>
                <w:sz w:val="24"/>
                <w:szCs w:val="24"/>
                <w:lang w:val="en-US" w:eastAsia="zh-CN"/>
              </w:rPr>
              <w:t>2018年12月29日</w:t>
            </w:r>
            <w:r>
              <w:rPr>
                <w:rFonts w:hint="eastAsia" w:ascii="宋体" w:hAnsi="宋体" w:cs="宋体"/>
                <w:b w:val="0"/>
                <w:bCs w:val="0"/>
                <w:color w:val="auto"/>
                <w:kern w:val="0"/>
                <w:sz w:val="24"/>
                <w:szCs w:val="24"/>
                <w:lang w:val="en-US" w:eastAsia="zh-CN"/>
              </w:rPr>
              <w:t>起施行</w:t>
            </w:r>
            <w:r>
              <w:rPr>
                <w:rFonts w:hint="eastAsia" w:ascii="宋体" w:hAnsi="宋体" w:eastAsia="宋体" w:cs="宋体"/>
                <w:b w:val="0"/>
                <w:bCs w:val="0"/>
                <w:color w:val="auto"/>
                <w:kern w:val="0"/>
                <w:sz w:val="24"/>
                <w:szCs w:val="24"/>
                <w:lang w:val="en-US" w:eastAsia="zh-CN"/>
              </w:rPr>
              <w:t>）</w:t>
            </w:r>
            <w:bookmarkEnd w:id="132"/>
            <w:bookmarkEnd w:id="133"/>
            <w:bookmarkEnd w:id="134"/>
            <w:bookmarkEnd w:id="135"/>
            <w:bookmarkEnd w:id="136"/>
          </w:p>
        </w:tc>
        <w:tc>
          <w:tcPr>
            <w:tcW w:w="4203" w:type="dxa"/>
            <w:vMerge w:val="restart"/>
            <w:noWrap w:val="0"/>
            <w:vAlign w:val="center"/>
          </w:tcPr>
          <w:p w14:paraId="7FD9DAB9">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第四十九条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 xml:space="preserve">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 </w:t>
            </w:r>
          </w:p>
        </w:tc>
        <w:tc>
          <w:tcPr>
            <w:tcW w:w="1141" w:type="dxa"/>
            <w:noWrap w:val="0"/>
            <w:vAlign w:val="center"/>
          </w:tcPr>
          <w:p w14:paraId="0DA27B3F">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4B904868">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生产产品货值金额5万元以下或销售产品货值金额2万元以下的</w:t>
            </w:r>
            <w:r>
              <w:rPr>
                <w:rFonts w:hint="eastAsia" w:ascii="宋体" w:hAnsi="宋体" w:cs="宋体"/>
                <w:b w:val="0"/>
                <w:bCs w:val="0"/>
                <w:color w:val="auto"/>
                <w:kern w:val="0"/>
                <w:sz w:val="24"/>
                <w:szCs w:val="24"/>
                <w:lang w:val="en-US" w:eastAsia="zh-CN"/>
              </w:rPr>
              <w:t>。</w:t>
            </w:r>
          </w:p>
          <w:p w14:paraId="149AF377">
            <w:pPr>
              <w:keepNext w:val="0"/>
              <w:keepLines w:val="0"/>
              <w:pageBreakBefore w:val="0"/>
              <w:widowControl/>
              <w:numPr>
                <w:ilvl w:val="0"/>
                <w:numId w:val="0"/>
              </w:numPr>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3336" w:type="dxa"/>
            <w:noWrap w:val="0"/>
            <w:vAlign w:val="center"/>
          </w:tcPr>
          <w:p w14:paraId="64633D3B">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责令停止生产、销售，没收违法生产、销售的产品，并处</w:t>
            </w:r>
            <w:r>
              <w:rPr>
                <w:rFonts w:hint="eastAsia" w:ascii="宋体" w:hAnsi="宋体" w:eastAsia="宋体" w:cs="宋体"/>
                <w:b w:val="0"/>
                <w:bCs w:val="0"/>
                <w:color w:val="auto"/>
                <w:kern w:val="0"/>
                <w:sz w:val="24"/>
                <w:szCs w:val="24"/>
                <w:lang w:eastAsia="zh-CN"/>
              </w:rPr>
              <w:t>违法生产、销售产品</w:t>
            </w:r>
            <w:r>
              <w:rPr>
                <w:rFonts w:hint="eastAsia" w:ascii="宋体" w:hAnsi="宋体" w:eastAsia="宋体" w:cs="宋体"/>
                <w:b w:val="0"/>
                <w:bCs w:val="0"/>
                <w:color w:val="auto"/>
                <w:kern w:val="0"/>
                <w:sz w:val="24"/>
                <w:szCs w:val="24"/>
              </w:rPr>
              <w:t>货值金额1倍罚款；有违法所得的，并处没收违法所得。</w:t>
            </w:r>
          </w:p>
        </w:tc>
      </w:tr>
      <w:tr w14:paraId="2F279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jc w:val="center"/>
        </w:trPr>
        <w:tc>
          <w:tcPr>
            <w:tcW w:w="610" w:type="dxa"/>
            <w:vMerge w:val="continue"/>
            <w:noWrap w:val="0"/>
            <w:vAlign w:val="center"/>
          </w:tcPr>
          <w:p w14:paraId="5AAB3022">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63806C8D">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4AEACC41">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591735CE">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565952D9">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生产</w:t>
            </w:r>
            <w:r>
              <w:rPr>
                <w:rFonts w:hint="eastAsia" w:ascii="宋体" w:hAnsi="宋体" w:eastAsia="宋体" w:cs="宋体"/>
                <w:b w:val="0"/>
                <w:bCs w:val="0"/>
                <w:color w:val="auto"/>
                <w:kern w:val="0"/>
                <w:sz w:val="24"/>
                <w:szCs w:val="24"/>
                <w:lang w:val="en-US" w:eastAsia="zh-CN"/>
              </w:rPr>
              <w:t>产品</w:t>
            </w:r>
            <w:r>
              <w:rPr>
                <w:rFonts w:hint="eastAsia" w:ascii="宋体" w:hAnsi="宋体" w:eastAsia="宋体" w:cs="宋体"/>
                <w:b w:val="0"/>
                <w:bCs w:val="0"/>
                <w:color w:val="auto"/>
                <w:kern w:val="0"/>
                <w:sz w:val="24"/>
                <w:szCs w:val="24"/>
              </w:rPr>
              <w:t>货值金额</w:t>
            </w:r>
            <w:r>
              <w:rPr>
                <w:rFonts w:hint="eastAsia" w:ascii="宋体" w:hAnsi="宋体" w:eastAsia="宋体" w:cs="宋体"/>
                <w:b w:val="0"/>
                <w:bCs w:val="0"/>
                <w:color w:val="auto"/>
                <w:kern w:val="0"/>
                <w:sz w:val="24"/>
                <w:szCs w:val="24"/>
                <w:lang w:val="en-US" w:eastAsia="zh-CN"/>
              </w:rPr>
              <w:t>5</w:t>
            </w:r>
            <w:r>
              <w:rPr>
                <w:rFonts w:hint="eastAsia" w:ascii="宋体" w:hAnsi="宋体" w:eastAsia="宋体" w:cs="宋体"/>
                <w:b w:val="0"/>
                <w:bCs w:val="0"/>
                <w:color w:val="auto"/>
                <w:kern w:val="0"/>
                <w:sz w:val="24"/>
                <w:szCs w:val="24"/>
              </w:rPr>
              <w:t>万元以上</w:t>
            </w:r>
            <w:r>
              <w:rPr>
                <w:rFonts w:hint="eastAsia" w:ascii="宋体" w:hAnsi="宋体" w:eastAsia="宋体" w:cs="宋体"/>
                <w:b w:val="0"/>
                <w:bCs w:val="0"/>
                <w:color w:val="auto"/>
                <w:kern w:val="0"/>
                <w:sz w:val="24"/>
                <w:szCs w:val="24"/>
                <w:lang w:val="en-US" w:eastAsia="zh-CN"/>
              </w:rPr>
              <w:t>20</w:t>
            </w:r>
            <w:r>
              <w:rPr>
                <w:rFonts w:hint="eastAsia" w:ascii="宋体" w:hAnsi="宋体" w:eastAsia="宋体" w:cs="宋体"/>
                <w:b w:val="0"/>
                <w:bCs w:val="0"/>
                <w:color w:val="auto"/>
                <w:kern w:val="0"/>
                <w:sz w:val="24"/>
                <w:szCs w:val="24"/>
              </w:rPr>
              <w:t>万元以下或销售</w:t>
            </w:r>
            <w:r>
              <w:rPr>
                <w:rFonts w:hint="eastAsia" w:ascii="宋体" w:hAnsi="宋体" w:eastAsia="宋体" w:cs="宋体"/>
                <w:b w:val="0"/>
                <w:bCs w:val="0"/>
                <w:color w:val="auto"/>
                <w:kern w:val="0"/>
                <w:sz w:val="24"/>
                <w:szCs w:val="24"/>
                <w:lang w:val="en-US" w:eastAsia="zh-CN"/>
              </w:rPr>
              <w:t>产品</w:t>
            </w:r>
            <w:r>
              <w:rPr>
                <w:rFonts w:hint="eastAsia" w:ascii="宋体" w:hAnsi="宋体" w:eastAsia="宋体" w:cs="宋体"/>
                <w:b w:val="0"/>
                <w:bCs w:val="0"/>
                <w:color w:val="auto"/>
                <w:kern w:val="0"/>
                <w:sz w:val="24"/>
                <w:szCs w:val="24"/>
              </w:rPr>
              <w:t>货值金额2万元以上</w:t>
            </w:r>
            <w:r>
              <w:rPr>
                <w:rFonts w:hint="eastAsia" w:ascii="宋体" w:hAnsi="宋体" w:eastAsia="宋体" w:cs="宋体"/>
                <w:b w:val="0"/>
                <w:bCs w:val="0"/>
                <w:color w:val="auto"/>
                <w:kern w:val="0"/>
                <w:sz w:val="24"/>
                <w:szCs w:val="24"/>
                <w:lang w:val="en-US" w:eastAsia="zh-CN"/>
              </w:rPr>
              <w:t>10</w:t>
            </w:r>
            <w:r>
              <w:rPr>
                <w:rFonts w:hint="eastAsia" w:ascii="宋体" w:hAnsi="宋体" w:eastAsia="宋体" w:cs="宋体"/>
                <w:b w:val="0"/>
                <w:bCs w:val="0"/>
                <w:color w:val="auto"/>
                <w:kern w:val="0"/>
                <w:sz w:val="24"/>
                <w:szCs w:val="24"/>
              </w:rPr>
              <w:t>万元以下的</w:t>
            </w:r>
            <w:r>
              <w:rPr>
                <w:rFonts w:hint="eastAsia" w:ascii="宋体" w:hAnsi="宋体" w:cs="宋体"/>
                <w:b w:val="0"/>
                <w:bCs w:val="0"/>
                <w:color w:val="auto"/>
                <w:kern w:val="0"/>
                <w:sz w:val="24"/>
                <w:szCs w:val="24"/>
                <w:lang w:val="en-US" w:eastAsia="zh-CN"/>
              </w:rPr>
              <w:t>。</w:t>
            </w:r>
          </w:p>
          <w:p w14:paraId="0718332B">
            <w:pPr>
              <w:keepNext w:val="0"/>
              <w:keepLines w:val="0"/>
              <w:pageBreakBefore w:val="0"/>
              <w:widowControl/>
              <w:numPr>
                <w:ilvl w:val="0"/>
                <w:numId w:val="0"/>
              </w:numPr>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3336" w:type="dxa"/>
            <w:noWrap w:val="0"/>
            <w:vAlign w:val="center"/>
          </w:tcPr>
          <w:p w14:paraId="47CABB28">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责令停止生产、销售，没收违法生产、销售的产品，并处</w:t>
            </w:r>
            <w:r>
              <w:rPr>
                <w:rFonts w:hint="eastAsia" w:ascii="宋体" w:hAnsi="宋体" w:eastAsia="宋体" w:cs="宋体"/>
                <w:b w:val="0"/>
                <w:bCs w:val="0"/>
                <w:color w:val="auto"/>
                <w:kern w:val="0"/>
                <w:sz w:val="24"/>
                <w:szCs w:val="24"/>
                <w:lang w:eastAsia="zh-CN"/>
              </w:rPr>
              <w:t>违法生产、销售产品</w:t>
            </w:r>
            <w:r>
              <w:rPr>
                <w:rFonts w:hint="eastAsia" w:ascii="宋体" w:hAnsi="宋体" w:eastAsia="宋体" w:cs="宋体"/>
                <w:b w:val="0"/>
                <w:bCs w:val="0"/>
                <w:color w:val="auto"/>
                <w:kern w:val="0"/>
                <w:sz w:val="24"/>
                <w:szCs w:val="24"/>
              </w:rPr>
              <w:t>货值金额1倍以上2倍以下罚款；有违法所得的，并处没收违法所得。</w:t>
            </w:r>
          </w:p>
        </w:tc>
      </w:tr>
      <w:tr w14:paraId="55AE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jc w:val="center"/>
        </w:trPr>
        <w:tc>
          <w:tcPr>
            <w:tcW w:w="610" w:type="dxa"/>
            <w:vMerge w:val="continue"/>
            <w:noWrap w:val="0"/>
            <w:vAlign w:val="center"/>
          </w:tcPr>
          <w:p w14:paraId="5C948456">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2958CC14">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03889926">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020BE9A9">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4A26CB91">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生产</w:t>
            </w:r>
            <w:r>
              <w:rPr>
                <w:rFonts w:hint="eastAsia" w:ascii="宋体" w:hAnsi="宋体" w:eastAsia="宋体" w:cs="宋体"/>
                <w:b w:val="0"/>
                <w:bCs w:val="0"/>
                <w:color w:val="auto"/>
                <w:kern w:val="0"/>
                <w:sz w:val="24"/>
                <w:szCs w:val="24"/>
                <w:lang w:val="en-US" w:eastAsia="zh-CN"/>
              </w:rPr>
              <w:t>产品</w:t>
            </w:r>
            <w:r>
              <w:rPr>
                <w:rFonts w:hint="eastAsia" w:ascii="宋体" w:hAnsi="宋体" w:eastAsia="宋体" w:cs="宋体"/>
                <w:b w:val="0"/>
                <w:bCs w:val="0"/>
                <w:color w:val="auto"/>
                <w:kern w:val="0"/>
                <w:sz w:val="24"/>
                <w:szCs w:val="24"/>
              </w:rPr>
              <w:t>货值金额</w:t>
            </w:r>
            <w:r>
              <w:rPr>
                <w:rFonts w:hint="eastAsia" w:ascii="宋体" w:hAnsi="宋体" w:eastAsia="宋体" w:cs="宋体"/>
                <w:b w:val="0"/>
                <w:bCs w:val="0"/>
                <w:color w:val="auto"/>
                <w:kern w:val="0"/>
                <w:sz w:val="24"/>
                <w:szCs w:val="24"/>
                <w:lang w:val="en-US" w:eastAsia="zh-CN"/>
              </w:rPr>
              <w:t>20</w:t>
            </w:r>
            <w:r>
              <w:rPr>
                <w:rFonts w:hint="eastAsia" w:ascii="宋体" w:hAnsi="宋体" w:eastAsia="宋体" w:cs="宋体"/>
                <w:b w:val="0"/>
                <w:bCs w:val="0"/>
                <w:color w:val="auto"/>
                <w:kern w:val="0"/>
                <w:sz w:val="24"/>
                <w:szCs w:val="24"/>
              </w:rPr>
              <w:t>万元以上或销售</w:t>
            </w:r>
            <w:r>
              <w:rPr>
                <w:rFonts w:hint="eastAsia" w:ascii="宋体" w:hAnsi="宋体" w:eastAsia="宋体" w:cs="宋体"/>
                <w:b w:val="0"/>
                <w:bCs w:val="0"/>
                <w:color w:val="auto"/>
                <w:kern w:val="0"/>
                <w:sz w:val="24"/>
                <w:szCs w:val="24"/>
                <w:lang w:val="en-US" w:eastAsia="zh-CN"/>
              </w:rPr>
              <w:t>产品</w:t>
            </w:r>
            <w:r>
              <w:rPr>
                <w:rFonts w:hint="eastAsia" w:ascii="宋体" w:hAnsi="宋体" w:eastAsia="宋体" w:cs="宋体"/>
                <w:b w:val="0"/>
                <w:bCs w:val="0"/>
                <w:color w:val="auto"/>
                <w:kern w:val="0"/>
                <w:sz w:val="24"/>
                <w:szCs w:val="24"/>
              </w:rPr>
              <w:t>货值金额</w:t>
            </w:r>
            <w:r>
              <w:rPr>
                <w:rFonts w:hint="eastAsia" w:ascii="宋体" w:hAnsi="宋体" w:eastAsia="宋体" w:cs="宋体"/>
                <w:b w:val="0"/>
                <w:bCs w:val="0"/>
                <w:color w:val="auto"/>
                <w:kern w:val="0"/>
                <w:sz w:val="24"/>
                <w:szCs w:val="24"/>
                <w:lang w:val="en-US" w:eastAsia="zh-CN"/>
              </w:rPr>
              <w:t>10</w:t>
            </w:r>
            <w:r>
              <w:rPr>
                <w:rFonts w:hint="eastAsia" w:ascii="宋体" w:hAnsi="宋体" w:eastAsia="宋体" w:cs="宋体"/>
                <w:b w:val="0"/>
                <w:bCs w:val="0"/>
                <w:color w:val="auto"/>
                <w:kern w:val="0"/>
                <w:sz w:val="24"/>
                <w:szCs w:val="24"/>
              </w:rPr>
              <w:t>万元以上的</w:t>
            </w:r>
            <w:r>
              <w:rPr>
                <w:rFonts w:hint="eastAsia" w:ascii="宋体" w:hAnsi="宋体" w:cs="宋体"/>
                <w:b w:val="0"/>
                <w:bCs w:val="0"/>
                <w:color w:val="auto"/>
                <w:kern w:val="0"/>
                <w:sz w:val="24"/>
                <w:szCs w:val="24"/>
                <w:lang w:val="en-US" w:eastAsia="zh-CN"/>
              </w:rPr>
              <w:t>。</w:t>
            </w:r>
          </w:p>
          <w:p w14:paraId="31EA1CD5">
            <w:pPr>
              <w:keepNext w:val="0"/>
              <w:keepLines w:val="0"/>
              <w:pageBreakBefore w:val="0"/>
              <w:widowControl/>
              <w:numPr>
                <w:ilvl w:val="0"/>
                <w:numId w:val="0"/>
              </w:numPr>
              <w:kinsoku/>
              <w:wordWrap/>
              <w:overflowPunct/>
              <w:topLinePunct w:val="0"/>
              <w:autoSpaceDE/>
              <w:autoSpaceDN/>
              <w:bidi w:val="0"/>
              <w:adjustRightInd/>
              <w:snapToGrid/>
              <w:spacing w:line="420" w:lineRule="exact"/>
              <w:ind w:leftChars="0"/>
              <w:jc w:val="both"/>
              <w:rPr>
                <w:rFonts w:hint="eastAsia" w:ascii="宋体" w:hAnsi="宋体" w:eastAsia="宋体" w:cs="宋体"/>
                <w:b w:val="0"/>
                <w:bCs w:val="0"/>
                <w:color w:val="auto"/>
                <w:kern w:val="0"/>
                <w:sz w:val="24"/>
                <w:szCs w:val="24"/>
              </w:rPr>
            </w:pPr>
          </w:p>
        </w:tc>
        <w:tc>
          <w:tcPr>
            <w:tcW w:w="3336" w:type="dxa"/>
            <w:noWrap w:val="0"/>
            <w:vAlign w:val="center"/>
          </w:tcPr>
          <w:p w14:paraId="3B01A591">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责令停止生产、销售，没收违法生产、销售的产品，并处</w:t>
            </w:r>
            <w:r>
              <w:rPr>
                <w:rFonts w:hint="eastAsia" w:ascii="宋体" w:hAnsi="宋体" w:eastAsia="宋体" w:cs="宋体"/>
                <w:b w:val="0"/>
                <w:bCs w:val="0"/>
                <w:color w:val="auto"/>
                <w:kern w:val="0"/>
                <w:sz w:val="24"/>
                <w:szCs w:val="24"/>
                <w:lang w:eastAsia="zh-CN"/>
              </w:rPr>
              <w:t>违法生产、销售产品</w:t>
            </w:r>
            <w:r>
              <w:rPr>
                <w:rFonts w:hint="eastAsia" w:ascii="宋体" w:hAnsi="宋体" w:eastAsia="宋体" w:cs="宋体"/>
                <w:b w:val="0"/>
                <w:bCs w:val="0"/>
                <w:color w:val="auto"/>
                <w:kern w:val="0"/>
                <w:sz w:val="24"/>
                <w:szCs w:val="24"/>
              </w:rPr>
              <w:t>货值金额2倍以上3倍以下罚款；有违法所得的，并处没收违法所得。</w:t>
            </w:r>
          </w:p>
        </w:tc>
      </w:tr>
      <w:tr w14:paraId="68CA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jc w:val="center"/>
        </w:trPr>
        <w:tc>
          <w:tcPr>
            <w:tcW w:w="610" w:type="dxa"/>
            <w:vMerge w:val="continue"/>
            <w:noWrap w:val="0"/>
            <w:vAlign w:val="center"/>
          </w:tcPr>
          <w:p w14:paraId="43D59B69">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03379BC4">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5E75CE6C">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40459B30">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严重</w:t>
            </w:r>
          </w:p>
        </w:tc>
        <w:tc>
          <w:tcPr>
            <w:tcW w:w="3133" w:type="dxa"/>
            <w:noWrap w:val="0"/>
            <w:vAlign w:val="center"/>
          </w:tcPr>
          <w:p w14:paraId="45E19618">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情节严重的。</w:t>
            </w:r>
          </w:p>
        </w:tc>
        <w:tc>
          <w:tcPr>
            <w:tcW w:w="3336" w:type="dxa"/>
            <w:noWrap w:val="0"/>
            <w:vAlign w:val="center"/>
          </w:tcPr>
          <w:p w14:paraId="4712EAC1">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责令停止生产、销售，没收违法生产、销售的产品；有违法所得的，并处没收违法所得</w:t>
            </w:r>
            <w:r>
              <w:rPr>
                <w:rFonts w:hint="eastAsia" w:ascii="宋体" w:hAnsi="宋体" w:eastAsia="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吊销营业执照。</w:t>
            </w:r>
          </w:p>
        </w:tc>
      </w:tr>
      <w:tr w14:paraId="3348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610" w:type="dxa"/>
            <w:vMerge w:val="restart"/>
            <w:noWrap w:val="0"/>
            <w:vAlign w:val="center"/>
          </w:tcPr>
          <w:p w14:paraId="441072ED">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rPr>
              <w:t>8</w:t>
            </w:r>
            <w:r>
              <w:rPr>
                <w:rFonts w:hint="eastAsia" w:ascii="宋体" w:hAnsi="宋体" w:cs="宋体"/>
                <w:b w:val="0"/>
                <w:bCs w:val="0"/>
                <w:color w:val="auto"/>
                <w:kern w:val="0"/>
                <w:sz w:val="24"/>
                <w:szCs w:val="24"/>
                <w:lang w:val="en-US" w:eastAsia="zh-CN"/>
              </w:rPr>
              <w:t>6</w:t>
            </w:r>
          </w:p>
        </w:tc>
        <w:tc>
          <w:tcPr>
            <w:tcW w:w="1750" w:type="dxa"/>
            <w:vMerge w:val="restart"/>
            <w:noWrap w:val="0"/>
            <w:vAlign w:val="center"/>
          </w:tcPr>
          <w:p w14:paraId="1793BBC7">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《中华人民共和国产品质量法》</w:t>
            </w:r>
          </w:p>
        </w:tc>
        <w:tc>
          <w:tcPr>
            <w:tcW w:w="4203" w:type="dxa"/>
            <w:vMerge w:val="restart"/>
            <w:noWrap w:val="0"/>
            <w:vAlign w:val="center"/>
          </w:tcPr>
          <w:p w14:paraId="433741B7">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第五十条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tc>
        <w:tc>
          <w:tcPr>
            <w:tcW w:w="1141" w:type="dxa"/>
            <w:noWrap w:val="0"/>
            <w:vAlign w:val="center"/>
          </w:tcPr>
          <w:p w14:paraId="76F5BF8C">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6471DE78">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生产产品货值金额5万元以下或销售产品货值金额2万元以下的</w:t>
            </w:r>
            <w:r>
              <w:rPr>
                <w:rFonts w:hint="eastAsia" w:ascii="宋体" w:hAnsi="宋体" w:cs="宋体"/>
                <w:b w:val="0"/>
                <w:bCs w:val="0"/>
                <w:color w:val="auto"/>
                <w:kern w:val="0"/>
                <w:sz w:val="24"/>
                <w:szCs w:val="24"/>
                <w:lang w:val="en-US" w:eastAsia="zh-CN"/>
              </w:rPr>
              <w:t>。</w:t>
            </w:r>
          </w:p>
          <w:p w14:paraId="16172DF2">
            <w:pPr>
              <w:keepNext w:val="0"/>
              <w:keepLines w:val="0"/>
              <w:pageBreakBefore w:val="0"/>
              <w:widowControl/>
              <w:numPr>
                <w:ilvl w:val="0"/>
                <w:numId w:val="0"/>
              </w:numPr>
              <w:kinsoku/>
              <w:wordWrap/>
              <w:overflowPunct/>
              <w:topLinePunct w:val="0"/>
              <w:autoSpaceDE/>
              <w:autoSpaceDN/>
              <w:bidi w:val="0"/>
              <w:adjustRightInd/>
              <w:snapToGrid/>
              <w:spacing w:line="420" w:lineRule="exact"/>
              <w:ind w:left="0" w:leftChars="0" w:firstLine="0" w:firstLineChars="0"/>
              <w:jc w:val="both"/>
              <w:rPr>
                <w:rFonts w:hint="eastAsia" w:ascii="宋体" w:hAnsi="宋体" w:eastAsia="宋体" w:cs="宋体"/>
                <w:b w:val="0"/>
                <w:bCs w:val="0"/>
                <w:color w:val="auto"/>
                <w:kern w:val="0"/>
                <w:sz w:val="24"/>
                <w:szCs w:val="24"/>
                <w:lang w:eastAsia="zh-CN"/>
              </w:rPr>
            </w:pPr>
          </w:p>
        </w:tc>
        <w:tc>
          <w:tcPr>
            <w:tcW w:w="3336" w:type="dxa"/>
            <w:noWrap w:val="0"/>
            <w:vAlign w:val="center"/>
          </w:tcPr>
          <w:p w14:paraId="53837AB7">
            <w:pPr>
              <w:keepNext w:val="0"/>
              <w:keepLines w:val="0"/>
              <w:pageBreakBefore w:val="0"/>
              <w:widowControl/>
              <w:kinsoku/>
              <w:wordWrap/>
              <w:overflowPunct/>
              <w:topLinePunct w:val="0"/>
              <w:autoSpaceDE/>
              <w:autoSpaceDN/>
              <w:bidi w:val="0"/>
              <w:adjustRightInd/>
              <w:snapToGrid/>
              <w:spacing w:before="95" w:beforeLines="30" w:after="95" w:afterLines="30"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责令停止生产、销售，没收违法生产、销售的产品，处货值金额50%以上1倍以下罚款；有违法所得的，没收违法所得。</w:t>
            </w:r>
          </w:p>
        </w:tc>
      </w:tr>
      <w:tr w14:paraId="6F7BA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4" w:hRule="atLeast"/>
          <w:jc w:val="center"/>
        </w:trPr>
        <w:tc>
          <w:tcPr>
            <w:tcW w:w="610" w:type="dxa"/>
            <w:vMerge w:val="continue"/>
            <w:noWrap w:val="0"/>
            <w:vAlign w:val="center"/>
          </w:tcPr>
          <w:p w14:paraId="1D741657">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3D2D4960">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3A758332">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1A32C59D">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39A46BFB">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生产</w:t>
            </w:r>
            <w:r>
              <w:rPr>
                <w:rFonts w:hint="eastAsia" w:ascii="宋体" w:hAnsi="宋体" w:eastAsia="宋体" w:cs="宋体"/>
                <w:b w:val="0"/>
                <w:bCs w:val="0"/>
                <w:color w:val="auto"/>
                <w:kern w:val="0"/>
                <w:sz w:val="24"/>
                <w:szCs w:val="24"/>
                <w:lang w:val="en-US" w:eastAsia="zh-CN"/>
              </w:rPr>
              <w:t>产品</w:t>
            </w:r>
            <w:r>
              <w:rPr>
                <w:rFonts w:hint="eastAsia" w:ascii="宋体" w:hAnsi="宋体" w:eastAsia="宋体" w:cs="宋体"/>
                <w:b w:val="0"/>
                <w:bCs w:val="0"/>
                <w:color w:val="auto"/>
                <w:kern w:val="0"/>
                <w:sz w:val="24"/>
                <w:szCs w:val="24"/>
              </w:rPr>
              <w:t>货值金额</w:t>
            </w:r>
            <w:r>
              <w:rPr>
                <w:rFonts w:hint="eastAsia" w:ascii="宋体" w:hAnsi="宋体" w:eastAsia="宋体" w:cs="宋体"/>
                <w:b w:val="0"/>
                <w:bCs w:val="0"/>
                <w:color w:val="auto"/>
                <w:kern w:val="0"/>
                <w:sz w:val="24"/>
                <w:szCs w:val="24"/>
                <w:lang w:val="en-US" w:eastAsia="zh-CN"/>
              </w:rPr>
              <w:t>5</w:t>
            </w:r>
            <w:r>
              <w:rPr>
                <w:rFonts w:hint="eastAsia" w:ascii="宋体" w:hAnsi="宋体" w:eastAsia="宋体" w:cs="宋体"/>
                <w:b w:val="0"/>
                <w:bCs w:val="0"/>
                <w:color w:val="auto"/>
                <w:kern w:val="0"/>
                <w:sz w:val="24"/>
                <w:szCs w:val="24"/>
              </w:rPr>
              <w:t>万元以上</w:t>
            </w:r>
            <w:r>
              <w:rPr>
                <w:rFonts w:hint="eastAsia" w:ascii="宋体" w:hAnsi="宋体" w:eastAsia="宋体" w:cs="宋体"/>
                <w:b w:val="0"/>
                <w:bCs w:val="0"/>
                <w:color w:val="auto"/>
                <w:kern w:val="0"/>
                <w:sz w:val="24"/>
                <w:szCs w:val="24"/>
                <w:lang w:val="en-US" w:eastAsia="zh-CN"/>
              </w:rPr>
              <w:t>20</w:t>
            </w:r>
            <w:r>
              <w:rPr>
                <w:rFonts w:hint="eastAsia" w:ascii="宋体" w:hAnsi="宋体" w:eastAsia="宋体" w:cs="宋体"/>
                <w:b w:val="0"/>
                <w:bCs w:val="0"/>
                <w:color w:val="auto"/>
                <w:kern w:val="0"/>
                <w:sz w:val="24"/>
                <w:szCs w:val="24"/>
              </w:rPr>
              <w:t>万元以下或销售</w:t>
            </w:r>
            <w:r>
              <w:rPr>
                <w:rFonts w:hint="eastAsia" w:ascii="宋体" w:hAnsi="宋体" w:eastAsia="宋体" w:cs="宋体"/>
                <w:b w:val="0"/>
                <w:bCs w:val="0"/>
                <w:color w:val="auto"/>
                <w:kern w:val="0"/>
                <w:sz w:val="24"/>
                <w:szCs w:val="24"/>
                <w:lang w:val="en-US" w:eastAsia="zh-CN"/>
              </w:rPr>
              <w:t>产品</w:t>
            </w:r>
            <w:r>
              <w:rPr>
                <w:rFonts w:hint="eastAsia" w:ascii="宋体" w:hAnsi="宋体" w:eastAsia="宋体" w:cs="宋体"/>
                <w:b w:val="0"/>
                <w:bCs w:val="0"/>
                <w:color w:val="auto"/>
                <w:kern w:val="0"/>
                <w:sz w:val="24"/>
                <w:szCs w:val="24"/>
              </w:rPr>
              <w:t>货值金额2万元以上</w:t>
            </w:r>
            <w:r>
              <w:rPr>
                <w:rFonts w:hint="eastAsia" w:ascii="宋体" w:hAnsi="宋体" w:eastAsia="宋体" w:cs="宋体"/>
                <w:b w:val="0"/>
                <w:bCs w:val="0"/>
                <w:color w:val="auto"/>
                <w:kern w:val="0"/>
                <w:sz w:val="24"/>
                <w:szCs w:val="24"/>
                <w:lang w:val="en-US" w:eastAsia="zh-CN"/>
              </w:rPr>
              <w:t>10</w:t>
            </w:r>
            <w:r>
              <w:rPr>
                <w:rFonts w:hint="eastAsia" w:ascii="宋体" w:hAnsi="宋体" w:eastAsia="宋体" w:cs="宋体"/>
                <w:b w:val="0"/>
                <w:bCs w:val="0"/>
                <w:color w:val="auto"/>
                <w:kern w:val="0"/>
                <w:sz w:val="24"/>
                <w:szCs w:val="24"/>
              </w:rPr>
              <w:t>万元以下的</w:t>
            </w:r>
            <w:r>
              <w:rPr>
                <w:rFonts w:hint="eastAsia" w:ascii="宋体" w:hAnsi="宋体" w:cs="宋体"/>
                <w:b w:val="0"/>
                <w:bCs w:val="0"/>
                <w:color w:val="auto"/>
                <w:kern w:val="0"/>
                <w:sz w:val="24"/>
                <w:szCs w:val="24"/>
                <w:lang w:val="en-US" w:eastAsia="zh-CN"/>
              </w:rPr>
              <w:t>。</w:t>
            </w:r>
          </w:p>
        </w:tc>
        <w:tc>
          <w:tcPr>
            <w:tcW w:w="3336" w:type="dxa"/>
            <w:noWrap w:val="0"/>
            <w:vAlign w:val="center"/>
          </w:tcPr>
          <w:p w14:paraId="509B0909">
            <w:pPr>
              <w:keepNext w:val="0"/>
              <w:keepLines w:val="0"/>
              <w:pageBreakBefore w:val="0"/>
              <w:widowControl/>
              <w:kinsoku/>
              <w:wordWrap/>
              <w:overflowPunct/>
              <w:topLinePunct w:val="0"/>
              <w:autoSpaceDE/>
              <w:autoSpaceDN/>
              <w:bidi w:val="0"/>
              <w:adjustRightInd/>
              <w:snapToGrid/>
              <w:spacing w:before="95" w:beforeLines="30" w:after="95" w:afterLines="30"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责令停止生产、销售，没收违法生产、销售的产品，处货值金额1倍以上2倍以下罚款；有违法所得的，没收违法所得。</w:t>
            </w:r>
          </w:p>
        </w:tc>
      </w:tr>
      <w:tr w14:paraId="7527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610" w:type="dxa"/>
            <w:vMerge w:val="continue"/>
            <w:noWrap w:val="0"/>
            <w:vAlign w:val="center"/>
          </w:tcPr>
          <w:p w14:paraId="3982457B">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14A52CB3">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5A0EE574">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0CF58112">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5BB9AC7B">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生产</w:t>
            </w:r>
            <w:r>
              <w:rPr>
                <w:rFonts w:hint="eastAsia" w:ascii="宋体" w:hAnsi="宋体" w:eastAsia="宋体" w:cs="宋体"/>
                <w:b w:val="0"/>
                <w:bCs w:val="0"/>
                <w:color w:val="auto"/>
                <w:kern w:val="0"/>
                <w:sz w:val="24"/>
                <w:szCs w:val="24"/>
                <w:lang w:val="en-US" w:eastAsia="zh-CN"/>
              </w:rPr>
              <w:t>产品</w:t>
            </w:r>
            <w:r>
              <w:rPr>
                <w:rFonts w:hint="eastAsia" w:ascii="宋体" w:hAnsi="宋体" w:eastAsia="宋体" w:cs="宋体"/>
                <w:b w:val="0"/>
                <w:bCs w:val="0"/>
                <w:color w:val="auto"/>
                <w:kern w:val="0"/>
                <w:sz w:val="24"/>
                <w:szCs w:val="24"/>
              </w:rPr>
              <w:t>货值金额</w:t>
            </w:r>
            <w:r>
              <w:rPr>
                <w:rFonts w:hint="eastAsia" w:ascii="宋体" w:hAnsi="宋体" w:eastAsia="宋体" w:cs="宋体"/>
                <w:b w:val="0"/>
                <w:bCs w:val="0"/>
                <w:color w:val="auto"/>
                <w:kern w:val="0"/>
                <w:sz w:val="24"/>
                <w:szCs w:val="24"/>
                <w:lang w:val="en-US" w:eastAsia="zh-CN"/>
              </w:rPr>
              <w:t>20</w:t>
            </w:r>
            <w:r>
              <w:rPr>
                <w:rFonts w:hint="eastAsia" w:ascii="宋体" w:hAnsi="宋体" w:eastAsia="宋体" w:cs="宋体"/>
                <w:b w:val="0"/>
                <w:bCs w:val="0"/>
                <w:color w:val="auto"/>
                <w:kern w:val="0"/>
                <w:sz w:val="24"/>
                <w:szCs w:val="24"/>
              </w:rPr>
              <w:t>万元以上或销售</w:t>
            </w:r>
            <w:r>
              <w:rPr>
                <w:rFonts w:hint="eastAsia" w:ascii="宋体" w:hAnsi="宋体" w:eastAsia="宋体" w:cs="宋体"/>
                <w:b w:val="0"/>
                <w:bCs w:val="0"/>
                <w:color w:val="auto"/>
                <w:kern w:val="0"/>
                <w:sz w:val="24"/>
                <w:szCs w:val="24"/>
                <w:lang w:val="en-US" w:eastAsia="zh-CN"/>
              </w:rPr>
              <w:t>产品</w:t>
            </w:r>
            <w:r>
              <w:rPr>
                <w:rFonts w:hint="eastAsia" w:ascii="宋体" w:hAnsi="宋体" w:eastAsia="宋体" w:cs="宋体"/>
                <w:b w:val="0"/>
                <w:bCs w:val="0"/>
                <w:color w:val="auto"/>
                <w:kern w:val="0"/>
                <w:sz w:val="24"/>
                <w:szCs w:val="24"/>
              </w:rPr>
              <w:t>货值金额</w:t>
            </w:r>
            <w:r>
              <w:rPr>
                <w:rFonts w:hint="eastAsia" w:ascii="宋体" w:hAnsi="宋体" w:eastAsia="宋体" w:cs="宋体"/>
                <w:b w:val="0"/>
                <w:bCs w:val="0"/>
                <w:color w:val="auto"/>
                <w:kern w:val="0"/>
                <w:sz w:val="24"/>
                <w:szCs w:val="24"/>
                <w:lang w:val="en-US" w:eastAsia="zh-CN"/>
              </w:rPr>
              <w:t>10</w:t>
            </w:r>
            <w:r>
              <w:rPr>
                <w:rFonts w:hint="eastAsia" w:ascii="宋体" w:hAnsi="宋体" w:eastAsia="宋体" w:cs="宋体"/>
                <w:b w:val="0"/>
                <w:bCs w:val="0"/>
                <w:color w:val="auto"/>
                <w:kern w:val="0"/>
                <w:sz w:val="24"/>
                <w:szCs w:val="24"/>
              </w:rPr>
              <w:t>万元以上的</w:t>
            </w:r>
            <w:r>
              <w:rPr>
                <w:rFonts w:hint="eastAsia" w:ascii="宋体" w:hAnsi="宋体" w:cs="宋体"/>
                <w:b w:val="0"/>
                <w:bCs w:val="0"/>
                <w:color w:val="auto"/>
                <w:kern w:val="0"/>
                <w:sz w:val="24"/>
                <w:szCs w:val="24"/>
                <w:lang w:val="en-US" w:eastAsia="zh-CN"/>
              </w:rPr>
              <w:t>。</w:t>
            </w:r>
          </w:p>
          <w:p w14:paraId="1EC6124D">
            <w:pPr>
              <w:keepNext w:val="0"/>
              <w:keepLines w:val="0"/>
              <w:pageBreakBefore w:val="0"/>
              <w:widowControl/>
              <w:numPr>
                <w:ilvl w:val="0"/>
                <w:numId w:val="0"/>
              </w:numPr>
              <w:kinsoku/>
              <w:wordWrap/>
              <w:overflowPunct/>
              <w:topLinePunct w:val="0"/>
              <w:autoSpaceDE/>
              <w:autoSpaceDN/>
              <w:bidi w:val="0"/>
              <w:adjustRightInd/>
              <w:snapToGrid/>
              <w:spacing w:line="420" w:lineRule="exact"/>
              <w:ind w:left="0" w:leftChars="0" w:firstLine="0" w:firstLineChars="0"/>
              <w:jc w:val="both"/>
              <w:rPr>
                <w:rFonts w:hint="eastAsia" w:ascii="宋体" w:hAnsi="宋体" w:eastAsia="宋体" w:cs="宋体"/>
                <w:b w:val="0"/>
                <w:bCs w:val="0"/>
                <w:color w:val="auto"/>
                <w:kern w:val="0"/>
                <w:sz w:val="24"/>
                <w:szCs w:val="24"/>
              </w:rPr>
            </w:pPr>
          </w:p>
        </w:tc>
        <w:tc>
          <w:tcPr>
            <w:tcW w:w="3336" w:type="dxa"/>
            <w:noWrap w:val="0"/>
            <w:vAlign w:val="center"/>
          </w:tcPr>
          <w:p w14:paraId="01CF264A">
            <w:pPr>
              <w:keepNext w:val="0"/>
              <w:keepLines w:val="0"/>
              <w:pageBreakBefore w:val="0"/>
              <w:widowControl/>
              <w:kinsoku/>
              <w:wordWrap/>
              <w:overflowPunct/>
              <w:topLinePunct w:val="0"/>
              <w:autoSpaceDE/>
              <w:autoSpaceDN/>
              <w:bidi w:val="0"/>
              <w:adjustRightInd/>
              <w:snapToGrid/>
              <w:spacing w:before="95" w:beforeLines="30" w:after="95" w:afterLines="30"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责令停止生产、销售，没收违法生产、销售的产品，处货值金额2倍以上3倍以下罚款；有违法所得的，没收违法所得。</w:t>
            </w:r>
          </w:p>
        </w:tc>
      </w:tr>
      <w:tr w14:paraId="7D97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610" w:type="dxa"/>
            <w:vMerge w:val="continue"/>
            <w:noWrap w:val="0"/>
            <w:vAlign w:val="center"/>
          </w:tcPr>
          <w:p w14:paraId="0F9F9801">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3E133555">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0567E153">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72A81714">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严重</w:t>
            </w:r>
          </w:p>
        </w:tc>
        <w:tc>
          <w:tcPr>
            <w:tcW w:w="3133" w:type="dxa"/>
            <w:noWrap w:val="0"/>
            <w:vAlign w:val="center"/>
          </w:tcPr>
          <w:p w14:paraId="514151ED">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情节严重的。</w:t>
            </w:r>
          </w:p>
        </w:tc>
        <w:tc>
          <w:tcPr>
            <w:tcW w:w="3336" w:type="dxa"/>
            <w:noWrap w:val="0"/>
            <w:vAlign w:val="center"/>
          </w:tcPr>
          <w:p w14:paraId="3F3C7392">
            <w:pPr>
              <w:keepNext w:val="0"/>
              <w:keepLines w:val="0"/>
              <w:pageBreakBefore w:val="0"/>
              <w:widowControl/>
              <w:kinsoku/>
              <w:wordWrap/>
              <w:overflowPunct/>
              <w:topLinePunct w:val="0"/>
              <w:autoSpaceDE/>
              <w:autoSpaceDN/>
              <w:bidi w:val="0"/>
              <w:adjustRightInd/>
              <w:snapToGrid/>
              <w:spacing w:before="95" w:beforeLines="30" w:after="95" w:afterLines="30"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责令停止生产、销售，没收违法生产、销售的产品，没</w:t>
            </w:r>
            <w:r>
              <w:rPr>
                <w:rFonts w:hint="eastAsia" w:ascii="宋体" w:hAnsi="宋体" w:eastAsia="宋体" w:cs="宋体"/>
                <w:b w:val="0"/>
                <w:bCs w:val="0"/>
                <w:color w:val="auto"/>
                <w:spacing w:val="-6"/>
                <w:kern w:val="0"/>
                <w:sz w:val="24"/>
                <w:szCs w:val="24"/>
              </w:rPr>
              <w:t>收违法所得；吊销营业执照。</w:t>
            </w:r>
          </w:p>
        </w:tc>
      </w:tr>
      <w:tr w14:paraId="37AE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2" w:hRule="atLeast"/>
          <w:jc w:val="center"/>
        </w:trPr>
        <w:tc>
          <w:tcPr>
            <w:tcW w:w="610" w:type="dxa"/>
            <w:vMerge w:val="restart"/>
            <w:noWrap w:val="0"/>
            <w:vAlign w:val="center"/>
          </w:tcPr>
          <w:p w14:paraId="3017BC27">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rPr>
              <w:t>8</w:t>
            </w:r>
            <w:r>
              <w:rPr>
                <w:rFonts w:hint="eastAsia" w:ascii="宋体" w:hAnsi="宋体" w:cs="宋体"/>
                <w:b w:val="0"/>
                <w:bCs w:val="0"/>
                <w:color w:val="auto"/>
                <w:kern w:val="0"/>
                <w:sz w:val="24"/>
                <w:szCs w:val="24"/>
                <w:lang w:val="en-US" w:eastAsia="zh-CN"/>
              </w:rPr>
              <w:t>7</w:t>
            </w:r>
          </w:p>
        </w:tc>
        <w:tc>
          <w:tcPr>
            <w:tcW w:w="1750" w:type="dxa"/>
            <w:vMerge w:val="restart"/>
            <w:noWrap w:val="0"/>
            <w:vAlign w:val="center"/>
          </w:tcPr>
          <w:p w14:paraId="39867E74">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《中华人民共和国产品质量法》</w:t>
            </w:r>
          </w:p>
        </w:tc>
        <w:tc>
          <w:tcPr>
            <w:tcW w:w="4203" w:type="dxa"/>
            <w:vMerge w:val="restart"/>
            <w:noWrap w:val="0"/>
            <w:vAlign w:val="center"/>
          </w:tcPr>
          <w:p w14:paraId="2D760A9E">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第五十一条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tc>
        <w:tc>
          <w:tcPr>
            <w:tcW w:w="1141" w:type="dxa"/>
            <w:noWrap w:val="0"/>
            <w:vAlign w:val="center"/>
          </w:tcPr>
          <w:p w14:paraId="0FE5775B">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127D5CD2">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生产产品货值金额5万元以下或销售产品货值金额2万元以下的。</w:t>
            </w:r>
          </w:p>
          <w:p w14:paraId="0C82B766">
            <w:pPr>
              <w:keepNext w:val="0"/>
              <w:keepLines w:val="0"/>
              <w:pageBreakBefore w:val="0"/>
              <w:widowControl/>
              <w:numPr>
                <w:ilvl w:val="0"/>
                <w:numId w:val="0"/>
              </w:numPr>
              <w:kinsoku/>
              <w:wordWrap/>
              <w:overflowPunct/>
              <w:topLinePunct w:val="0"/>
              <w:autoSpaceDE/>
              <w:autoSpaceDN/>
              <w:bidi w:val="0"/>
              <w:adjustRightInd/>
              <w:snapToGrid/>
              <w:spacing w:line="420" w:lineRule="exact"/>
              <w:ind w:left="0" w:leftChars="0" w:firstLine="0" w:firstLineChars="0"/>
              <w:jc w:val="both"/>
              <w:rPr>
                <w:rFonts w:hint="eastAsia" w:ascii="宋体" w:hAnsi="宋体" w:eastAsia="宋体" w:cs="宋体"/>
                <w:b w:val="0"/>
                <w:bCs w:val="0"/>
                <w:color w:val="auto"/>
                <w:kern w:val="0"/>
                <w:sz w:val="24"/>
                <w:szCs w:val="24"/>
              </w:rPr>
            </w:pPr>
          </w:p>
        </w:tc>
        <w:tc>
          <w:tcPr>
            <w:tcW w:w="3336" w:type="dxa"/>
            <w:noWrap w:val="0"/>
            <w:vAlign w:val="center"/>
          </w:tcPr>
          <w:p w14:paraId="46387A0B">
            <w:pPr>
              <w:keepNext w:val="0"/>
              <w:keepLines w:val="0"/>
              <w:pageBreakBefore w:val="0"/>
              <w:widowControl/>
              <w:kinsoku/>
              <w:wordWrap/>
              <w:overflowPunct/>
              <w:topLinePunct w:val="0"/>
              <w:autoSpaceDE/>
              <w:autoSpaceDN/>
              <w:bidi w:val="0"/>
              <w:adjustRightInd/>
              <w:snapToGrid/>
              <w:spacing w:before="95" w:beforeLines="30" w:after="95" w:afterLines="30"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责令停止生产、销售，没收违法生产、销售的产品，处货值金额30%以下罚款；有</w:t>
            </w:r>
            <w:r>
              <w:rPr>
                <w:rFonts w:hint="eastAsia" w:ascii="宋体" w:hAnsi="宋体" w:eastAsia="宋体" w:cs="宋体"/>
                <w:b w:val="0"/>
                <w:bCs w:val="0"/>
                <w:color w:val="auto"/>
                <w:spacing w:val="-6"/>
                <w:kern w:val="0"/>
                <w:sz w:val="24"/>
                <w:szCs w:val="24"/>
              </w:rPr>
              <w:t>违法所得的，没收违法所得。</w:t>
            </w:r>
          </w:p>
        </w:tc>
      </w:tr>
      <w:tr w14:paraId="35E1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7" w:hRule="atLeast"/>
          <w:jc w:val="center"/>
        </w:trPr>
        <w:tc>
          <w:tcPr>
            <w:tcW w:w="610" w:type="dxa"/>
            <w:vMerge w:val="continue"/>
            <w:noWrap w:val="0"/>
            <w:vAlign w:val="center"/>
          </w:tcPr>
          <w:p w14:paraId="2D99B49D">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4459C818">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7096A167">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7754C50C">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01927AC7">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生产</w:t>
            </w:r>
            <w:r>
              <w:rPr>
                <w:rFonts w:hint="eastAsia" w:ascii="宋体" w:hAnsi="宋体" w:eastAsia="宋体" w:cs="宋体"/>
                <w:b w:val="0"/>
                <w:bCs w:val="0"/>
                <w:color w:val="auto"/>
                <w:kern w:val="0"/>
                <w:sz w:val="24"/>
                <w:szCs w:val="24"/>
                <w:lang w:val="en-US" w:eastAsia="zh-CN"/>
              </w:rPr>
              <w:t>产品</w:t>
            </w:r>
            <w:r>
              <w:rPr>
                <w:rFonts w:hint="eastAsia" w:ascii="宋体" w:hAnsi="宋体" w:eastAsia="宋体" w:cs="宋体"/>
                <w:b w:val="0"/>
                <w:bCs w:val="0"/>
                <w:color w:val="auto"/>
                <w:kern w:val="0"/>
                <w:sz w:val="24"/>
                <w:szCs w:val="24"/>
              </w:rPr>
              <w:t>货值金额</w:t>
            </w:r>
            <w:r>
              <w:rPr>
                <w:rFonts w:hint="eastAsia" w:ascii="宋体" w:hAnsi="宋体" w:eastAsia="宋体" w:cs="宋体"/>
                <w:b w:val="0"/>
                <w:bCs w:val="0"/>
                <w:color w:val="auto"/>
                <w:kern w:val="0"/>
                <w:sz w:val="24"/>
                <w:szCs w:val="24"/>
                <w:lang w:val="en-US" w:eastAsia="zh-CN"/>
              </w:rPr>
              <w:t>5</w:t>
            </w:r>
            <w:r>
              <w:rPr>
                <w:rFonts w:hint="eastAsia" w:ascii="宋体" w:hAnsi="宋体" w:eastAsia="宋体" w:cs="宋体"/>
                <w:b w:val="0"/>
                <w:bCs w:val="0"/>
                <w:color w:val="auto"/>
                <w:kern w:val="0"/>
                <w:sz w:val="24"/>
                <w:szCs w:val="24"/>
              </w:rPr>
              <w:t>万元以上</w:t>
            </w:r>
            <w:r>
              <w:rPr>
                <w:rFonts w:hint="eastAsia" w:ascii="宋体" w:hAnsi="宋体" w:eastAsia="宋体" w:cs="宋体"/>
                <w:b w:val="0"/>
                <w:bCs w:val="0"/>
                <w:color w:val="auto"/>
                <w:kern w:val="0"/>
                <w:sz w:val="24"/>
                <w:szCs w:val="24"/>
                <w:lang w:val="en-US" w:eastAsia="zh-CN"/>
              </w:rPr>
              <w:t>10</w:t>
            </w:r>
            <w:r>
              <w:rPr>
                <w:rFonts w:hint="eastAsia" w:ascii="宋体" w:hAnsi="宋体" w:eastAsia="宋体" w:cs="宋体"/>
                <w:b w:val="0"/>
                <w:bCs w:val="0"/>
                <w:color w:val="auto"/>
                <w:kern w:val="0"/>
                <w:sz w:val="24"/>
                <w:szCs w:val="24"/>
              </w:rPr>
              <w:t>万元以下或销售</w:t>
            </w:r>
            <w:r>
              <w:rPr>
                <w:rFonts w:hint="eastAsia" w:ascii="宋体" w:hAnsi="宋体" w:eastAsia="宋体" w:cs="宋体"/>
                <w:b w:val="0"/>
                <w:bCs w:val="0"/>
                <w:color w:val="auto"/>
                <w:kern w:val="0"/>
                <w:sz w:val="24"/>
                <w:szCs w:val="24"/>
                <w:lang w:val="en-US" w:eastAsia="zh-CN"/>
              </w:rPr>
              <w:t>产品</w:t>
            </w:r>
            <w:r>
              <w:rPr>
                <w:rFonts w:hint="eastAsia" w:ascii="宋体" w:hAnsi="宋体" w:eastAsia="宋体" w:cs="宋体"/>
                <w:b w:val="0"/>
                <w:bCs w:val="0"/>
                <w:color w:val="auto"/>
                <w:kern w:val="0"/>
                <w:sz w:val="24"/>
                <w:szCs w:val="24"/>
              </w:rPr>
              <w:t>货值金额2万元以上</w:t>
            </w:r>
            <w:r>
              <w:rPr>
                <w:rFonts w:hint="eastAsia" w:ascii="宋体" w:hAnsi="宋体" w:eastAsia="宋体" w:cs="宋体"/>
                <w:b w:val="0"/>
                <w:bCs w:val="0"/>
                <w:color w:val="auto"/>
                <w:kern w:val="0"/>
                <w:sz w:val="24"/>
                <w:szCs w:val="24"/>
                <w:lang w:val="en-US" w:eastAsia="zh-CN"/>
              </w:rPr>
              <w:t>5</w:t>
            </w:r>
            <w:r>
              <w:rPr>
                <w:rFonts w:hint="eastAsia" w:ascii="宋体" w:hAnsi="宋体" w:eastAsia="宋体" w:cs="宋体"/>
                <w:b w:val="0"/>
                <w:bCs w:val="0"/>
                <w:color w:val="auto"/>
                <w:kern w:val="0"/>
                <w:sz w:val="24"/>
                <w:szCs w:val="24"/>
              </w:rPr>
              <w:t>万元以下的</w:t>
            </w:r>
            <w:r>
              <w:rPr>
                <w:rFonts w:hint="eastAsia" w:ascii="宋体" w:hAnsi="宋体" w:eastAsia="宋体" w:cs="宋体"/>
                <w:b w:val="0"/>
                <w:bCs w:val="0"/>
                <w:color w:val="auto"/>
                <w:kern w:val="0"/>
                <w:sz w:val="24"/>
                <w:szCs w:val="24"/>
                <w:lang w:eastAsia="zh-CN"/>
              </w:rPr>
              <w:t>。</w:t>
            </w:r>
          </w:p>
        </w:tc>
        <w:tc>
          <w:tcPr>
            <w:tcW w:w="3336" w:type="dxa"/>
            <w:noWrap w:val="0"/>
            <w:vAlign w:val="center"/>
          </w:tcPr>
          <w:p w14:paraId="48EE23DE">
            <w:pPr>
              <w:keepNext w:val="0"/>
              <w:keepLines w:val="0"/>
              <w:pageBreakBefore w:val="0"/>
              <w:widowControl/>
              <w:kinsoku/>
              <w:wordWrap/>
              <w:overflowPunct/>
              <w:topLinePunct w:val="0"/>
              <w:autoSpaceDE/>
              <w:autoSpaceDN/>
              <w:bidi w:val="0"/>
              <w:adjustRightInd/>
              <w:snapToGrid/>
              <w:spacing w:before="95" w:beforeLines="30" w:after="95" w:afterLines="30"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责令停止生产、销售，没收违法生产、销售的产品，处货值金额30%以上</w:t>
            </w:r>
            <w:r>
              <w:rPr>
                <w:rFonts w:hint="eastAsia" w:ascii="宋体" w:hAnsi="宋体" w:eastAsia="宋体" w:cs="宋体"/>
                <w:b w:val="0"/>
                <w:bCs w:val="0"/>
                <w:color w:val="auto"/>
                <w:kern w:val="0"/>
                <w:sz w:val="24"/>
                <w:szCs w:val="24"/>
                <w:lang w:val="en-US" w:eastAsia="zh-CN"/>
              </w:rPr>
              <w:t>7</w:t>
            </w:r>
            <w:r>
              <w:rPr>
                <w:rFonts w:hint="eastAsia" w:ascii="宋体" w:hAnsi="宋体" w:eastAsia="宋体" w:cs="宋体"/>
                <w:b w:val="0"/>
                <w:bCs w:val="0"/>
                <w:color w:val="auto"/>
                <w:kern w:val="0"/>
                <w:sz w:val="24"/>
                <w:szCs w:val="24"/>
              </w:rPr>
              <w:t>0%以下罚款；有违法所得的，没收违法所得。</w:t>
            </w:r>
          </w:p>
        </w:tc>
      </w:tr>
      <w:tr w14:paraId="5C8C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7" w:hRule="atLeast"/>
          <w:jc w:val="center"/>
        </w:trPr>
        <w:tc>
          <w:tcPr>
            <w:tcW w:w="610" w:type="dxa"/>
            <w:vMerge w:val="continue"/>
            <w:noWrap w:val="0"/>
            <w:vAlign w:val="center"/>
          </w:tcPr>
          <w:p w14:paraId="199EEB90">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17860820">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7DFD6758">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307F957A">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0991652E">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生产</w:t>
            </w:r>
            <w:r>
              <w:rPr>
                <w:rFonts w:hint="eastAsia" w:ascii="宋体" w:hAnsi="宋体" w:eastAsia="宋体" w:cs="宋体"/>
                <w:b w:val="0"/>
                <w:bCs w:val="0"/>
                <w:color w:val="auto"/>
                <w:kern w:val="0"/>
                <w:sz w:val="24"/>
                <w:szCs w:val="24"/>
                <w:lang w:val="en-US" w:eastAsia="zh-CN"/>
              </w:rPr>
              <w:t>产品</w:t>
            </w:r>
            <w:r>
              <w:rPr>
                <w:rFonts w:hint="eastAsia" w:ascii="宋体" w:hAnsi="宋体" w:eastAsia="宋体" w:cs="宋体"/>
                <w:b w:val="0"/>
                <w:bCs w:val="0"/>
                <w:color w:val="auto"/>
                <w:kern w:val="0"/>
                <w:sz w:val="24"/>
                <w:szCs w:val="24"/>
              </w:rPr>
              <w:t>货值金额</w:t>
            </w:r>
            <w:r>
              <w:rPr>
                <w:rFonts w:hint="eastAsia" w:ascii="宋体" w:hAnsi="宋体" w:eastAsia="宋体" w:cs="宋体"/>
                <w:b w:val="0"/>
                <w:bCs w:val="0"/>
                <w:color w:val="auto"/>
                <w:kern w:val="0"/>
                <w:sz w:val="24"/>
                <w:szCs w:val="24"/>
                <w:lang w:val="en-US" w:eastAsia="zh-CN"/>
              </w:rPr>
              <w:t>10</w:t>
            </w:r>
            <w:r>
              <w:rPr>
                <w:rFonts w:hint="eastAsia" w:ascii="宋体" w:hAnsi="宋体" w:eastAsia="宋体" w:cs="宋体"/>
                <w:b w:val="0"/>
                <w:bCs w:val="0"/>
                <w:color w:val="auto"/>
                <w:kern w:val="0"/>
                <w:sz w:val="24"/>
                <w:szCs w:val="24"/>
              </w:rPr>
              <w:t>万元以上或销售</w:t>
            </w:r>
            <w:r>
              <w:rPr>
                <w:rFonts w:hint="eastAsia" w:ascii="宋体" w:hAnsi="宋体" w:eastAsia="宋体" w:cs="宋体"/>
                <w:b w:val="0"/>
                <w:bCs w:val="0"/>
                <w:color w:val="auto"/>
                <w:kern w:val="0"/>
                <w:sz w:val="24"/>
                <w:szCs w:val="24"/>
                <w:lang w:val="en-US" w:eastAsia="zh-CN"/>
              </w:rPr>
              <w:t>产品</w:t>
            </w:r>
            <w:r>
              <w:rPr>
                <w:rFonts w:hint="eastAsia" w:ascii="宋体" w:hAnsi="宋体" w:eastAsia="宋体" w:cs="宋体"/>
                <w:b w:val="0"/>
                <w:bCs w:val="0"/>
                <w:color w:val="auto"/>
                <w:kern w:val="0"/>
                <w:sz w:val="24"/>
                <w:szCs w:val="24"/>
              </w:rPr>
              <w:t>货值金额</w:t>
            </w:r>
            <w:r>
              <w:rPr>
                <w:rFonts w:hint="eastAsia" w:ascii="宋体" w:hAnsi="宋体" w:eastAsia="宋体" w:cs="宋体"/>
                <w:b w:val="0"/>
                <w:bCs w:val="0"/>
                <w:color w:val="auto"/>
                <w:kern w:val="0"/>
                <w:sz w:val="24"/>
                <w:szCs w:val="24"/>
                <w:lang w:val="en-US" w:eastAsia="zh-CN"/>
              </w:rPr>
              <w:t>5</w:t>
            </w:r>
            <w:r>
              <w:rPr>
                <w:rFonts w:hint="eastAsia" w:ascii="宋体" w:hAnsi="宋体" w:eastAsia="宋体" w:cs="宋体"/>
                <w:b w:val="0"/>
                <w:bCs w:val="0"/>
                <w:color w:val="auto"/>
                <w:kern w:val="0"/>
                <w:sz w:val="24"/>
                <w:szCs w:val="24"/>
              </w:rPr>
              <w:t>万元以上的</w:t>
            </w:r>
            <w:r>
              <w:rPr>
                <w:rFonts w:hint="eastAsia" w:ascii="宋体" w:hAnsi="宋体" w:eastAsia="宋体" w:cs="宋体"/>
                <w:b w:val="0"/>
                <w:bCs w:val="0"/>
                <w:color w:val="auto"/>
                <w:kern w:val="0"/>
                <w:sz w:val="24"/>
                <w:szCs w:val="24"/>
                <w:lang w:eastAsia="zh-CN"/>
              </w:rPr>
              <w:t>。</w:t>
            </w:r>
          </w:p>
          <w:p w14:paraId="35736235">
            <w:pPr>
              <w:keepNext w:val="0"/>
              <w:keepLines w:val="0"/>
              <w:pageBreakBefore w:val="0"/>
              <w:widowControl/>
              <w:numPr>
                <w:ilvl w:val="0"/>
                <w:numId w:val="0"/>
              </w:numPr>
              <w:kinsoku/>
              <w:wordWrap/>
              <w:overflowPunct/>
              <w:topLinePunct w:val="0"/>
              <w:autoSpaceDE/>
              <w:autoSpaceDN/>
              <w:bidi w:val="0"/>
              <w:adjustRightInd/>
              <w:snapToGrid/>
              <w:spacing w:line="420" w:lineRule="exact"/>
              <w:ind w:left="0" w:leftChars="0" w:firstLine="0" w:firstLineChars="0"/>
              <w:jc w:val="both"/>
              <w:rPr>
                <w:rFonts w:hint="eastAsia" w:ascii="宋体" w:hAnsi="宋体" w:eastAsia="宋体" w:cs="宋体"/>
                <w:b w:val="0"/>
                <w:bCs w:val="0"/>
                <w:color w:val="auto"/>
                <w:kern w:val="0"/>
                <w:sz w:val="24"/>
                <w:szCs w:val="24"/>
              </w:rPr>
            </w:pPr>
          </w:p>
        </w:tc>
        <w:tc>
          <w:tcPr>
            <w:tcW w:w="3336" w:type="dxa"/>
            <w:noWrap w:val="0"/>
            <w:vAlign w:val="center"/>
          </w:tcPr>
          <w:p w14:paraId="5CE8B4A7">
            <w:pPr>
              <w:keepNext w:val="0"/>
              <w:keepLines w:val="0"/>
              <w:pageBreakBefore w:val="0"/>
              <w:widowControl/>
              <w:kinsoku/>
              <w:wordWrap/>
              <w:overflowPunct/>
              <w:topLinePunct w:val="0"/>
              <w:autoSpaceDE/>
              <w:autoSpaceDN/>
              <w:bidi w:val="0"/>
              <w:adjustRightInd/>
              <w:snapToGrid/>
              <w:spacing w:before="95" w:beforeLines="30" w:after="95" w:afterLines="30"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责令停止生产、销售，没收违法生产、销售的产品，处货值金额</w:t>
            </w:r>
            <w:r>
              <w:rPr>
                <w:rFonts w:hint="eastAsia" w:ascii="宋体" w:hAnsi="宋体" w:eastAsia="宋体" w:cs="宋体"/>
                <w:b w:val="0"/>
                <w:bCs w:val="0"/>
                <w:color w:val="auto"/>
                <w:kern w:val="0"/>
                <w:sz w:val="24"/>
                <w:szCs w:val="24"/>
                <w:lang w:val="en-US" w:eastAsia="zh-CN"/>
              </w:rPr>
              <w:t>7</w:t>
            </w:r>
            <w:r>
              <w:rPr>
                <w:rFonts w:hint="eastAsia" w:ascii="宋体" w:hAnsi="宋体" w:eastAsia="宋体" w:cs="宋体"/>
                <w:b w:val="0"/>
                <w:bCs w:val="0"/>
                <w:color w:val="auto"/>
                <w:kern w:val="0"/>
                <w:sz w:val="24"/>
                <w:szCs w:val="24"/>
              </w:rPr>
              <w:t>0%以上</w:t>
            </w:r>
            <w:r>
              <w:rPr>
                <w:rFonts w:hint="eastAsia" w:ascii="宋体" w:hAnsi="宋体" w:eastAsia="宋体" w:cs="宋体"/>
                <w:b w:val="0"/>
                <w:bCs w:val="0"/>
                <w:color w:val="auto"/>
                <w:kern w:val="0"/>
                <w:sz w:val="24"/>
                <w:szCs w:val="24"/>
                <w:lang w:val="en-US" w:eastAsia="zh-CN"/>
              </w:rPr>
              <w:t>等值</w:t>
            </w:r>
            <w:r>
              <w:rPr>
                <w:rFonts w:hint="eastAsia" w:ascii="宋体" w:hAnsi="宋体" w:eastAsia="宋体" w:cs="宋体"/>
                <w:b w:val="0"/>
                <w:bCs w:val="0"/>
                <w:color w:val="auto"/>
                <w:kern w:val="0"/>
                <w:sz w:val="24"/>
                <w:szCs w:val="24"/>
              </w:rPr>
              <w:t>以下罚款；有违法所得的，没收违法所得。</w:t>
            </w:r>
          </w:p>
        </w:tc>
      </w:tr>
      <w:tr w14:paraId="3EDE0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610" w:type="dxa"/>
            <w:vMerge w:val="continue"/>
            <w:noWrap w:val="0"/>
            <w:vAlign w:val="center"/>
          </w:tcPr>
          <w:p w14:paraId="399EDEA8">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1FD88F2A">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42542F3F">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31C0E9D2">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严重</w:t>
            </w:r>
          </w:p>
        </w:tc>
        <w:tc>
          <w:tcPr>
            <w:tcW w:w="3133" w:type="dxa"/>
            <w:noWrap w:val="0"/>
            <w:vAlign w:val="center"/>
          </w:tcPr>
          <w:p w14:paraId="6AD39FA3">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情节严重的。</w:t>
            </w:r>
          </w:p>
        </w:tc>
        <w:tc>
          <w:tcPr>
            <w:tcW w:w="3336" w:type="dxa"/>
            <w:noWrap w:val="0"/>
            <w:vAlign w:val="center"/>
          </w:tcPr>
          <w:p w14:paraId="5B227DC1">
            <w:pPr>
              <w:keepNext w:val="0"/>
              <w:keepLines w:val="0"/>
              <w:pageBreakBefore w:val="0"/>
              <w:widowControl/>
              <w:kinsoku/>
              <w:wordWrap/>
              <w:overflowPunct/>
              <w:topLinePunct w:val="0"/>
              <w:autoSpaceDE/>
              <w:autoSpaceDN/>
              <w:bidi w:val="0"/>
              <w:adjustRightInd/>
              <w:snapToGrid/>
              <w:spacing w:before="95" w:beforeLines="30" w:after="95" w:afterLines="30"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责令停止生产、销售，没收违法生产、销售的产品；有违法所得的，没收违法所得；吊销营业执照。</w:t>
            </w:r>
          </w:p>
        </w:tc>
      </w:tr>
      <w:tr w14:paraId="23EF2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jc w:val="center"/>
        </w:trPr>
        <w:tc>
          <w:tcPr>
            <w:tcW w:w="610" w:type="dxa"/>
            <w:vMerge w:val="restart"/>
            <w:noWrap w:val="0"/>
            <w:vAlign w:val="center"/>
          </w:tcPr>
          <w:p w14:paraId="4087F151">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rPr>
              <w:t>8</w:t>
            </w:r>
            <w:r>
              <w:rPr>
                <w:rFonts w:hint="eastAsia" w:ascii="宋体" w:hAnsi="宋体" w:cs="宋体"/>
                <w:b w:val="0"/>
                <w:bCs w:val="0"/>
                <w:color w:val="auto"/>
                <w:kern w:val="0"/>
                <w:sz w:val="24"/>
                <w:szCs w:val="24"/>
                <w:lang w:val="en-US" w:eastAsia="zh-CN"/>
              </w:rPr>
              <w:t>8</w:t>
            </w:r>
          </w:p>
        </w:tc>
        <w:tc>
          <w:tcPr>
            <w:tcW w:w="1750" w:type="dxa"/>
            <w:vMerge w:val="restart"/>
            <w:noWrap w:val="0"/>
            <w:vAlign w:val="center"/>
          </w:tcPr>
          <w:p w14:paraId="15A83678">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《中华人民共和国产品质量法》</w:t>
            </w:r>
          </w:p>
        </w:tc>
        <w:tc>
          <w:tcPr>
            <w:tcW w:w="4203" w:type="dxa"/>
            <w:vMerge w:val="restart"/>
            <w:noWrap w:val="0"/>
            <w:vAlign w:val="center"/>
          </w:tcPr>
          <w:p w14:paraId="2C8D8774">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第五十二条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销售失效、变质的产品的，责令停止销售，没收违法销售的产品，并处违法销售产品货值金额二倍以下的罚款；有违法所得的，并处没收违法所得；情节严重的，吊销营业执照；构成犯罪的，依法追究刑事责任。</w:t>
            </w:r>
          </w:p>
        </w:tc>
        <w:tc>
          <w:tcPr>
            <w:tcW w:w="1141" w:type="dxa"/>
            <w:noWrap w:val="0"/>
            <w:vAlign w:val="center"/>
          </w:tcPr>
          <w:p w14:paraId="477DE2D9">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4EEC1DBF">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货值金额5万元以下。</w:t>
            </w:r>
          </w:p>
        </w:tc>
        <w:tc>
          <w:tcPr>
            <w:tcW w:w="3336" w:type="dxa"/>
            <w:noWrap w:val="0"/>
            <w:vAlign w:val="center"/>
          </w:tcPr>
          <w:p w14:paraId="7C7FC3E6">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责令停止销售，没收违法销售的产品，</w:t>
            </w:r>
            <w:r>
              <w:rPr>
                <w:rFonts w:hint="eastAsia" w:ascii="宋体" w:hAnsi="宋体" w:eastAsia="宋体" w:cs="宋体"/>
                <w:b w:val="0"/>
                <w:bCs w:val="0"/>
                <w:color w:val="auto"/>
                <w:kern w:val="0"/>
                <w:sz w:val="24"/>
                <w:szCs w:val="24"/>
                <w:lang w:eastAsia="zh-CN"/>
              </w:rPr>
              <w:t>并</w:t>
            </w:r>
            <w:r>
              <w:rPr>
                <w:rFonts w:hint="eastAsia" w:ascii="宋体" w:hAnsi="宋体" w:eastAsia="宋体" w:cs="宋体"/>
                <w:b w:val="0"/>
                <w:bCs w:val="0"/>
                <w:color w:val="auto"/>
                <w:kern w:val="0"/>
                <w:sz w:val="24"/>
                <w:szCs w:val="24"/>
              </w:rPr>
              <w:t>处货值金额</w:t>
            </w:r>
            <w:r>
              <w:rPr>
                <w:rFonts w:hint="eastAsia" w:ascii="宋体" w:hAnsi="宋体" w:eastAsia="宋体" w:cs="宋体"/>
                <w:b w:val="0"/>
                <w:bCs w:val="0"/>
                <w:color w:val="auto"/>
                <w:kern w:val="0"/>
                <w:sz w:val="24"/>
                <w:szCs w:val="24"/>
                <w:lang w:val="en-US" w:eastAsia="zh-CN"/>
              </w:rPr>
              <w:t>60%</w:t>
            </w:r>
            <w:r>
              <w:rPr>
                <w:rFonts w:hint="eastAsia" w:ascii="宋体" w:hAnsi="宋体" w:eastAsia="宋体" w:cs="宋体"/>
                <w:b w:val="0"/>
                <w:bCs w:val="0"/>
                <w:color w:val="auto"/>
                <w:kern w:val="0"/>
                <w:sz w:val="24"/>
                <w:szCs w:val="24"/>
              </w:rPr>
              <w:t>以下罚款；有违法所得的，没收违法所得。</w:t>
            </w:r>
          </w:p>
        </w:tc>
      </w:tr>
      <w:tr w14:paraId="427D3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jc w:val="center"/>
        </w:trPr>
        <w:tc>
          <w:tcPr>
            <w:tcW w:w="610" w:type="dxa"/>
            <w:vMerge w:val="continue"/>
            <w:noWrap w:val="0"/>
            <w:vAlign w:val="center"/>
          </w:tcPr>
          <w:p w14:paraId="6A61C9CA">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3242E567">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06E9FAE7">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61A93E9E">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32E81F2C">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货值金额5万元以上10万元以下。</w:t>
            </w:r>
          </w:p>
        </w:tc>
        <w:tc>
          <w:tcPr>
            <w:tcW w:w="3336" w:type="dxa"/>
            <w:noWrap w:val="0"/>
            <w:vAlign w:val="center"/>
          </w:tcPr>
          <w:p w14:paraId="467483B8">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spacing w:val="-6"/>
                <w:kern w:val="0"/>
                <w:sz w:val="24"/>
                <w:szCs w:val="24"/>
              </w:rPr>
            </w:pPr>
            <w:r>
              <w:rPr>
                <w:rFonts w:hint="eastAsia" w:ascii="宋体" w:hAnsi="宋体" w:eastAsia="宋体" w:cs="宋体"/>
                <w:b w:val="0"/>
                <w:bCs w:val="0"/>
                <w:color w:val="auto"/>
                <w:spacing w:val="-6"/>
                <w:kern w:val="0"/>
                <w:sz w:val="24"/>
                <w:szCs w:val="24"/>
              </w:rPr>
              <w:t>责令停止销售，没收违法销售的产品，</w:t>
            </w:r>
            <w:r>
              <w:rPr>
                <w:rFonts w:hint="eastAsia" w:ascii="宋体" w:hAnsi="宋体" w:eastAsia="宋体" w:cs="宋体"/>
                <w:b w:val="0"/>
                <w:bCs w:val="0"/>
                <w:color w:val="auto"/>
                <w:spacing w:val="-6"/>
                <w:kern w:val="0"/>
                <w:sz w:val="24"/>
                <w:szCs w:val="24"/>
                <w:lang w:eastAsia="zh-CN"/>
              </w:rPr>
              <w:t>并</w:t>
            </w:r>
            <w:r>
              <w:rPr>
                <w:rFonts w:hint="eastAsia" w:ascii="宋体" w:hAnsi="宋体" w:eastAsia="宋体" w:cs="宋体"/>
                <w:b w:val="0"/>
                <w:bCs w:val="0"/>
                <w:color w:val="auto"/>
                <w:spacing w:val="-6"/>
                <w:kern w:val="0"/>
                <w:sz w:val="24"/>
                <w:szCs w:val="24"/>
              </w:rPr>
              <w:t>处货值金额</w:t>
            </w:r>
            <w:r>
              <w:rPr>
                <w:rFonts w:hint="eastAsia" w:ascii="宋体" w:hAnsi="宋体" w:eastAsia="宋体" w:cs="宋体"/>
                <w:b w:val="0"/>
                <w:bCs w:val="0"/>
                <w:color w:val="auto"/>
                <w:spacing w:val="-6"/>
                <w:kern w:val="0"/>
                <w:sz w:val="24"/>
                <w:szCs w:val="24"/>
                <w:lang w:val="en-US" w:eastAsia="zh-CN"/>
              </w:rPr>
              <w:t>60%</w:t>
            </w:r>
            <w:r>
              <w:rPr>
                <w:rFonts w:hint="eastAsia" w:ascii="宋体" w:hAnsi="宋体" w:eastAsia="宋体" w:cs="宋体"/>
                <w:b w:val="0"/>
                <w:bCs w:val="0"/>
                <w:color w:val="auto"/>
                <w:spacing w:val="-6"/>
                <w:kern w:val="0"/>
                <w:sz w:val="24"/>
                <w:szCs w:val="24"/>
              </w:rPr>
              <w:t>以上1</w:t>
            </w:r>
            <w:r>
              <w:rPr>
                <w:rFonts w:hint="eastAsia" w:ascii="宋体" w:hAnsi="宋体" w:eastAsia="宋体" w:cs="宋体"/>
                <w:b w:val="0"/>
                <w:bCs w:val="0"/>
                <w:color w:val="auto"/>
                <w:spacing w:val="-6"/>
                <w:kern w:val="0"/>
                <w:sz w:val="24"/>
                <w:szCs w:val="24"/>
                <w:lang w:val="en-US" w:eastAsia="zh-CN"/>
              </w:rPr>
              <w:t>.4</w:t>
            </w:r>
            <w:r>
              <w:rPr>
                <w:rFonts w:hint="eastAsia" w:ascii="宋体" w:hAnsi="宋体" w:eastAsia="宋体" w:cs="宋体"/>
                <w:b w:val="0"/>
                <w:bCs w:val="0"/>
                <w:color w:val="auto"/>
                <w:spacing w:val="-6"/>
                <w:kern w:val="0"/>
                <w:sz w:val="24"/>
                <w:szCs w:val="24"/>
              </w:rPr>
              <w:t>倍以下罚款；有违法所得的，没收违法所得。</w:t>
            </w:r>
          </w:p>
        </w:tc>
      </w:tr>
      <w:tr w14:paraId="323D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610" w:type="dxa"/>
            <w:vMerge w:val="continue"/>
            <w:noWrap w:val="0"/>
            <w:vAlign w:val="center"/>
          </w:tcPr>
          <w:p w14:paraId="77C22086">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01855F19">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3C9EAA8A">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1EC857D1">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6A8BE345">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货值金额10万元以上。</w:t>
            </w:r>
          </w:p>
        </w:tc>
        <w:tc>
          <w:tcPr>
            <w:tcW w:w="3336" w:type="dxa"/>
            <w:noWrap w:val="0"/>
            <w:vAlign w:val="center"/>
          </w:tcPr>
          <w:p w14:paraId="5B7FCAC3">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spacing w:val="-6"/>
                <w:kern w:val="0"/>
                <w:sz w:val="24"/>
                <w:szCs w:val="24"/>
              </w:rPr>
            </w:pPr>
            <w:r>
              <w:rPr>
                <w:rFonts w:hint="eastAsia" w:ascii="宋体" w:hAnsi="宋体" w:eastAsia="宋体" w:cs="宋体"/>
                <w:b w:val="0"/>
                <w:bCs w:val="0"/>
                <w:color w:val="auto"/>
                <w:spacing w:val="-6"/>
                <w:kern w:val="0"/>
                <w:sz w:val="24"/>
                <w:szCs w:val="24"/>
              </w:rPr>
              <w:t>责令停止销售，没收违法销售的产品，</w:t>
            </w:r>
            <w:r>
              <w:rPr>
                <w:rFonts w:hint="eastAsia" w:ascii="宋体" w:hAnsi="宋体" w:eastAsia="宋体" w:cs="宋体"/>
                <w:b w:val="0"/>
                <w:bCs w:val="0"/>
                <w:color w:val="auto"/>
                <w:spacing w:val="-6"/>
                <w:kern w:val="0"/>
                <w:sz w:val="24"/>
                <w:szCs w:val="24"/>
                <w:lang w:eastAsia="zh-CN"/>
              </w:rPr>
              <w:t>并</w:t>
            </w:r>
            <w:r>
              <w:rPr>
                <w:rFonts w:hint="eastAsia" w:ascii="宋体" w:hAnsi="宋体" w:eastAsia="宋体" w:cs="宋体"/>
                <w:b w:val="0"/>
                <w:bCs w:val="0"/>
                <w:color w:val="auto"/>
                <w:spacing w:val="-6"/>
                <w:kern w:val="0"/>
                <w:sz w:val="24"/>
                <w:szCs w:val="24"/>
              </w:rPr>
              <w:t>处货值金额</w:t>
            </w:r>
            <w:r>
              <w:rPr>
                <w:rFonts w:hint="eastAsia" w:ascii="宋体" w:hAnsi="宋体" w:eastAsia="宋体" w:cs="宋体"/>
                <w:b w:val="0"/>
                <w:bCs w:val="0"/>
                <w:color w:val="auto"/>
                <w:spacing w:val="-6"/>
                <w:kern w:val="0"/>
                <w:sz w:val="24"/>
                <w:szCs w:val="24"/>
                <w:lang w:val="en-US" w:eastAsia="zh-CN"/>
              </w:rPr>
              <w:t>1.4</w:t>
            </w:r>
            <w:r>
              <w:rPr>
                <w:rFonts w:hint="eastAsia" w:ascii="宋体" w:hAnsi="宋体" w:eastAsia="宋体" w:cs="宋体"/>
                <w:b w:val="0"/>
                <w:bCs w:val="0"/>
                <w:color w:val="auto"/>
                <w:spacing w:val="-6"/>
                <w:kern w:val="0"/>
                <w:sz w:val="24"/>
                <w:szCs w:val="24"/>
              </w:rPr>
              <w:t>倍以上</w:t>
            </w:r>
            <w:r>
              <w:rPr>
                <w:rFonts w:hint="eastAsia" w:ascii="宋体" w:hAnsi="宋体" w:eastAsia="宋体" w:cs="宋体"/>
                <w:b w:val="0"/>
                <w:bCs w:val="0"/>
                <w:color w:val="auto"/>
                <w:spacing w:val="-6"/>
                <w:kern w:val="0"/>
                <w:sz w:val="24"/>
                <w:szCs w:val="24"/>
                <w:lang w:val="en-US" w:eastAsia="zh-CN"/>
              </w:rPr>
              <w:t>2倍</w:t>
            </w:r>
            <w:r>
              <w:rPr>
                <w:rFonts w:hint="eastAsia" w:ascii="宋体" w:hAnsi="宋体" w:eastAsia="宋体" w:cs="宋体"/>
                <w:b w:val="0"/>
                <w:bCs w:val="0"/>
                <w:color w:val="auto"/>
                <w:spacing w:val="-6"/>
                <w:kern w:val="0"/>
                <w:sz w:val="24"/>
                <w:szCs w:val="24"/>
              </w:rPr>
              <w:t>以下罚款；有违法所得的，没收违法所得。</w:t>
            </w:r>
          </w:p>
        </w:tc>
      </w:tr>
      <w:tr w14:paraId="4900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8" w:hRule="atLeast"/>
          <w:jc w:val="center"/>
        </w:trPr>
        <w:tc>
          <w:tcPr>
            <w:tcW w:w="610" w:type="dxa"/>
            <w:vMerge w:val="continue"/>
            <w:noWrap w:val="0"/>
            <w:vAlign w:val="center"/>
          </w:tcPr>
          <w:p w14:paraId="494C363C">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73160CDC">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3E22A2AB">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344DBAB5">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严重</w:t>
            </w:r>
          </w:p>
        </w:tc>
        <w:tc>
          <w:tcPr>
            <w:tcW w:w="3133" w:type="dxa"/>
            <w:noWrap w:val="0"/>
            <w:vAlign w:val="center"/>
          </w:tcPr>
          <w:p w14:paraId="4A81E0CB">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情节严重的。</w:t>
            </w:r>
          </w:p>
        </w:tc>
        <w:tc>
          <w:tcPr>
            <w:tcW w:w="3336" w:type="dxa"/>
            <w:noWrap w:val="0"/>
            <w:vAlign w:val="center"/>
          </w:tcPr>
          <w:p w14:paraId="003D1E4D">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spacing w:val="-11"/>
                <w:kern w:val="0"/>
                <w:sz w:val="24"/>
                <w:szCs w:val="24"/>
              </w:rPr>
            </w:pPr>
            <w:r>
              <w:rPr>
                <w:rFonts w:hint="eastAsia" w:ascii="宋体" w:hAnsi="宋体" w:eastAsia="宋体" w:cs="宋体"/>
                <w:b w:val="0"/>
                <w:bCs w:val="0"/>
                <w:color w:val="auto"/>
                <w:spacing w:val="-11"/>
                <w:kern w:val="0"/>
                <w:sz w:val="24"/>
                <w:szCs w:val="24"/>
              </w:rPr>
              <w:t>责令停止销售，没收违法销售的产品；有违法所得的，没收违法所得；吊销营业执照。</w:t>
            </w:r>
          </w:p>
        </w:tc>
      </w:tr>
      <w:tr w14:paraId="18295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4" w:hRule="atLeast"/>
          <w:jc w:val="center"/>
        </w:trPr>
        <w:tc>
          <w:tcPr>
            <w:tcW w:w="610" w:type="dxa"/>
            <w:vMerge w:val="restart"/>
            <w:noWrap w:val="0"/>
            <w:vAlign w:val="center"/>
          </w:tcPr>
          <w:p w14:paraId="16FA5B6B">
            <w:pPr>
              <w:keepNext w:val="0"/>
              <w:keepLines w:val="0"/>
              <w:pageBreakBefore w:val="0"/>
              <w:widowControl/>
              <w:kinsoku/>
              <w:wordWrap/>
              <w:overflowPunct/>
              <w:topLinePunct w:val="0"/>
              <w:autoSpaceDE/>
              <w:autoSpaceDN/>
              <w:bidi w:val="0"/>
              <w:adjustRightInd/>
              <w:snapToGrid/>
              <w:spacing w:line="420" w:lineRule="exact"/>
              <w:jc w:val="center"/>
              <w:rPr>
                <w:rFonts w:hint="default" w:ascii="宋体" w:hAnsi="宋体" w:eastAsia="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89</w:t>
            </w:r>
          </w:p>
        </w:tc>
        <w:tc>
          <w:tcPr>
            <w:tcW w:w="1750" w:type="dxa"/>
            <w:vMerge w:val="restart"/>
            <w:noWrap w:val="0"/>
            <w:vAlign w:val="center"/>
          </w:tcPr>
          <w:p w14:paraId="711C4327">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《中华人民共和国产品质量法》</w:t>
            </w:r>
          </w:p>
        </w:tc>
        <w:tc>
          <w:tcPr>
            <w:tcW w:w="4203" w:type="dxa"/>
            <w:vMerge w:val="restart"/>
            <w:noWrap w:val="0"/>
            <w:vAlign w:val="center"/>
          </w:tcPr>
          <w:p w14:paraId="6F8ED96B">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第五十三条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tc>
        <w:tc>
          <w:tcPr>
            <w:tcW w:w="1141" w:type="dxa"/>
            <w:noWrap w:val="0"/>
            <w:vAlign w:val="center"/>
          </w:tcPr>
          <w:p w14:paraId="1023D665">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1253781A">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货值金额5万元以下。</w:t>
            </w:r>
          </w:p>
        </w:tc>
        <w:tc>
          <w:tcPr>
            <w:tcW w:w="3336" w:type="dxa"/>
            <w:noWrap w:val="0"/>
            <w:vAlign w:val="center"/>
          </w:tcPr>
          <w:p w14:paraId="0358D632">
            <w:pPr>
              <w:keepNext w:val="0"/>
              <w:keepLines w:val="0"/>
              <w:pageBreakBefore w:val="0"/>
              <w:widowControl/>
              <w:kinsoku/>
              <w:wordWrap/>
              <w:overflowPunct/>
              <w:topLinePunct w:val="0"/>
              <w:autoSpaceDE/>
              <w:autoSpaceDN/>
              <w:bidi w:val="0"/>
              <w:adjustRightInd/>
              <w:snapToGrid/>
              <w:spacing w:line="43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责令改正，没收违法生产、销售的产品，处货值金额30%以下罚款；有违法所得的，没收违法所得。</w:t>
            </w:r>
          </w:p>
        </w:tc>
      </w:tr>
      <w:tr w14:paraId="2CCE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8" w:hRule="atLeast"/>
          <w:jc w:val="center"/>
        </w:trPr>
        <w:tc>
          <w:tcPr>
            <w:tcW w:w="610" w:type="dxa"/>
            <w:vMerge w:val="continue"/>
            <w:noWrap w:val="0"/>
            <w:vAlign w:val="center"/>
          </w:tcPr>
          <w:p w14:paraId="6A3C3083">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46DDD147">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7BE2F1F7">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574F6B63">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1D0539DF">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货值金额5万元以上10万元以下。</w:t>
            </w:r>
          </w:p>
        </w:tc>
        <w:tc>
          <w:tcPr>
            <w:tcW w:w="3336" w:type="dxa"/>
            <w:noWrap w:val="0"/>
            <w:vAlign w:val="center"/>
          </w:tcPr>
          <w:p w14:paraId="43017493">
            <w:pPr>
              <w:keepNext w:val="0"/>
              <w:keepLines w:val="0"/>
              <w:pageBreakBefore w:val="0"/>
              <w:widowControl/>
              <w:kinsoku/>
              <w:wordWrap/>
              <w:overflowPunct/>
              <w:topLinePunct w:val="0"/>
              <w:autoSpaceDE/>
              <w:autoSpaceDN/>
              <w:bidi w:val="0"/>
              <w:adjustRightInd/>
              <w:snapToGrid/>
              <w:spacing w:line="430" w:lineRule="exact"/>
              <w:jc w:val="both"/>
              <w:textAlignment w:val="auto"/>
              <w:rPr>
                <w:rFonts w:hint="eastAsia" w:ascii="宋体" w:hAnsi="宋体" w:eastAsia="宋体" w:cs="宋体"/>
                <w:b w:val="0"/>
                <w:bCs w:val="0"/>
                <w:color w:val="auto"/>
                <w:spacing w:val="-6"/>
                <w:kern w:val="0"/>
                <w:sz w:val="24"/>
                <w:szCs w:val="24"/>
              </w:rPr>
            </w:pPr>
            <w:r>
              <w:rPr>
                <w:rFonts w:hint="eastAsia" w:ascii="宋体" w:hAnsi="宋体" w:eastAsia="宋体" w:cs="宋体"/>
                <w:b w:val="0"/>
                <w:bCs w:val="0"/>
                <w:color w:val="auto"/>
                <w:spacing w:val="-11"/>
                <w:kern w:val="0"/>
                <w:sz w:val="24"/>
                <w:szCs w:val="24"/>
              </w:rPr>
              <w:t>责令改正，没收违法生产、销售的产品，处货值金额30%以上</w:t>
            </w:r>
            <w:r>
              <w:rPr>
                <w:rFonts w:hint="eastAsia" w:ascii="宋体" w:hAnsi="宋体" w:eastAsia="宋体" w:cs="宋体"/>
                <w:b w:val="0"/>
                <w:bCs w:val="0"/>
                <w:color w:val="auto"/>
                <w:spacing w:val="-11"/>
                <w:kern w:val="0"/>
                <w:sz w:val="24"/>
                <w:szCs w:val="24"/>
                <w:lang w:val="en-US" w:eastAsia="zh-CN"/>
              </w:rPr>
              <w:t>7</w:t>
            </w:r>
            <w:r>
              <w:rPr>
                <w:rFonts w:hint="eastAsia" w:ascii="宋体" w:hAnsi="宋体" w:eastAsia="宋体" w:cs="宋体"/>
                <w:b w:val="0"/>
                <w:bCs w:val="0"/>
                <w:color w:val="auto"/>
                <w:spacing w:val="-11"/>
                <w:kern w:val="0"/>
                <w:sz w:val="24"/>
                <w:szCs w:val="24"/>
              </w:rPr>
              <w:t>0%倍以下罚款；有违法所得的，没收违法所得。</w:t>
            </w:r>
          </w:p>
        </w:tc>
      </w:tr>
      <w:tr w14:paraId="74805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1" w:hRule="atLeast"/>
          <w:jc w:val="center"/>
        </w:trPr>
        <w:tc>
          <w:tcPr>
            <w:tcW w:w="610" w:type="dxa"/>
            <w:vMerge w:val="continue"/>
            <w:noWrap w:val="0"/>
            <w:vAlign w:val="center"/>
          </w:tcPr>
          <w:p w14:paraId="0536669E">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6F422CD7">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73E804D9">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620434D7">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1ACB9FF2">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货值金额10万元以上。</w:t>
            </w:r>
          </w:p>
        </w:tc>
        <w:tc>
          <w:tcPr>
            <w:tcW w:w="3336" w:type="dxa"/>
            <w:noWrap w:val="0"/>
            <w:vAlign w:val="center"/>
          </w:tcPr>
          <w:p w14:paraId="27BC368D">
            <w:pPr>
              <w:keepNext w:val="0"/>
              <w:keepLines w:val="0"/>
              <w:pageBreakBefore w:val="0"/>
              <w:widowControl/>
              <w:kinsoku/>
              <w:wordWrap/>
              <w:overflowPunct/>
              <w:topLinePunct w:val="0"/>
              <w:autoSpaceDE/>
              <w:autoSpaceDN/>
              <w:bidi w:val="0"/>
              <w:adjustRightInd/>
              <w:snapToGrid/>
              <w:spacing w:line="430" w:lineRule="exact"/>
              <w:jc w:val="both"/>
              <w:textAlignment w:val="auto"/>
              <w:rPr>
                <w:rFonts w:hint="eastAsia" w:ascii="宋体" w:hAnsi="宋体" w:eastAsia="宋体" w:cs="宋体"/>
                <w:b w:val="0"/>
                <w:bCs w:val="0"/>
                <w:color w:val="auto"/>
                <w:spacing w:val="-6"/>
                <w:kern w:val="0"/>
                <w:sz w:val="24"/>
                <w:szCs w:val="24"/>
              </w:rPr>
            </w:pPr>
            <w:r>
              <w:rPr>
                <w:rFonts w:hint="eastAsia" w:ascii="宋体" w:hAnsi="宋体" w:eastAsia="宋体" w:cs="宋体"/>
                <w:b w:val="0"/>
                <w:bCs w:val="0"/>
                <w:color w:val="auto"/>
                <w:spacing w:val="-6"/>
                <w:kern w:val="0"/>
                <w:sz w:val="24"/>
                <w:szCs w:val="24"/>
              </w:rPr>
              <w:t>责令改正，没收违法生产、销售的产品，处货值金额</w:t>
            </w:r>
            <w:r>
              <w:rPr>
                <w:rFonts w:hint="eastAsia" w:ascii="宋体" w:hAnsi="宋体" w:eastAsia="宋体" w:cs="宋体"/>
                <w:b w:val="0"/>
                <w:bCs w:val="0"/>
                <w:color w:val="auto"/>
                <w:spacing w:val="-6"/>
                <w:kern w:val="0"/>
                <w:sz w:val="24"/>
                <w:szCs w:val="24"/>
                <w:lang w:val="en-US" w:eastAsia="zh-CN"/>
              </w:rPr>
              <w:t>7</w:t>
            </w:r>
            <w:r>
              <w:rPr>
                <w:rFonts w:hint="eastAsia" w:ascii="宋体" w:hAnsi="宋体" w:eastAsia="宋体" w:cs="宋体"/>
                <w:b w:val="0"/>
                <w:bCs w:val="0"/>
                <w:color w:val="auto"/>
                <w:spacing w:val="-6"/>
                <w:kern w:val="0"/>
                <w:sz w:val="24"/>
                <w:szCs w:val="24"/>
              </w:rPr>
              <w:t>0%以上</w:t>
            </w:r>
            <w:r>
              <w:rPr>
                <w:rFonts w:hint="eastAsia" w:ascii="宋体" w:hAnsi="宋体" w:eastAsia="宋体" w:cs="宋体"/>
                <w:b w:val="0"/>
                <w:bCs w:val="0"/>
                <w:color w:val="auto"/>
                <w:spacing w:val="-6"/>
                <w:kern w:val="0"/>
                <w:sz w:val="24"/>
                <w:szCs w:val="24"/>
                <w:lang w:val="en-US" w:eastAsia="zh-CN"/>
              </w:rPr>
              <w:t>等值</w:t>
            </w:r>
            <w:r>
              <w:rPr>
                <w:rFonts w:hint="eastAsia" w:ascii="宋体" w:hAnsi="宋体" w:eastAsia="宋体" w:cs="宋体"/>
                <w:b w:val="0"/>
                <w:bCs w:val="0"/>
                <w:color w:val="auto"/>
                <w:spacing w:val="-6"/>
                <w:kern w:val="0"/>
                <w:sz w:val="24"/>
                <w:szCs w:val="24"/>
              </w:rPr>
              <w:t>以下罚款；有违法所得的，没收违法所得。</w:t>
            </w:r>
          </w:p>
        </w:tc>
      </w:tr>
      <w:tr w14:paraId="0970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610" w:type="dxa"/>
            <w:vMerge w:val="continue"/>
            <w:noWrap w:val="0"/>
            <w:vAlign w:val="center"/>
          </w:tcPr>
          <w:p w14:paraId="10FCAE03">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2B948FBB">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6CCEB42F">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7560EC75">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严重</w:t>
            </w:r>
          </w:p>
        </w:tc>
        <w:tc>
          <w:tcPr>
            <w:tcW w:w="3133" w:type="dxa"/>
            <w:noWrap w:val="0"/>
            <w:vAlign w:val="center"/>
          </w:tcPr>
          <w:p w14:paraId="1F011363">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情节严重的。</w:t>
            </w:r>
          </w:p>
        </w:tc>
        <w:tc>
          <w:tcPr>
            <w:tcW w:w="3336" w:type="dxa"/>
            <w:noWrap w:val="0"/>
            <w:vAlign w:val="center"/>
          </w:tcPr>
          <w:p w14:paraId="3B19DE8C">
            <w:pPr>
              <w:keepNext w:val="0"/>
              <w:keepLines w:val="0"/>
              <w:pageBreakBefore w:val="0"/>
              <w:widowControl/>
              <w:kinsoku/>
              <w:wordWrap/>
              <w:overflowPunct/>
              <w:topLinePunct w:val="0"/>
              <w:autoSpaceDE/>
              <w:autoSpaceDN/>
              <w:bidi w:val="0"/>
              <w:adjustRightInd/>
              <w:snapToGrid/>
              <w:spacing w:line="430" w:lineRule="exact"/>
              <w:jc w:val="both"/>
              <w:textAlignment w:val="auto"/>
              <w:rPr>
                <w:rFonts w:hint="eastAsia" w:ascii="宋体" w:hAnsi="宋体" w:eastAsia="宋体" w:cs="宋体"/>
                <w:b w:val="0"/>
                <w:bCs w:val="0"/>
                <w:color w:val="auto"/>
                <w:spacing w:val="-6"/>
                <w:kern w:val="0"/>
                <w:sz w:val="24"/>
                <w:szCs w:val="24"/>
              </w:rPr>
            </w:pPr>
            <w:r>
              <w:rPr>
                <w:rFonts w:hint="eastAsia" w:ascii="宋体" w:hAnsi="宋体" w:eastAsia="宋体" w:cs="宋体"/>
                <w:b w:val="0"/>
                <w:bCs w:val="0"/>
                <w:color w:val="auto"/>
                <w:spacing w:val="-11"/>
                <w:kern w:val="0"/>
                <w:sz w:val="24"/>
                <w:szCs w:val="24"/>
              </w:rPr>
              <w:t>吊销营业执照。</w:t>
            </w:r>
          </w:p>
        </w:tc>
      </w:tr>
      <w:tr w14:paraId="2B14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8" w:hRule="atLeast"/>
          <w:jc w:val="center"/>
        </w:trPr>
        <w:tc>
          <w:tcPr>
            <w:tcW w:w="610" w:type="dxa"/>
            <w:vMerge w:val="restart"/>
            <w:noWrap w:val="0"/>
            <w:vAlign w:val="center"/>
          </w:tcPr>
          <w:p w14:paraId="7A656483">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9</w:t>
            </w:r>
            <w:r>
              <w:rPr>
                <w:rFonts w:hint="eastAsia" w:ascii="宋体" w:hAnsi="宋体" w:cs="宋体"/>
                <w:b w:val="0"/>
                <w:bCs w:val="0"/>
                <w:color w:val="auto"/>
                <w:kern w:val="0"/>
                <w:sz w:val="24"/>
                <w:szCs w:val="24"/>
                <w:lang w:val="en-US" w:eastAsia="zh-CN"/>
              </w:rPr>
              <w:t>0</w:t>
            </w:r>
          </w:p>
        </w:tc>
        <w:tc>
          <w:tcPr>
            <w:tcW w:w="1750" w:type="dxa"/>
            <w:vMerge w:val="restart"/>
            <w:noWrap w:val="0"/>
            <w:vAlign w:val="center"/>
          </w:tcPr>
          <w:p w14:paraId="2401D488">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《中华人民共和国产品质量法》</w:t>
            </w:r>
          </w:p>
        </w:tc>
        <w:tc>
          <w:tcPr>
            <w:tcW w:w="4203" w:type="dxa"/>
            <w:vMerge w:val="restart"/>
            <w:noWrap w:val="0"/>
            <w:vAlign w:val="center"/>
          </w:tcPr>
          <w:p w14:paraId="1BA3DBD4">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第五十四条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tc>
        <w:tc>
          <w:tcPr>
            <w:tcW w:w="1141" w:type="dxa"/>
            <w:noWrap w:val="0"/>
            <w:vAlign w:val="center"/>
          </w:tcPr>
          <w:p w14:paraId="14E985BD">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24DB86DD">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生产</w:t>
            </w:r>
            <w:r>
              <w:rPr>
                <w:rFonts w:hint="eastAsia" w:ascii="宋体" w:hAnsi="宋体" w:eastAsia="宋体" w:cs="宋体"/>
                <w:b w:val="0"/>
                <w:bCs w:val="0"/>
                <w:color w:val="auto"/>
                <w:kern w:val="0"/>
                <w:sz w:val="24"/>
                <w:szCs w:val="24"/>
                <w:lang w:val="en-US" w:eastAsia="zh-CN"/>
              </w:rPr>
              <w:t>产品</w:t>
            </w:r>
            <w:r>
              <w:rPr>
                <w:rFonts w:hint="eastAsia" w:ascii="宋体" w:hAnsi="宋体" w:eastAsia="宋体" w:cs="宋体"/>
                <w:b w:val="0"/>
                <w:bCs w:val="0"/>
                <w:color w:val="auto"/>
                <w:kern w:val="0"/>
                <w:sz w:val="24"/>
                <w:szCs w:val="24"/>
              </w:rPr>
              <w:t>货值金额5万元以下或销售</w:t>
            </w:r>
            <w:r>
              <w:rPr>
                <w:rFonts w:hint="eastAsia" w:ascii="宋体" w:hAnsi="宋体" w:eastAsia="宋体" w:cs="宋体"/>
                <w:b w:val="0"/>
                <w:bCs w:val="0"/>
                <w:color w:val="auto"/>
                <w:kern w:val="0"/>
                <w:sz w:val="24"/>
                <w:szCs w:val="24"/>
                <w:lang w:val="en-US" w:eastAsia="zh-CN"/>
              </w:rPr>
              <w:t>产品</w:t>
            </w:r>
            <w:r>
              <w:rPr>
                <w:rFonts w:hint="eastAsia" w:ascii="宋体" w:hAnsi="宋体" w:eastAsia="宋体" w:cs="宋体"/>
                <w:b w:val="0"/>
                <w:bCs w:val="0"/>
                <w:color w:val="auto"/>
                <w:kern w:val="0"/>
                <w:sz w:val="24"/>
                <w:szCs w:val="24"/>
              </w:rPr>
              <w:t>货值金额2万元以下的</w:t>
            </w:r>
            <w:r>
              <w:rPr>
                <w:rFonts w:hint="eastAsia" w:ascii="宋体" w:hAnsi="宋体" w:eastAsia="宋体" w:cs="宋体"/>
                <w:b w:val="0"/>
                <w:bCs w:val="0"/>
                <w:color w:val="auto"/>
                <w:kern w:val="0"/>
                <w:sz w:val="24"/>
                <w:szCs w:val="24"/>
                <w:lang w:eastAsia="zh-CN"/>
              </w:rPr>
              <w:t>。</w:t>
            </w:r>
          </w:p>
          <w:p w14:paraId="7DBED764">
            <w:pPr>
              <w:pStyle w:val="16"/>
              <w:pageBreakBefore w:val="0"/>
              <w:kinsoku/>
              <w:wordWrap/>
              <w:overflowPunct/>
              <w:topLinePunct w:val="0"/>
              <w:autoSpaceDE/>
              <w:autoSpaceDN/>
              <w:bidi w:val="0"/>
              <w:adjustRightInd/>
              <w:snapToGrid/>
              <w:spacing w:line="420" w:lineRule="exact"/>
              <w:jc w:val="both"/>
              <w:rPr>
                <w:rFonts w:hint="eastAsia" w:ascii="宋体" w:hAnsi="宋体" w:eastAsia="宋体" w:cs="宋体"/>
                <w:color w:val="auto"/>
                <w:sz w:val="24"/>
                <w:szCs w:val="24"/>
                <w:lang w:eastAsia="zh-CN"/>
              </w:rPr>
            </w:pPr>
          </w:p>
        </w:tc>
        <w:tc>
          <w:tcPr>
            <w:tcW w:w="3336" w:type="dxa"/>
            <w:noWrap w:val="0"/>
            <w:vAlign w:val="center"/>
          </w:tcPr>
          <w:p w14:paraId="1AA4687C">
            <w:pPr>
              <w:keepNext w:val="0"/>
              <w:keepLines w:val="0"/>
              <w:pageBreakBefore w:val="0"/>
              <w:widowControl/>
              <w:kinsoku/>
              <w:wordWrap/>
              <w:overflowPunct/>
              <w:topLinePunct w:val="0"/>
              <w:autoSpaceDE/>
              <w:autoSpaceDN/>
              <w:bidi w:val="0"/>
              <w:adjustRightInd/>
              <w:snapToGrid/>
              <w:spacing w:line="43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责令停止生产、销售，并处违法生产、销售产品货值金额10%以下罚款；有违法所得的，并处没收违法所得。</w:t>
            </w:r>
          </w:p>
        </w:tc>
      </w:tr>
      <w:tr w14:paraId="3676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610" w:type="dxa"/>
            <w:vMerge w:val="continue"/>
            <w:noWrap w:val="0"/>
            <w:vAlign w:val="center"/>
          </w:tcPr>
          <w:p w14:paraId="1711672C">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47BD78D3">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470648E8">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532DB6C3">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617429AD">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生产</w:t>
            </w:r>
            <w:r>
              <w:rPr>
                <w:rFonts w:hint="eastAsia" w:ascii="宋体" w:hAnsi="宋体" w:eastAsia="宋体" w:cs="宋体"/>
                <w:b w:val="0"/>
                <w:bCs w:val="0"/>
                <w:color w:val="auto"/>
                <w:kern w:val="0"/>
                <w:sz w:val="24"/>
                <w:szCs w:val="24"/>
                <w:lang w:val="en-US" w:eastAsia="zh-CN"/>
              </w:rPr>
              <w:t>产品</w:t>
            </w:r>
            <w:r>
              <w:rPr>
                <w:rFonts w:hint="eastAsia" w:ascii="宋体" w:hAnsi="宋体" w:eastAsia="宋体" w:cs="宋体"/>
                <w:b w:val="0"/>
                <w:bCs w:val="0"/>
                <w:color w:val="auto"/>
                <w:kern w:val="0"/>
                <w:sz w:val="24"/>
                <w:szCs w:val="24"/>
              </w:rPr>
              <w:t>货值金额5万元以上10万元以下或销售</w:t>
            </w:r>
            <w:r>
              <w:rPr>
                <w:rFonts w:hint="eastAsia" w:ascii="宋体" w:hAnsi="宋体" w:eastAsia="宋体" w:cs="宋体"/>
                <w:b w:val="0"/>
                <w:bCs w:val="0"/>
                <w:color w:val="auto"/>
                <w:kern w:val="0"/>
                <w:sz w:val="24"/>
                <w:szCs w:val="24"/>
                <w:lang w:val="en-US" w:eastAsia="zh-CN"/>
              </w:rPr>
              <w:t>产品</w:t>
            </w:r>
            <w:r>
              <w:rPr>
                <w:rFonts w:hint="eastAsia" w:ascii="宋体" w:hAnsi="宋体" w:eastAsia="宋体" w:cs="宋体"/>
                <w:b w:val="0"/>
                <w:bCs w:val="0"/>
                <w:color w:val="auto"/>
                <w:kern w:val="0"/>
                <w:sz w:val="24"/>
                <w:szCs w:val="24"/>
              </w:rPr>
              <w:t>货值金额2万元以上5万元以下的</w:t>
            </w:r>
            <w:r>
              <w:rPr>
                <w:rFonts w:hint="eastAsia" w:ascii="宋体" w:hAnsi="宋体" w:eastAsia="宋体" w:cs="宋体"/>
                <w:b w:val="0"/>
                <w:bCs w:val="0"/>
                <w:color w:val="auto"/>
                <w:kern w:val="0"/>
                <w:sz w:val="24"/>
                <w:szCs w:val="24"/>
                <w:lang w:eastAsia="zh-CN"/>
              </w:rPr>
              <w:t>。</w:t>
            </w:r>
          </w:p>
        </w:tc>
        <w:tc>
          <w:tcPr>
            <w:tcW w:w="3336" w:type="dxa"/>
            <w:noWrap w:val="0"/>
            <w:vAlign w:val="center"/>
          </w:tcPr>
          <w:p w14:paraId="526537F6">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责令停止生产、销售，并处违法生产、销售产品货值金额10%以上20％以下罚款；有违法所得的，并处没收违法所得。</w:t>
            </w:r>
          </w:p>
        </w:tc>
      </w:tr>
      <w:tr w14:paraId="7C1B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9" w:hRule="atLeast"/>
          <w:jc w:val="center"/>
        </w:trPr>
        <w:tc>
          <w:tcPr>
            <w:tcW w:w="610" w:type="dxa"/>
            <w:vMerge w:val="continue"/>
            <w:noWrap w:val="0"/>
            <w:vAlign w:val="center"/>
          </w:tcPr>
          <w:p w14:paraId="03D98053">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69EFC234">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2BE36629">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65CE1E1F">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06B090AD">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生产</w:t>
            </w:r>
            <w:r>
              <w:rPr>
                <w:rFonts w:hint="eastAsia" w:ascii="宋体" w:hAnsi="宋体" w:eastAsia="宋体" w:cs="宋体"/>
                <w:b w:val="0"/>
                <w:bCs w:val="0"/>
                <w:color w:val="auto"/>
                <w:kern w:val="0"/>
                <w:sz w:val="24"/>
                <w:szCs w:val="24"/>
                <w:lang w:val="en-US" w:eastAsia="zh-CN"/>
              </w:rPr>
              <w:t>产品</w:t>
            </w:r>
            <w:r>
              <w:rPr>
                <w:rFonts w:hint="eastAsia" w:ascii="宋体" w:hAnsi="宋体" w:eastAsia="宋体" w:cs="宋体"/>
                <w:b w:val="0"/>
                <w:bCs w:val="0"/>
                <w:color w:val="auto"/>
                <w:kern w:val="0"/>
                <w:sz w:val="24"/>
                <w:szCs w:val="24"/>
              </w:rPr>
              <w:t>货值金额10万元以上或销售</w:t>
            </w:r>
            <w:r>
              <w:rPr>
                <w:rFonts w:hint="eastAsia" w:ascii="宋体" w:hAnsi="宋体" w:eastAsia="宋体" w:cs="宋体"/>
                <w:b w:val="0"/>
                <w:bCs w:val="0"/>
                <w:color w:val="auto"/>
                <w:kern w:val="0"/>
                <w:sz w:val="24"/>
                <w:szCs w:val="24"/>
                <w:lang w:val="en-US" w:eastAsia="zh-CN"/>
              </w:rPr>
              <w:t>产品</w:t>
            </w:r>
            <w:r>
              <w:rPr>
                <w:rFonts w:hint="eastAsia" w:ascii="宋体" w:hAnsi="宋体" w:eastAsia="宋体" w:cs="宋体"/>
                <w:b w:val="0"/>
                <w:bCs w:val="0"/>
                <w:color w:val="auto"/>
                <w:kern w:val="0"/>
                <w:sz w:val="24"/>
                <w:szCs w:val="24"/>
              </w:rPr>
              <w:t>货值金额5万元以上的</w:t>
            </w:r>
            <w:r>
              <w:rPr>
                <w:rFonts w:hint="eastAsia" w:ascii="宋体" w:hAnsi="宋体" w:eastAsia="宋体" w:cs="宋体"/>
                <w:b w:val="0"/>
                <w:bCs w:val="0"/>
                <w:color w:val="auto"/>
                <w:kern w:val="0"/>
                <w:sz w:val="24"/>
                <w:szCs w:val="24"/>
                <w:lang w:eastAsia="zh-CN"/>
              </w:rPr>
              <w:t>。</w:t>
            </w:r>
          </w:p>
        </w:tc>
        <w:tc>
          <w:tcPr>
            <w:tcW w:w="3336" w:type="dxa"/>
            <w:noWrap w:val="0"/>
            <w:vAlign w:val="center"/>
          </w:tcPr>
          <w:p w14:paraId="535C4D95">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责令停止生产、销售，并处违法生产、销售产品货值金额20％以上30％以下罚款；有违法所得的，并处没收违法所得。</w:t>
            </w:r>
          </w:p>
        </w:tc>
      </w:tr>
      <w:tr w14:paraId="74D5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6" w:hRule="atLeast"/>
          <w:jc w:val="center"/>
        </w:trPr>
        <w:tc>
          <w:tcPr>
            <w:tcW w:w="610" w:type="dxa"/>
            <w:vMerge w:val="restart"/>
            <w:noWrap w:val="0"/>
            <w:vAlign w:val="center"/>
          </w:tcPr>
          <w:p w14:paraId="252ABFFB">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9</w:t>
            </w:r>
            <w:r>
              <w:rPr>
                <w:rFonts w:hint="eastAsia" w:ascii="宋体" w:hAnsi="宋体" w:cs="宋体"/>
                <w:b w:val="0"/>
                <w:bCs w:val="0"/>
                <w:color w:val="auto"/>
                <w:kern w:val="0"/>
                <w:sz w:val="24"/>
                <w:szCs w:val="24"/>
                <w:lang w:val="en-US" w:eastAsia="zh-CN"/>
              </w:rPr>
              <w:t>1</w:t>
            </w:r>
          </w:p>
        </w:tc>
        <w:tc>
          <w:tcPr>
            <w:tcW w:w="1750" w:type="dxa"/>
            <w:vMerge w:val="restart"/>
            <w:noWrap w:val="0"/>
            <w:vAlign w:val="center"/>
          </w:tcPr>
          <w:p w14:paraId="13219DE4">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《中华人民共和国产品质量法》</w:t>
            </w:r>
          </w:p>
        </w:tc>
        <w:tc>
          <w:tcPr>
            <w:tcW w:w="4203" w:type="dxa"/>
            <w:vMerge w:val="restart"/>
            <w:noWrap w:val="0"/>
            <w:vAlign w:val="center"/>
          </w:tcPr>
          <w:p w14:paraId="7A9CC49F">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第五十七条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产品质量检验机构、认证机构伪造检验结果或者出具虚假证明的，责令改正，对单位处五万元以上十万元以下的罚款，对直接负责的主管人员和其他直接责任人员处一万元以上五万元以下的罚款；有违法所得的，并处没收违法所得；情节严重的，取消其检验资格、认证资格；构成犯罪的，依法追究刑事责任。</w:t>
            </w:r>
          </w:p>
        </w:tc>
        <w:tc>
          <w:tcPr>
            <w:tcW w:w="1141" w:type="dxa"/>
            <w:noWrap w:val="0"/>
            <w:vAlign w:val="center"/>
          </w:tcPr>
          <w:p w14:paraId="68FAD411">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5B8BCB4A">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伪造检验结果或者出具虚假证明</w:t>
            </w:r>
            <w:r>
              <w:rPr>
                <w:rFonts w:hint="eastAsia" w:ascii="宋体" w:hAnsi="宋体" w:cs="宋体"/>
                <w:b w:val="0"/>
                <w:bCs w:val="0"/>
                <w:color w:val="auto"/>
                <w:kern w:val="0"/>
                <w:sz w:val="24"/>
                <w:szCs w:val="24"/>
                <w:lang w:val="en-US" w:eastAsia="zh-CN"/>
              </w:rPr>
              <w:t>3份以下</w:t>
            </w:r>
            <w:r>
              <w:rPr>
                <w:rFonts w:hint="eastAsia" w:ascii="宋体" w:hAnsi="宋体" w:eastAsia="宋体" w:cs="宋体"/>
                <w:b w:val="0"/>
                <w:bCs w:val="0"/>
                <w:color w:val="auto"/>
                <w:kern w:val="0"/>
                <w:sz w:val="24"/>
                <w:szCs w:val="24"/>
              </w:rPr>
              <w:t>的。</w:t>
            </w:r>
          </w:p>
        </w:tc>
        <w:tc>
          <w:tcPr>
            <w:tcW w:w="3336" w:type="dxa"/>
            <w:noWrap w:val="0"/>
            <w:vAlign w:val="center"/>
          </w:tcPr>
          <w:p w14:paraId="646422AD">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lang w:eastAsia="zh-CN"/>
              </w:rPr>
              <w:t>责令改正，</w:t>
            </w:r>
            <w:r>
              <w:rPr>
                <w:rFonts w:hint="eastAsia" w:ascii="宋体" w:hAnsi="宋体" w:eastAsia="宋体" w:cs="宋体"/>
                <w:b w:val="0"/>
                <w:bCs w:val="0"/>
                <w:color w:val="auto"/>
                <w:kern w:val="0"/>
                <w:sz w:val="24"/>
                <w:szCs w:val="24"/>
              </w:rPr>
              <w:t>对单位处5万元罚款，对直接负责的主管人员和其他直接责任人员处1万元罚款；有违法所得的，并处没收违法所得。</w:t>
            </w:r>
          </w:p>
        </w:tc>
      </w:tr>
      <w:tr w14:paraId="2F1A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7" w:hRule="atLeast"/>
          <w:jc w:val="center"/>
        </w:trPr>
        <w:tc>
          <w:tcPr>
            <w:tcW w:w="610" w:type="dxa"/>
            <w:vMerge w:val="continue"/>
            <w:noWrap w:val="0"/>
            <w:vAlign w:val="center"/>
          </w:tcPr>
          <w:p w14:paraId="2E45022B">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336B2B11">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1C966020">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6DDCD305">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3360A431">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伪造检验结果或者出具虚假证明</w:t>
            </w:r>
            <w:r>
              <w:rPr>
                <w:rFonts w:hint="eastAsia" w:ascii="宋体" w:hAnsi="宋体" w:cs="宋体"/>
                <w:b w:val="0"/>
                <w:bCs w:val="0"/>
                <w:color w:val="auto"/>
                <w:kern w:val="0"/>
                <w:sz w:val="24"/>
                <w:szCs w:val="24"/>
                <w:lang w:val="en-US" w:eastAsia="zh-CN"/>
              </w:rPr>
              <w:t>3份以上10份以下</w:t>
            </w:r>
            <w:r>
              <w:rPr>
                <w:rFonts w:hint="eastAsia" w:ascii="宋体" w:hAnsi="宋体" w:eastAsia="宋体" w:cs="宋体"/>
                <w:b w:val="0"/>
                <w:bCs w:val="0"/>
                <w:color w:val="auto"/>
                <w:kern w:val="0"/>
                <w:sz w:val="24"/>
                <w:szCs w:val="24"/>
              </w:rPr>
              <w:t>的。</w:t>
            </w:r>
          </w:p>
        </w:tc>
        <w:tc>
          <w:tcPr>
            <w:tcW w:w="3336" w:type="dxa"/>
            <w:noWrap w:val="0"/>
            <w:vAlign w:val="center"/>
          </w:tcPr>
          <w:p w14:paraId="7012B808">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lang w:eastAsia="zh-CN"/>
              </w:rPr>
              <w:t>责令改正，</w:t>
            </w:r>
            <w:r>
              <w:rPr>
                <w:rFonts w:hint="eastAsia" w:ascii="宋体" w:hAnsi="宋体" w:eastAsia="宋体" w:cs="宋体"/>
                <w:b w:val="0"/>
                <w:bCs w:val="0"/>
                <w:color w:val="auto"/>
                <w:kern w:val="0"/>
                <w:sz w:val="24"/>
                <w:szCs w:val="24"/>
              </w:rPr>
              <w:t>对单位处5万元以上7万元以下罚款，对直接负责的主管人员和其它</w:t>
            </w:r>
            <w:r>
              <w:rPr>
                <w:rFonts w:hint="eastAsia" w:ascii="宋体" w:hAnsi="宋体" w:eastAsia="宋体" w:cs="宋体"/>
                <w:b w:val="0"/>
                <w:bCs w:val="0"/>
                <w:color w:val="auto"/>
                <w:kern w:val="0"/>
                <w:sz w:val="24"/>
                <w:szCs w:val="24"/>
                <w:lang w:eastAsia="zh-CN"/>
              </w:rPr>
              <w:t>直接</w:t>
            </w:r>
            <w:r>
              <w:rPr>
                <w:rFonts w:hint="eastAsia" w:ascii="宋体" w:hAnsi="宋体" w:eastAsia="宋体" w:cs="宋体"/>
                <w:b w:val="0"/>
                <w:bCs w:val="0"/>
                <w:color w:val="auto"/>
                <w:kern w:val="0"/>
                <w:sz w:val="24"/>
                <w:szCs w:val="24"/>
              </w:rPr>
              <w:t>责任人员处1万元以上3万元以下罚款；有违法所得的，并处没收违法所得。</w:t>
            </w:r>
          </w:p>
        </w:tc>
      </w:tr>
      <w:tr w14:paraId="28872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1" w:hRule="atLeast"/>
          <w:jc w:val="center"/>
        </w:trPr>
        <w:tc>
          <w:tcPr>
            <w:tcW w:w="610" w:type="dxa"/>
            <w:vMerge w:val="continue"/>
            <w:noWrap w:val="0"/>
            <w:vAlign w:val="center"/>
          </w:tcPr>
          <w:p w14:paraId="6DA39D0F">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0626AD2A">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60C64F9D">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67FA1159">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rPr>
              <w:t>较重</w:t>
            </w:r>
          </w:p>
        </w:tc>
        <w:tc>
          <w:tcPr>
            <w:tcW w:w="3133" w:type="dxa"/>
            <w:noWrap w:val="0"/>
            <w:vAlign w:val="center"/>
          </w:tcPr>
          <w:p w14:paraId="6D88C474">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伪造检验结果或者出具虚假证明</w:t>
            </w:r>
            <w:r>
              <w:rPr>
                <w:rFonts w:hint="eastAsia" w:ascii="宋体" w:hAnsi="宋体" w:cs="宋体"/>
                <w:b w:val="0"/>
                <w:bCs w:val="0"/>
                <w:color w:val="auto"/>
                <w:kern w:val="0"/>
                <w:sz w:val="24"/>
                <w:szCs w:val="24"/>
                <w:lang w:val="en-US" w:eastAsia="zh-CN"/>
              </w:rPr>
              <w:t>10份</w:t>
            </w:r>
            <w:r>
              <w:rPr>
                <w:rFonts w:hint="eastAsia" w:ascii="宋体" w:hAnsi="宋体" w:eastAsia="宋体" w:cs="宋体"/>
                <w:b w:val="0"/>
                <w:bCs w:val="0"/>
                <w:color w:val="auto"/>
                <w:kern w:val="0"/>
                <w:sz w:val="24"/>
                <w:szCs w:val="24"/>
                <w:lang w:eastAsia="zh-CN"/>
              </w:rPr>
              <w:t>以上</w:t>
            </w:r>
            <w:r>
              <w:rPr>
                <w:rFonts w:hint="eastAsia" w:ascii="宋体" w:hAnsi="宋体" w:eastAsia="宋体" w:cs="宋体"/>
                <w:b w:val="0"/>
                <w:bCs w:val="0"/>
                <w:color w:val="auto"/>
                <w:kern w:val="0"/>
                <w:sz w:val="24"/>
                <w:szCs w:val="24"/>
              </w:rPr>
              <w:t>的。</w:t>
            </w:r>
          </w:p>
        </w:tc>
        <w:tc>
          <w:tcPr>
            <w:tcW w:w="3336" w:type="dxa"/>
            <w:noWrap w:val="0"/>
            <w:vAlign w:val="center"/>
          </w:tcPr>
          <w:p w14:paraId="6292AA75">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spacing w:val="-6"/>
                <w:kern w:val="0"/>
                <w:sz w:val="24"/>
                <w:szCs w:val="24"/>
                <w:lang w:eastAsia="zh-CN"/>
              </w:rPr>
              <w:t>责令改正，</w:t>
            </w:r>
            <w:r>
              <w:rPr>
                <w:rFonts w:hint="eastAsia" w:ascii="宋体" w:hAnsi="宋体" w:eastAsia="宋体" w:cs="宋体"/>
                <w:b w:val="0"/>
                <w:bCs w:val="0"/>
                <w:color w:val="auto"/>
                <w:spacing w:val="-6"/>
                <w:kern w:val="0"/>
                <w:sz w:val="24"/>
                <w:szCs w:val="24"/>
              </w:rPr>
              <w:t>对单位处7万元以上10万元以下罚款，对直接负责的主管人员和其它</w:t>
            </w:r>
            <w:r>
              <w:rPr>
                <w:rFonts w:hint="eastAsia" w:ascii="宋体" w:hAnsi="宋体" w:eastAsia="宋体" w:cs="宋体"/>
                <w:b w:val="0"/>
                <w:bCs w:val="0"/>
                <w:color w:val="auto"/>
                <w:spacing w:val="-6"/>
                <w:kern w:val="0"/>
                <w:sz w:val="24"/>
                <w:szCs w:val="24"/>
                <w:lang w:eastAsia="zh-CN"/>
              </w:rPr>
              <w:t>直接</w:t>
            </w:r>
            <w:r>
              <w:rPr>
                <w:rFonts w:hint="eastAsia" w:ascii="宋体" w:hAnsi="宋体" w:eastAsia="宋体" w:cs="宋体"/>
                <w:b w:val="0"/>
                <w:bCs w:val="0"/>
                <w:color w:val="auto"/>
                <w:spacing w:val="-6"/>
                <w:kern w:val="0"/>
                <w:sz w:val="24"/>
                <w:szCs w:val="24"/>
              </w:rPr>
              <w:t>责任人员处3万元以上5万元以下罚款；有违法所得的，并处没收违法所得。</w:t>
            </w:r>
          </w:p>
        </w:tc>
      </w:tr>
      <w:tr w14:paraId="7749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10" w:type="dxa"/>
            <w:vMerge w:val="continue"/>
            <w:noWrap w:val="0"/>
            <w:vAlign w:val="center"/>
          </w:tcPr>
          <w:p w14:paraId="05F904F9">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2A633180">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0E43095C">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43610155">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rPr>
              <w:t>严重</w:t>
            </w:r>
          </w:p>
        </w:tc>
        <w:tc>
          <w:tcPr>
            <w:tcW w:w="3133" w:type="dxa"/>
            <w:noWrap w:val="0"/>
            <w:vAlign w:val="center"/>
          </w:tcPr>
          <w:p w14:paraId="6D738D46">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情节严重的。</w:t>
            </w:r>
          </w:p>
        </w:tc>
        <w:tc>
          <w:tcPr>
            <w:tcW w:w="3336" w:type="dxa"/>
            <w:noWrap w:val="0"/>
            <w:vAlign w:val="center"/>
          </w:tcPr>
          <w:p w14:paraId="1B573BBD">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spacing w:val="-6"/>
                <w:kern w:val="0"/>
                <w:sz w:val="24"/>
                <w:szCs w:val="24"/>
              </w:rPr>
              <w:t>取消其检验资格、认证资格</w:t>
            </w:r>
            <w:r>
              <w:rPr>
                <w:rFonts w:hint="eastAsia" w:ascii="宋体" w:hAnsi="宋体" w:eastAsia="宋体" w:cs="宋体"/>
                <w:b w:val="0"/>
                <w:bCs w:val="0"/>
                <w:color w:val="auto"/>
                <w:kern w:val="0"/>
                <w:sz w:val="24"/>
                <w:szCs w:val="24"/>
              </w:rPr>
              <w:t>。</w:t>
            </w:r>
          </w:p>
        </w:tc>
      </w:tr>
      <w:tr w14:paraId="4F36B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9" w:hRule="atLeast"/>
          <w:jc w:val="center"/>
        </w:trPr>
        <w:tc>
          <w:tcPr>
            <w:tcW w:w="610" w:type="dxa"/>
            <w:vMerge w:val="restart"/>
            <w:noWrap w:val="0"/>
            <w:vAlign w:val="center"/>
          </w:tcPr>
          <w:p w14:paraId="4D760FEC">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9</w:t>
            </w:r>
            <w:r>
              <w:rPr>
                <w:rFonts w:hint="eastAsia" w:ascii="宋体" w:hAnsi="宋体" w:cs="宋体"/>
                <w:b w:val="0"/>
                <w:bCs w:val="0"/>
                <w:color w:val="auto"/>
                <w:kern w:val="0"/>
                <w:sz w:val="24"/>
                <w:szCs w:val="24"/>
                <w:lang w:val="en-US" w:eastAsia="zh-CN"/>
              </w:rPr>
              <w:t>2</w:t>
            </w:r>
          </w:p>
        </w:tc>
        <w:tc>
          <w:tcPr>
            <w:tcW w:w="1750" w:type="dxa"/>
            <w:vMerge w:val="restart"/>
            <w:noWrap w:val="0"/>
            <w:vAlign w:val="center"/>
          </w:tcPr>
          <w:p w14:paraId="7ECF46ED">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《中华人民共和国产品质量法》</w:t>
            </w:r>
          </w:p>
        </w:tc>
        <w:tc>
          <w:tcPr>
            <w:tcW w:w="4203" w:type="dxa"/>
            <w:vMerge w:val="restart"/>
            <w:noWrap w:val="0"/>
            <w:vAlign w:val="center"/>
          </w:tcPr>
          <w:p w14:paraId="79E998C1">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第六十一条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知道或者应当知道属于本法规定禁止生产、销售的产品而为其提供运输、保管、仓储等便利条件的，或者为以假充真的产品提供制假生产技术的，没收全部运输、保管、仓储或者提供制假生产技术的收入，并处违法收入百分之五十以上三倍以下的罚款；构成犯罪的，依法追究刑事责任。</w:t>
            </w:r>
          </w:p>
        </w:tc>
        <w:tc>
          <w:tcPr>
            <w:tcW w:w="1141" w:type="dxa"/>
            <w:noWrap w:val="0"/>
            <w:vAlign w:val="center"/>
          </w:tcPr>
          <w:p w14:paraId="07714B48">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054595A5">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违法收入1万元以下或者提供便利条件的在1个月以下的。</w:t>
            </w:r>
          </w:p>
        </w:tc>
        <w:tc>
          <w:tcPr>
            <w:tcW w:w="3336" w:type="dxa"/>
            <w:noWrap w:val="0"/>
            <w:vAlign w:val="center"/>
          </w:tcPr>
          <w:p w14:paraId="4FD01A08">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没收违法收入，并处违法收入50%以上1倍以下罚款。</w:t>
            </w:r>
          </w:p>
        </w:tc>
      </w:tr>
      <w:tr w14:paraId="1B43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9" w:hRule="atLeast"/>
          <w:jc w:val="center"/>
        </w:trPr>
        <w:tc>
          <w:tcPr>
            <w:tcW w:w="610" w:type="dxa"/>
            <w:vMerge w:val="continue"/>
            <w:noWrap w:val="0"/>
            <w:vAlign w:val="center"/>
          </w:tcPr>
          <w:p w14:paraId="4C2CA56B">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67E12F4B">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2E7F377B">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2DEFCA57">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6EB754E8">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违法收入1万元以上5万元以下或者提供便利条件在1个月以上3个月以下的。</w:t>
            </w:r>
          </w:p>
        </w:tc>
        <w:tc>
          <w:tcPr>
            <w:tcW w:w="3336" w:type="dxa"/>
            <w:noWrap w:val="0"/>
            <w:vAlign w:val="center"/>
          </w:tcPr>
          <w:p w14:paraId="71B1CFE7">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没收违法收入，并处违法收入1倍以上2倍以下罚款。</w:t>
            </w:r>
          </w:p>
        </w:tc>
      </w:tr>
      <w:tr w14:paraId="3909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0" w:hRule="atLeast"/>
          <w:jc w:val="center"/>
        </w:trPr>
        <w:tc>
          <w:tcPr>
            <w:tcW w:w="610" w:type="dxa"/>
            <w:vMerge w:val="continue"/>
            <w:noWrap w:val="0"/>
            <w:vAlign w:val="center"/>
          </w:tcPr>
          <w:p w14:paraId="014ED02F">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5644BA68">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4C92FEE8">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0459DACF">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2CF974C9">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违法收入5万元以上或者提供便利条件在</w:t>
            </w:r>
            <w:r>
              <w:rPr>
                <w:rFonts w:hint="eastAsia" w:ascii="宋体" w:hAnsi="宋体" w:eastAsia="宋体" w:cs="宋体"/>
                <w:b w:val="0"/>
                <w:bCs w:val="0"/>
                <w:color w:val="auto"/>
                <w:kern w:val="0"/>
                <w:sz w:val="24"/>
                <w:szCs w:val="24"/>
                <w:lang w:val="en-US" w:eastAsia="zh-CN"/>
              </w:rPr>
              <w:t>3</w:t>
            </w:r>
            <w:r>
              <w:rPr>
                <w:rFonts w:hint="eastAsia" w:ascii="宋体" w:hAnsi="宋体" w:eastAsia="宋体" w:cs="宋体"/>
                <w:b w:val="0"/>
                <w:bCs w:val="0"/>
                <w:color w:val="auto"/>
                <w:kern w:val="0"/>
                <w:sz w:val="24"/>
                <w:szCs w:val="24"/>
              </w:rPr>
              <w:t>个月以上的。</w:t>
            </w:r>
          </w:p>
        </w:tc>
        <w:tc>
          <w:tcPr>
            <w:tcW w:w="3336" w:type="dxa"/>
            <w:noWrap w:val="0"/>
            <w:vAlign w:val="center"/>
          </w:tcPr>
          <w:p w14:paraId="29E86D97">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没收违法收入，并处违法收入2倍以上3倍以下罚款。</w:t>
            </w:r>
          </w:p>
        </w:tc>
      </w:tr>
      <w:tr w14:paraId="3105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0" w:hRule="atLeast"/>
          <w:jc w:val="center"/>
        </w:trPr>
        <w:tc>
          <w:tcPr>
            <w:tcW w:w="610" w:type="dxa"/>
            <w:vMerge w:val="restart"/>
            <w:noWrap w:val="0"/>
            <w:vAlign w:val="center"/>
          </w:tcPr>
          <w:p w14:paraId="560E8CB5">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9</w:t>
            </w:r>
            <w:r>
              <w:rPr>
                <w:rFonts w:hint="eastAsia" w:ascii="宋体" w:hAnsi="宋体" w:cs="宋体"/>
                <w:b w:val="0"/>
                <w:bCs w:val="0"/>
                <w:color w:val="auto"/>
                <w:kern w:val="0"/>
                <w:sz w:val="24"/>
                <w:szCs w:val="24"/>
                <w:lang w:val="en-US" w:eastAsia="zh-CN"/>
              </w:rPr>
              <w:t>3</w:t>
            </w:r>
          </w:p>
        </w:tc>
        <w:tc>
          <w:tcPr>
            <w:tcW w:w="1750" w:type="dxa"/>
            <w:vMerge w:val="restart"/>
            <w:noWrap w:val="0"/>
            <w:vAlign w:val="center"/>
          </w:tcPr>
          <w:p w14:paraId="71CA2EE3">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《中华人民共和国产品质量法》</w:t>
            </w:r>
          </w:p>
        </w:tc>
        <w:tc>
          <w:tcPr>
            <w:tcW w:w="4203" w:type="dxa"/>
            <w:vMerge w:val="restart"/>
            <w:noWrap w:val="0"/>
            <w:vAlign w:val="center"/>
          </w:tcPr>
          <w:p w14:paraId="371712AD">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第六十三条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隐匿、转移、变卖、损毁被市场监督管理部门查封、扣押的物品的，处被隐匿、转移、变卖、损毁物品货值金额等值以上三倍以下的罚款；有违法所得的，并处没收违法所得。</w:t>
            </w:r>
          </w:p>
        </w:tc>
        <w:tc>
          <w:tcPr>
            <w:tcW w:w="1141" w:type="dxa"/>
            <w:noWrap w:val="0"/>
            <w:vAlign w:val="center"/>
          </w:tcPr>
          <w:p w14:paraId="3FE4533B">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3A670BB2">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被隐匿、转移、变卖、损毁物品货值金额</w:t>
            </w:r>
            <w:r>
              <w:rPr>
                <w:rFonts w:hint="eastAsia" w:ascii="宋体" w:hAnsi="宋体" w:eastAsia="宋体" w:cs="宋体"/>
                <w:b w:val="0"/>
                <w:bCs w:val="0"/>
                <w:color w:val="auto"/>
                <w:kern w:val="0"/>
                <w:sz w:val="24"/>
                <w:szCs w:val="24"/>
                <w:lang w:val="en-US" w:eastAsia="zh-CN"/>
              </w:rPr>
              <w:t>2</w:t>
            </w:r>
            <w:r>
              <w:rPr>
                <w:rFonts w:hint="eastAsia" w:ascii="宋体" w:hAnsi="宋体" w:eastAsia="宋体" w:cs="宋体"/>
                <w:b w:val="0"/>
                <w:bCs w:val="0"/>
                <w:color w:val="auto"/>
                <w:kern w:val="0"/>
                <w:sz w:val="24"/>
                <w:szCs w:val="24"/>
              </w:rPr>
              <w:t>万元以下，或者物品不涉及危害人身健康和公共安全的。</w:t>
            </w:r>
          </w:p>
        </w:tc>
        <w:tc>
          <w:tcPr>
            <w:tcW w:w="3336" w:type="dxa"/>
            <w:noWrap w:val="0"/>
            <w:vAlign w:val="center"/>
          </w:tcPr>
          <w:p w14:paraId="4D1219AC">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处货值金额1倍罚款；有违</w:t>
            </w:r>
            <w:r>
              <w:rPr>
                <w:rFonts w:hint="eastAsia" w:ascii="宋体" w:hAnsi="宋体" w:eastAsia="宋体" w:cs="宋体"/>
                <w:b w:val="0"/>
                <w:bCs w:val="0"/>
                <w:color w:val="auto"/>
                <w:spacing w:val="-11"/>
                <w:kern w:val="0"/>
                <w:sz w:val="24"/>
                <w:szCs w:val="24"/>
              </w:rPr>
              <w:t>法所得的，并处没收违法所得。</w:t>
            </w:r>
          </w:p>
        </w:tc>
      </w:tr>
      <w:tr w14:paraId="2386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2" w:hRule="atLeast"/>
          <w:jc w:val="center"/>
        </w:trPr>
        <w:tc>
          <w:tcPr>
            <w:tcW w:w="610" w:type="dxa"/>
            <w:vMerge w:val="continue"/>
            <w:noWrap w:val="0"/>
            <w:vAlign w:val="center"/>
          </w:tcPr>
          <w:p w14:paraId="502C392B">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06A10142">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7DAE8A30">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4FD32234">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76135684">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被隐匿、转移、变卖、损毁物品货值金额</w:t>
            </w:r>
            <w:r>
              <w:rPr>
                <w:rFonts w:hint="eastAsia" w:ascii="宋体" w:hAnsi="宋体" w:eastAsia="宋体" w:cs="宋体"/>
                <w:b w:val="0"/>
                <w:bCs w:val="0"/>
                <w:color w:val="auto"/>
                <w:kern w:val="0"/>
                <w:sz w:val="24"/>
                <w:szCs w:val="24"/>
                <w:lang w:val="en-US" w:eastAsia="zh-CN"/>
              </w:rPr>
              <w:t>2</w:t>
            </w:r>
            <w:r>
              <w:rPr>
                <w:rFonts w:hint="eastAsia" w:ascii="宋体" w:hAnsi="宋体" w:eastAsia="宋体" w:cs="宋体"/>
                <w:b w:val="0"/>
                <w:bCs w:val="0"/>
                <w:color w:val="auto"/>
                <w:kern w:val="0"/>
                <w:sz w:val="24"/>
                <w:szCs w:val="24"/>
              </w:rPr>
              <w:t>万元以上</w:t>
            </w:r>
            <w:r>
              <w:rPr>
                <w:rFonts w:hint="eastAsia" w:ascii="宋体" w:hAnsi="宋体" w:eastAsia="宋体" w:cs="宋体"/>
                <w:b w:val="0"/>
                <w:bCs w:val="0"/>
                <w:color w:val="auto"/>
                <w:kern w:val="0"/>
                <w:sz w:val="24"/>
                <w:szCs w:val="24"/>
                <w:lang w:val="en-US" w:eastAsia="zh-CN"/>
              </w:rPr>
              <w:t>5</w:t>
            </w:r>
            <w:r>
              <w:rPr>
                <w:rFonts w:hint="eastAsia" w:ascii="宋体" w:hAnsi="宋体" w:eastAsia="宋体" w:cs="宋体"/>
                <w:b w:val="0"/>
                <w:bCs w:val="0"/>
                <w:color w:val="auto"/>
                <w:kern w:val="0"/>
                <w:sz w:val="24"/>
                <w:szCs w:val="24"/>
              </w:rPr>
              <w:t>万元以下，或者物品可能对人身健</w:t>
            </w:r>
            <w:r>
              <w:rPr>
                <w:rFonts w:hint="eastAsia" w:ascii="宋体" w:hAnsi="宋体" w:eastAsia="宋体" w:cs="宋体"/>
                <w:b w:val="0"/>
                <w:bCs w:val="0"/>
                <w:color w:val="auto"/>
                <w:spacing w:val="-6"/>
                <w:kern w:val="0"/>
                <w:sz w:val="24"/>
                <w:szCs w:val="24"/>
              </w:rPr>
              <w:t>康和公共安全造成危害后果的。</w:t>
            </w:r>
          </w:p>
        </w:tc>
        <w:tc>
          <w:tcPr>
            <w:tcW w:w="3336" w:type="dxa"/>
            <w:noWrap w:val="0"/>
            <w:vAlign w:val="center"/>
          </w:tcPr>
          <w:p w14:paraId="229FDAAF">
            <w:pPr>
              <w:keepNext w:val="0"/>
              <w:keepLines w:val="0"/>
              <w:pageBreakBefore w:val="0"/>
              <w:widowControl/>
              <w:kinsoku/>
              <w:wordWrap/>
              <w:overflowPunct/>
              <w:topLinePunct w:val="0"/>
              <w:autoSpaceDE/>
              <w:autoSpaceDN/>
              <w:bidi w:val="0"/>
              <w:adjustRightInd/>
              <w:snapToGrid/>
              <w:spacing w:line="39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处货值金额1倍以上2倍以下罚款；有违法所得的，并处没收违法所得。</w:t>
            </w:r>
          </w:p>
        </w:tc>
      </w:tr>
      <w:tr w14:paraId="16F7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0" w:hRule="atLeast"/>
          <w:jc w:val="center"/>
        </w:trPr>
        <w:tc>
          <w:tcPr>
            <w:tcW w:w="610" w:type="dxa"/>
            <w:vMerge w:val="continue"/>
            <w:noWrap w:val="0"/>
            <w:vAlign w:val="center"/>
          </w:tcPr>
          <w:p w14:paraId="2C11B6F0">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0E97115F">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4104736D">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134A44A5">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3E20B0EB">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被隐匿、转移、变卖、损毁物品货值金额</w:t>
            </w:r>
            <w:r>
              <w:rPr>
                <w:rFonts w:hint="eastAsia" w:ascii="宋体" w:hAnsi="宋体" w:eastAsia="宋体" w:cs="宋体"/>
                <w:b w:val="0"/>
                <w:bCs w:val="0"/>
                <w:color w:val="auto"/>
                <w:kern w:val="0"/>
                <w:sz w:val="24"/>
                <w:szCs w:val="24"/>
                <w:lang w:val="en-US" w:eastAsia="zh-CN"/>
              </w:rPr>
              <w:t>5</w:t>
            </w:r>
            <w:r>
              <w:rPr>
                <w:rFonts w:hint="eastAsia" w:ascii="宋体" w:hAnsi="宋体" w:eastAsia="宋体" w:cs="宋体"/>
                <w:b w:val="0"/>
                <w:bCs w:val="0"/>
                <w:color w:val="auto"/>
                <w:kern w:val="0"/>
                <w:sz w:val="24"/>
                <w:szCs w:val="24"/>
              </w:rPr>
              <w:t>万元以上，或者物品对人身健康和公共安全造成危害后果的。</w:t>
            </w:r>
          </w:p>
        </w:tc>
        <w:tc>
          <w:tcPr>
            <w:tcW w:w="3336" w:type="dxa"/>
            <w:noWrap w:val="0"/>
            <w:vAlign w:val="center"/>
          </w:tcPr>
          <w:p w14:paraId="539E459D">
            <w:pPr>
              <w:keepNext w:val="0"/>
              <w:keepLines w:val="0"/>
              <w:pageBreakBefore w:val="0"/>
              <w:widowControl/>
              <w:kinsoku/>
              <w:wordWrap/>
              <w:overflowPunct/>
              <w:topLinePunct w:val="0"/>
              <w:autoSpaceDE/>
              <w:autoSpaceDN/>
              <w:bidi w:val="0"/>
              <w:adjustRightInd/>
              <w:snapToGrid/>
              <w:spacing w:line="390" w:lineRule="exact"/>
              <w:jc w:val="both"/>
              <w:textAlignment w:val="auto"/>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处货值金额2倍以上3倍以下罚款；有违法所得的，并处没收违法所得</w:t>
            </w:r>
            <w:r>
              <w:rPr>
                <w:rFonts w:hint="eastAsia" w:ascii="宋体" w:hAnsi="宋体" w:cs="宋体"/>
                <w:b w:val="0"/>
                <w:bCs w:val="0"/>
                <w:color w:val="auto"/>
                <w:kern w:val="0"/>
                <w:sz w:val="24"/>
                <w:szCs w:val="24"/>
                <w:lang w:eastAsia="zh-CN"/>
              </w:rPr>
              <w:t>。</w:t>
            </w:r>
          </w:p>
        </w:tc>
      </w:tr>
      <w:tr w14:paraId="39AC4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610" w:type="dxa"/>
            <w:vMerge w:val="restart"/>
            <w:noWrap w:val="0"/>
            <w:vAlign w:val="center"/>
          </w:tcPr>
          <w:p w14:paraId="518EE912">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rPr>
              <w:t>9</w:t>
            </w:r>
            <w:r>
              <w:rPr>
                <w:rFonts w:hint="eastAsia" w:ascii="宋体" w:hAnsi="宋体" w:cs="宋体"/>
                <w:b w:val="0"/>
                <w:bCs w:val="0"/>
                <w:color w:val="auto"/>
                <w:kern w:val="0"/>
                <w:sz w:val="24"/>
                <w:szCs w:val="24"/>
                <w:lang w:val="en-US" w:eastAsia="zh-CN"/>
              </w:rPr>
              <w:t>4</w:t>
            </w:r>
          </w:p>
        </w:tc>
        <w:tc>
          <w:tcPr>
            <w:tcW w:w="1750" w:type="dxa"/>
            <w:vMerge w:val="restart"/>
            <w:noWrap w:val="0"/>
            <w:vAlign w:val="center"/>
          </w:tcPr>
          <w:p w14:paraId="6D6BB9BC">
            <w:pPr>
              <w:keepNext w:val="0"/>
              <w:keepLines w:val="0"/>
              <w:pageBreakBefore w:val="0"/>
              <w:widowControl/>
              <w:kinsoku/>
              <w:wordWrap/>
              <w:overflowPunct/>
              <w:topLinePunct w:val="0"/>
              <w:autoSpaceDE/>
              <w:autoSpaceDN/>
              <w:bidi w:val="0"/>
              <w:adjustRightInd/>
              <w:snapToGrid/>
              <w:spacing w:line="420" w:lineRule="exact"/>
              <w:textAlignment w:val="auto"/>
              <w:outlineLvl w:val="2"/>
              <w:rPr>
                <w:rFonts w:hint="eastAsia" w:ascii="宋体" w:hAnsi="宋体" w:eastAsia="宋体" w:cs="宋体"/>
                <w:b w:val="0"/>
                <w:bCs w:val="0"/>
                <w:color w:val="auto"/>
                <w:kern w:val="0"/>
                <w:sz w:val="24"/>
                <w:szCs w:val="24"/>
                <w:lang w:val="en-US" w:eastAsia="zh-CN"/>
              </w:rPr>
            </w:pPr>
            <w:bookmarkStart w:id="137" w:name="_Toc32160"/>
            <w:bookmarkStart w:id="138" w:name="_Toc27335"/>
            <w:bookmarkStart w:id="139" w:name="_Toc26029"/>
            <w:bookmarkStart w:id="140" w:name="_Toc32116"/>
            <w:bookmarkStart w:id="141" w:name="_Toc14513"/>
            <w:r>
              <w:rPr>
                <w:rFonts w:hint="eastAsia" w:ascii="宋体" w:hAnsi="宋体" w:eastAsia="宋体" w:cs="宋体"/>
                <w:b w:val="0"/>
                <w:bCs w:val="0"/>
                <w:color w:val="auto"/>
                <w:kern w:val="0"/>
                <w:sz w:val="24"/>
                <w:szCs w:val="24"/>
              </w:rPr>
              <w:t>《中华人民共和国消费者权益保护法》</w:t>
            </w:r>
            <w:r>
              <w:rPr>
                <w:rFonts w:hint="eastAsia" w:ascii="宋体" w:hAnsi="宋体" w:eastAsia="宋体" w:cs="宋体"/>
                <w:b w:val="0"/>
                <w:bCs w:val="0"/>
                <w:color w:val="auto"/>
                <w:kern w:val="0"/>
                <w:sz w:val="24"/>
                <w:szCs w:val="24"/>
                <w:lang w:eastAsia="zh-CN"/>
              </w:rPr>
              <w:t>（</w:t>
            </w:r>
            <w:r>
              <w:rPr>
                <w:rFonts w:hint="eastAsia" w:ascii="宋体" w:hAnsi="宋体" w:eastAsia="宋体" w:cs="宋体"/>
                <w:b w:val="0"/>
                <w:bCs w:val="0"/>
                <w:color w:val="auto"/>
                <w:kern w:val="0"/>
                <w:sz w:val="24"/>
                <w:szCs w:val="24"/>
                <w:lang w:val="en-US" w:eastAsia="zh-CN"/>
              </w:rPr>
              <w:t>201</w:t>
            </w:r>
            <w:r>
              <w:rPr>
                <w:rFonts w:hint="eastAsia" w:ascii="宋体" w:hAnsi="宋体" w:cs="宋体"/>
                <w:b w:val="0"/>
                <w:bCs w:val="0"/>
                <w:color w:val="auto"/>
                <w:kern w:val="0"/>
                <w:sz w:val="24"/>
                <w:szCs w:val="24"/>
                <w:lang w:val="en-US" w:eastAsia="zh-CN"/>
              </w:rPr>
              <w:t>4</w:t>
            </w:r>
            <w:r>
              <w:rPr>
                <w:rFonts w:hint="eastAsia" w:ascii="宋体" w:hAnsi="宋体" w:eastAsia="宋体" w:cs="宋体"/>
                <w:b w:val="0"/>
                <w:bCs w:val="0"/>
                <w:color w:val="auto"/>
                <w:kern w:val="0"/>
                <w:sz w:val="24"/>
                <w:szCs w:val="24"/>
                <w:lang w:val="en-US" w:eastAsia="zh-CN"/>
              </w:rPr>
              <w:t>年</w:t>
            </w:r>
            <w:r>
              <w:rPr>
                <w:rFonts w:hint="eastAsia" w:ascii="宋体" w:hAnsi="宋体" w:cs="宋体"/>
                <w:b w:val="0"/>
                <w:bCs w:val="0"/>
                <w:color w:val="auto"/>
                <w:kern w:val="0"/>
                <w:sz w:val="24"/>
                <w:szCs w:val="24"/>
                <w:lang w:val="en-US" w:eastAsia="zh-CN"/>
              </w:rPr>
              <w:t>3</w:t>
            </w:r>
            <w:r>
              <w:rPr>
                <w:rFonts w:hint="eastAsia" w:ascii="宋体" w:hAnsi="宋体" w:eastAsia="宋体" w:cs="宋体"/>
                <w:b w:val="0"/>
                <w:bCs w:val="0"/>
                <w:color w:val="auto"/>
                <w:kern w:val="0"/>
                <w:sz w:val="24"/>
                <w:szCs w:val="24"/>
                <w:lang w:val="en-US" w:eastAsia="zh-CN"/>
              </w:rPr>
              <w:t>月</w:t>
            </w:r>
            <w:r>
              <w:rPr>
                <w:rFonts w:hint="eastAsia" w:ascii="宋体" w:hAnsi="宋体" w:cs="宋体"/>
                <w:b w:val="0"/>
                <w:bCs w:val="0"/>
                <w:color w:val="auto"/>
                <w:kern w:val="0"/>
                <w:sz w:val="24"/>
                <w:szCs w:val="24"/>
                <w:lang w:val="en-US" w:eastAsia="zh-CN"/>
              </w:rPr>
              <w:t>15</w:t>
            </w:r>
            <w:r>
              <w:rPr>
                <w:rFonts w:hint="eastAsia" w:ascii="宋体" w:hAnsi="宋体" w:eastAsia="宋体" w:cs="宋体"/>
                <w:b w:val="0"/>
                <w:bCs w:val="0"/>
                <w:color w:val="auto"/>
                <w:kern w:val="0"/>
                <w:sz w:val="24"/>
                <w:szCs w:val="24"/>
                <w:lang w:val="en-US" w:eastAsia="zh-CN"/>
              </w:rPr>
              <w:t>日</w:t>
            </w:r>
            <w:r>
              <w:rPr>
                <w:rFonts w:hint="eastAsia" w:ascii="宋体" w:hAnsi="宋体" w:cs="宋体"/>
                <w:b w:val="0"/>
                <w:bCs w:val="0"/>
                <w:color w:val="auto"/>
                <w:kern w:val="0"/>
                <w:sz w:val="24"/>
                <w:szCs w:val="24"/>
                <w:lang w:val="en-US" w:eastAsia="zh-CN"/>
              </w:rPr>
              <w:t>起施行</w:t>
            </w:r>
            <w:r>
              <w:rPr>
                <w:rFonts w:hint="eastAsia" w:ascii="宋体" w:hAnsi="宋体" w:eastAsia="宋体" w:cs="宋体"/>
                <w:b w:val="0"/>
                <w:bCs w:val="0"/>
                <w:color w:val="auto"/>
                <w:kern w:val="0"/>
                <w:sz w:val="24"/>
                <w:szCs w:val="24"/>
                <w:lang w:val="en-US" w:eastAsia="zh-CN"/>
              </w:rPr>
              <w:t>）</w:t>
            </w:r>
            <w:bookmarkEnd w:id="137"/>
            <w:bookmarkEnd w:id="138"/>
            <w:bookmarkEnd w:id="139"/>
            <w:bookmarkEnd w:id="140"/>
            <w:bookmarkEnd w:id="141"/>
          </w:p>
        </w:tc>
        <w:tc>
          <w:tcPr>
            <w:tcW w:w="4203" w:type="dxa"/>
            <w:vMerge w:val="restart"/>
            <w:noWrap w:val="0"/>
            <w:vAlign w:val="center"/>
          </w:tcPr>
          <w:p w14:paraId="3D445BDA">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第五十六条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w:t>
            </w:r>
          </w:p>
        </w:tc>
        <w:tc>
          <w:tcPr>
            <w:tcW w:w="1141" w:type="dxa"/>
            <w:vMerge w:val="restart"/>
            <w:noWrap w:val="0"/>
            <w:vAlign w:val="center"/>
          </w:tcPr>
          <w:p w14:paraId="341D5943">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61C1DFEE">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违法所得2万元以下或情节特别轻微的</w:t>
            </w:r>
            <w:r>
              <w:rPr>
                <w:rFonts w:hint="eastAsia" w:ascii="宋体" w:hAnsi="宋体" w:eastAsia="宋体" w:cs="宋体"/>
                <w:b w:val="0"/>
                <w:bCs w:val="0"/>
                <w:color w:val="auto"/>
                <w:kern w:val="0"/>
                <w:sz w:val="24"/>
                <w:szCs w:val="24"/>
                <w:lang w:eastAsia="zh-CN"/>
              </w:rPr>
              <w:t>。</w:t>
            </w:r>
          </w:p>
        </w:tc>
        <w:tc>
          <w:tcPr>
            <w:tcW w:w="3336" w:type="dxa"/>
            <w:noWrap w:val="0"/>
            <w:vAlign w:val="center"/>
          </w:tcPr>
          <w:p w14:paraId="23E19348">
            <w:pPr>
              <w:keepNext w:val="0"/>
              <w:keepLines w:val="0"/>
              <w:pageBreakBefore w:val="0"/>
              <w:widowControl/>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可以单处或者并处警告、没收违法所得、处以违法所得1倍以上3倍以下罚款</w:t>
            </w:r>
            <w:r>
              <w:rPr>
                <w:rFonts w:hint="eastAsia" w:ascii="宋体" w:hAnsi="宋体" w:eastAsia="宋体" w:cs="宋体"/>
                <w:b w:val="0"/>
                <w:bCs w:val="0"/>
                <w:color w:val="auto"/>
                <w:kern w:val="0"/>
                <w:sz w:val="24"/>
                <w:szCs w:val="24"/>
                <w:lang w:eastAsia="zh-CN"/>
              </w:rPr>
              <w:t>。</w:t>
            </w:r>
          </w:p>
        </w:tc>
      </w:tr>
      <w:tr w14:paraId="0481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10" w:type="dxa"/>
            <w:vMerge w:val="continue"/>
            <w:noWrap w:val="0"/>
            <w:vAlign w:val="center"/>
          </w:tcPr>
          <w:p w14:paraId="1638F538">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i/>
                <w:iCs/>
                <w:color w:val="auto"/>
                <w:kern w:val="0"/>
                <w:sz w:val="24"/>
                <w:szCs w:val="24"/>
              </w:rPr>
            </w:pPr>
          </w:p>
        </w:tc>
        <w:tc>
          <w:tcPr>
            <w:tcW w:w="1750" w:type="dxa"/>
            <w:vMerge w:val="continue"/>
            <w:noWrap w:val="0"/>
            <w:vAlign w:val="center"/>
          </w:tcPr>
          <w:p w14:paraId="292020A0">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51E2807F">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vMerge w:val="continue"/>
            <w:noWrap w:val="0"/>
            <w:vAlign w:val="center"/>
          </w:tcPr>
          <w:p w14:paraId="2B2D0DF1">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3133" w:type="dxa"/>
            <w:noWrap w:val="0"/>
            <w:vAlign w:val="center"/>
          </w:tcPr>
          <w:p w14:paraId="784B75DB">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没有违法所得的，未给消费者造成损害后果的。</w:t>
            </w:r>
          </w:p>
        </w:tc>
        <w:tc>
          <w:tcPr>
            <w:tcW w:w="3336" w:type="dxa"/>
            <w:noWrap w:val="0"/>
            <w:vAlign w:val="center"/>
          </w:tcPr>
          <w:p w14:paraId="6C79A10F">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没有违法所得的，处3万元以下罚款。</w:t>
            </w:r>
          </w:p>
        </w:tc>
      </w:tr>
      <w:tr w14:paraId="32ED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10" w:type="dxa"/>
            <w:vMerge w:val="continue"/>
            <w:noWrap w:val="0"/>
            <w:vAlign w:val="center"/>
          </w:tcPr>
          <w:p w14:paraId="107BBA14">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i/>
                <w:iCs/>
                <w:color w:val="auto"/>
                <w:kern w:val="0"/>
                <w:sz w:val="24"/>
                <w:szCs w:val="24"/>
              </w:rPr>
            </w:pPr>
          </w:p>
        </w:tc>
        <w:tc>
          <w:tcPr>
            <w:tcW w:w="1750" w:type="dxa"/>
            <w:vMerge w:val="continue"/>
            <w:noWrap w:val="0"/>
            <w:vAlign w:val="center"/>
          </w:tcPr>
          <w:p w14:paraId="44B0161C">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3A8132E1">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vMerge w:val="restart"/>
            <w:noWrap w:val="0"/>
            <w:vAlign w:val="center"/>
          </w:tcPr>
          <w:p w14:paraId="13D121A3">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7B742376">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违法所得2万元以上5万元以下或情节较轻的</w:t>
            </w:r>
            <w:r>
              <w:rPr>
                <w:rFonts w:hint="eastAsia" w:ascii="宋体" w:hAnsi="宋体" w:eastAsia="宋体" w:cs="宋体"/>
                <w:b w:val="0"/>
                <w:bCs w:val="0"/>
                <w:color w:val="auto"/>
                <w:kern w:val="0"/>
                <w:sz w:val="24"/>
                <w:szCs w:val="24"/>
                <w:lang w:eastAsia="zh-CN"/>
              </w:rPr>
              <w:t>。</w:t>
            </w:r>
          </w:p>
        </w:tc>
        <w:tc>
          <w:tcPr>
            <w:tcW w:w="3336" w:type="dxa"/>
            <w:noWrap w:val="0"/>
            <w:vAlign w:val="center"/>
          </w:tcPr>
          <w:p w14:paraId="125EB22F">
            <w:pPr>
              <w:keepNext w:val="0"/>
              <w:keepLines w:val="0"/>
              <w:pageBreakBefore w:val="0"/>
              <w:widowControl/>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可以单处或者并处警告、没收违法所得、处以违法所得3倍以上5倍以下罚款</w:t>
            </w:r>
            <w:r>
              <w:rPr>
                <w:rFonts w:hint="eastAsia" w:ascii="宋体" w:hAnsi="宋体" w:eastAsia="宋体" w:cs="宋体"/>
                <w:b w:val="0"/>
                <w:bCs w:val="0"/>
                <w:color w:val="auto"/>
                <w:kern w:val="0"/>
                <w:sz w:val="24"/>
                <w:szCs w:val="24"/>
                <w:lang w:eastAsia="zh-CN"/>
              </w:rPr>
              <w:t>。</w:t>
            </w:r>
          </w:p>
        </w:tc>
      </w:tr>
      <w:tr w14:paraId="4C076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610" w:type="dxa"/>
            <w:vMerge w:val="continue"/>
            <w:noWrap w:val="0"/>
            <w:vAlign w:val="center"/>
          </w:tcPr>
          <w:p w14:paraId="50D7E050">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i/>
                <w:iCs/>
                <w:color w:val="auto"/>
                <w:kern w:val="0"/>
                <w:sz w:val="24"/>
                <w:szCs w:val="24"/>
              </w:rPr>
            </w:pPr>
          </w:p>
        </w:tc>
        <w:tc>
          <w:tcPr>
            <w:tcW w:w="1750" w:type="dxa"/>
            <w:vMerge w:val="continue"/>
            <w:noWrap w:val="0"/>
            <w:vAlign w:val="center"/>
          </w:tcPr>
          <w:p w14:paraId="0F5C2585">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65FABCA1">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vMerge w:val="continue"/>
            <w:noWrap w:val="0"/>
            <w:vAlign w:val="center"/>
          </w:tcPr>
          <w:p w14:paraId="511BA265">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3133" w:type="dxa"/>
            <w:noWrap w:val="0"/>
            <w:vAlign w:val="center"/>
          </w:tcPr>
          <w:p w14:paraId="54FF5731">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没有违法所得的，给消费者造成损害较轻的。</w:t>
            </w:r>
          </w:p>
        </w:tc>
        <w:tc>
          <w:tcPr>
            <w:tcW w:w="3336" w:type="dxa"/>
            <w:noWrap w:val="0"/>
            <w:vAlign w:val="center"/>
          </w:tcPr>
          <w:p w14:paraId="7F00A493">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没有违法所得的，处以3万元以上10万元以下罚款。</w:t>
            </w:r>
          </w:p>
        </w:tc>
      </w:tr>
      <w:tr w14:paraId="178F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dxa"/>
            <w:vMerge w:val="continue"/>
            <w:noWrap w:val="0"/>
            <w:vAlign w:val="center"/>
          </w:tcPr>
          <w:p w14:paraId="6B85080A">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p>
        </w:tc>
        <w:tc>
          <w:tcPr>
            <w:tcW w:w="1750" w:type="dxa"/>
            <w:vMerge w:val="continue"/>
            <w:noWrap w:val="0"/>
            <w:vAlign w:val="center"/>
          </w:tcPr>
          <w:p w14:paraId="016D3D85">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p>
        </w:tc>
        <w:tc>
          <w:tcPr>
            <w:tcW w:w="4203" w:type="dxa"/>
            <w:vMerge w:val="continue"/>
            <w:noWrap w:val="0"/>
            <w:vAlign w:val="center"/>
          </w:tcPr>
          <w:p w14:paraId="1FE45297">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vMerge w:val="restart"/>
            <w:noWrap w:val="0"/>
            <w:vAlign w:val="center"/>
          </w:tcPr>
          <w:p w14:paraId="5A83CE72">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705FF623">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违法所得5万元以上10万元以下或情节较重的</w:t>
            </w:r>
            <w:r>
              <w:rPr>
                <w:rFonts w:hint="eastAsia" w:ascii="宋体" w:hAnsi="宋体" w:eastAsia="宋体" w:cs="宋体"/>
                <w:b w:val="0"/>
                <w:bCs w:val="0"/>
                <w:color w:val="auto"/>
                <w:kern w:val="0"/>
                <w:sz w:val="24"/>
                <w:szCs w:val="24"/>
                <w:lang w:eastAsia="zh-CN"/>
              </w:rPr>
              <w:t>。</w:t>
            </w:r>
          </w:p>
        </w:tc>
        <w:tc>
          <w:tcPr>
            <w:tcW w:w="3336" w:type="dxa"/>
            <w:noWrap w:val="0"/>
            <w:vAlign w:val="center"/>
          </w:tcPr>
          <w:p w14:paraId="745E3A88">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可以单处或者并处警告、没收违法所得、处以违法所得5倍以上7倍以下罚款</w:t>
            </w:r>
            <w:r>
              <w:rPr>
                <w:rFonts w:hint="eastAsia" w:ascii="宋体" w:hAnsi="宋体" w:eastAsia="宋体" w:cs="宋体"/>
                <w:b w:val="0"/>
                <w:bCs w:val="0"/>
                <w:color w:val="auto"/>
                <w:kern w:val="0"/>
                <w:sz w:val="24"/>
                <w:szCs w:val="24"/>
                <w:lang w:eastAsia="zh-CN"/>
              </w:rPr>
              <w:t>。</w:t>
            </w:r>
          </w:p>
        </w:tc>
      </w:tr>
      <w:tr w14:paraId="62F3D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dxa"/>
            <w:vMerge w:val="continue"/>
            <w:noWrap w:val="0"/>
            <w:vAlign w:val="center"/>
          </w:tcPr>
          <w:p w14:paraId="0A7F8061">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72C55DEF">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4BBCD61B">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i/>
                <w:iCs/>
                <w:color w:val="auto"/>
                <w:kern w:val="0"/>
                <w:sz w:val="24"/>
                <w:szCs w:val="24"/>
              </w:rPr>
            </w:pPr>
          </w:p>
        </w:tc>
        <w:tc>
          <w:tcPr>
            <w:tcW w:w="1141" w:type="dxa"/>
            <w:vMerge w:val="continue"/>
            <w:noWrap w:val="0"/>
            <w:vAlign w:val="center"/>
          </w:tcPr>
          <w:p w14:paraId="4008C793">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3133" w:type="dxa"/>
            <w:noWrap w:val="0"/>
            <w:vAlign w:val="center"/>
          </w:tcPr>
          <w:p w14:paraId="229BC04F">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没有违法所得的，给消费者造成损害较重的。</w:t>
            </w:r>
          </w:p>
        </w:tc>
        <w:tc>
          <w:tcPr>
            <w:tcW w:w="3336" w:type="dxa"/>
            <w:noWrap w:val="0"/>
            <w:vAlign w:val="center"/>
          </w:tcPr>
          <w:p w14:paraId="4609CDC4">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没有违法所得的，处以10万元以上30万元以下罚款。</w:t>
            </w:r>
          </w:p>
        </w:tc>
      </w:tr>
      <w:tr w14:paraId="7D948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610" w:type="dxa"/>
            <w:vMerge w:val="continue"/>
            <w:noWrap w:val="0"/>
            <w:vAlign w:val="center"/>
          </w:tcPr>
          <w:p w14:paraId="4503F48C">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1BD1AEAD">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7E17590E">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i/>
                <w:iCs/>
                <w:color w:val="auto"/>
                <w:kern w:val="0"/>
                <w:sz w:val="24"/>
                <w:szCs w:val="24"/>
              </w:rPr>
            </w:pPr>
          </w:p>
        </w:tc>
        <w:tc>
          <w:tcPr>
            <w:tcW w:w="1141" w:type="dxa"/>
            <w:vMerge w:val="restart"/>
            <w:noWrap w:val="0"/>
            <w:vAlign w:val="center"/>
          </w:tcPr>
          <w:p w14:paraId="2913BA07">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严重</w:t>
            </w:r>
          </w:p>
        </w:tc>
        <w:tc>
          <w:tcPr>
            <w:tcW w:w="3133" w:type="dxa"/>
            <w:noWrap w:val="0"/>
            <w:vAlign w:val="center"/>
          </w:tcPr>
          <w:p w14:paraId="5B4CC8CF">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违法所得10万元以上20万元以下或情节严重的</w:t>
            </w:r>
            <w:r>
              <w:rPr>
                <w:rFonts w:hint="eastAsia" w:ascii="宋体" w:hAnsi="宋体" w:eastAsia="宋体" w:cs="宋体"/>
                <w:b w:val="0"/>
                <w:bCs w:val="0"/>
                <w:color w:val="auto"/>
                <w:kern w:val="0"/>
                <w:sz w:val="24"/>
                <w:szCs w:val="24"/>
                <w:lang w:eastAsia="zh-CN"/>
              </w:rPr>
              <w:t>。</w:t>
            </w:r>
          </w:p>
        </w:tc>
        <w:tc>
          <w:tcPr>
            <w:tcW w:w="3336" w:type="dxa"/>
            <w:noWrap w:val="0"/>
            <w:vAlign w:val="center"/>
          </w:tcPr>
          <w:p w14:paraId="003ED380">
            <w:pPr>
              <w:keepNext w:val="0"/>
              <w:keepLines w:val="0"/>
              <w:pageBreakBefore w:val="0"/>
              <w:widowControl/>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可以单处或者并处警告、没收违法所得、处以违法所得7倍以上10倍以下罚款；</w:t>
            </w:r>
          </w:p>
        </w:tc>
      </w:tr>
      <w:tr w14:paraId="1C98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610" w:type="dxa"/>
            <w:vMerge w:val="continue"/>
            <w:noWrap w:val="0"/>
            <w:vAlign w:val="center"/>
          </w:tcPr>
          <w:p w14:paraId="44E4C2F7">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31544A7C">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16804F89">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i/>
                <w:iCs/>
                <w:color w:val="auto"/>
                <w:kern w:val="0"/>
                <w:sz w:val="24"/>
                <w:szCs w:val="24"/>
              </w:rPr>
            </w:pPr>
          </w:p>
        </w:tc>
        <w:tc>
          <w:tcPr>
            <w:tcW w:w="1141" w:type="dxa"/>
            <w:vMerge w:val="continue"/>
            <w:noWrap w:val="0"/>
            <w:vAlign w:val="center"/>
          </w:tcPr>
          <w:p w14:paraId="7AC4D4C5">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3133" w:type="dxa"/>
            <w:noWrap w:val="0"/>
            <w:vAlign w:val="center"/>
          </w:tcPr>
          <w:p w14:paraId="21CDB033">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没有违法所得的，给消费者造成损害严重的。</w:t>
            </w:r>
          </w:p>
        </w:tc>
        <w:tc>
          <w:tcPr>
            <w:tcW w:w="3336" w:type="dxa"/>
            <w:noWrap w:val="0"/>
            <w:vAlign w:val="center"/>
          </w:tcPr>
          <w:p w14:paraId="42C58F22">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没有违法所得的，处以30万元以上50万元以下罚款。</w:t>
            </w:r>
          </w:p>
        </w:tc>
      </w:tr>
      <w:tr w14:paraId="0DE19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610" w:type="dxa"/>
            <w:vMerge w:val="continue"/>
            <w:noWrap w:val="0"/>
            <w:vAlign w:val="center"/>
          </w:tcPr>
          <w:p w14:paraId="186A3B66">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2586B4B2">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592C80A9">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i/>
                <w:iCs/>
                <w:color w:val="auto"/>
                <w:kern w:val="0"/>
                <w:sz w:val="24"/>
                <w:szCs w:val="24"/>
              </w:rPr>
            </w:pPr>
          </w:p>
        </w:tc>
        <w:tc>
          <w:tcPr>
            <w:tcW w:w="1141" w:type="dxa"/>
            <w:noWrap w:val="0"/>
            <w:vAlign w:val="center"/>
          </w:tcPr>
          <w:p w14:paraId="3213D550">
            <w:pPr>
              <w:keepNext w:val="0"/>
              <w:keepLines w:val="0"/>
              <w:pageBreakBefore w:val="0"/>
              <w:widowControl/>
              <w:kinsoku/>
              <w:wordWrap/>
              <w:overflowPunct/>
              <w:topLinePunct w:val="0"/>
              <w:autoSpaceDE/>
              <w:autoSpaceDN/>
              <w:bidi w:val="0"/>
              <w:adjustRightInd/>
              <w:snapToGrid/>
              <w:spacing w:line="420" w:lineRule="exact"/>
              <w:ind w:left="-105" w:leftChars="-50" w:right="-105" w:rightChars="-50"/>
              <w:jc w:val="center"/>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特别严重</w:t>
            </w:r>
          </w:p>
        </w:tc>
        <w:tc>
          <w:tcPr>
            <w:tcW w:w="3133" w:type="dxa"/>
            <w:noWrap w:val="0"/>
            <w:vAlign w:val="center"/>
          </w:tcPr>
          <w:p w14:paraId="6BCF7CF5">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违法所得20万元以上或给消费者造成损害特别严重的。</w:t>
            </w:r>
          </w:p>
        </w:tc>
        <w:tc>
          <w:tcPr>
            <w:tcW w:w="3336" w:type="dxa"/>
            <w:noWrap w:val="0"/>
            <w:vAlign w:val="center"/>
          </w:tcPr>
          <w:p w14:paraId="4CB0F5B9">
            <w:pPr>
              <w:keepNext w:val="0"/>
              <w:keepLines w:val="0"/>
              <w:pageBreakBefore w:val="0"/>
              <w:widowControl/>
              <w:kinsoku/>
              <w:wordWrap/>
              <w:overflowPunct/>
              <w:topLinePunct w:val="0"/>
              <w:autoSpaceDE/>
              <w:autoSpaceDN/>
              <w:bidi w:val="0"/>
              <w:adjustRightInd/>
              <w:snapToGrid/>
              <w:spacing w:line="372"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责令停业整顿、吊销营业执照。</w:t>
            </w:r>
          </w:p>
        </w:tc>
      </w:tr>
      <w:tr w14:paraId="0634C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610" w:type="dxa"/>
            <w:vMerge w:val="restart"/>
            <w:noWrap w:val="0"/>
            <w:vAlign w:val="center"/>
          </w:tcPr>
          <w:p w14:paraId="620CE00F">
            <w:pPr>
              <w:keepNext w:val="0"/>
              <w:keepLines w:val="0"/>
              <w:pageBreakBefore w:val="0"/>
              <w:widowControl/>
              <w:kinsoku/>
              <w:wordWrap/>
              <w:overflowPunct/>
              <w:topLinePunct w:val="0"/>
              <w:autoSpaceDE/>
              <w:autoSpaceDN/>
              <w:bidi w:val="0"/>
              <w:adjustRightInd/>
              <w:snapToGrid/>
              <w:spacing w:line="420" w:lineRule="exact"/>
              <w:jc w:val="center"/>
              <w:rPr>
                <w:rFonts w:hint="default"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9</w:t>
            </w:r>
            <w:r>
              <w:rPr>
                <w:rFonts w:hint="eastAsia" w:ascii="宋体" w:hAnsi="宋体" w:cs="宋体"/>
                <w:b w:val="0"/>
                <w:bCs w:val="0"/>
                <w:color w:val="auto"/>
                <w:kern w:val="0"/>
                <w:sz w:val="24"/>
                <w:szCs w:val="24"/>
                <w:lang w:val="en-US" w:eastAsia="zh-CN"/>
              </w:rPr>
              <w:t>5</w:t>
            </w:r>
          </w:p>
        </w:tc>
        <w:tc>
          <w:tcPr>
            <w:tcW w:w="1750" w:type="dxa"/>
            <w:vMerge w:val="restart"/>
            <w:noWrap w:val="0"/>
            <w:vAlign w:val="center"/>
          </w:tcPr>
          <w:p w14:paraId="1F426892">
            <w:pPr>
              <w:keepNext w:val="0"/>
              <w:keepLines w:val="0"/>
              <w:pageBreakBefore w:val="0"/>
              <w:widowControl/>
              <w:kinsoku/>
              <w:wordWrap/>
              <w:overflowPunct/>
              <w:topLinePunct w:val="0"/>
              <w:autoSpaceDE/>
              <w:autoSpaceDN/>
              <w:bidi w:val="0"/>
              <w:adjustRightInd/>
              <w:snapToGrid/>
              <w:spacing w:line="420" w:lineRule="exact"/>
              <w:jc w:val="left"/>
              <w:rPr>
                <w:rFonts w:hint="default"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rPr>
              <w:t>《中华人民共和国消费者权益保护法实施条例》</w:t>
            </w:r>
            <w:r>
              <w:rPr>
                <w:rFonts w:hint="eastAsia" w:ascii="宋体" w:hAnsi="宋体" w:eastAsia="宋体" w:cs="宋体"/>
                <w:b w:val="0"/>
                <w:bCs w:val="0"/>
                <w:color w:val="auto"/>
                <w:kern w:val="0"/>
                <w:sz w:val="24"/>
                <w:szCs w:val="24"/>
                <w:lang w:eastAsia="zh-CN"/>
              </w:rPr>
              <w:t>（</w:t>
            </w:r>
            <w:r>
              <w:rPr>
                <w:rFonts w:hint="eastAsia" w:ascii="宋体" w:hAnsi="宋体" w:eastAsia="宋体" w:cs="宋体"/>
                <w:b w:val="0"/>
                <w:bCs w:val="0"/>
                <w:color w:val="auto"/>
                <w:kern w:val="0"/>
                <w:sz w:val="24"/>
                <w:szCs w:val="24"/>
                <w:lang w:val="en-US" w:eastAsia="zh-CN"/>
              </w:rPr>
              <w:t>2024年7月1日</w:t>
            </w:r>
            <w:r>
              <w:rPr>
                <w:rFonts w:hint="eastAsia" w:ascii="宋体" w:hAnsi="宋体" w:cs="宋体"/>
                <w:b w:val="0"/>
                <w:bCs w:val="0"/>
                <w:color w:val="auto"/>
                <w:kern w:val="0"/>
                <w:sz w:val="24"/>
                <w:szCs w:val="24"/>
                <w:lang w:val="en-US" w:eastAsia="zh-CN"/>
              </w:rPr>
              <w:t>起施行</w:t>
            </w:r>
            <w:r>
              <w:rPr>
                <w:rFonts w:hint="eastAsia" w:ascii="宋体" w:hAnsi="宋体" w:eastAsia="宋体" w:cs="宋体"/>
                <w:b w:val="0"/>
                <w:bCs w:val="0"/>
                <w:color w:val="auto"/>
                <w:kern w:val="0"/>
                <w:sz w:val="24"/>
                <w:szCs w:val="24"/>
                <w:lang w:val="en-US" w:eastAsia="zh-CN"/>
              </w:rPr>
              <w:t>）</w:t>
            </w:r>
          </w:p>
        </w:tc>
        <w:tc>
          <w:tcPr>
            <w:tcW w:w="4203" w:type="dxa"/>
            <w:vMerge w:val="restart"/>
            <w:noWrap w:val="0"/>
            <w:vAlign w:val="center"/>
          </w:tcPr>
          <w:p w14:paraId="15C7E298">
            <w:pPr>
              <w:pStyle w:val="9"/>
              <w:keepNext w:val="0"/>
              <w:keepLines w:val="0"/>
              <w:widowControl/>
              <w:suppressLineNumbers w:val="0"/>
              <w:spacing w:before="0" w:beforeAutospacing="0" w:after="0" w:afterAutospacing="0" w:line="400" w:lineRule="exact"/>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第五十条第一款</w:t>
            </w:r>
            <w:r>
              <w:rPr>
                <w:rFonts w:hint="eastAsia" w:ascii="宋体" w:hAnsi="宋体" w:cs="宋体"/>
                <w:b w:val="0"/>
                <w:bCs w:val="0"/>
                <w:color w:val="auto"/>
                <w:kern w:val="0"/>
                <w:sz w:val="24"/>
                <w:szCs w:val="24"/>
                <w:lang w:val="en-US" w:eastAsia="zh-CN" w:bidi="ar-SA"/>
              </w:rPr>
              <w:t xml:space="preserve"> </w:t>
            </w:r>
            <w:r>
              <w:rPr>
                <w:rFonts w:hint="eastAsia" w:ascii="宋体" w:hAnsi="宋体" w:eastAsia="宋体" w:cs="宋体"/>
                <w:b w:val="0"/>
                <w:bCs w:val="0"/>
                <w:color w:val="auto"/>
                <w:kern w:val="0"/>
                <w:sz w:val="24"/>
                <w:szCs w:val="24"/>
                <w:lang w:val="en-US" w:eastAsia="zh-CN" w:bidi="ar-SA"/>
              </w:rPr>
              <w:t>经营者违反本条例第十条至第十四条、第十六条、第十七条、第十九条至第二十一条规定，其他有关法律、法规对处罚机关和处罚方式有规定的，依照法律、法规的规定执行；法律、法规未作规定的，由市场监督管理部门或者其他有关行政部门责令改正，可以根据情节单处或者并处警告、没收违法所得、处以违法所得1倍以上5倍以下的罚款，没有违法所得的，处以30万元以下的罚款；情节严重的，责令停业整顿、吊销营业执照。</w:t>
            </w:r>
          </w:p>
          <w:p w14:paraId="5F1DD9F6">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i/>
                <w:iCs/>
                <w:color w:val="auto"/>
                <w:kern w:val="0"/>
                <w:sz w:val="24"/>
                <w:szCs w:val="24"/>
              </w:rPr>
            </w:pPr>
          </w:p>
        </w:tc>
        <w:tc>
          <w:tcPr>
            <w:tcW w:w="1141" w:type="dxa"/>
            <w:vMerge w:val="restart"/>
            <w:noWrap w:val="0"/>
            <w:vAlign w:val="center"/>
          </w:tcPr>
          <w:p w14:paraId="16AFE04D">
            <w:pPr>
              <w:keepNext w:val="0"/>
              <w:keepLines w:val="0"/>
              <w:pageBreakBefore w:val="0"/>
              <w:widowControl/>
              <w:kinsoku/>
              <w:wordWrap/>
              <w:overflowPunct/>
              <w:topLinePunct w:val="0"/>
              <w:autoSpaceDE/>
              <w:autoSpaceDN/>
              <w:bidi w:val="0"/>
              <w:adjustRightInd/>
              <w:snapToGrid/>
              <w:spacing w:line="420" w:lineRule="exact"/>
              <w:ind w:left="-105" w:leftChars="-50" w:right="-105" w:rightChars="-50"/>
              <w:jc w:val="center"/>
              <w:textAlignment w:val="auto"/>
              <w:rPr>
                <w:rFonts w:hint="eastAsia" w:ascii="宋体" w:hAnsi="宋体" w:eastAsia="宋体" w:cs="宋体"/>
                <w:b w:val="0"/>
                <w:bCs w:val="0"/>
                <w:color w:val="auto"/>
                <w:kern w:val="0"/>
                <w:sz w:val="24"/>
                <w:szCs w:val="24"/>
                <w:lang w:eastAsia="zh-CN"/>
              </w:rPr>
            </w:pPr>
            <w:r>
              <w:rPr>
                <w:rFonts w:hint="eastAsia" w:ascii="宋体" w:hAnsi="宋体" w:cs="宋体"/>
                <w:b w:val="0"/>
                <w:bCs w:val="0"/>
                <w:color w:val="auto"/>
                <w:kern w:val="0"/>
                <w:sz w:val="24"/>
                <w:szCs w:val="24"/>
                <w:lang w:eastAsia="zh-CN"/>
              </w:rPr>
              <w:t>较轻</w:t>
            </w:r>
          </w:p>
        </w:tc>
        <w:tc>
          <w:tcPr>
            <w:tcW w:w="3133" w:type="dxa"/>
            <w:noWrap w:val="0"/>
            <w:vAlign w:val="center"/>
          </w:tcPr>
          <w:p w14:paraId="69929B79">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违法所得2万元以下或情节特别轻微的</w:t>
            </w:r>
            <w:r>
              <w:rPr>
                <w:rFonts w:hint="eastAsia" w:ascii="宋体" w:hAnsi="宋体" w:eastAsia="宋体" w:cs="宋体"/>
                <w:b w:val="0"/>
                <w:bCs w:val="0"/>
                <w:color w:val="auto"/>
                <w:kern w:val="0"/>
                <w:sz w:val="24"/>
                <w:szCs w:val="24"/>
                <w:lang w:eastAsia="zh-CN"/>
              </w:rPr>
              <w:t>。</w:t>
            </w:r>
          </w:p>
        </w:tc>
        <w:tc>
          <w:tcPr>
            <w:tcW w:w="3336" w:type="dxa"/>
            <w:noWrap w:val="0"/>
            <w:vAlign w:val="center"/>
          </w:tcPr>
          <w:p w14:paraId="74B345BF">
            <w:pPr>
              <w:keepNext w:val="0"/>
              <w:keepLines w:val="0"/>
              <w:pageBreakBefore w:val="0"/>
              <w:widowControl/>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rPr>
              <w:t>可以单处或者并处警告、没收违法所得、处</w:t>
            </w:r>
            <w:r>
              <w:rPr>
                <w:rFonts w:hint="eastAsia" w:ascii="宋体" w:hAnsi="宋体" w:eastAsia="宋体" w:cs="宋体"/>
                <w:b w:val="0"/>
                <w:bCs w:val="0"/>
                <w:color w:val="auto"/>
                <w:kern w:val="0"/>
                <w:sz w:val="24"/>
                <w:szCs w:val="24"/>
                <w:lang w:val="en-US" w:eastAsia="zh-CN" w:bidi="ar-SA"/>
              </w:rPr>
              <w:t>以</w:t>
            </w:r>
            <w:r>
              <w:rPr>
                <w:rFonts w:hint="eastAsia" w:ascii="宋体" w:hAnsi="宋体" w:eastAsia="宋体" w:cs="宋体"/>
                <w:b w:val="0"/>
                <w:bCs w:val="0"/>
                <w:color w:val="auto"/>
                <w:kern w:val="0"/>
                <w:sz w:val="24"/>
                <w:szCs w:val="24"/>
              </w:rPr>
              <w:t>违法所得1倍以上</w:t>
            </w:r>
            <w:r>
              <w:rPr>
                <w:rFonts w:hint="eastAsia" w:ascii="宋体" w:hAnsi="宋体" w:eastAsia="宋体" w:cs="宋体"/>
                <w:b w:val="0"/>
                <w:bCs w:val="0"/>
                <w:color w:val="auto"/>
                <w:kern w:val="0"/>
                <w:sz w:val="24"/>
                <w:szCs w:val="24"/>
                <w:lang w:val="en-US" w:eastAsia="zh-CN"/>
              </w:rPr>
              <w:t>2</w:t>
            </w:r>
            <w:r>
              <w:rPr>
                <w:rFonts w:hint="eastAsia" w:ascii="宋体" w:hAnsi="宋体" w:eastAsia="宋体" w:cs="宋体"/>
                <w:b w:val="0"/>
                <w:bCs w:val="0"/>
                <w:color w:val="auto"/>
                <w:kern w:val="0"/>
                <w:sz w:val="24"/>
                <w:szCs w:val="24"/>
              </w:rPr>
              <w:t>倍以下罚款</w:t>
            </w:r>
            <w:r>
              <w:rPr>
                <w:rFonts w:hint="eastAsia" w:ascii="宋体" w:hAnsi="宋体" w:eastAsia="宋体" w:cs="宋体"/>
                <w:b w:val="0"/>
                <w:bCs w:val="0"/>
                <w:color w:val="auto"/>
                <w:kern w:val="0"/>
                <w:sz w:val="24"/>
                <w:szCs w:val="24"/>
                <w:lang w:eastAsia="zh-CN"/>
              </w:rPr>
              <w:t>。</w:t>
            </w:r>
          </w:p>
        </w:tc>
      </w:tr>
      <w:tr w14:paraId="62816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610" w:type="dxa"/>
            <w:vMerge w:val="continue"/>
            <w:noWrap w:val="0"/>
            <w:vAlign w:val="center"/>
          </w:tcPr>
          <w:p w14:paraId="12774B42">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74162360">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2F1E73D4">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i/>
                <w:iCs/>
                <w:color w:val="auto"/>
                <w:kern w:val="0"/>
                <w:sz w:val="24"/>
                <w:szCs w:val="24"/>
              </w:rPr>
            </w:pPr>
          </w:p>
        </w:tc>
        <w:tc>
          <w:tcPr>
            <w:tcW w:w="1141" w:type="dxa"/>
            <w:vMerge w:val="continue"/>
            <w:noWrap w:val="0"/>
            <w:vAlign w:val="center"/>
          </w:tcPr>
          <w:p w14:paraId="12EBD2D7">
            <w:pPr>
              <w:keepNext w:val="0"/>
              <w:keepLines w:val="0"/>
              <w:pageBreakBefore w:val="0"/>
              <w:widowControl/>
              <w:kinsoku/>
              <w:wordWrap/>
              <w:overflowPunct/>
              <w:topLinePunct w:val="0"/>
              <w:autoSpaceDE/>
              <w:autoSpaceDN/>
              <w:bidi w:val="0"/>
              <w:adjustRightInd/>
              <w:snapToGrid/>
              <w:spacing w:line="420" w:lineRule="exact"/>
              <w:ind w:left="-105" w:leftChars="-50" w:right="-105" w:rightChars="-50"/>
              <w:jc w:val="center"/>
              <w:textAlignment w:val="auto"/>
              <w:rPr>
                <w:rFonts w:hint="eastAsia" w:ascii="宋体" w:hAnsi="宋体" w:eastAsia="宋体" w:cs="宋体"/>
                <w:b w:val="0"/>
                <w:bCs w:val="0"/>
                <w:color w:val="auto"/>
                <w:kern w:val="0"/>
                <w:sz w:val="24"/>
                <w:szCs w:val="24"/>
              </w:rPr>
            </w:pPr>
          </w:p>
        </w:tc>
        <w:tc>
          <w:tcPr>
            <w:tcW w:w="3133" w:type="dxa"/>
            <w:noWrap w:val="0"/>
            <w:vAlign w:val="center"/>
          </w:tcPr>
          <w:p w14:paraId="5C9EA5B7">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没有违法所得的，未给消费者造成损害后果的。</w:t>
            </w:r>
          </w:p>
        </w:tc>
        <w:tc>
          <w:tcPr>
            <w:tcW w:w="3336" w:type="dxa"/>
            <w:noWrap w:val="0"/>
            <w:vAlign w:val="center"/>
          </w:tcPr>
          <w:p w14:paraId="0FB1B66D">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rPr>
              <w:t>没有违法所得的，处3万元以下罚款。</w:t>
            </w:r>
          </w:p>
        </w:tc>
      </w:tr>
      <w:tr w14:paraId="17F4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610" w:type="dxa"/>
            <w:vMerge w:val="continue"/>
            <w:noWrap w:val="0"/>
            <w:vAlign w:val="center"/>
          </w:tcPr>
          <w:p w14:paraId="5A5F3664">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41C8C273">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31F2A782">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i/>
                <w:iCs/>
                <w:color w:val="auto"/>
                <w:kern w:val="0"/>
                <w:sz w:val="24"/>
                <w:szCs w:val="24"/>
              </w:rPr>
            </w:pPr>
          </w:p>
        </w:tc>
        <w:tc>
          <w:tcPr>
            <w:tcW w:w="1141" w:type="dxa"/>
            <w:vMerge w:val="restart"/>
            <w:noWrap w:val="0"/>
            <w:vAlign w:val="center"/>
          </w:tcPr>
          <w:p w14:paraId="2B44A621">
            <w:pPr>
              <w:keepNext w:val="0"/>
              <w:keepLines w:val="0"/>
              <w:pageBreakBefore w:val="0"/>
              <w:widowControl/>
              <w:kinsoku/>
              <w:wordWrap/>
              <w:overflowPunct/>
              <w:topLinePunct w:val="0"/>
              <w:autoSpaceDE/>
              <w:autoSpaceDN/>
              <w:bidi w:val="0"/>
              <w:adjustRightInd/>
              <w:snapToGrid/>
              <w:spacing w:line="420" w:lineRule="exact"/>
              <w:ind w:left="-105" w:leftChars="-50" w:right="-105" w:rightChars="-50"/>
              <w:jc w:val="center"/>
              <w:textAlignment w:val="auto"/>
              <w:rPr>
                <w:rFonts w:hint="eastAsia" w:ascii="宋体" w:hAnsi="宋体" w:eastAsia="宋体" w:cs="宋体"/>
                <w:b w:val="0"/>
                <w:bCs w:val="0"/>
                <w:color w:val="auto"/>
                <w:kern w:val="0"/>
                <w:sz w:val="24"/>
                <w:szCs w:val="24"/>
                <w:lang w:eastAsia="zh-CN"/>
              </w:rPr>
            </w:pPr>
            <w:r>
              <w:rPr>
                <w:rFonts w:hint="eastAsia" w:ascii="宋体" w:hAnsi="宋体" w:cs="宋体"/>
                <w:b w:val="0"/>
                <w:bCs w:val="0"/>
                <w:color w:val="auto"/>
                <w:kern w:val="0"/>
                <w:sz w:val="24"/>
                <w:szCs w:val="24"/>
                <w:lang w:eastAsia="zh-CN"/>
              </w:rPr>
              <w:t>一般</w:t>
            </w:r>
          </w:p>
        </w:tc>
        <w:tc>
          <w:tcPr>
            <w:tcW w:w="3133" w:type="dxa"/>
            <w:noWrap w:val="0"/>
            <w:vAlign w:val="center"/>
          </w:tcPr>
          <w:p w14:paraId="1BF45A85">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违法所得2万元以上5万元以下或情节较轻的</w:t>
            </w:r>
            <w:r>
              <w:rPr>
                <w:rFonts w:hint="eastAsia" w:ascii="宋体" w:hAnsi="宋体" w:eastAsia="宋体" w:cs="宋体"/>
                <w:b w:val="0"/>
                <w:bCs w:val="0"/>
                <w:color w:val="auto"/>
                <w:kern w:val="0"/>
                <w:sz w:val="24"/>
                <w:szCs w:val="24"/>
                <w:lang w:eastAsia="zh-CN"/>
              </w:rPr>
              <w:t>。</w:t>
            </w:r>
          </w:p>
        </w:tc>
        <w:tc>
          <w:tcPr>
            <w:tcW w:w="3336" w:type="dxa"/>
            <w:noWrap w:val="0"/>
            <w:vAlign w:val="center"/>
          </w:tcPr>
          <w:p w14:paraId="47DC1EC8">
            <w:pPr>
              <w:keepNext w:val="0"/>
              <w:keepLines w:val="0"/>
              <w:pageBreakBefore w:val="0"/>
              <w:widowControl/>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rPr>
              <w:t>可以单处或者并处警告、没收违法所得、处</w:t>
            </w:r>
            <w:r>
              <w:rPr>
                <w:rFonts w:hint="eastAsia" w:ascii="宋体" w:hAnsi="宋体" w:eastAsia="宋体" w:cs="宋体"/>
                <w:b w:val="0"/>
                <w:bCs w:val="0"/>
                <w:color w:val="auto"/>
                <w:kern w:val="0"/>
                <w:sz w:val="24"/>
                <w:szCs w:val="24"/>
                <w:lang w:val="en-US" w:eastAsia="zh-CN" w:bidi="ar-SA"/>
              </w:rPr>
              <w:t>以</w:t>
            </w:r>
            <w:r>
              <w:rPr>
                <w:rFonts w:hint="eastAsia" w:ascii="宋体" w:hAnsi="宋体" w:eastAsia="宋体" w:cs="宋体"/>
                <w:b w:val="0"/>
                <w:bCs w:val="0"/>
                <w:color w:val="auto"/>
                <w:kern w:val="0"/>
                <w:sz w:val="24"/>
                <w:szCs w:val="24"/>
              </w:rPr>
              <w:t>违法所得</w:t>
            </w:r>
            <w:r>
              <w:rPr>
                <w:rFonts w:hint="eastAsia" w:ascii="宋体" w:hAnsi="宋体" w:eastAsia="宋体" w:cs="宋体"/>
                <w:b w:val="0"/>
                <w:bCs w:val="0"/>
                <w:color w:val="auto"/>
                <w:kern w:val="0"/>
                <w:sz w:val="24"/>
                <w:szCs w:val="24"/>
                <w:lang w:val="en-US" w:eastAsia="zh-CN"/>
              </w:rPr>
              <w:t>2</w:t>
            </w:r>
            <w:r>
              <w:rPr>
                <w:rFonts w:hint="eastAsia" w:ascii="宋体" w:hAnsi="宋体" w:eastAsia="宋体" w:cs="宋体"/>
                <w:b w:val="0"/>
                <w:bCs w:val="0"/>
                <w:color w:val="auto"/>
                <w:kern w:val="0"/>
                <w:sz w:val="24"/>
                <w:szCs w:val="24"/>
              </w:rPr>
              <w:t>倍以上</w:t>
            </w:r>
            <w:r>
              <w:rPr>
                <w:rFonts w:hint="eastAsia" w:ascii="宋体" w:hAnsi="宋体" w:eastAsia="宋体" w:cs="宋体"/>
                <w:b w:val="0"/>
                <w:bCs w:val="0"/>
                <w:color w:val="auto"/>
                <w:kern w:val="0"/>
                <w:sz w:val="24"/>
                <w:szCs w:val="24"/>
                <w:lang w:val="en-US" w:eastAsia="zh-CN"/>
              </w:rPr>
              <w:t>3</w:t>
            </w:r>
            <w:r>
              <w:rPr>
                <w:rFonts w:hint="eastAsia" w:ascii="宋体" w:hAnsi="宋体" w:eastAsia="宋体" w:cs="宋体"/>
                <w:b w:val="0"/>
                <w:bCs w:val="0"/>
                <w:color w:val="auto"/>
                <w:kern w:val="0"/>
                <w:sz w:val="24"/>
                <w:szCs w:val="24"/>
              </w:rPr>
              <w:t>倍以下罚款</w:t>
            </w:r>
            <w:r>
              <w:rPr>
                <w:rFonts w:hint="eastAsia" w:ascii="宋体" w:hAnsi="宋体" w:eastAsia="宋体" w:cs="宋体"/>
                <w:b w:val="0"/>
                <w:bCs w:val="0"/>
                <w:color w:val="auto"/>
                <w:kern w:val="0"/>
                <w:sz w:val="24"/>
                <w:szCs w:val="24"/>
                <w:lang w:eastAsia="zh-CN"/>
              </w:rPr>
              <w:t>。</w:t>
            </w:r>
          </w:p>
        </w:tc>
      </w:tr>
      <w:tr w14:paraId="519C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610" w:type="dxa"/>
            <w:vMerge w:val="continue"/>
            <w:noWrap w:val="0"/>
            <w:vAlign w:val="center"/>
          </w:tcPr>
          <w:p w14:paraId="09381AE4">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55F31916">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66F15769">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i/>
                <w:iCs/>
                <w:color w:val="auto"/>
                <w:kern w:val="0"/>
                <w:sz w:val="24"/>
                <w:szCs w:val="24"/>
              </w:rPr>
            </w:pPr>
          </w:p>
        </w:tc>
        <w:tc>
          <w:tcPr>
            <w:tcW w:w="1141" w:type="dxa"/>
            <w:vMerge w:val="continue"/>
            <w:noWrap w:val="0"/>
            <w:vAlign w:val="center"/>
          </w:tcPr>
          <w:p w14:paraId="2357C0F2">
            <w:pPr>
              <w:keepNext w:val="0"/>
              <w:keepLines w:val="0"/>
              <w:pageBreakBefore w:val="0"/>
              <w:widowControl/>
              <w:kinsoku/>
              <w:wordWrap/>
              <w:overflowPunct/>
              <w:topLinePunct w:val="0"/>
              <w:autoSpaceDE/>
              <w:autoSpaceDN/>
              <w:bidi w:val="0"/>
              <w:adjustRightInd/>
              <w:snapToGrid/>
              <w:spacing w:line="420" w:lineRule="exact"/>
              <w:ind w:left="-105" w:leftChars="-50" w:right="-105" w:rightChars="-50"/>
              <w:jc w:val="center"/>
              <w:textAlignment w:val="auto"/>
              <w:rPr>
                <w:rFonts w:hint="eastAsia" w:ascii="宋体" w:hAnsi="宋体" w:eastAsia="宋体" w:cs="宋体"/>
                <w:b w:val="0"/>
                <w:bCs w:val="0"/>
                <w:color w:val="auto"/>
                <w:kern w:val="0"/>
                <w:sz w:val="24"/>
                <w:szCs w:val="24"/>
              </w:rPr>
            </w:pPr>
          </w:p>
        </w:tc>
        <w:tc>
          <w:tcPr>
            <w:tcW w:w="3133" w:type="dxa"/>
            <w:noWrap w:val="0"/>
            <w:vAlign w:val="center"/>
          </w:tcPr>
          <w:p w14:paraId="5F005622">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没有违法所得的，给消费者造成损害较轻的。</w:t>
            </w:r>
          </w:p>
        </w:tc>
        <w:tc>
          <w:tcPr>
            <w:tcW w:w="3336" w:type="dxa"/>
            <w:noWrap w:val="0"/>
            <w:vAlign w:val="center"/>
          </w:tcPr>
          <w:p w14:paraId="78D03FEB">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rPr>
              <w:t>没有违法所得的，处</w:t>
            </w:r>
            <w:r>
              <w:rPr>
                <w:rFonts w:hint="eastAsia" w:ascii="宋体" w:hAnsi="宋体" w:eastAsia="宋体" w:cs="宋体"/>
                <w:b w:val="0"/>
                <w:bCs w:val="0"/>
                <w:color w:val="auto"/>
                <w:kern w:val="0"/>
                <w:sz w:val="24"/>
                <w:szCs w:val="24"/>
                <w:lang w:val="en-US" w:eastAsia="zh-CN" w:bidi="ar-SA"/>
              </w:rPr>
              <w:t>以</w:t>
            </w:r>
            <w:r>
              <w:rPr>
                <w:rFonts w:hint="eastAsia" w:ascii="宋体" w:hAnsi="宋体" w:eastAsia="宋体" w:cs="宋体"/>
                <w:b w:val="0"/>
                <w:bCs w:val="0"/>
                <w:color w:val="auto"/>
                <w:kern w:val="0"/>
                <w:sz w:val="24"/>
                <w:szCs w:val="24"/>
              </w:rPr>
              <w:t>3万元以上10万元以下罚款。</w:t>
            </w:r>
          </w:p>
        </w:tc>
      </w:tr>
      <w:tr w14:paraId="2887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610" w:type="dxa"/>
            <w:vMerge w:val="continue"/>
            <w:noWrap w:val="0"/>
            <w:vAlign w:val="center"/>
          </w:tcPr>
          <w:p w14:paraId="57264A0D">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75C753B1">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5C40FCA1">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i/>
                <w:iCs/>
                <w:color w:val="auto"/>
                <w:kern w:val="0"/>
                <w:sz w:val="24"/>
                <w:szCs w:val="24"/>
              </w:rPr>
            </w:pPr>
          </w:p>
        </w:tc>
        <w:tc>
          <w:tcPr>
            <w:tcW w:w="1141" w:type="dxa"/>
            <w:vMerge w:val="restart"/>
            <w:noWrap w:val="0"/>
            <w:vAlign w:val="center"/>
          </w:tcPr>
          <w:p w14:paraId="4048018C">
            <w:pPr>
              <w:keepNext w:val="0"/>
              <w:keepLines w:val="0"/>
              <w:pageBreakBefore w:val="0"/>
              <w:widowControl/>
              <w:kinsoku/>
              <w:wordWrap/>
              <w:overflowPunct/>
              <w:topLinePunct w:val="0"/>
              <w:autoSpaceDE/>
              <w:autoSpaceDN/>
              <w:bidi w:val="0"/>
              <w:adjustRightInd/>
              <w:snapToGrid/>
              <w:spacing w:line="420" w:lineRule="exact"/>
              <w:ind w:left="-105" w:leftChars="-50" w:right="-105" w:rightChars="-50"/>
              <w:jc w:val="center"/>
              <w:textAlignment w:val="auto"/>
              <w:rPr>
                <w:rFonts w:hint="eastAsia" w:ascii="宋体" w:hAnsi="宋体" w:eastAsia="宋体" w:cs="宋体"/>
                <w:b w:val="0"/>
                <w:bCs w:val="0"/>
                <w:color w:val="auto"/>
                <w:kern w:val="0"/>
                <w:sz w:val="24"/>
                <w:szCs w:val="24"/>
                <w:lang w:eastAsia="zh-CN"/>
              </w:rPr>
            </w:pPr>
            <w:r>
              <w:rPr>
                <w:rFonts w:hint="eastAsia" w:ascii="宋体" w:hAnsi="宋体" w:cs="宋体"/>
                <w:b w:val="0"/>
                <w:bCs w:val="0"/>
                <w:color w:val="auto"/>
                <w:kern w:val="0"/>
                <w:sz w:val="24"/>
                <w:szCs w:val="24"/>
                <w:lang w:eastAsia="zh-CN"/>
              </w:rPr>
              <w:t>较重</w:t>
            </w:r>
          </w:p>
        </w:tc>
        <w:tc>
          <w:tcPr>
            <w:tcW w:w="3133" w:type="dxa"/>
            <w:noWrap w:val="0"/>
            <w:vAlign w:val="center"/>
          </w:tcPr>
          <w:p w14:paraId="0345EF6D">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违法所得5万元以上10万元以下或情节较重的</w:t>
            </w:r>
            <w:r>
              <w:rPr>
                <w:rFonts w:hint="eastAsia" w:ascii="宋体" w:hAnsi="宋体" w:eastAsia="宋体" w:cs="宋体"/>
                <w:b w:val="0"/>
                <w:bCs w:val="0"/>
                <w:color w:val="auto"/>
                <w:kern w:val="0"/>
                <w:sz w:val="24"/>
                <w:szCs w:val="24"/>
                <w:lang w:eastAsia="zh-CN"/>
              </w:rPr>
              <w:t>。</w:t>
            </w:r>
          </w:p>
        </w:tc>
        <w:tc>
          <w:tcPr>
            <w:tcW w:w="3336" w:type="dxa"/>
            <w:noWrap w:val="0"/>
            <w:vAlign w:val="center"/>
          </w:tcPr>
          <w:p w14:paraId="2DCA7468">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rPr>
              <w:t>可以单处或者并处警告、没收违法所得、处</w:t>
            </w:r>
            <w:r>
              <w:rPr>
                <w:rFonts w:hint="eastAsia" w:ascii="宋体" w:hAnsi="宋体" w:eastAsia="宋体" w:cs="宋体"/>
                <w:b w:val="0"/>
                <w:bCs w:val="0"/>
                <w:color w:val="auto"/>
                <w:kern w:val="0"/>
                <w:sz w:val="24"/>
                <w:szCs w:val="24"/>
                <w:lang w:val="en-US" w:eastAsia="zh-CN" w:bidi="ar-SA"/>
              </w:rPr>
              <w:t>以</w:t>
            </w:r>
            <w:r>
              <w:rPr>
                <w:rFonts w:hint="eastAsia" w:ascii="宋体" w:hAnsi="宋体" w:eastAsia="宋体" w:cs="宋体"/>
                <w:b w:val="0"/>
                <w:bCs w:val="0"/>
                <w:color w:val="auto"/>
                <w:kern w:val="0"/>
                <w:sz w:val="24"/>
                <w:szCs w:val="24"/>
              </w:rPr>
              <w:t>违法所得</w:t>
            </w:r>
            <w:r>
              <w:rPr>
                <w:rFonts w:hint="eastAsia" w:ascii="宋体" w:hAnsi="宋体" w:eastAsia="宋体" w:cs="宋体"/>
                <w:b w:val="0"/>
                <w:bCs w:val="0"/>
                <w:color w:val="auto"/>
                <w:kern w:val="0"/>
                <w:sz w:val="24"/>
                <w:szCs w:val="24"/>
                <w:lang w:val="en-US" w:eastAsia="zh-CN"/>
              </w:rPr>
              <w:t>3</w:t>
            </w:r>
            <w:r>
              <w:rPr>
                <w:rFonts w:hint="eastAsia" w:ascii="宋体" w:hAnsi="宋体" w:eastAsia="宋体" w:cs="宋体"/>
                <w:b w:val="0"/>
                <w:bCs w:val="0"/>
                <w:color w:val="auto"/>
                <w:kern w:val="0"/>
                <w:sz w:val="24"/>
                <w:szCs w:val="24"/>
              </w:rPr>
              <w:t>倍以上</w:t>
            </w:r>
            <w:r>
              <w:rPr>
                <w:rFonts w:hint="eastAsia" w:ascii="宋体" w:hAnsi="宋体" w:eastAsia="宋体" w:cs="宋体"/>
                <w:b w:val="0"/>
                <w:bCs w:val="0"/>
                <w:color w:val="auto"/>
                <w:kern w:val="0"/>
                <w:sz w:val="24"/>
                <w:szCs w:val="24"/>
                <w:lang w:val="en-US" w:eastAsia="zh-CN"/>
              </w:rPr>
              <w:t>4</w:t>
            </w:r>
            <w:r>
              <w:rPr>
                <w:rFonts w:hint="eastAsia" w:ascii="宋体" w:hAnsi="宋体" w:eastAsia="宋体" w:cs="宋体"/>
                <w:b w:val="0"/>
                <w:bCs w:val="0"/>
                <w:color w:val="auto"/>
                <w:kern w:val="0"/>
                <w:sz w:val="24"/>
                <w:szCs w:val="24"/>
              </w:rPr>
              <w:t>倍以下罚款</w:t>
            </w:r>
            <w:r>
              <w:rPr>
                <w:rFonts w:hint="eastAsia" w:ascii="宋体" w:hAnsi="宋体" w:eastAsia="宋体" w:cs="宋体"/>
                <w:b w:val="0"/>
                <w:bCs w:val="0"/>
                <w:color w:val="auto"/>
                <w:kern w:val="0"/>
                <w:sz w:val="24"/>
                <w:szCs w:val="24"/>
                <w:lang w:eastAsia="zh-CN"/>
              </w:rPr>
              <w:t>。</w:t>
            </w:r>
          </w:p>
        </w:tc>
      </w:tr>
      <w:tr w14:paraId="4E0A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610" w:type="dxa"/>
            <w:vMerge w:val="continue"/>
            <w:noWrap w:val="0"/>
            <w:vAlign w:val="center"/>
          </w:tcPr>
          <w:p w14:paraId="2E255381">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233DFF4F">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4A59C5E6">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i/>
                <w:iCs/>
                <w:color w:val="auto"/>
                <w:kern w:val="0"/>
                <w:sz w:val="24"/>
                <w:szCs w:val="24"/>
              </w:rPr>
            </w:pPr>
          </w:p>
        </w:tc>
        <w:tc>
          <w:tcPr>
            <w:tcW w:w="1141" w:type="dxa"/>
            <w:vMerge w:val="continue"/>
            <w:noWrap w:val="0"/>
            <w:vAlign w:val="center"/>
          </w:tcPr>
          <w:p w14:paraId="0DD69122">
            <w:pPr>
              <w:keepNext w:val="0"/>
              <w:keepLines w:val="0"/>
              <w:pageBreakBefore w:val="0"/>
              <w:widowControl/>
              <w:kinsoku/>
              <w:wordWrap/>
              <w:overflowPunct/>
              <w:topLinePunct w:val="0"/>
              <w:autoSpaceDE/>
              <w:autoSpaceDN/>
              <w:bidi w:val="0"/>
              <w:adjustRightInd/>
              <w:snapToGrid/>
              <w:spacing w:line="420" w:lineRule="exact"/>
              <w:ind w:left="-105" w:leftChars="-50" w:right="-105" w:rightChars="-50"/>
              <w:jc w:val="center"/>
              <w:textAlignment w:val="auto"/>
              <w:rPr>
                <w:rFonts w:hint="eastAsia" w:ascii="宋体" w:hAnsi="宋体" w:eastAsia="宋体" w:cs="宋体"/>
                <w:b w:val="0"/>
                <w:bCs w:val="0"/>
                <w:color w:val="auto"/>
                <w:kern w:val="0"/>
                <w:sz w:val="24"/>
                <w:szCs w:val="24"/>
              </w:rPr>
            </w:pPr>
          </w:p>
        </w:tc>
        <w:tc>
          <w:tcPr>
            <w:tcW w:w="3133" w:type="dxa"/>
            <w:noWrap w:val="0"/>
            <w:vAlign w:val="center"/>
          </w:tcPr>
          <w:p w14:paraId="5ACE76C2">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没有违法所得的，给消费者造成损害较重的。</w:t>
            </w:r>
          </w:p>
        </w:tc>
        <w:tc>
          <w:tcPr>
            <w:tcW w:w="3336" w:type="dxa"/>
            <w:noWrap w:val="0"/>
            <w:vAlign w:val="center"/>
          </w:tcPr>
          <w:p w14:paraId="11BC74E6">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rPr>
              <w:t>没有违法所得的，处</w:t>
            </w:r>
            <w:r>
              <w:rPr>
                <w:rFonts w:hint="eastAsia" w:ascii="宋体" w:hAnsi="宋体" w:eastAsia="宋体" w:cs="宋体"/>
                <w:b w:val="0"/>
                <w:bCs w:val="0"/>
                <w:color w:val="auto"/>
                <w:kern w:val="0"/>
                <w:sz w:val="24"/>
                <w:szCs w:val="24"/>
                <w:lang w:val="en-US" w:eastAsia="zh-CN" w:bidi="ar-SA"/>
              </w:rPr>
              <w:t>以</w:t>
            </w:r>
            <w:r>
              <w:rPr>
                <w:rFonts w:hint="eastAsia" w:ascii="宋体" w:hAnsi="宋体" w:eastAsia="宋体" w:cs="宋体"/>
                <w:b w:val="0"/>
                <w:bCs w:val="0"/>
                <w:color w:val="auto"/>
                <w:kern w:val="0"/>
                <w:sz w:val="24"/>
                <w:szCs w:val="24"/>
              </w:rPr>
              <w:t>10万元以上</w:t>
            </w:r>
            <w:r>
              <w:rPr>
                <w:rFonts w:hint="eastAsia" w:ascii="宋体" w:hAnsi="宋体" w:eastAsia="宋体" w:cs="宋体"/>
                <w:b w:val="0"/>
                <w:bCs w:val="0"/>
                <w:color w:val="auto"/>
                <w:kern w:val="0"/>
                <w:sz w:val="24"/>
                <w:szCs w:val="24"/>
                <w:lang w:val="en-US" w:eastAsia="zh-CN"/>
              </w:rPr>
              <w:t>20</w:t>
            </w:r>
            <w:r>
              <w:rPr>
                <w:rFonts w:hint="eastAsia" w:ascii="宋体" w:hAnsi="宋体" w:eastAsia="宋体" w:cs="宋体"/>
                <w:b w:val="0"/>
                <w:bCs w:val="0"/>
                <w:color w:val="auto"/>
                <w:kern w:val="0"/>
                <w:sz w:val="24"/>
                <w:szCs w:val="24"/>
              </w:rPr>
              <w:t>万元以下罚款。</w:t>
            </w:r>
          </w:p>
        </w:tc>
      </w:tr>
      <w:tr w14:paraId="6A38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610" w:type="dxa"/>
            <w:vMerge w:val="continue"/>
            <w:noWrap w:val="0"/>
            <w:vAlign w:val="center"/>
          </w:tcPr>
          <w:p w14:paraId="3C75A387">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42F69977">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3CDDE7D6">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i/>
                <w:iCs/>
                <w:color w:val="auto"/>
                <w:kern w:val="0"/>
                <w:sz w:val="24"/>
                <w:szCs w:val="24"/>
              </w:rPr>
            </w:pPr>
          </w:p>
        </w:tc>
        <w:tc>
          <w:tcPr>
            <w:tcW w:w="1141" w:type="dxa"/>
            <w:vMerge w:val="restart"/>
            <w:noWrap w:val="0"/>
            <w:vAlign w:val="center"/>
          </w:tcPr>
          <w:p w14:paraId="643C03B6">
            <w:pPr>
              <w:keepNext w:val="0"/>
              <w:keepLines w:val="0"/>
              <w:pageBreakBefore w:val="0"/>
              <w:widowControl/>
              <w:kinsoku/>
              <w:wordWrap/>
              <w:overflowPunct/>
              <w:topLinePunct w:val="0"/>
              <w:autoSpaceDE/>
              <w:autoSpaceDN/>
              <w:bidi w:val="0"/>
              <w:adjustRightInd/>
              <w:snapToGrid/>
              <w:spacing w:line="420" w:lineRule="exact"/>
              <w:ind w:left="-105" w:leftChars="-50" w:right="-105" w:rightChars="-50"/>
              <w:jc w:val="center"/>
              <w:textAlignment w:val="auto"/>
              <w:rPr>
                <w:rFonts w:hint="eastAsia" w:ascii="宋体" w:hAnsi="宋体" w:eastAsia="宋体" w:cs="宋体"/>
                <w:b w:val="0"/>
                <w:bCs w:val="0"/>
                <w:color w:val="auto"/>
                <w:kern w:val="0"/>
                <w:sz w:val="24"/>
                <w:szCs w:val="24"/>
                <w:lang w:eastAsia="zh-CN"/>
              </w:rPr>
            </w:pPr>
            <w:r>
              <w:rPr>
                <w:rFonts w:hint="eastAsia" w:ascii="宋体" w:hAnsi="宋体" w:cs="宋体"/>
                <w:b w:val="0"/>
                <w:bCs w:val="0"/>
                <w:color w:val="auto"/>
                <w:kern w:val="0"/>
                <w:sz w:val="24"/>
                <w:szCs w:val="24"/>
                <w:lang w:eastAsia="zh-CN"/>
              </w:rPr>
              <w:t>严重</w:t>
            </w:r>
          </w:p>
        </w:tc>
        <w:tc>
          <w:tcPr>
            <w:tcW w:w="3133" w:type="dxa"/>
            <w:noWrap w:val="0"/>
            <w:vAlign w:val="center"/>
          </w:tcPr>
          <w:p w14:paraId="79128768">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违法所得10万元以上20万元以下或情节严重的</w:t>
            </w:r>
            <w:r>
              <w:rPr>
                <w:rFonts w:hint="eastAsia" w:ascii="宋体" w:hAnsi="宋体" w:eastAsia="宋体" w:cs="宋体"/>
                <w:b w:val="0"/>
                <w:bCs w:val="0"/>
                <w:color w:val="auto"/>
                <w:kern w:val="0"/>
                <w:sz w:val="24"/>
                <w:szCs w:val="24"/>
                <w:lang w:eastAsia="zh-CN"/>
              </w:rPr>
              <w:t>。</w:t>
            </w:r>
          </w:p>
        </w:tc>
        <w:tc>
          <w:tcPr>
            <w:tcW w:w="3336" w:type="dxa"/>
            <w:noWrap w:val="0"/>
            <w:vAlign w:val="center"/>
          </w:tcPr>
          <w:p w14:paraId="0DC7BF4C">
            <w:pPr>
              <w:keepNext w:val="0"/>
              <w:keepLines w:val="0"/>
              <w:pageBreakBefore w:val="0"/>
              <w:widowControl/>
              <w:kinsoku/>
              <w:wordWrap/>
              <w:overflowPunct/>
              <w:topLinePunct w:val="0"/>
              <w:autoSpaceDE/>
              <w:autoSpaceDN/>
              <w:bidi w:val="0"/>
              <w:adjustRightInd/>
              <w:snapToGrid/>
              <w:spacing w:line="350" w:lineRule="exact"/>
              <w:jc w:val="both"/>
              <w:textAlignment w:val="auto"/>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rPr>
              <w:t>可以单处或者并处警告、没收违法所得、处</w:t>
            </w:r>
            <w:r>
              <w:rPr>
                <w:rFonts w:hint="eastAsia" w:ascii="宋体" w:hAnsi="宋体" w:eastAsia="宋体" w:cs="宋体"/>
                <w:b w:val="0"/>
                <w:bCs w:val="0"/>
                <w:color w:val="auto"/>
                <w:kern w:val="0"/>
                <w:sz w:val="24"/>
                <w:szCs w:val="24"/>
                <w:lang w:val="en-US" w:eastAsia="zh-CN" w:bidi="ar-SA"/>
              </w:rPr>
              <w:t>以</w:t>
            </w:r>
            <w:r>
              <w:rPr>
                <w:rFonts w:hint="eastAsia" w:ascii="宋体" w:hAnsi="宋体" w:eastAsia="宋体" w:cs="宋体"/>
                <w:b w:val="0"/>
                <w:bCs w:val="0"/>
                <w:color w:val="auto"/>
                <w:kern w:val="0"/>
                <w:sz w:val="24"/>
                <w:szCs w:val="24"/>
              </w:rPr>
              <w:t>违法所得</w:t>
            </w:r>
            <w:r>
              <w:rPr>
                <w:rFonts w:hint="eastAsia" w:ascii="宋体" w:hAnsi="宋体" w:eastAsia="宋体" w:cs="宋体"/>
                <w:b w:val="0"/>
                <w:bCs w:val="0"/>
                <w:color w:val="auto"/>
                <w:kern w:val="0"/>
                <w:sz w:val="24"/>
                <w:szCs w:val="24"/>
                <w:lang w:val="en-US" w:eastAsia="zh-CN"/>
              </w:rPr>
              <w:t>4</w:t>
            </w:r>
            <w:r>
              <w:rPr>
                <w:rFonts w:hint="eastAsia" w:ascii="宋体" w:hAnsi="宋体" w:eastAsia="宋体" w:cs="宋体"/>
                <w:b w:val="0"/>
                <w:bCs w:val="0"/>
                <w:color w:val="auto"/>
                <w:kern w:val="0"/>
                <w:sz w:val="24"/>
                <w:szCs w:val="24"/>
              </w:rPr>
              <w:t>倍以上</w:t>
            </w:r>
            <w:r>
              <w:rPr>
                <w:rFonts w:hint="eastAsia" w:ascii="宋体" w:hAnsi="宋体" w:eastAsia="宋体" w:cs="宋体"/>
                <w:b w:val="0"/>
                <w:bCs w:val="0"/>
                <w:color w:val="auto"/>
                <w:kern w:val="0"/>
                <w:sz w:val="24"/>
                <w:szCs w:val="24"/>
                <w:lang w:val="en-US" w:eastAsia="zh-CN"/>
              </w:rPr>
              <w:t>5</w:t>
            </w:r>
            <w:r>
              <w:rPr>
                <w:rFonts w:hint="eastAsia" w:ascii="宋体" w:hAnsi="宋体" w:eastAsia="宋体" w:cs="宋体"/>
                <w:b w:val="0"/>
                <w:bCs w:val="0"/>
                <w:color w:val="auto"/>
                <w:kern w:val="0"/>
                <w:sz w:val="24"/>
                <w:szCs w:val="24"/>
              </w:rPr>
              <w:t>倍以下罚款；</w:t>
            </w:r>
          </w:p>
        </w:tc>
      </w:tr>
      <w:tr w14:paraId="2FAF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610" w:type="dxa"/>
            <w:vMerge w:val="continue"/>
            <w:noWrap w:val="0"/>
            <w:vAlign w:val="center"/>
          </w:tcPr>
          <w:p w14:paraId="6392482C">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6BB6F285">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764093E5">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i/>
                <w:iCs/>
                <w:color w:val="auto"/>
                <w:kern w:val="0"/>
                <w:sz w:val="24"/>
                <w:szCs w:val="24"/>
              </w:rPr>
            </w:pPr>
          </w:p>
        </w:tc>
        <w:tc>
          <w:tcPr>
            <w:tcW w:w="1141" w:type="dxa"/>
            <w:vMerge w:val="continue"/>
            <w:noWrap w:val="0"/>
            <w:vAlign w:val="center"/>
          </w:tcPr>
          <w:p w14:paraId="08D9A195">
            <w:pPr>
              <w:keepNext w:val="0"/>
              <w:keepLines w:val="0"/>
              <w:pageBreakBefore w:val="0"/>
              <w:widowControl/>
              <w:kinsoku/>
              <w:wordWrap/>
              <w:overflowPunct/>
              <w:topLinePunct w:val="0"/>
              <w:autoSpaceDE/>
              <w:autoSpaceDN/>
              <w:bidi w:val="0"/>
              <w:adjustRightInd/>
              <w:snapToGrid/>
              <w:spacing w:line="420" w:lineRule="exact"/>
              <w:ind w:left="-105" w:leftChars="-50" w:right="-105" w:rightChars="-50"/>
              <w:jc w:val="center"/>
              <w:textAlignment w:val="auto"/>
              <w:rPr>
                <w:rFonts w:hint="eastAsia" w:ascii="宋体" w:hAnsi="宋体" w:eastAsia="宋体" w:cs="宋体"/>
                <w:b w:val="0"/>
                <w:bCs w:val="0"/>
                <w:color w:val="auto"/>
                <w:kern w:val="0"/>
                <w:sz w:val="24"/>
                <w:szCs w:val="24"/>
              </w:rPr>
            </w:pPr>
          </w:p>
        </w:tc>
        <w:tc>
          <w:tcPr>
            <w:tcW w:w="3133" w:type="dxa"/>
            <w:noWrap w:val="0"/>
            <w:vAlign w:val="center"/>
          </w:tcPr>
          <w:p w14:paraId="0DD3CA38">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没有违法所得的，给消费者造成损害严重的。</w:t>
            </w:r>
          </w:p>
        </w:tc>
        <w:tc>
          <w:tcPr>
            <w:tcW w:w="3336" w:type="dxa"/>
            <w:noWrap w:val="0"/>
            <w:vAlign w:val="center"/>
          </w:tcPr>
          <w:p w14:paraId="36D4789D">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rPr>
              <w:t>没有违法所得的，处</w:t>
            </w:r>
            <w:r>
              <w:rPr>
                <w:rFonts w:hint="eastAsia" w:ascii="宋体" w:hAnsi="宋体" w:eastAsia="宋体" w:cs="宋体"/>
                <w:b w:val="0"/>
                <w:bCs w:val="0"/>
                <w:color w:val="auto"/>
                <w:kern w:val="0"/>
                <w:sz w:val="24"/>
                <w:szCs w:val="24"/>
                <w:lang w:val="en-US" w:eastAsia="zh-CN" w:bidi="ar-SA"/>
              </w:rPr>
              <w:t>以</w:t>
            </w:r>
            <w:r>
              <w:rPr>
                <w:rFonts w:hint="eastAsia" w:ascii="宋体" w:hAnsi="宋体" w:eastAsia="宋体" w:cs="宋体"/>
                <w:b w:val="0"/>
                <w:bCs w:val="0"/>
                <w:color w:val="auto"/>
                <w:kern w:val="0"/>
                <w:sz w:val="24"/>
                <w:szCs w:val="24"/>
                <w:lang w:val="en-US" w:eastAsia="zh-CN"/>
              </w:rPr>
              <w:t>2</w:t>
            </w:r>
            <w:r>
              <w:rPr>
                <w:rFonts w:hint="eastAsia" w:ascii="宋体" w:hAnsi="宋体" w:eastAsia="宋体" w:cs="宋体"/>
                <w:b w:val="0"/>
                <w:bCs w:val="0"/>
                <w:color w:val="auto"/>
                <w:kern w:val="0"/>
                <w:sz w:val="24"/>
                <w:szCs w:val="24"/>
              </w:rPr>
              <w:t>0万元以上</w:t>
            </w:r>
            <w:r>
              <w:rPr>
                <w:rFonts w:hint="eastAsia" w:ascii="宋体" w:hAnsi="宋体" w:eastAsia="宋体" w:cs="宋体"/>
                <w:b w:val="0"/>
                <w:bCs w:val="0"/>
                <w:color w:val="auto"/>
                <w:kern w:val="0"/>
                <w:sz w:val="24"/>
                <w:szCs w:val="24"/>
                <w:lang w:val="en-US" w:eastAsia="zh-CN"/>
              </w:rPr>
              <w:t>3</w:t>
            </w:r>
            <w:r>
              <w:rPr>
                <w:rFonts w:hint="eastAsia" w:ascii="宋体" w:hAnsi="宋体" w:eastAsia="宋体" w:cs="宋体"/>
                <w:b w:val="0"/>
                <w:bCs w:val="0"/>
                <w:color w:val="auto"/>
                <w:kern w:val="0"/>
                <w:sz w:val="24"/>
                <w:szCs w:val="24"/>
              </w:rPr>
              <w:t>0万元以下罚款。</w:t>
            </w:r>
          </w:p>
        </w:tc>
      </w:tr>
      <w:tr w14:paraId="79582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610" w:type="dxa"/>
            <w:vMerge w:val="continue"/>
            <w:noWrap w:val="0"/>
            <w:vAlign w:val="center"/>
          </w:tcPr>
          <w:p w14:paraId="35CF037A">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396841AE">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28348B4F">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i/>
                <w:iCs/>
                <w:color w:val="auto"/>
                <w:kern w:val="0"/>
                <w:sz w:val="24"/>
                <w:szCs w:val="24"/>
              </w:rPr>
            </w:pPr>
          </w:p>
        </w:tc>
        <w:tc>
          <w:tcPr>
            <w:tcW w:w="1141" w:type="dxa"/>
            <w:noWrap w:val="0"/>
            <w:vAlign w:val="center"/>
          </w:tcPr>
          <w:p w14:paraId="58E2D2CF">
            <w:pPr>
              <w:keepNext w:val="0"/>
              <w:keepLines w:val="0"/>
              <w:pageBreakBefore w:val="0"/>
              <w:widowControl/>
              <w:kinsoku/>
              <w:wordWrap/>
              <w:overflowPunct/>
              <w:topLinePunct w:val="0"/>
              <w:autoSpaceDE/>
              <w:autoSpaceDN/>
              <w:bidi w:val="0"/>
              <w:adjustRightInd/>
              <w:snapToGrid/>
              <w:spacing w:line="420" w:lineRule="exact"/>
              <w:ind w:left="-105" w:leftChars="-50" w:right="-105" w:rightChars="-50"/>
              <w:jc w:val="center"/>
              <w:textAlignment w:val="auto"/>
              <w:rPr>
                <w:rFonts w:hint="eastAsia" w:ascii="宋体" w:hAnsi="宋体" w:eastAsia="宋体" w:cs="宋体"/>
                <w:b w:val="0"/>
                <w:bCs w:val="0"/>
                <w:color w:val="auto"/>
                <w:kern w:val="0"/>
                <w:sz w:val="24"/>
                <w:szCs w:val="24"/>
                <w:lang w:eastAsia="zh-CN"/>
              </w:rPr>
            </w:pPr>
            <w:r>
              <w:rPr>
                <w:rFonts w:hint="eastAsia" w:ascii="宋体" w:hAnsi="宋体" w:cs="宋体"/>
                <w:b w:val="0"/>
                <w:bCs w:val="0"/>
                <w:color w:val="auto"/>
                <w:kern w:val="0"/>
                <w:sz w:val="24"/>
                <w:szCs w:val="24"/>
                <w:lang w:eastAsia="zh-CN"/>
              </w:rPr>
              <w:t>特别严重</w:t>
            </w:r>
          </w:p>
        </w:tc>
        <w:tc>
          <w:tcPr>
            <w:tcW w:w="3133" w:type="dxa"/>
            <w:noWrap w:val="0"/>
            <w:vAlign w:val="center"/>
          </w:tcPr>
          <w:p w14:paraId="73CA9B0E">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违法所得20万元以上或给</w:t>
            </w:r>
            <w:r>
              <w:rPr>
                <w:rFonts w:hint="eastAsia" w:ascii="宋体" w:hAnsi="宋体" w:eastAsia="宋体" w:cs="宋体"/>
                <w:b w:val="0"/>
                <w:bCs w:val="0"/>
                <w:color w:val="auto"/>
                <w:spacing w:val="-6"/>
                <w:kern w:val="0"/>
                <w:sz w:val="24"/>
                <w:szCs w:val="24"/>
              </w:rPr>
              <w:t>消费者造成损害特别严重的。</w:t>
            </w:r>
          </w:p>
        </w:tc>
        <w:tc>
          <w:tcPr>
            <w:tcW w:w="3336" w:type="dxa"/>
            <w:noWrap w:val="0"/>
            <w:vAlign w:val="center"/>
          </w:tcPr>
          <w:p w14:paraId="67994661">
            <w:pPr>
              <w:keepNext w:val="0"/>
              <w:keepLines w:val="0"/>
              <w:pageBreakBefore w:val="0"/>
              <w:widowControl/>
              <w:kinsoku/>
              <w:wordWrap/>
              <w:overflowPunct/>
              <w:topLinePunct w:val="0"/>
              <w:autoSpaceDE/>
              <w:autoSpaceDN/>
              <w:bidi w:val="0"/>
              <w:adjustRightInd/>
              <w:snapToGrid/>
              <w:spacing w:line="372" w:lineRule="exact"/>
              <w:jc w:val="both"/>
              <w:textAlignment w:val="auto"/>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rPr>
              <w:t>责令停业整顿、吊销营业执照。</w:t>
            </w:r>
          </w:p>
        </w:tc>
      </w:tr>
      <w:tr w14:paraId="70A6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jc w:val="center"/>
        </w:trPr>
        <w:tc>
          <w:tcPr>
            <w:tcW w:w="610" w:type="dxa"/>
            <w:vMerge w:val="restart"/>
            <w:noWrap w:val="0"/>
            <w:vAlign w:val="center"/>
          </w:tcPr>
          <w:p w14:paraId="0E66BBBF">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rPr>
              <w:t>9</w:t>
            </w:r>
            <w:r>
              <w:rPr>
                <w:rFonts w:hint="eastAsia" w:ascii="宋体" w:hAnsi="宋体" w:cs="宋体"/>
                <w:b w:val="0"/>
                <w:bCs w:val="0"/>
                <w:color w:val="auto"/>
                <w:kern w:val="0"/>
                <w:sz w:val="24"/>
                <w:szCs w:val="24"/>
                <w:lang w:val="en-US" w:eastAsia="zh-CN"/>
              </w:rPr>
              <w:t>6</w:t>
            </w:r>
          </w:p>
        </w:tc>
        <w:tc>
          <w:tcPr>
            <w:tcW w:w="1750" w:type="dxa"/>
            <w:vMerge w:val="restart"/>
            <w:noWrap w:val="0"/>
            <w:vAlign w:val="center"/>
          </w:tcPr>
          <w:p w14:paraId="1ED841A3">
            <w:pPr>
              <w:keepNext w:val="0"/>
              <w:keepLines w:val="0"/>
              <w:pageBreakBefore w:val="0"/>
              <w:widowControl/>
              <w:kinsoku/>
              <w:wordWrap/>
              <w:overflowPunct/>
              <w:topLinePunct w:val="0"/>
              <w:autoSpaceDE/>
              <w:autoSpaceDN/>
              <w:bidi w:val="0"/>
              <w:adjustRightInd/>
              <w:snapToGrid/>
              <w:spacing w:line="420" w:lineRule="exact"/>
              <w:textAlignment w:val="auto"/>
              <w:outlineLvl w:val="2"/>
              <w:rPr>
                <w:rFonts w:hint="eastAsia" w:ascii="宋体" w:hAnsi="宋体" w:eastAsia="宋体" w:cs="宋体"/>
                <w:b w:val="0"/>
                <w:bCs w:val="0"/>
                <w:color w:val="auto"/>
                <w:kern w:val="0"/>
                <w:sz w:val="24"/>
                <w:szCs w:val="24"/>
                <w:lang w:val="en-US" w:eastAsia="zh-CN"/>
              </w:rPr>
            </w:pPr>
            <w:bookmarkStart w:id="142" w:name="_Toc15326"/>
            <w:bookmarkStart w:id="143" w:name="_Toc29202"/>
            <w:bookmarkStart w:id="144" w:name="_Toc10116"/>
            <w:bookmarkStart w:id="145" w:name="_Toc10962"/>
            <w:bookmarkStart w:id="146" w:name="_Toc12211"/>
            <w:r>
              <w:rPr>
                <w:rFonts w:hint="eastAsia" w:ascii="宋体" w:hAnsi="宋体" w:eastAsia="宋体" w:cs="宋体"/>
                <w:b w:val="0"/>
                <w:bCs w:val="0"/>
                <w:color w:val="auto"/>
                <w:kern w:val="0"/>
                <w:sz w:val="24"/>
                <w:szCs w:val="24"/>
              </w:rPr>
              <w:t>《中华人民共和国工业产品生产许可证管理条例》</w:t>
            </w:r>
            <w:r>
              <w:rPr>
                <w:rFonts w:hint="eastAsia" w:ascii="宋体" w:hAnsi="宋体" w:eastAsia="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2023年7月20日起施行</w:t>
            </w:r>
            <w:r>
              <w:rPr>
                <w:rFonts w:hint="eastAsia" w:ascii="宋体" w:hAnsi="宋体" w:eastAsia="宋体" w:cs="宋体"/>
                <w:b w:val="0"/>
                <w:bCs w:val="0"/>
                <w:color w:val="auto"/>
                <w:kern w:val="0"/>
                <w:sz w:val="24"/>
                <w:szCs w:val="24"/>
                <w:lang w:val="en-US" w:eastAsia="zh-CN"/>
              </w:rPr>
              <w:t>）</w:t>
            </w:r>
            <w:bookmarkEnd w:id="142"/>
            <w:bookmarkEnd w:id="143"/>
            <w:bookmarkEnd w:id="144"/>
            <w:bookmarkEnd w:id="145"/>
            <w:bookmarkEnd w:id="146"/>
          </w:p>
        </w:tc>
        <w:tc>
          <w:tcPr>
            <w:tcW w:w="4203" w:type="dxa"/>
            <w:vMerge w:val="restart"/>
            <w:noWrap w:val="0"/>
            <w:vAlign w:val="center"/>
          </w:tcPr>
          <w:p w14:paraId="32EFF376">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第四十五条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企业未依照本条例规定申请取得生产许可证而擅自生产列入目录产品的，由工业产品生产许可证主管部门责令停止生产，没收违法生产的产品，处违法生产产品货值金额等值以上3倍以下的罚款；有违法所得的，没收违法所得；构成犯罪的，依法追究刑事责任。</w:t>
            </w:r>
          </w:p>
        </w:tc>
        <w:tc>
          <w:tcPr>
            <w:tcW w:w="1141" w:type="dxa"/>
            <w:noWrap w:val="0"/>
            <w:vAlign w:val="center"/>
          </w:tcPr>
          <w:p w14:paraId="4EE706C7">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666C9748">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有下列情形之一的：</w:t>
            </w:r>
          </w:p>
          <w:p w14:paraId="7583E1F8">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pacing w:val="-11"/>
                <w:kern w:val="0"/>
                <w:sz w:val="24"/>
                <w:szCs w:val="24"/>
                <w:lang w:eastAsia="zh-CN"/>
              </w:rPr>
            </w:pPr>
            <w:r>
              <w:rPr>
                <w:rFonts w:hint="eastAsia" w:ascii="宋体" w:hAnsi="宋体" w:cs="宋体"/>
                <w:b w:val="0"/>
                <w:bCs w:val="0"/>
                <w:color w:val="auto"/>
                <w:kern w:val="0"/>
                <w:sz w:val="24"/>
                <w:szCs w:val="24"/>
                <w:lang w:eastAsia="zh-CN"/>
              </w:rPr>
              <w:t>(1)</w:t>
            </w:r>
            <w:r>
              <w:rPr>
                <w:rFonts w:hint="eastAsia" w:ascii="宋体" w:hAnsi="宋体" w:eastAsia="宋体" w:cs="宋体"/>
                <w:b w:val="0"/>
                <w:bCs w:val="0"/>
                <w:color w:val="auto"/>
                <w:spacing w:val="-11"/>
                <w:kern w:val="0"/>
                <w:sz w:val="24"/>
                <w:szCs w:val="24"/>
              </w:rPr>
              <w:t>生产货值金额5万元以下的；</w:t>
            </w:r>
          </w:p>
          <w:p w14:paraId="22B4DBA4">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(2)</w:t>
            </w:r>
            <w:r>
              <w:rPr>
                <w:rFonts w:hint="eastAsia" w:ascii="宋体" w:hAnsi="宋体" w:eastAsia="宋体" w:cs="宋体"/>
                <w:b w:val="0"/>
                <w:bCs w:val="0"/>
                <w:color w:val="auto"/>
                <w:kern w:val="0"/>
                <w:sz w:val="24"/>
                <w:szCs w:val="24"/>
              </w:rPr>
              <w:t>产品尚未销售或追回全部已售出产品的。</w:t>
            </w:r>
          </w:p>
        </w:tc>
        <w:tc>
          <w:tcPr>
            <w:tcW w:w="3336" w:type="dxa"/>
            <w:noWrap w:val="0"/>
            <w:vAlign w:val="center"/>
          </w:tcPr>
          <w:p w14:paraId="6130A8D0">
            <w:pPr>
              <w:keepNext w:val="0"/>
              <w:keepLines w:val="0"/>
              <w:pageBreakBefore w:val="0"/>
              <w:widowControl/>
              <w:kinsoku/>
              <w:wordWrap/>
              <w:overflowPunct/>
              <w:topLinePunct w:val="0"/>
              <w:autoSpaceDE/>
              <w:autoSpaceDN/>
              <w:bidi w:val="0"/>
              <w:adjustRightInd/>
              <w:snapToGrid/>
              <w:spacing w:before="157" w:beforeLines="50" w:after="157" w:afterLines="50"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责令停止生产，没收违法生产的产品，处违法生产产品货值金额等值罚款；有违法所得的，没收违法所得。</w:t>
            </w:r>
          </w:p>
        </w:tc>
      </w:tr>
      <w:tr w14:paraId="6F2A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10" w:type="dxa"/>
            <w:vMerge w:val="continue"/>
            <w:noWrap w:val="0"/>
            <w:vAlign w:val="center"/>
          </w:tcPr>
          <w:p w14:paraId="4FB467E1">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525C7602">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238CCE6B">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vMerge w:val="restart"/>
            <w:noWrap w:val="0"/>
            <w:vAlign w:val="center"/>
          </w:tcPr>
          <w:p w14:paraId="54C02F31">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vMerge w:val="restart"/>
            <w:noWrap w:val="0"/>
            <w:vAlign w:val="center"/>
          </w:tcPr>
          <w:p w14:paraId="4C8EDAAA">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有下列情形之一的：</w:t>
            </w:r>
          </w:p>
          <w:p w14:paraId="3B4D2711">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lang w:eastAsia="zh-CN"/>
              </w:rPr>
            </w:pPr>
            <w:r>
              <w:rPr>
                <w:rFonts w:hint="eastAsia" w:ascii="宋体" w:hAnsi="宋体" w:cs="宋体"/>
                <w:b w:val="0"/>
                <w:bCs w:val="0"/>
                <w:color w:val="auto"/>
                <w:kern w:val="0"/>
                <w:sz w:val="24"/>
                <w:szCs w:val="24"/>
                <w:lang w:eastAsia="zh-CN"/>
              </w:rPr>
              <w:t>(1)</w:t>
            </w:r>
            <w:r>
              <w:rPr>
                <w:rFonts w:hint="eastAsia" w:ascii="宋体" w:hAnsi="宋体" w:eastAsia="宋体" w:cs="宋体"/>
                <w:b w:val="0"/>
                <w:bCs w:val="0"/>
                <w:color w:val="auto"/>
                <w:kern w:val="0"/>
                <w:sz w:val="24"/>
                <w:szCs w:val="24"/>
              </w:rPr>
              <w:t>生产货值金额5万元以上20万以下的；</w:t>
            </w:r>
          </w:p>
          <w:p w14:paraId="34F4E943">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(2)</w:t>
            </w:r>
            <w:r>
              <w:rPr>
                <w:rFonts w:hint="eastAsia" w:ascii="宋体" w:hAnsi="宋体" w:cs="宋体"/>
                <w:b w:val="0"/>
                <w:bCs w:val="0"/>
                <w:color w:val="auto"/>
                <w:kern w:val="0"/>
                <w:sz w:val="24"/>
                <w:szCs w:val="24"/>
                <w:lang w:val="en-US" w:eastAsia="zh-CN"/>
              </w:rPr>
              <w:t>产品已销售，追回全部或大部分的（50%以上），未导致危害后果。</w:t>
            </w:r>
          </w:p>
        </w:tc>
        <w:tc>
          <w:tcPr>
            <w:tcW w:w="3336" w:type="dxa"/>
            <w:vMerge w:val="restart"/>
            <w:noWrap w:val="0"/>
            <w:vAlign w:val="center"/>
          </w:tcPr>
          <w:p w14:paraId="69B9FD62">
            <w:pPr>
              <w:keepNext w:val="0"/>
              <w:keepLines w:val="0"/>
              <w:pageBreakBefore w:val="0"/>
              <w:widowControl/>
              <w:kinsoku/>
              <w:wordWrap/>
              <w:overflowPunct/>
              <w:topLinePunct w:val="0"/>
              <w:autoSpaceDE/>
              <w:autoSpaceDN/>
              <w:bidi w:val="0"/>
              <w:adjustRightInd/>
              <w:snapToGrid/>
              <w:spacing w:before="157" w:beforeLines="50" w:after="157" w:afterLines="50"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责令停止生产，没收违法生产的产品，处违法生产产品货值金额等值以上2倍以下罚款；有违法所得的，没收违法所得。</w:t>
            </w:r>
          </w:p>
        </w:tc>
      </w:tr>
      <w:tr w14:paraId="01ED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jc w:val="center"/>
        </w:trPr>
        <w:tc>
          <w:tcPr>
            <w:tcW w:w="610" w:type="dxa"/>
            <w:vMerge w:val="continue"/>
            <w:noWrap w:val="0"/>
            <w:vAlign w:val="center"/>
          </w:tcPr>
          <w:p w14:paraId="59C461DD">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7361AFD8">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2084383B">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vMerge w:val="continue"/>
            <w:noWrap w:val="0"/>
            <w:vAlign w:val="center"/>
          </w:tcPr>
          <w:p w14:paraId="317ACA0A">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3133" w:type="dxa"/>
            <w:vMerge w:val="continue"/>
            <w:noWrap w:val="0"/>
            <w:vAlign w:val="center"/>
          </w:tcPr>
          <w:p w14:paraId="2E0A4955">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p>
        </w:tc>
        <w:tc>
          <w:tcPr>
            <w:tcW w:w="3336" w:type="dxa"/>
            <w:vMerge w:val="continue"/>
            <w:noWrap w:val="0"/>
            <w:vAlign w:val="center"/>
          </w:tcPr>
          <w:p w14:paraId="78CE68DB">
            <w:pPr>
              <w:keepNext w:val="0"/>
              <w:keepLines w:val="0"/>
              <w:pageBreakBefore w:val="0"/>
              <w:widowControl/>
              <w:kinsoku/>
              <w:wordWrap/>
              <w:overflowPunct/>
              <w:topLinePunct w:val="0"/>
              <w:autoSpaceDE/>
              <w:autoSpaceDN/>
              <w:bidi w:val="0"/>
              <w:adjustRightInd/>
              <w:snapToGrid/>
              <w:spacing w:before="157" w:beforeLines="50" w:after="157" w:afterLines="50" w:line="400" w:lineRule="exact"/>
              <w:jc w:val="both"/>
              <w:textAlignment w:val="auto"/>
              <w:rPr>
                <w:rFonts w:hint="eastAsia" w:ascii="宋体" w:hAnsi="宋体" w:eastAsia="宋体" w:cs="宋体"/>
                <w:b w:val="0"/>
                <w:bCs w:val="0"/>
                <w:color w:val="auto"/>
                <w:kern w:val="0"/>
                <w:sz w:val="24"/>
                <w:szCs w:val="24"/>
              </w:rPr>
            </w:pPr>
          </w:p>
        </w:tc>
      </w:tr>
      <w:tr w14:paraId="3E97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3" w:hRule="atLeast"/>
          <w:jc w:val="center"/>
        </w:trPr>
        <w:tc>
          <w:tcPr>
            <w:tcW w:w="610" w:type="dxa"/>
            <w:vMerge w:val="continue"/>
            <w:noWrap w:val="0"/>
            <w:vAlign w:val="center"/>
          </w:tcPr>
          <w:p w14:paraId="54B8379C">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6009C137">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1B5312AC">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29B426AF">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6F3D6109">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有下列情形之一的：</w:t>
            </w:r>
          </w:p>
          <w:p w14:paraId="017E9B7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lang w:eastAsia="zh-CN"/>
              </w:rPr>
            </w:pPr>
            <w:r>
              <w:rPr>
                <w:rFonts w:hint="eastAsia" w:ascii="宋体" w:hAnsi="宋体" w:cs="宋体"/>
                <w:b w:val="0"/>
                <w:bCs w:val="0"/>
                <w:color w:val="auto"/>
                <w:kern w:val="0"/>
                <w:sz w:val="24"/>
                <w:szCs w:val="24"/>
                <w:lang w:eastAsia="zh-CN"/>
              </w:rPr>
              <w:t>(1)</w:t>
            </w:r>
            <w:r>
              <w:rPr>
                <w:rFonts w:hint="eastAsia" w:ascii="宋体" w:hAnsi="宋体" w:eastAsia="宋体" w:cs="宋体"/>
                <w:b w:val="0"/>
                <w:bCs w:val="0"/>
                <w:color w:val="auto"/>
                <w:kern w:val="0"/>
                <w:sz w:val="24"/>
                <w:szCs w:val="24"/>
              </w:rPr>
              <w:t>生产货值金额20万以上的；</w:t>
            </w:r>
          </w:p>
          <w:p w14:paraId="09169FC4">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(2)</w:t>
            </w:r>
            <w:r>
              <w:rPr>
                <w:rFonts w:hint="eastAsia" w:ascii="宋体" w:hAnsi="宋体" w:eastAsia="宋体" w:cs="宋体"/>
                <w:b w:val="0"/>
                <w:bCs w:val="0"/>
                <w:color w:val="auto"/>
                <w:kern w:val="0"/>
                <w:sz w:val="24"/>
                <w:szCs w:val="24"/>
              </w:rPr>
              <w:t>产品已销售</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拒不追回的。</w:t>
            </w:r>
          </w:p>
        </w:tc>
        <w:tc>
          <w:tcPr>
            <w:tcW w:w="3336" w:type="dxa"/>
            <w:noWrap w:val="0"/>
            <w:vAlign w:val="center"/>
          </w:tcPr>
          <w:p w14:paraId="2ADA1898">
            <w:pPr>
              <w:keepNext w:val="0"/>
              <w:keepLines w:val="0"/>
              <w:pageBreakBefore w:val="0"/>
              <w:widowControl/>
              <w:kinsoku/>
              <w:wordWrap/>
              <w:overflowPunct/>
              <w:topLinePunct w:val="0"/>
              <w:autoSpaceDE/>
              <w:autoSpaceDN/>
              <w:bidi w:val="0"/>
              <w:adjustRightInd/>
              <w:snapToGrid/>
              <w:spacing w:before="157" w:beforeLines="50" w:after="157" w:afterLines="50"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责令停止生产，没收违法生产的产品，处违法生产产品货值金额2倍以上3倍以下罚款；有违法所得的，没收违法所得。</w:t>
            </w:r>
          </w:p>
        </w:tc>
      </w:tr>
      <w:tr w14:paraId="2752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9" w:hRule="atLeast"/>
          <w:jc w:val="center"/>
        </w:trPr>
        <w:tc>
          <w:tcPr>
            <w:tcW w:w="610" w:type="dxa"/>
            <w:vMerge w:val="restart"/>
            <w:noWrap w:val="0"/>
            <w:vAlign w:val="center"/>
          </w:tcPr>
          <w:p w14:paraId="7C8B5BCC">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rPr>
              <w:t>9</w:t>
            </w:r>
            <w:r>
              <w:rPr>
                <w:rFonts w:hint="eastAsia" w:ascii="宋体" w:hAnsi="宋体" w:cs="宋体"/>
                <w:b w:val="0"/>
                <w:bCs w:val="0"/>
                <w:color w:val="auto"/>
                <w:kern w:val="0"/>
                <w:sz w:val="24"/>
                <w:szCs w:val="24"/>
                <w:lang w:val="en-US" w:eastAsia="zh-CN"/>
              </w:rPr>
              <w:t>7</w:t>
            </w:r>
          </w:p>
        </w:tc>
        <w:tc>
          <w:tcPr>
            <w:tcW w:w="1750" w:type="dxa"/>
            <w:vMerge w:val="restart"/>
            <w:noWrap w:val="0"/>
            <w:vAlign w:val="center"/>
          </w:tcPr>
          <w:p w14:paraId="4DA709DA">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《中华人民共和国工业产品生产许可证管理条例》</w:t>
            </w:r>
          </w:p>
        </w:tc>
        <w:tc>
          <w:tcPr>
            <w:tcW w:w="4203" w:type="dxa"/>
            <w:vMerge w:val="restart"/>
            <w:noWrap w:val="0"/>
            <w:vAlign w:val="center"/>
          </w:tcPr>
          <w:p w14:paraId="47B6C1EF">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第四十六条</w:t>
            </w:r>
            <w:r>
              <w:rPr>
                <w:rFonts w:hint="eastAsia" w:ascii="宋体" w:hAnsi="宋体" w:eastAsia="宋体" w:cs="宋体"/>
                <w:b w:val="0"/>
                <w:bCs w:val="0"/>
                <w:color w:val="auto"/>
                <w:kern w:val="0"/>
                <w:sz w:val="24"/>
                <w:szCs w:val="24"/>
                <w:lang w:eastAsia="zh-CN"/>
              </w:rPr>
              <w:t>第一款</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取得生产许可证的企业生产条件、检验手段、生产技术或者工艺发生变化，未依照本条例规定办理重新审查手续的，责令停止生产、销售，没收违法生产、销售的产品，并限期办理相关手续；逾期仍未办理的，处违法生产、销售产品（包括已售出和未售出的产品，下同）货值金额3倍以下的罚款；有违法所得的，没收违法所得；构成犯罪的，依法追究刑事责任。</w:t>
            </w:r>
          </w:p>
        </w:tc>
        <w:tc>
          <w:tcPr>
            <w:tcW w:w="1141" w:type="dxa"/>
            <w:noWrap w:val="0"/>
            <w:vAlign w:val="center"/>
          </w:tcPr>
          <w:p w14:paraId="3129F66F">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151B168B">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有下列情形之一</w:t>
            </w:r>
            <w:r>
              <w:rPr>
                <w:rFonts w:hint="eastAsia" w:ascii="宋体" w:hAnsi="宋体" w:cs="宋体"/>
                <w:b w:val="0"/>
                <w:bCs w:val="0"/>
                <w:color w:val="auto"/>
                <w:kern w:val="0"/>
                <w:sz w:val="24"/>
                <w:szCs w:val="24"/>
                <w:lang w:eastAsia="zh-CN"/>
              </w:rPr>
              <w:t>：</w:t>
            </w:r>
          </w:p>
          <w:p w14:paraId="6835DB15">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lang w:eastAsia="zh-CN"/>
              </w:rPr>
            </w:pPr>
            <w:r>
              <w:rPr>
                <w:rFonts w:hint="eastAsia" w:ascii="宋体" w:hAnsi="宋体" w:cs="宋体"/>
                <w:b w:val="0"/>
                <w:bCs w:val="0"/>
                <w:color w:val="auto"/>
                <w:kern w:val="0"/>
                <w:sz w:val="24"/>
                <w:szCs w:val="24"/>
                <w:lang w:eastAsia="zh-CN"/>
              </w:rPr>
              <w:t>(1)</w:t>
            </w:r>
            <w:r>
              <w:rPr>
                <w:rFonts w:hint="eastAsia" w:ascii="宋体" w:hAnsi="宋体" w:eastAsia="宋体" w:cs="宋体"/>
                <w:b w:val="0"/>
                <w:bCs w:val="0"/>
                <w:color w:val="auto"/>
                <w:kern w:val="0"/>
                <w:sz w:val="24"/>
                <w:szCs w:val="24"/>
              </w:rPr>
              <w:t>企业生产条件、检验手段、生产技术或者工艺中有</w:t>
            </w:r>
            <w:r>
              <w:rPr>
                <w:rFonts w:hint="default" w:ascii="宋体" w:hAnsi="宋体" w:cs="宋体"/>
                <w:b w:val="0"/>
                <w:bCs w:val="0"/>
                <w:color w:val="auto"/>
                <w:kern w:val="0"/>
                <w:sz w:val="24"/>
                <w:szCs w:val="24"/>
                <w:lang w:val="en"/>
              </w:rPr>
              <w:t>1</w:t>
            </w:r>
            <w:r>
              <w:rPr>
                <w:rFonts w:hint="eastAsia" w:ascii="宋体" w:hAnsi="宋体" w:eastAsia="宋体" w:cs="宋体"/>
                <w:b w:val="0"/>
                <w:bCs w:val="0"/>
                <w:color w:val="auto"/>
                <w:kern w:val="0"/>
                <w:sz w:val="24"/>
                <w:szCs w:val="24"/>
              </w:rPr>
              <w:t>项发生变化的；</w:t>
            </w:r>
          </w:p>
          <w:p w14:paraId="7EA495DA">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(2)</w:t>
            </w:r>
            <w:r>
              <w:rPr>
                <w:rFonts w:hint="eastAsia" w:ascii="宋体" w:hAnsi="宋体" w:eastAsia="宋体" w:cs="宋体"/>
                <w:b w:val="0"/>
                <w:bCs w:val="0"/>
                <w:color w:val="auto"/>
                <w:kern w:val="0"/>
                <w:sz w:val="24"/>
                <w:szCs w:val="24"/>
              </w:rPr>
              <w:t>产品尚未销售或追回全部已售出产品的。</w:t>
            </w:r>
          </w:p>
        </w:tc>
        <w:tc>
          <w:tcPr>
            <w:tcW w:w="3336" w:type="dxa"/>
            <w:noWrap w:val="0"/>
            <w:vAlign w:val="center"/>
          </w:tcPr>
          <w:p w14:paraId="588F87D3">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责令停止生产、销售，没收违法生产、销售的产品，并限期办理相关手续；逾期仍未办理的，处违法生产、销售产品值金额1倍以下罚款；有违法所得的，没收违法所得</w:t>
            </w:r>
            <w:r>
              <w:rPr>
                <w:rFonts w:hint="eastAsia" w:ascii="宋体" w:hAnsi="宋体" w:eastAsia="宋体" w:cs="宋体"/>
                <w:b w:val="0"/>
                <w:bCs w:val="0"/>
                <w:color w:val="auto"/>
                <w:kern w:val="0"/>
                <w:sz w:val="24"/>
                <w:szCs w:val="24"/>
                <w:lang w:eastAsia="zh-CN"/>
              </w:rPr>
              <w:t>。</w:t>
            </w:r>
          </w:p>
        </w:tc>
      </w:tr>
      <w:tr w14:paraId="1D625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7" w:hRule="atLeast"/>
          <w:jc w:val="center"/>
        </w:trPr>
        <w:tc>
          <w:tcPr>
            <w:tcW w:w="610" w:type="dxa"/>
            <w:vMerge w:val="continue"/>
            <w:noWrap w:val="0"/>
            <w:vAlign w:val="center"/>
          </w:tcPr>
          <w:p w14:paraId="460182BF">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386AFF51">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2354841E">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53D9AEC5">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0181C0C3">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有下列情形之一</w:t>
            </w:r>
            <w:r>
              <w:rPr>
                <w:rFonts w:hint="eastAsia" w:ascii="宋体" w:hAnsi="宋体" w:cs="宋体"/>
                <w:b w:val="0"/>
                <w:bCs w:val="0"/>
                <w:color w:val="auto"/>
                <w:kern w:val="0"/>
                <w:sz w:val="24"/>
                <w:szCs w:val="24"/>
                <w:lang w:eastAsia="zh-CN"/>
              </w:rPr>
              <w:t>：</w:t>
            </w:r>
          </w:p>
          <w:p w14:paraId="6D26C8E9">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lang w:eastAsia="zh-CN"/>
              </w:rPr>
            </w:pPr>
            <w:r>
              <w:rPr>
                <w:rFonts w:hint="eastAsia" w:ascii="宋体" w:hAnsi="宋体" w:cs="宋体"/>
                <w:b w:val="0"/>
                <w:bCs w:val="0"/>
                <w:color w:val="auto"/>
                <w:kern w:val="0"/>
                <w:sz w:val="24"/>
                <w:szCs w:val="24"/>
                <w:lang w:eastAsia="zh-CN"/>
              </w:rPr>
              <w:t>(1)</w:t>
            </w:r>
            <w:r>
              <w:rPr>
                <w:rFonts w:hint="eastAsia" w:ascii="宋体" w:hAnsi="宋体" w:eastAsia="宋体" w:cs="宋体"/>
                <w:b w:val="0"/>
                <w:bCs w:val="0"/>
                <w:color w:val="auto"/>
                <w:kern w:val="0"/>
                <w:sz w:val="24"/>
                <w:szCs w:val="24"/>
              </w:rPr>
              <w:t>企业生产条件、检验手段、生产技术或者工艺中有</w:t>
            </w:r>
            <w:r>
              <w:rPr>
                <w:rFonts w:hint="default" w:ascii="宋体" w:hAnsi="宋体" w:cs="宋体"/>
                <w:b w:val="0"/>
                <w:bCs w:val="0"/>
                <w:color w:val="auto"/>
                <w:kern w:val="0"/>
                <w:sz w:val="24"/>
                <w:szCs w:val="24"/>
                <w:lang w:val="en"/>
              </w:rPr>
              <w:t>2</w:t>
            </w:r>
            <w:r>
              <w:rPr>
                <w:rFonts w:hint="eastAsia" w:ascii="宋体" w:hAnsi="宋体" w:eastAsia="宋体" w:cs="宋体"/>
                <w:b w:val="0"/>
                <w:bCs w:val="0"/>
                <w:color w:val="auto"/>
                <w:kern w:val="0"/>
                <w:sz w:val="24"/>
                <w:szCs w:val="24"/>
              </w:rPr>
              <w:t>项发生变化的；</w:t>
            </w:r>
          </w:p>
          <w:p w14:paraId="02F4B62C">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(2)</w:t>
            </w:r>
            <w:r>
              <w:rPr>
                <w:rFonts w:hint="eastAsia" w:ascii="宋体" w:hAnsi="宋体" w:cs="宋体"/>
                <w:b w:val="0"/>
                <w:bCs w:val="0"/>
                <w:color w:val="auto"/>
                <w:kern w:val="0"/>
                <w:sz w:val="24"/>
                <w:szCs w:val="24"/>
                <w:lang w:val="en-US" w:eastAsia="zh-CN"/>
              </w:rPr>
              <w:t>产品已销售，追回全部或大部分的（50%以上），未导致危害后果。</w:t>
            </w:r>
          </w:p>
        </w:tc>
        <w:tc>
          <w:tcPr>
            <w:tcW w:w="3336" w:type="dxa"/>
            <w:noWrap w:val="0"/>
            <w:vAlign w:val="center"/>
          </w:tcPr>
          <w:p w14:paraId="1DCBD5CF">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责令停止生产、销售，没收违法生产、销售的产品，并限期办理相关手续；逾期仍未办理的，处违法生产、销售产品值金额1倍以上2倍以下罚款；有违法所得的，没收违法所得</w:t>
            </w:r>
            <w:r>
              <w:rPr>
                <w:rFonts w:hint="eastAsia" w:ascii="宋体" w:hAnsi="宋体" w:eastAsia="宋体" w:cs="宋体"/>
                <w:b w:val="0"/>
                <w:bCs w:val="0"/>
                <w:color w:val="auto"/>
                <w:kern w:val="0"/>
                <w:sz w:val="24"/>
                <w:szCs w:val="24"/>
                <w:lang w:eastAsia="zh-CN"/>
              </w:rPr>
              <w:t>。</w:t>
            </w:r>
          </w:p>
        </w:tc>
      </w:tr>
      <w:tr w14:paraId="4487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2" w:hRule="atLeast"/>
          <w:jc w:val="center"/>
        </w:trPr>
        <w:tc>
          <w:tcPr>
            <w:tcW w:w="610" w:type="dxa"/>
            <w:vMerge w:val="continue"/>
            <w:noWrap w:val="0"/>
            <w:vAlign w:val="center"/>
          </w:tcPr>
          <w:p w14:paraId="1E892A06">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11E48F48">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556AA531">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446C7FBC">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3B3766D9">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有下列情形之一</w:t>
            </w:r>
            <w:r>
              <w:rPr>
                <w:rFonts w:hint="eastAsia" w:ascii="宋体" w:hAnsi="宋体" w:cs="宋体"/>
                <w:b w:val="0"/>
                <w:bCs w:val="0"/>
                <w:color w:val="auto"/>
                <w:kern w:val="0"/>
                <w:sz w:val="24"/>
                <w:szCs w:val="24"/>
                <w:lang w:eastAsia="zh-CN"/>
              </w:rPr>
              <w:t>：</w:t>
            </w:r>
          </w:p>
          <w:p w14:paraId="1F96D2C5">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lang w:eastAsia="zh-CN"/>
              </w:rPr>
            </w:pPr>
            <w:r>
              <w:rPr>
                <w:rFonts w:hint="eastAsia" w:ascii="宋体" w:hAnsi="宋体" w:cs="宋体"/>
                <w:b w:val="0"/>
                <w:bCs w:val="0"/>
                <w:color w:val="auto"/>
                <w:kern w:val="0"/>
                <w:sz w:val="24"/>
                <w:szCs w:val="24"/>
                <w:lang w:eastAsia="zh-CN"/>
              </w:rPr>
              <w:t>(1)</w:t>
            </w:r>
            <w:r>
              <w:rPr>
                <w:rFonts w:hint="eastAsia" w:ascii="宋体" w:hAnsi="宋体" w:eastAsia="宋体" w:cs="宋体"/>
                <w:b w:val="0"/>
                <w:bCs w:val="0"/>
                <w:color w:val="auto"/>
                <w:kern w:val="0"/>
                <w:sz w:val="24"/>
                <w:szCs w:val="24"/>
              </w:rPr>
              <w:t>企业生产条件、检验手段、生产技术或者工艺中有</w:t>
            </w:r>
            <w:r>
              <w:rPr>
                <w:rFonts w:hint="default" w:ascii="宋体" w:hAnsi="宋体" w:cs="宋体"/>
                <w:b w:val="0"/>
                <w:bCs w:val="0"/>
                <w:color w:val="auto"/>
                <w:kern w:val="0"/>
                <w:sz w:val="24"/>
                <w:szCs w:val="24"/>
                <w:lang w:val="en"/>
              </w:rPr>
              <w:t>3</w:t>
            </w:r>
            <w:r>
              <w:rPr>
                <w:rFonts w:hint="eastAsia" w:ascii="宋体" w:hAnsi="宋体" w:eastAsia="宋体" w:cs="宋体"/>
                <w:b w:val="0"/>
                <w:bCs w:val="0"/>
                <w:color w:val="auto"/>
                <w:kern w:val="0"/>
                <w:sz w:val="24"/>
                <w:szCs w:val="24"/>
              </w:rPr>
              <w:t>项以上发生变化的；</w:t>
            </w:r>
          </w:p>
          <w:p w14:paraId="739E9555">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eastAsia="zh-CN"/>
              </w:rPr>
              <w:t>(2)</w:t>
            </w:r>
            <w:r>
              <w:rPr>
                <w:rFonts w:hint="eastAsia" w:ascii="宋体" w:hAnsi="宋体" w:eastAsia="宋体" w:cs="宋体"/>
                <w:b w:val="0"/>
                <w:bCs w:val="0"/>
                <w:color w:val="auto"/>
                <w:kern w:val="0"/>
                <w:sz w:val="24"/>
                <w:szCs w:val="24"/>
              </w:rPr>
              <w:t>产品已销售</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拒不追回的。</w:t>
            </w:r>
          </w:p>
        </w:tc>
        <w:tc>
          <w:tcPr>
            <w:tcW w:w="3336" w:type="dxa"/>
            <w:noWrap w:val="0"/>
            <w:vAlign w:val="center"/>
          </w:tcPr>
          <w:p w14:paraId="3CF432C6">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责令停止生产、销售，没收违法生产、销售的产品，并限期办理相关手续；逾期仍未办理的，处违法生产、销售产品值金额2倍以上3倍以下罚款；有违法所得的，没收违法所得</w:t>
            </w:r>
            <w:r>
              <w:rPr>
                <w:rFonts w:hint="eastAsia" w:ascii="宋体" w:hAnsi="宋体" w:eastAsia="宋体" w:cs="宋体"/>
                <w:b w:val="0"/>
                <w:bCs w:val="0"/>
                <w:color w:val="auto"/>
                <w:kern w:val="0"/>
                <w:sz w:val="24"/>
                <w:szCs w:val="24"/>
                <w:lang w:eastAsia="zh-CN"/>
              </w:rPr>
              <w:t>。</w:t>
            </w:r>
          </w:p>
        </w:tc>
      </w:tr>
      <w:tr w14:paraId="27EF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jc w:val="center"/>
        </w:trPr>
        <w:tc>
          <w:tcPr>
            <w:tcW w:w="610" w:type="dxa"/>
            <w:vMerge w:val="restart"/>
            <w:noWrap w:val="0"/>
            <w:vAlign w:val="center"/>
          </w:tcPr>
          <w:p w14:paraId="3761D149">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rPr>
              <w:t>9</w:t>
            </w:r>
            <w:r>
              <w:rPr>
                <w:rFonts w:hint="eastAsia" w:ascii="宋体" w:hAnsi="宋体" w:cs="宋体"/>
                <w:b w:val="0"/>
                <w:bCs w:val="0"/>
                <w:color w:val="auto"/>
                <w:kern w:val="0"/>
                <w:sz w:val="24"/>
                <w:szCs w:val="24"/>
                <w:lang w:val="en-US" w:eastAsia="zh-CN"/>
              </w:rPr>
              <w:t>8</w:t>
            </w:r>
          </w:p>
        </w:tc>
        <w:tc>
          <w:tcPr>
            <w:tcW w:w="1750" w:type="dxa"/>
            <w:vMerge w:val="restart"/>
            <w:noWrap w:val="0"/>
            <w:vAlign w:val="center"/>
          </w:tcPr>
          <w:p w14:paraId="1DEE2984">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《中华人民共和国工业产品生产许可证管理条例》</w:t>
            </w:r>
          </w:p>
        </w:tc>
        <w:tc>
          <w:tcPr>
            <w:tcW w:w="4203" w:type="dxa"/>
            <w:vMerge w:val="restart"/>
            <w:noWrap w:val="0"/>
            <w:vAlign w:val="center"/>
          </w:tcPr>
          <w:p w14:paraId="0B9CB507">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第四十六条</w:t>
            </w:r>
            <w:r>
              <w:rPr>
                <w:rFonts w:hint="eastAsia" w:ascii="宋体" w:hAnsi="宋体" w:eastAsia="宋体" w:cs="宋体"/>
                <w:b w:val="0"/>
                <w:bCs w:val="0"/>
                <w:color w:val="auto"/>
                <w:kern w:val="0"/>
                <w:sz w:val="24"/>
                <w:szCs w:val="24"/>
                <w:lang w:eastAsia="zh-CN"/>
              </w:rPr>
              <w:t>第二款</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取得生产许可证的企业名称发生变化，未依照本条例规定办理变更手续的，责令限期办理相关手续；逾期仍未办理的，责令停止生产、销售，没收违法生产、销售的产品，并处违法生产、销售产品货值金额等值以下的罚款；有违法所得的，没收违法所得。</w:t>
            </w:r>
          </w:p>
        </w:tc>
        <w:tc>
          <w:tcPr>
            <w:tcW w:w="1141" w:type="dxa"/>
            <w:noWrap w:val="0"/>
            <w:vAlign w:val="center"/>
          </w:tcPr>
          <w:p w14:paraId="57E5C9B9">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0E75B8A7">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经责令限期办理，逾期</w:t>
            </w:r>
            <w:r>
              <w:rPr>
                <w:rFonts w:hint="eastAsia" w:ascii="宋体" w:hAnsi="宋体" w:cs="宋体"/>
                <w:b w:val="0"/>
                <w:bCs w:val="0"/>
                <w:color w:val="auto"/>
                <w:kern w:val="0"/>
                <w:sz w:val="24"/>
                <w:szCs w:val="24"/>
                <w:lang w:val="en-US" w:eastAsia="zh-CN"/>
              </w:rPr>
              <w:t>不超过</w:t>
            </w:r>
            <w:r>
              <w:rPr>
                <w:rFonts w:hint="eastAsia" w:ascii="宋体" w:hAnsi="宋体" w:eastAsia="宋体" w:cs="宋体"/>
                <w:b w:val="0"/>
                <w:bCs w:val="0"/>
                <w:color w:val="auto"/>
                <w:kern w:val="0"/>
                <w:sz w:val="24"/>
                <w:szCs w:val="24"/>
              </w:rPr>
              <w:t>5日拒不改正的。</w:t>
            </w:r>
          </w:p>
        </w:tc>
        <w:tc>
          <w:tcPr>
            <w:tcW w:w="3336" w:type="dxa"/>
            <w:noWrap w:val="0"/>
            <w:vAlign w:val="center"/>
          </w:tcPr>
          <w:p w14:paraId="6DE7F4F0">
            <w:pPr>
              <w:keepNext w:val="0"/>
              <w:keepLines w:val="0"/>
              <w:pageBreakBefore w:val="0"/>
              <w:widowControl/>
              <w:kinsoku/>
              <w:wordWrap/>
              <w:overflowPunct/>
              <w:topLinePunct w:val="0"/>
              <w:autoSpaceDE/>
              <w:autoSpaceDN/>
              <w:bidi w:val="0"/>
              <w:adjustRightInd/>
              <w:snapToGrid/>
              <w:spacing w:before="157" w:beforeLines="50" w:after="157" w:afterLines="50" w:line="43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责令停止生产、销售，没收违法生产、销售的产品，并处违法生产、销售产品货值金额30%以下的罚款。有违法所得的，没收违法所得。</w:t>
            </w:r>
          </w:p>
        </w:tc>
      </w:tr>
      <w:tr w14:paraId="2926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5" w:hRule="atLeast"/>
          <w:jc w:val="center"/>
        </w:trPr>
        <w:tc>
          <w:tcPr>
            <w:tcW w:w="610" w:type="dxa"/>
            <w:vMerge w:val="continue"/>
            <w:noWrap w:val="0"/>
            <w:vAlign w:val="center"/>
          </w:tcPr>
          <w:p w14:paraId="36BE6D41">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1C5DB912">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5CDAAFBA">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7385A162">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2D9C2163">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经责令限期办理，逾期5日</w:t>
            </w:r>
            <w:r>
              <w:rPr>
                <w:rFonts w:hint="eastAsia" w:ascii="宋体" w:hAnsi="宋体" w:cs="宋体"/>
                <w:b w:val="0"/>
                <w:bCs w:val="0"/>
                <w:color w:val="auto"/>
                <w:kern w:val="0"/>
                <w:sz w:val="24"/>
                <w:szCs w:val="24"/>
                <w:lang w:val="en-US" w:eastAsia="zh-CN"/>
              </w:rPr>
              <w:t>以上</w:t>
            </w:r>
            <w:r>
              <w:rPr>
                <w:rFonts w:hint="eastAsia" w:ascii="宋体" w:hAnsi="宋体" w:eastAsia="宋体" w:cs="宋体"/>
                <w:b w:val="0"/>
                <w:bCs w:val="0"/>
                <w:color w:val="auto"/>
                <w:kern w:val="0"/>
                <w:sz w:val="24"/>
                <w:szCs w:val="24"/>
              </w:rPr>
              <w:t>10日</w:t>
            </w:r>
            <w:r>
              <w:rPr>
                <w:rFonts w:hint="eastAsia" w:ascii="宋体" w:hAnsi="宋体" w:cs="宋体"/>
                <w:b w:val="0"/>
                <w:bCs w:val="0"/>
                <w:color w:val="auto"/>
                <w:kern w:val="0"/>
                <w:sz w:val="24"/>
                <w:szCs w:val="24"/>
                <w:lang w:val="en-US" w:eastAsia="zh-CN"/>
              </w:rPr>
              <w:t>以下</w:t>
            </w:r>
            <w:r>
              <w:rPr>
                <w:rFonts w:hint="eastAsia" w:ascii="宋体" w:hAnsi="宋体" w:eastAsia="宋体" w:cs="宋体"/>
                <w:b w:val="0"/>
                <w:bCs w:val="0"/>
                <w:color w:val="auto"/>
                <w:kern w:val="0"/>
                <w:sz w:val="24"/>
                <w:szCs w:val="24"/>
              </w:rPr>
              <w:t>拒不改正的。</w:t>
            </w:r>
          </w:p>
        </w:tc>
        <w:tc>
          <w:tcPr>
            <w:tcW w:w="3336" w:type="dxa"/>
            <w:noWrap w:val="0"/>
            <w:vAlign w:val="center"/>
          </w:tcPr>
          <w:p w14:paraId="64B6E0A8">
            <w:pPr>
              <w:keepNext w:val="0"/>
              <w:keepLines w:val="0"/>
              <w:pageBreakBefore w:val="0"/>
              <w:widowControl/>
              <w:kinsoku/>
              <w:wordWrap/>
              <w:overflowPunct/>
              <w:topLinePunct w:val="0"/>
              <w:autoSpaceDE/>
              <w:autoSpaceDN/>
              <w:bidi w:val="0"/>
              <w:adjustRightInd/>
              <w:snapToGrid/>
              <w:spacing w:before="157" w:beforeLines="50" w:after="157" w:afterLines="50" w:line="400" w:lineRule="exact"/>
              <w:jc w:val="left"/>
              <w:textAlignment w:val="auto"/>
              <w:rPr>
                <w:rFonts w:hint="eastAsia" w:ascii="宋体" w:hAnsi="宋体" w:eastAsia="宋体" w:cs="宋体"/>
                <w:b w:val="0"/>
                <w:bCs w:val="0"/>
                <w:color w:val="auto"/>
                <w:spacing w:val="-11"/>
                <w:kern w:val="0"/>
                <w:sz w:val="24"/>
                <w:szCs w:val="24"/>
              </w:rPr>
            </w:pPr>
            <w:r>
              <w:rPr>
                <w:rFonts w:hint="eastAsia" w:ascii="宋体" w:hAnsi="宋体" w:eastAsia="宋体" w:cs="宋体"/>
                <w:b w:val="0"/>
                <w:bCs w:val="0"/>
                <w:color w:val="auto"/>
                <w:spacing w:val="-11"/>
                <w:kern w:val="0"/>
                <w:sz w:val="24"/>
                <w:szCs w:val="24"/>
              </w:rPr>
              <w:t>责令停止生产、销售，没收违法生产、销售的产品，并处违</w:t>
            </w:r>
            <w:r>
              <w:rPr>
                <w:rFonts w:hint="eastAsia" w:ascii="宋体" w:hAnsi="宋体" w:eastAsia="宋体" w:cs="宋体"/>
                <w:b w:val="0"/>
                <w:bCs w:val="0"/>
                <w:color w:val="auto"/>
                <w:spacing w:val="-6"/>
                <w:kern w:val="0"/>
                <w:sz w:val="24"/>
                <w:szCs w:val="24"/>
              </w:rPr>
              <w:t>法生产、销售产品货值金额30%以上70%以下的罚款。</w:t>
            </w:r>
            <w:r>
              <w:rPr>
                <w:rFonts w:hint="eastAsia" w:ascii="宋体" w:hAnsi="宋体" w:eastAsia="宋体" w:cs="宋体"/>
                <w:b w:val="0"/>
                <w:bCs w:val="0"/>
                <w:color w:val="auto"/>
                <w:kern w:val="0"/>
                <w:sz w:val="24"/>
                <w:szCs w:val="24"/>
              </w:rPr>
              <w:t>有违法所得的，没收违法所得。</w:t>
            </w:r>
          </w:p>
        </w:tc>
      </w:tr>
      <w:tr w14:paraId="0FB1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1" w:hRule="atLeast"/>
          <w:jc w:val="center"/>
        </w:trPr>
        <w:tc>
          <w:tcPr>
            <w:tcW w:w="610" w:type="dxa"/>
            <w:vMerge w:val="continue"/>
            <w:noWrap w:val="0"/>
            <w:vAlign w:val="center"/>
          </w:tcPr>
          <w:p w14:paraId="5E6233B6">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p>
        </w:tc>
        <w:tc>
          <w:tcPr>
            <w:tcW w:w="1750" w:type="dxa"/>
            <w:vMerge w:val="continue"/>
            <w:noWrap w:val="0"/>
            <w:vAlign w:val="center"/>
          </w:tcPr>
          <w:p w14:paraId="055EF8C2">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p>
        </w:tc>
        <w:tc>
          <w:tcPr>
            <w:tcW w:w="4203" w:type="dxa"/>
            <w:vMerge w:val="continue"/>
            <w:noWrap w:val="0"/>
            <w:vAlign w:val="center"/>
          </w:tcPr>
          <w:p w14:paraId="2D1EC971">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1B769333">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234F7A50">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经责令限期办理，逾期10日以上拒不改正的。</w:t>
            </w:r>
          </w:p>
        </w:tc>
        <w:tc>
          <w:tcPr>
            <w:tcW w:w="3336" w:type="dxa"/>
            <w:noWrap w:val="0"/>
            <w:vAlign w:val="center"/>
          </w:tcPr>
          <w:p w14:paraId="71F6BB3C">
            <w:pPr>
              <w:keepNext w:val="0"/>
              <w:keepLines w:val="0"/>
              <w:pageBreakBefore w:val="0"/>
              <w:widowControl/>
              <w:kinsoku/>
              <w:wordWrap/>
              <w:overflowPunct/>
              <w:topLinePunct w:val="0"/>
              <w:autoSpaceDE/>
              <w:autoSpaceDN/>
              <w:bidi w:val="0"/>
              <w:adjustRightInd/>
              <w:snapToGrid/>
              <w:spacing w:before="157" w:beforeLines="50" w:after="157" w:afterLines="50" w:line="400" w:lineRule="exact"/>
              <w:jc w:val="both"/>
              <w:textAlignment w:val="auto"/>
              <w:rPr>
                <w:rFonts w:hint="eastAsia" w:ascii="宋体" w:hAnsi="宋体" w:eastAsia="宋体" w:cs="宋体"/>
                <w:b w:val="0"/>
                <w:bCs w:val="0"/>
                <w:color w:val="auto"/>
                <w:spacing w:val="-11"/>
                <w:kern w:val="0"/>
                <w:sz w:val="24"/>
                <w:szCs w:val="24"/>
              </w:rPr>
            </w:pPr>
            <w:r>
              <w:rPr>
                <w:rFonts w:hint="eastAsia" w:ascii="宋体" w:hAnsi="宋体" w:eastAsia="宋体" w:cs="宋体"/>
                <w:b w:val="0"/>
                <w:bCs w:val="0"/>
                <w:color w:val="auto"/>
                <w:spacing w:val="-11"/>
                <w:kern w:val="0"/>
                <w:sz w:val="24"/>
                <w:szCs w:val="24"/>
              </w:rPr>
              <w:t>责令停止生产、销售，没收违法生产、销售的产品，并处违</w:t>
            </w:r>
            <w:r>
              <w:rPr>
                <w:rFonts w:hint="eastAsia" w:ascii="宋体" w:hAnsi="宋体" w:eastAsia="宋体" w:cs="宋体"/>
                <w:b w:val="0"/>
                <w:bCs w:val="0"/>
                <w:color w:val="auto"/>
                <w:spacing w:val="-6"/>
                <w:kern w:val="0"/>
                <w:sz w:val="24"/>
                <w:szCs w:val="24"/>
              </w:rPr>
              <w:t>法生产、销售产品货值金额70%以上等值以下的罚款</w:t>
            </w:r>
            <w:r>
              <w:rPr>
                <w:rFonts w:hint="eastAsia" w:ascii="宋体" w:hAnsi="宋体" w:eastAsia="宋体" w:cs="宋体"/>
                <w:b w:val="0"/>
                <w:bCs w:val="0"/>
                <w:color w:val="auto"/>
                <w:spacing w:val="-11"/>
                <w:kern w:val="0"/>
                <w:sz w:val="24"/>
                <w:szCs w:val="24"/>
              </w:rPr>
              <w:t>。</w:t>
            </w:r>
            <w:r>
              <w:rPr>
                <w:rFonts w:hint="eastAsia" w:ascii="宋体" w:hAnsi="宋体" w:eastAsia="宋体" w:cs="宋体"/>
                <w:b w:val="0"/>
                <w:bCs w:val="0"/>
                <w:color w:val="auto"/>
                <w:kern w:val="0"/>
                <w:sz w:val="24"/>
                <w:szCs w:val="24"/>
              </w:rPr>
              <w:t>有违法所得的，没收违法所得。</w:t>
            </w:r>
          </w:p>
        </w:tc>
      </w:tr>
      <w:tr w14:paraId="6EEDB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jc w:val="center"/>
        </w:trPr>
        <w:tc>
          <w:tcPr>
            <w:tcW w:w="610" w:type="dxa"/>
            <w:vMerge w:val="restart"/>
            <w:noWrap w:val="0"/>
            <w:vAlign w:val="center"/>
          </w:tcPr>
          <w:p w14:paraId="33EC35D9">
            <w:pPr>
              <w:keepNext w:val="0"/>
              <w:keepLines w:val="0"/>
              <w:pageBreakBefore w:val="0"/>
              <w:widowControl/>
              <w:kinsoku/>
              <w:wordWrap/>
              <w:overflowPunct/>
              <w:topLinePunct w:val="0"/>
              <w:autoSpaceDE/>
              <w:autoSpaceDN/>
              <w:bidi w:val="0"/>
              <w:adjustRightInd/>
              <w:snapToGrid/>
              <w:spacing w:line="420" w:lineRule="exact"/>
              <w:jc w:val="center"/>
              <w:rPr>
                <w:rFonts w:hint="default" w:ascii="宋体" w:hAnsi="宋体" w:eastAsia="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99</w:t>
            </w:r>
          </w:p>
        </w:tc>
        <w:tc>
          <w:tcPr>
            <w:tcW w:w="1750" w:type="dxa"/>
            <w:vMerge w:val="restart"/>
            <w:noWrap w:val="0"/>
            <w:vAlign w:val="center"/>
          </w:tcPr>
          <w:p w14:paraId="7983F2C7">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《中华人民共和国工业产品生产许可证管理条例》</w:t>
            </w:r>
          </w:p>
        </w:tc>
        <w:tc>
          <w:tcPr>
            <w:tcW w:w="4203" w:type="dxa"/>
            <w:vMerge w:val="restart"/>
            <w:noWrap w:val="0"/>
            <w:vAlign w:val="center"/>
          </w:tcPr>
          <w:p w14:paraId="5FA8E131">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第四十七条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取得生产许可证的企业未依照本条例规定在产品、包装或者说明书上标注生产许可证标志和编号的，责令限期改正；逾期仍未改正的，处违法生产、销售产品货值金额30%以下的罚款；有违法所得的，没收违法所得；情节严重的，吊销生产许可证。</w:t>
            </w:r>
          </w:p>
        </w:tc>
        <w:tc>
          <w:tcPr>
            <w:tcW w:w="1141" w:type="dxa"/>
            <w:noWrap w:val="0"/>
            <w:vAlign w:val="center"/>
          </w:tcPr>
          <w:p w14:paraId="06B7A84B">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7A285C26">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经责令限期改正，逾期</w:t>
            </w:r>
            <w:r>
              <w:rPr>
                <w:rFonts w:hint="eastAsia" w:ascii="宋体" w:hAnsi="宋体" w:cs="宋体"/>
                <w:b w:val="0"/>
                <w:bCs w:val="0"/>
                <w:color w:val="auto"/>
                <w:kern w:val="0"/>
                <w:sz w:val="24"/>
                <w:szCs w:val="24"/>
                <w:lang w:val="en-US" w:eastAsia="zh-CN"/>
              </w:rPr>
              <w:t>不超过</w:t>
            </w:r>
            <w:r>
              <w:rPr>
                <w:rFonts w:hint="eastAsia" w:ascii="宋体" w:hAnsi="宋体" w:eastAsia="宋体" w:cs="宋体"/>
                <w:b w:val="0"/>
                <w:bCs w:val="0"/>
                <w:color w:val="auto"/>
                <w:kern w:val="0"/>
                <w:sz w:val="24"/>
                <w:szCs w:val="24"/>
              </w:rPr>
              <w:t>5日拒不改正的。</w:t>
            </w:r>
          </w:p>
        </w:tc>
        <w:tc>
          <w:tcPr>
            <w:tcW w:w="3336" w:type="dxa"/>
            <w:noWrap w:val="0"/>
            <w:vAlign w:val="center"/>
          </w:tcPr>
          <w:p w14:paraId="162EDECD">
            <w:pPr>
              <w:keepNext w:val="0"/>
              <w:keepLines w:val="0"/>
              <w:pageBreakBefore w:val="0"/>
              <w:widowControl/>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处违法生产、销售产品货值金额10%以下的罚款；有违法所得的，没收违法所得。</w:t>
            </w:r>
          </w:p>
        </w:tc>
      </w:tr>
      <w:tr w14:paraId="08FF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9" w:hRule="atLeast"/>
          <w:jc w:val="center"/>
        </w:trPr>
        <w:tc>
          <w:tcPr>
            <w:tcW w:w="610" w:type="dxa"/>
            <w:vMerge w:val="continue"/>
            <w:noWrap w:val="0"/>
            <w:vAlign w:val="center"/>
          </w:tcPr>
          <w:p w14:paraId="19F3D173">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0FCE3B42">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4446A53B">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47EF1DEF">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7B2D3431">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经责令限期改正，逾期5日</w:t>
            </w:r>
            <w:r>
              <w:rPr>
                <w:rFonts w:hint="eastAsia" w:ascii="宋体" w:hAnsi="宋体" w:cs="宋体"/>
                <w:b w:val="0"/>
                <w:bCs w:val="0"/>
                <w:color w:val="auto"/>
                <w:kern w:val="0"/>
                <w:sz w:val="24"/>
                <w:szCs w:val="24"/>
                <w:lang w:val="en-US" w:eastAsia="zh-CN"/>
              </w:rPr>
              <w:t>以上</w:t>
            </w:r>
            <w:r>
              <w:rPr>
                <w:rFonts w:hint="eastAsia" w:ascii="宋体" w:hAnsi="宋体" w:eastAsia="宋体" w:cs="宋体"/>
                <w:b w:val="0"/>
                <w:bCs w:val="0"/>
                <w:color w:val="auto"/>
                <w:kern w:val="0"/>
                <w:sz w:val="24"/>
                <w:szCs w:val="24"/>
              </w:rPr>
              <w:t>10日</w:t>
            </w:r>
            <w:r>
              <w:rPr>
                <w:rFonts w:hint="eastAsia" w:ascii="宋体" w:hAnsi="宋体" w:cs="宋体"/>
                <w:b w:val="0"/>
                <w:bCs w:val="0"/>
                <w:color w:val="auto"/>
                <w:kern w:val="0"/>
                <w:sz w:val="24"/>
                <w:szCs w:val="24"/>
                <w:lang w:val="en-US" w:eastAsia="zh-CN"/>
              </w:rPr>
              <w:t>以下</w:t>
            </w:r>
            <w:r>
              <w:rPr>
                <w:rFonts w:hint="eastAsia" w:ascii="宋体" w:hAnsi="宋体" w:eastAsia="宋体" w:cs="宋体"/>
                <w:b w:val="0"/>
                <w:bCs w:val="0"/>
                <w:color w:val="auto"/>
                <w:kern w:val="0"/>
                <w:sz w:val="24"/>
                <w:szCs w:val="24"/>
              </w:rPr>
              <w:t>拒不改正的。</w:t>
            </w:r>
          </w:p>
        </w:tc>
        <w:tc>
          <w:tcPr>
            <w:tcW w:w="3336" w:type="dxa"/>
            <w:noWrap w:val="0"/>
            <w:vAlign w:val="center"/>
          </w:tcPr>
          <w:p w14:paraId="0C61A74E">
            <w:pPr>
              <w:keepNext w:val="0"/>
              <w:keepLines w:val="0"/>
              <w:pageBreakBefore w:val="0"/>
              <w:widowControl/>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处违法生产、销售产品货值金额10%以上20%以下的罚款；有违法所得的，没收违法所得。</w:t>
            </w:r>
          </w:p>
        </w:tc>
      </w:tr>
      <w:tr w14:paraId="2EDE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610" w:type="dxa"/>
            <w:vMerge w:val="continue"/>
            <w:noWrap w:val="0"/>
            <w:vAlign w:val="center"/>
          </w:tcPr>
          <w:p w14:paraId="173420C7">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76E61912">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7033DF03">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65027A31">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26546694">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经责令限期改正，逾期10日以上拒不改正的。</w:t>
            </w:r>
          </w:p>
        </w:tc>
        <w:tc>
          <w:tcPr>
            <w:tcW w:w="3336" w:type="dxa"/>
            <w:noWrap w:val="0"/>
            <w:vAlign w:val="center"/>
          </w:tcPr>
          <w:p w14:paraId="6FA51794">
            <w:pPr>
              <w:keepNext w:val="0"/>
              <w:keepLines w:val="0"/>
              <w:pageBreakBefore w:val="0"/>
              <w:widowControl/>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处违法生产、销售产品货值金额20%以上30%以下的罚款；有违法所得的，没收违法所得。</w:t>
            </w:r>
          </w:p>
        </w:tc>
      </w:tr>
      <w:tr w14:paraId="6E89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jc w:val="center"/>
        </w:trPr>
        <w:tc>
          <w:tcPr>
            <w:tcW w:w="610" w:type="dxa"/>
            <w:vMerge w:val="continue"/>
            <w:noWrap w:val="0"/>
            <w:vAlign w:val="center"/>
          </w:tcPr>
          <w:p w14:paraId="0E8C6802">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353E0847">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4EBCD6AC">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28FCEEEF">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严重</w:t>
            </w:r>
          </w:p>
        </w:tc>
        <w:tc>
          <w:tcPr>
            <w:tcW w:w="3133" w:type="dxa"/>
            <w:noWrap w:val="0"/>
            <w:vAlign w:val="center"/>
          </w:tcPr>
          <w:p w14:paraId="184C5772">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情节严重的</w:t>
            </w:r>
            <w:r>
              <w:rPr>
                <w:rFonts w:hint="eastAsia" w:ascii="宋体" w:hAnsi="宋体" w:eastAsia="宋体" w:cs="宋体"/>
                <w:b w:val="0"/>
                <w:bCs w:val="0"/>
                <w:color w:val="auto"/>
                <w:kern w:val="0"/>
                <w:sz w:val="24"/>
                <w:szCs w:val="24"/>
                <w:lang w:eastAsia="zh-CN"/>
              </w:rPr>
              <w:t>。</w:t>
            </w:r>
          </w:p>
        </w:tc>
        <w:tc>
          <w:tcPr>
            <w:tcW w:w="3336" w:type="dxa"/>
            <w:noWrap w:val="0"/>
            <w:vAlign w:val="center"/>
          </w:tcPr>
          <w:p w14:paraId="64830628">
            <w:pPr>
              <w:keepNext w:val="0"/>
              <w:keepLines w:val="0"/>
              <w:pageBreakBefore w:val="0"/>
              <w:widowControl/>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吊销生产许可证。</w:t>
            </w:r>
          </w:p>
        </w:tc>
      </w:tr>
      <w:tr w14:paraId="63B1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610" w:type="dxa"/>
            <w:vMerge w:val="restart"/>
            <w:noWrap w:val="0"/>
            <w:vAlign w:val="center"/>
          </w:tcPr>
          <w:p w14:paraId="1F11B716">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10</w:t>
            </w:r>
            <w:r>
              <w:rPr>
                <w:rFonts w:hint="eastAsia" w:ascii="宋体" w:hAnsi="宋体" w:cs="宋体"/>
                <w:b w:val="0"/>
                <w:bCs w:val="0"/>
                <w:color w:val="auto"/>
                <w:kern w:val="0"/>
                <w:sz w:val="24"/>
                <w:szCs w:val="24"/>
                <w:lang w:val="en-US" w:eastAsia="zh-CN"/>
              </w:rPr>
              <w:t>0</w:t>
            </w:r>
          </w:p>
        </w:tc>
        <w:tc>
          <w:tcPr>
            <w:tcW w:w="1750" w:type="dxa"/>
            <w:vMerge w:val="restart"/>
            <w:noWrap w:val="0"/>
            <w:vAlign w:val="center"/>
          </w:tcPr>
          <w:p w14:paraId="09F887AB">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《中华人民共和国工业产品生产许可证管理条例》</w:t>
            </w:r>
          </w:p>
        </w:tc>
        <w:tc>
          <w:tcPr>
            <w:tcW w:w="4203" w:type="dxa"/>
            <w:vMerge w:val="restart"/>
            <w:noWrap w:val="0"/>
            <w:vAlign w:val="center"/>
          </w:tcPr>
          <w:p w14:paraId="791D236F">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第四十八条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销售或者在经营活动中使用未取得生产许可证的列入目录产品的，责令改正，处５万元以上</w:t>
            </w:r>
            <w:r>
              <w:rPr>
                <w:rFonts w:hint="eastAsia" w:ascii="宋体" w:hAnsi="宋体" w:eastAsia="宋体" w:cs="宋体"/>
                <w:b w:val="0"/>
                <w:bCs w:val="0"/>
                <w:color w:val="auto"/>
                <w:kern w:val="0"/>
                <w:sz w:val="24"/>
                <w:szCs w:val="24"/>
                <w:lang w:val="en-US" w:eastAsia="zh-CN"/>
              </w:rPr>
              <w:t>20</w:t>
            </w:r>
            <w:r>
              <w:rPr>
                <w:rFonts w:hint="eastAsia" w:ascii="宋体" w:hAnsi="宋体" w:eastAsia="宋体" w:cs="宋体"/>
                <w:b w:val="0"/>
                <w:bCs w:val="0"/>
                <w:color w:val="auto"/>
                <w:kern w:val="0"/>
                <w:sz w:val="24"/>
                <w:szCs w:val="24"/>
              </w:rPr>
              <w:t>万元以下的罚款；有违法所得的，没收违法所得；构成犯罪的，依法追究刑事责任。</w:t>
            </w:r>
          </w:p>
        </w:tc>
        <w:tc>
          <w:tcPr>
            <w:tcW w:w="1141" w:type="dxa"/>
            <w:noWrap w:val="0"/>
            <w:vAlign w:val="center"/>
          </w:tcPr>
          <w:p w14:paraId="5FA5A993">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7B761F53">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违法产品货值金额20万元以下的。</w:t>
            </w:r>
          </w:p>
        </w:tc>
        <w:tc>
          <w:tcPr>
            <w:tcW w:w="3336" w:type="dxa"/>
            <w:noWrap w:val="0"/>
            <w:vAlign w:val="center"/>
          </w:tcPr>
          <w:p w14:paraId="4C734344">
            <w:pPr>
              <w:keepNext w:val="0"/>
              <w:keepLines w:val="0"/>
              <w:pageBreakBefore w:val="0"/>
              <w:widowControl/>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责令改正，处5万元以上</w:t>
            </w:r>
            <w:r>
              <w:rPr>
                <w:rFonts w:hint="eastAsia" w:ascii="宋体" w:hAnsi="宋体" w:eastAsia="宋体" w:cs="宋体"/>
                <w:b w:val="0"/>
                <w:bCs w:val="0"/>
                <w:color w:val="auto"/>
                <w:kern w:val="0"/>
                <w:sz w:val="24"/>
                <w:szCs w:val="24"/>
                <w:lang w:val="en-US" w:eastAsia="zh-CN"/>
              </w:rPr>
              <w:t>9.5</w:t>
            </w:r>
            <w:r>
              <w:rPr>
                <w:rFonts w:hint="eastAsia" w:ascii="宋体" w:hAnsi="宋体" w:eastAsia="宋体" w:cs="宋体"/>
                <w:b w:val="0"/>
                <w:bCs w:val="0"/>
                <w:color w:val="auto"/>
                <w:kern w:val="0"/>
                <w:sz w:val="24"/>
                <w:szCs w:val="24"/>
              </w:rPr>
              <w:t>万元以下的罚款；有违法所得的，没收违法所得。</w:t>
            </w:r>
          </w:p>
        </w:tc>
      </w:tr>
      <w:tr w14:paraId="6F4E2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610" w:type="dxa"/>
            <w:vMerge w:val="continue"/>
            <w:noWrap w:val="0"/>
            <w:vAlign w:val="center"/>
          </w:tcPr>
          <w:p w14:paraId="1267F3D6">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0A52D28C">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5929F85F">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4745EA96">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206B0CFD">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违法产品货值金额20万元以上50万元以下的。</w:t>
            </w:r>
          </w:p>
        </w:tc>
        <w:tc>
          <w:tcPr>
            <w:tcW w:w="3336" w:type="dxa"/>
            <w:noWrap w:val="0"/>
            <w:vAlign w:val="center"/>
          </w:tcPr>
          <w:p w14:paraId="060E6F3A">
            <w:pPr>
              <w:keepNext w:val="0"/>
              <w:keepLines w:val="0"/>
              <w:pageBreakBefore w:val="0"/>
              <w:widowControl/>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责令改正，处</w:t>
            </w:r>
            <w:r>
              <w:rPr>
                <w:rFonts w:hint="eastAsia" w:ascii="宋体" w:hAnsi="宋体" w:eastAsia="宋体" w:cs="宋体"/>
                <w:b w:val="0"/>
                <w:bCs w:val="0"/>
                <w:color w:val="auto"/>
                <w:kern w:val="0"/>
                <w:sz w:val="24"/>
                <w:szCs w:val="24"/>
                <w:lang w:val="en-US" w:eastAsia="zh-CN"/>
              </w:rPr>
              <w:t>9.5</w:t>
            </w:r>
            <w:r>
              <w:rPr>
                <w:rFonts w:hint="eastAsia" w:ascii="宋体" w:hAnsi="宋体" w:eastAsia="宋体" w:cs="宋体"/>
                <w:b w:val="0"/>
                <w:bCs w:val="0"/>
                <w:color w:val="auto"/>
                <w:kern w:val="0"/>
                <w:sz w:val="24"/>
                <w:szCs w:val="24"/>
              </w:rPr>
              <w:t>万元以上15</w:t>
            </w:r>
            <w:r>
              <w:rPr>
                <w:rFonts w:hint="eastAsia" w:ascii="宋体" w:hAnsi="宋体" w:eastAsia="宋体" w:cs="宋体"/>
                <w:b w:val="0"/>
                <w:bCs w:val="0"/>
                <w:color w:val="auto"/>
                <w:kern w:val="0"/>
                <w:sz w:val="24"/>
                <w:szCs w:val="24"/>
                <w:lang w:val="en-US" w:eastAsia="zh-CN"/>
              </w:rPr>
              <w:t>.5</w:t>
            </w:r>
            <w:r>
              <w:rPr>
                <w:rFonts w:hint="eastAsia" w:ascii="宋体" w:hAnsi="宋体" w:eastAsia="宋体" w:cs="宋体"/>
                <w:b w:val="0"/>
                <w:bCs w:val="0"/>
                <w:color w:val="auto"/>
                <w:kern w:val="0"/>
                <w:sz w:val="24"/>
                <w:szCs w:val="24"/>
              </w:rPr>
              <w:t>万元以下的罚款；有违法所得的，没收违法所得。</w:t>
            </w:r>
          </w:p>
        </w:tc>
      </w:tr>
      <w:tr w14:paraId="5B35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610" w:type="dxa"/>
            <w:vMerge w:val="continue"/>
            <w:noWrap w:val="0"/>
            <w:vAlign w:val="center"/>
          </w:tcPr>
          <w:p w14:paraId="7D8C758F">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28588FFF">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7F380532">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0D6F5946">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4DFF499A">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违法产品货值金额50万元以上的。</w:t>
            </w:r>
          </w:p>
        </w:tc>
        <w:tc>
          <w:tcPr>
            <w:tcW w:w="3336" w:type="dxa"/>
            <w:noWrap w:val="0"/>
            <w:vAlign w:val="center"/>
          </w:tcPr>
          <w:p w14:paraId="33D0F506">
            <w:pPr>
              <w:keepNext w:val="0"/>
              <w:keepLines w:val="0"/>
              <w:pageBreakBefore w:val="0"/>
              <w:widowControl/>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责令改正，处15</w:t>
            </w:r>
            <w:r>
              <w:rPr>
                <w:rFonts w:hint="eastAsia" w:ascii="宋体" w:hAnsi="宋体" w:eastAsia="宋体" w:cs="宋体"/>
                <w:b w:val="0"/>
                <w:bCs w:val="0"/>
                <w:color w:val="auto"/>
                <w:kern w:val="0"/>
                <w:sz w:val="24"/>
                <w:szCs w:val="24"/>
                <w:lang w:val="en-US" w:eastAsia="zh-CN"/>
              </w:rPr>
              <w:t>.5</w:t>
            </w:r>
            <w:r>
              <w:rPr>
                <w:rFonts w:hint="eastAsia" w:ascii="宋体" w:hAnsi="宋体" w:eastAsia="宋体" w:cs="宋体"/>
                <w:b w:val="0"/>
                <w:bCs w:val="0"/>
                <w:color w:val="auto"/>
                <w:kern w:val="0"/>
                <w:sz w:val="24"/>
                <w:szCs w:val="24"/>
              </w:rPr>
              <w:t>万元以上20万元以下的罚款；有违法所得的，没收违法所得。</w:t>
            </w:r>
          </w:p>
        </w:tc>
      </w:tr>
      <w:tr w14:paraId="1987A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610" w:type="dxa"/>
            <w:vMerge w:val="restart"/>
            <w:noWrap w:val="0"/>
            <w:vAlign w:val="center"/>
          </w:tcPr>
          <w:p w14:paraId="080172A5">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10</w:t>
            </w:r>
            <w:r>
              <w:rPr>
                <w:rFonts w:hint="eastAsia" w:ascii="宋体" w:hAnsi="宋体" w:cs="宋体"/>
                <w:b w:val="0"/>
                <w:bCs w:val="0"/>
                <w:color w:val="auto"/>
                <w:kern w:val="0"/>
                <w:sz w:val="24"/>
                <w:szCs w:val="24"/>
                <w:lang w:val="en-US" w:eastAsia="zh-CN"/>
              </w:rPr>
              <w:t>1</w:t>
            </w:r>
          </w:p>
        </w:tc>
        <w:tc>
          <w:tcPr>
            <w:tcW w:w="1750" w:type="dxa"/>
            <w:vMerge w:val="restart"/>
            <w:noWrap w:val="0"/>
            <w:vAlign w:val="center"/>
          </w:tcPr>
          <w:p w14:paraId="0718ABAD">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《中华人民共和国工业产品生产许可证管理条例》</w:t>
            </w:r>
          </w:p>
        </w:tc>
        <w:tc>
          <w:tcPr>
            <w:tcW w:w="4203" w:type="dxa"/>
            <w:vMerge w:val="restart"/>
            <w:noWrap w:val="0"/>
            <w:vAlign w:val="center"/>
          </w:tcPr>
          <w:p w14:paraId="12806752">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第四十九条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取得生产许可证的企业出租、出借或者转让许可证证书、生产许可证标志和编号的，责令限期改正，处20万元以下的罚款；情节严重的，吊销生产许可证。</w:t>
            </w:r>
          </w:p>
        </w:tc>
        <w:tc>
          <w:tcPr>
            <w:tcW w:w="1141" w:type="dxa"/>
            <w:noWrap w:val="0"/>
            <w:vAlign w:val="center"/>
          </w:tcPr>
          <w:p w14:paraId="77555C3D">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3CB6B392">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lang w:val="en-US" w:eastAsia="zh-CN"/>
              </w:rPr>
              <w:t>尚未生产的</w:t>
            </w:r>
            <w:r>
              <w:rPr>
                <w:rFonts w:hint="eastAsia" w:ascii="宋体" w:hAnsi="宋体" w:eastAsia="宋体" w:cs="宋体"/>
                <w:b w:val="0"/>
                <w:bCs w:val="0"/>
                <w:color w:val="auto"/>
                <w:kern w:val="0"/>
                <w:sz w:val="24"/>
                <w:szCs w:val="24"/>
              </w:rPr>
              <w:t>。</w:t>
            </w:r>
          </w:p>
        </w:tc>
        <w:tc>
          <w:tcPr>
            <w:tcW w:w="3336" w:type="dxa"/>
            <w:noWrap w:val="0"/>
            <w:vAlign w:val="center"/>
          </w:tcPr>
          <w:p w14:paraId="6C6D2900">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lang w:eastAsia="zh-CN"/>
              </w:rPr>
              <w:t>责令限期改正，</w:t>
            </w:r>
            <w:r>
              <w:rPr>
                <w:rFonts w:hint="eastAsia" w:ascii="宋体" w:hAnsi="宋体" w:eastAsia="宋体" w:cs="宋体"/>
                <w:b w:val="0"/>
                <w:bCs w:val="0"/>
                <w:color w:val="auto"/>
                <w:kern w:val="0"/>
                <w:sz w:val="24"/>
                <w:szCs w:val="24"/>
              </w:rPr>
              <w:t>处</w:t>
            </w:r>
            <w:r>
              <w:rPr>
                <w:rFonts w:hint="eastAsia" w:ascii="宋体" w:hAnsi="宋体" w:eastAsia="宋体" w:cs="宋体"/>
                <w:b w:val="0"/>
                <w:bCs w:val="0"/>
                <w:color w:val="auto"/>
                <w:kern w:val="0"/>
                <w:sz w:val="24"/>
                <w:szCs w:val="24"/>
                <w:lang w:val="en-US" w:eastAsia="zh-CN"/>
              </w:rPr>
              <w:t>6</w:t>
            </w:r>
            <w:r>
              <w:rPr>
                <w:rFonts w:hint="eastAsia" w:ascii="宋体" w:hAnsi="宋体" w:eastAsia="宋体" w:cs="宋体"/>
                <w:b w:val="0"/>
                <w:bCs w:val="0"/>
                <w:color w:val="auto"/>
                <w:kern w:val="0"/>
                <w:sz w:val="24"/>
                <w:szCs w:val="24"/>
              </w:rPr>
              <w:t>万元以下罚款。</w:t>
            </w:r>
          </w:p>
        </w:tc>
      </w:tr>
      <w:tr w14:paraId="5ED0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610" w:type="dxa"/>
            <w:vMerge w:val="continue"/>
            <w:noWrap w:val="0"/>
            <w:vAlign w:val="center"/>
          </w:tcPr>
          <w:p w14:paraId="4850EC39">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54B3C5B8">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42835B29">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26C8408D">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261DADEE">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违法生产的产品</w:t>
            </w:r>
            <w:r>
              <w:rPr>
                <w:rFonts w:hint="eastAsia" w:ascii="宋体" w:hAnsi="宋体" w:eastAsia="宋体" w:cs="宋体"/>
                <w:b w:val="0"/>
                <w:bCs w:val="0"/>
                <w:color w:val="auto"/>
                <w:kern w:val="0"/>
                <w:sz w:val="24"/>
                <w:szCs w:val="24"/>
                <w:lang w:val="en-US" w:eastAsia="zh-CN"/>
              </w:rPr>
              <w:t>尚未</w:t>
            </w:r>
            <w:r>
              <w:rPr>
                <w:rFonts w:hint="eastAsia" w:ascii="宋体" w:hAnsi="宋体" w:eastAsia="宋体" w:cs="宋体"/>
                <w:b w:val="0"/>
                <w:bCs w:val="0"/>
                <w:color w:val="auto"/>
                <w:kern w:val="0"/>
                <w:sz w:val="24"/>
                <w:szCs w:val="24"/>
              </w:rPr>
              <w:t>销售的。</w:t>
            </w:r>
          </w:p>
        </w:tc>
        <w:tc>
          <w:tcPr>
            <w:tcW w:w="3336" w:type="dxa"/>
            <w:noWrap w:val="0"/>
            <w:vAlign w:val="center"/>
          </w:tcPr>
          <w:p w14:paraId="2A6C2421">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lang w:eastAsia="zh-CN"/>
              </w:rPr>
              <w:t>责令限期改正，</w:t>
            </w:r>
            <w:r>
              <w:rPr>
                <w:rFonts w:hint="eastAsia" w:ascii="宋体" w:hAnsi="宋体" w:eastAsia="宋体" w:cs="宋体"/>
                <w:b w:val="0"/>
                <w:bCs w:val="0"/>
                <w:color w:val="auto"/>
                <w:kern w:val="0"/>
                <w:sz w:val="24"/>
                <w:szCs w:val="24"/>
              </w:rPr>
              <w:t>处</w:t>
            </w:r>
            <w:r>
              <w:rPr>
                <w:rFonts w:hint="eastAsia" w:ascii="宋体" w:hAnsi="宋体" w:eastAsia="宋体" w:cs="宋体"/>
                <w:b w:val="0"/>
                <w:bCs w:val="0"/>
                <w:color w:val="auto"/>
                <w:kern w:val="0"/>
                <w:sz w:val="24"/>
                <w:szCs w:val="24"/>
                <w:lang w:val="en-US" w:eastAsia="zh-CN"/>
              </w:rPr>
              <w:t>6</w:t>
            </w:r>
            <w:r>
              <w:rPr>
                <w:rFonts w:hint="eastAsia" w:ascii="宋体" w:hAnsi="宋体" w:eastAsia="宋体" w:cs="宋体"/>
                <w:b w:val="0"/>
                <w:bCs w:val="0"/>
                <w:color w:val="auto"/>
                <w:kern w:val="0"/>
                <w:sz w:val="24"/>
                <w:szCs w:val="24"/>
              </w:rPr>
              <w:t>万元以上</w:t>
            </w:r>
            <w:r>
              <w:rPr>
                <w:rFonts w:hint="eastAsia" w:ascii="宋体" w:hAnsi="宋体" w:eastAsia="宋体" w:cs="宋体"/>
                <w:b w:val="0"/>
                <w:bCs w:val="0"/>
                <w:color w:val="auto"/>
                <w:kern w:val="0"/>
                <w:sz w:val="24"/>
                <w:szCs w:val="24"/>
                <w:lang w:val="en-US" w:eastAsia="zh-CN"/>
              </w:rPr>
              <w:t>14</w:t>
            </w:r>
            <w:r>
              <w:rPr>
                <w:rFonts w:hint="eastAsia" w:ascii="宋体" w:hAnsi="宋体" w:eastAsia="宋体" w:cs="宋体"/>
                <w:b w:val="0"/>
                <w:bCs w:val="0"/>
                <w:color w:val="auto"/>
                <w:kern w:val="0"/>
                <w:sz w:val="24"/>
                <w:szCs w:val="24"/>
              </w:rPr>
              <w:t>万元以下的罚款。</w:t>
            </w:r>
          </w:p>
        </w:tc>
      </w:tr>
      <w:tr w14:paraId="34CE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10" w:type="dxa"/>
            <w:vMerge w:val="continue"/>
            <w:noWrap w:val="0"/>
            <w:vAlign w:val="center"/>
          </w:tcPr>
          <w:p w14:paraId="7DEB10ED">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48D6EC7F">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264C9420">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29E9DCBC">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050B2A73">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rPr>
              <w:t>违法生产的产品已销售的。</w:t>
            </w:r>
          </w:p>
        </w:tc>
        <w:tc>
          <w:tcPr>
            <w:tcW w:w="3336" w:type="dxa"/>
            <w:noWrap w:val="0"/>
            <w:vAlign w:val="center"/>
          </w:tcPr>
          <w:p w14:paraId="5219AB5A">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lang w:eastAsia="zh-CN"/>
              </w:rPr>
              <w:t>责令限期改正，</w:t>
            </w:r>
            <w:r>
              <w:rPr>
                <w:rFonts w:hint="eastAsia" w:ascii="宋体" w:hAnsi="宋体" w:eastAsia="宋体" w:cs="宋体"/>
                <w:b w:val="0"/>
                <w:bCs w:val="0"/>
                <w:color w:val="auto"/>
                <w:kern w:val="0"/>
                <w:sz w:val="24"/>
                <w:szCs w:val="24"/>
              </w:rPr>
              <w:t>处1</w:t>
            </w:r>
            <w:r>
              <w:rPr>
                <w:rFonts w:hint="eastAsia" w:ascii="宋体" w:hAnsi="宋体" w:eastAsia="宋体" w:cs="宋体"/>
                <w:b w:val="0"/>
                <w:bCs w:val="0"/>
                <w:color w:val="auto"/>
                <w:kern w:val="0"/>
                <w:sz w:val="24"/>
                <w:szCs w:val="24"/>
                <w:lang w:val="en-US" w:eastAsia="zh-CN"/>
              </w:rPr>
              <w:t>4</w:t>
            </w:r>
            <w:r>
              <w:rPr>
                <w:rFonts w:hint="eastAsia" w:ascii="宋体" w:hAnsi="宋体" w:eastAsia="宋体" w:cs="宋体"/>
                <w:b w:val="0"/>
                <w:bCs w:val="0"/>
                <w:color w:val="auto"/>
                <w:kern w:val="0"/>
                <w:sz w:val="24"/>
                <w:szCs w:val="24"/>
              </w:rPr>
              <w:t>万元以上20万元以下的罚款。</w:t>
            </w:r>
          </w:p>
        </w:tc>
      </w:tr>
      <w:tr w14:paraId="6692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610" w:type="dxa"/>
            <w:vMerge w:val="continue"/>
            <w:noWrap w:val="0"/>
            <w:vAlign w:val="center"/>
          </w:tcPr>
          <w:p w14:paraId="41B12178">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0A0119ED">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78C88A62">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3EA11C93">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严重</w:t>
            </w:r>
          </w:p>
        </w:tc>
        <w:tc>
          <w:tcPr>
            <w:tcW w:w="3133" w:type="dxa"/>
            <w:noWrap w:val="0"/>
            <w:vAlign w:val="center"/>
          </w:tcPr>
          <w:p w14:paraId="70CA09AA">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情节严重的</w:t>
            </w:r>
            <w:r>
              <w:rPr>
                <w:rFonts w:hint="eastAsia" w:ascii="宋体" w:hAnsi="宋体" w:eastAsia="宋体" w:cs="宋体"/>
                <w:b w:val="0"/>
                <w:bCs w:val="0"/>
                <w:color w:val="auto"/>
                <w:kern w:val="0"/>
                <w:sz w:val="24"/>
                <w:szCs w:val="24"/>
                <w:lang w:eastAsia="zh-CN"/>
              </w:rPr>
              <w:t>。</w:t>
            </w:r>
          </w:p>
        </w:tc>
        <w:tc>
          <w:tcPr>
            <w:tcW w:w="3336" w:type="dxa"/>
            <w:noWrap w:val="0"/>
            <w:vAlign w:val="center"/>
          </w:tcPr>
          <w:p w14:paraId="518BE9BF">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rPr>
              <w:t>吊销生产许可证。</w:t>
            </w:r>
          </w:p>
        </w:tc>
      </w:tr>
      <w:tr w14:paraId="050D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1" w:hRule="atLeast"/>
          <w:jc w:val="center"/>
        </w:trPr>
        <w:tc>
          <w:tcPr>
            <w:tcW w:w="610" w:type="dxa"/>
            <w:vMerge w:val="restart"/>
            <w:noWrap w:val="0"/>
            <w:vAlign w:val="center"/>
          </w:tcPr>
          <w:p w14:paraId="273B0EA0">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10</w:t>
            </w:r>
            <w:r>
              <w:rPr>
                <w:rFonts w:hint="eastAsia" w:ascii="宋体" w:hAnsi="宋体" w:cs="宋体"/>
                <w:b w:val="0"/>
                <w:bCs w:val="0"/>
                <w:color w:val="auto"/>
                <w:kern w:val="0"/>
                <w:sz w:val="24"/>
                <w:szCs w:val="24"/>
                <w:lang w:val="en-US" w:eastAsia="zh-CN"/>
              </w:rPr>
              <w:t>2</w:t>
            </w:r>
          </w:p>
        </w:tc>
        <w:tc>
          <w:tcPr>
            <w:tcW w:w="1750" w:type="dxa"/>
            <w:vMerge w:val="restart"/>
            <w:noWrap w:val="0"/>
            <w:vAlign w:val="center"/>
          </w:tcPr>
          <w:p w14:paraId="557B4E32">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《中华人民共和国工业产品生产许可证管理条例》</w:t>
            </w:r>
          </w:p>
        </w:tc>
        <w:tc>
          <w:tcPr>
            <w:tcW w:w="4203" w:type="dxa"/>
            <w:vMerge w:val="restart"/>
            <w:noWrap w:val="0"/>
            <w:vAlign w:val="center"/>
          </w:tcPr>
          <w:p w14:paraId="19981438">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第四十九条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违法接受并使用他人提供的许可证证书、生产许可证标志和编号的，责令停止生产、销售，没收违法生产、销售的产品，处违法生产、销售产品货值金额等值以上3倍以下的罚款；有违法所得的，没收违法所得；构成犯罪的，依法追究刑事责任。</w:t>
            </w:r>
          </w:p>
        </w:tc>
        <w:tc>
          <w:tcPr>
            <w:tcW w:w="1141" w:type="dxa"/>
            <w:noWrap w:val="0"/>
            <w:vAlign w:val="center"/>
          </w:tcPr>
          <w:p w14:paraId="0A8DD2E0">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6063C3C6">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产品尚未销售或追回全部已售出产品的。</w:t>
            </w:r>
          </w:p>
        </w:tc>
        <w:tc>
          <w:tcPr>
            <w:tcW w:w="3336" w:type="dxa"/>
            <w:noWrap w:val="0"/>
            <w:vAlign w:val="center"/>
          </w:tcPr>
          <w:p w14:paraId="1D90F09F">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责令停止生产、销售，没收违法生产、销售的产品，处违法生产、销售产品货值金额1倍罚款；有违法所得的，没收违法所得。</w:t>
            </w:r>
          </w:p>
        </w:tc>
      </w:tr>
      <w:tr w14:paraId="2DB8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10" w:type="dxa"/>
            <w:vMerge w:val="continue"/>
            <w:noWrap w:val="0"/>
            <w:vAlign w:val="center"/>
          </w:tcPr>
          <w:p w14:paraId="158A6793">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77FA9C6C">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4DDB4E70">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vMerge w:val="restart"/>
            <w:noWrap w:val="0"/>
            <w:vAlign w:val="center"/>
          </w:tcPr>
          <w:p w14:paraId="3354B281">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vMerge w:val="restart"/>
            <w:noWrap w:val="0"/>
            <w:vAlign w:val="center"/>
          </w:tcPr>
          <w:p w14:paraId="51AA1A6E">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val="en-US" w:eastAsia="zh-CN"/>
              </w:rPr>
              <w:t>产品已销售，追回全部或大部分的（50%以上），未导致危害后果。</w:t>
            </w:r>
          </w:p>
        </w:tc>
        <w:tc>
          <w:tcPr>
            <w:tcW w:w="3336" w:type="dxa"/>
            <w:vMerge w:val="restart"/>
            <w:noWrap w:val="0"/>
            <w:vAlign w:val="center"/>
          </w:tcPr>
          <w:p w14:paraId="05B38E98">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责令停止生产、销售，没收违法生产、销售的产品，处违法生产、销售产品货值金额1倍以上2倍以下的罚款；有违法所得的，没收违法所得。</w:t>
            </w:r>
          </w:p>
        </w:tc>
      </w:tr>
      <w:tr w14:paraId="04DF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jc w:val="center"/>
        </w:trPr>
        <w:tc>
          <w:tcPr>
            <w:tcW w:w="610" w:type="dxa"/>
            <w:vMerge w:val="continue"/>
            <w:noWrap w:val="0"/>
            <w:vAlign w:val="center"/>
          </w:tcPr>
          <w:p w14:paraId="0DB6BC24">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1C210F1D">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10EEA0AE">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vMerge w:val="continue"/>
            <w:noWrap w:val="0"/>
            <w:vAlign w:val="center"/>
          </w:tcPr>
          <w:p w14:paraId="4671951E">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3133" w:type="dxa"/>
            <w:vMerge w:val="continue"/>
            <w:noWrap w:val="0"/>
            <w:vAlign w:val="center"/>
          </w:tcPr>
          <w:p w14:paraId="6902C576">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3336" w:type="dxa"/>
            <w:vMerge w:val="continue"/>
            <w:noWrap w:val="0"/>
            <w:vAlign w:val="center"/>
          </w:tcPr>
          <w:p w14:paraId="0652D360">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r>
      <w:tr w14:paraId="1D7A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jc w:val="center"/>
        </w:trPr>
        <w:tc>
          <w:tcPr>
            <w:tcW w:w="610" w:type="dxa"/>
            <w:vMerge w:val="continue"/>
            <w:noWrap w:val="0"/>
            <w:vAlign w:val="center"/>
          </w:tcPr>
          <w:p w14:paraId="78CF9EAD">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00DC78DE">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6AFFB69C">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632E4D88">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7482026F">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产品已销售</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拒不追回的。</w:t>
            </w:r>
          </w:p>
        </w:tc>
        <w:tc>
          <w:tcPr>
            <w:tcW w:w="3336" w:type="dxa"/>
            <w:noWrap w:val="0"/>
            <w:vAlign w:val="center"/>
          </w:tcPr>
          <w:p w14:paraId="381312D7">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责令停止生产、销售，没收违法生产、销售的产品，处违法生产、销售产品货值金额2倍以上3倍以下的罚款；有违法所得的，没收违法所得。</w:t>
            </w:r>
          </w:p>
        </w:tc>
      </w:tr>
      <w:tr w14:paraId="3F5E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2" w:hRule="atLeast"/>
          <w:jc w:val="center"/>
        </w:trPr>
        <w:tc>
          <w:tcPr>
            <w:tcW w:w="610" w:type="dxa"/>
            <w:vMerge w:val="restart"/>
            <w:noWrap w:val="0"/>
            <w:vAlign w:val="center"/>
          </w:tcPr>
          <w:p w14:paraId="722284ED">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10</w:t>
            </w:r>
            <w:r>
              <w:rPr>
                <w:rFonts w:hint="eastAsia" w:ascii="宋体" w:hAnsi="宋体" w:cs="宋体"/>
                <w:b w:val="0"/>
                <w:bCs w:val="0"/>
                <w:color w:val="auto"/>
                <w:kern w:val="0"/>
                <w:sz w:val="24"/>
                <w:szCs w:val="24"/>
                <w:lang w:val="en-US" w:eastAsia="zh-CN"/>
              </w:rPr>
              <w:t>3</w:t>
            </w:r>
          </w:p>
        </w:tc>
        <w:tc>
          <w:tcPr>
            <w:tcW w:w="1750" w:type="dxa"/>
            <w:vMerge w:val="restart"/>
            <w:noWrap w:val="0"/>
            <w:vAlign w:val="center"/>
          </w:tcPr>
          <w:p w14:paraId="62F765F8">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《中华人民共和国工业产品生产许可证管理条例》</w:t>
            </w:r>
          </w:p>
        </w:tc>
        <w:tc>
          <w:tcPr>
            <w:tcW w:w="4203" w:type="dxa"/>
            <w:vMerge w:val="restart"/>
            <w:noWrap w:val="0"/>
            <w:vAlign w:val="center"/>
          </w:tcPr>
          <w:p w14:paraId="165FCD12">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第五十条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擅自动用、调换、转移、损毁被查封、扣押财物的，责令改正，处被动用、调换、转移、损毁财物价值5％以上20％以下的罚款；拒不改正的，处被动用、调换、转移、损毁财物价值1倍以上3倍以下的罚款。</w:t>
            </w:r>
          </w:p>
        </w:tc>
        <w:tc>
          <w:tcPr>
            <w:tcW w:w="1141" w:type="dxa"/>
            <w:noWrap w:val="0"/>
            <w:vAlign w:val="center"/>
          </w:tcPr>
          <w:p w14:paraId="7F48A489">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71961E1F">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将财物恢复原状的。</w:t>
            </w:r>
          </w:p>
        </w:tc>
        <w:tc>
          <w:tcPr>
            <w:tcW w:w="3336" w:type="dxa"/>
            <w:noWrap w:val="0"/>
            <w:vAlign w:val="center"/>
          </w:tcPr>
          <w:p w14:paraId="032B3C4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责令改正，处被动用、调换、转移、损毁财物价值5%以上10%以下的罚款；拒不改正的，处被动用、调换、转移、损毁财物价值1倍罚款。</w:t>
            </w:r>
          </w:p>
        </w:tc>
      </w:tr>
      <w:tr w14:paraId="1981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610" w:type="dxa"/>
            <w:vMerge w:val="continue"/>
            <w:noWrap w:val="0"/>
            <w:vAlign w:val="center"/>
          </w:tcPr>
          <w:p w14:paraId="2B8FAE51">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3FCA422F">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03AF2A48">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1CEFAB86">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7473E0F2">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无法将财物恢复原状的。</w:t>
            </w:r>
          </w:p>
        </w:tc>
        <w:tc>
          <w:tcPr>
            <w:tcW w:w="3336" w:type="dxa"/>
            <w:noWrap w:val="0"/>
            <w:vAlign w:val="center"/>
          </w:tcPr>
          <w:p w14:paraId="14D5EDFF">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责令改正，处被动用、调换、转移、损毁财物价值10%以上15%以下的罚款；拒不改正的，处被动用、调换、转移、损毁财物价值1倍以上2倍以下的罚款。</w:t>
            </w:r>
          </w:p>
        </w:tc>
      </w:tr>
      <w:tr w14:paraId="7916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10" w:type="dxa"/>
            <w:vMerge w:val="continue"/>
            <w:noWrap w:val="0"/>
            <w:vAlign w:val="center"/>
          </w:tcPr>
          <w:p w14:paraId="0EA5CB46">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14EFBE67">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0C20380A">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vMerge w:val="restart"/>
            <w:noWrap w:val="0"/>
            <w:vAlign w:val="center"/>
          </w:tcPr>
          <w:p w14:paraId="117E580F">
            <w:pPr>
              <w:keepNext w:val="0"/>
              <w:keepLines w:val="0"/>
              <w:pageBreakBefore w:val="0"/>
              <w:widowControl/>
              <w:kinsoku/>
              <w:wordWrap/>
              <w:overflowPunct/>
              <w:topLinePunct w:val="0"/>
              <w:autoSpaceDE/>
              <w:autoSpaceDN/>
              <w:bidi w:val="0"/>
              <w:adjustRightInd/>
              <w:snapToGrid/>
              <w:spacing w:line="420" w:lineRule="exact"/>
              <w:ind w:firstLine="240" w:firstLineChars="100"/>
              <w:jc w:val="lef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vMerge w:val="restart"/>
            <w:noWrap w:val="0"/>
            <w:vAlign w:val="center"/>
          </w:tcPr>
          <w:p w14:paraId="7EB72507">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拒绝将财物恢复原状的。</w:t>
            </w:r>
          </w:p>
        </w:tc>
        <w:tc>
          <w:tcPr>
            <w:tcW w:w="3336" w:type="dxa"/>
            <w:vMerge w:val="restart"/>
            <w:noWrap w:val="0"/>
            <w:vAlign w:val="center"/>
          </w:tcPr>
          <w:p w14:paraId="08EF3E1D">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责令改正，处被动用、调换、转移、损毁财物价值15%以上20%以下的罚款；拒不改正的，处被动用、调换、转移、损毁财物价值2倍以上3倍以下的罚款。</w:t>
            </w:r>
          </w:p>
        </w:tc>
      </w:tr>
      <w:tr w14:paraId="5ACB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7" w:hRule="atLeast"/>
          <w:jc w:val="center"/>
        </w:trPr>
        <w:tc>
          <w:tcPr>
            <w:tcW w:w="610" w:type="dxa"/>
            <w:vMerge w:val="continue"/>
            <w:noWrap w:val="0"/>
            <w:vAlign w:val="center"/>
          </w:tcPr>
          <w:p w14:paraId="76B8300C">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57F81105">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5CCB558A">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vMerge w:val="continue"/>
            <w:noWrap w:val="0"/>
            <w:vAlign w:val="center"/>
          </w:tcPr>
          <w:p w14:paraId="617463BD">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3133" w:type="dxa"/>
            <w:vMerge w:val="continue"/>
            <w:noWrap w:val="0"/>
            <w:vAlign w:val="center"/>
          </w:tcPr>
          <w:p w14:paraId="1D5C9A9A">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3336" w:type="dxa"/>
            <w:vMerge w:val="continue"/>
            <w:noWrap w:val="0"/>
            <w:vAlign w:val="center"/>
          </w:tcPr>
          <w:p w14:paraId="70CBCB6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p>
        </w:tc>
      </w:tr>
      <w:tr w14:paraId="034C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6" w:hRule="atLeast"/>
          <w:jc w:val="center"/>
        </w:trPr>
        <w:tc>
          <w:tcPr>
            <w:tcW w:w="610" w:type="dxa"/>
            <w:vMerge w:val="restart"/>
            <w:noWrap w:val="0"/>
            <w:vAlign w:val="center"/>
          </w:tcPr>
          <w:p w14:paraId="2689DB87">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10</w:t>
            </w:r>
            <w:r>
              <w:rPr>
                <w:rFonts w:hint="eastAsia" w:ascii="宋体" w:hAnsi="宋体" w:cs="宋体"/>
                <w:b w:val="0"/>
                <w:bCs w:val="0"/>
                <w:color w:val="auto"/>
                <w:kern w:val="0"/>
                <w:sz w:val="24"/>
                <w:szCs w:val="24"/>
                <w:lang w:val="en-US" w:eastAsia="zh-CN"/>
              </w:rPr>
              <w:t>4</w:t>
            </w:r>
          </w:p>
        </w:tc>
        <w:tc>
          <w:tcPr>
            <w:tcW w:w="1750" w:type="dxa"/>
            <w:vMerge w:val="restart"/>
            <w:noWrap w:val="0"/>
            <w:vAlign w:val="center"/>
          </w:tcPr>
          <w:p w14:paraId="54A05B4C">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《中华人民共和国工业产品生产许可证管理条例》</w:t>
            </w:r>
          </w:p>
        </w:tc>
        <w:tc>
          <w:tcPr>
            <w:tcW w:w="4203" w:type="dxa"/>
            <w:vMerge w:val="restart"/>
            <w:noWrap w:val="0"/>
            <w:vAlign w:val="center"/>
          </w:tcPr>
          <w:p w14:paraId="4A74C056">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第五十一条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伪造、变造许可证证书、生产许可证标志和编号的，责令改正，没收违法生产、销售的产品，并处违法生产、销售产品货值金额等值以上3倍以下的罚款；有违法所得的，没收违法所得；构成犯罪的，依法追究刑事责任。</w:t>
            </w:r>
          </w:p>
        </w:tc>
        <w:tc>
          <w:tcPr>
            <w:tcW w:w="1141" w:type="dxa"/>
            <w:noWrap w:val="0"/>
            <w:vAlign w:val="center"/>
          </w:tcPr>
          <w:p w14:paraId="15C02D86">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715558C0">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产品尚未销售或追回全部已售出产品的。</w:t>
            </w:r>
          </w:p>
        </w:tc>
        <w:tc>
          <w:tcPr>
            <w:tcW w:w="3336" w:type="dxa"/>
            <w:noWrap w:val="0"/>
            <w:vAlign w:val="center"/>
          </w:tcPr>
          <w:p w14:paraId="244206C3">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责令改正，没收违法生产、销售的产品，并处违法生产、销售产品货值金额1倍罚款；有违法所得的，没收违法所得。</w:t>
            </w:r>
          </w:p>
        </w:tc>
      </w:tr>
      <w:tr w14:paraId="101B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2" w:hRule="atLeast"/>
          <w:jc w:val="center"/>
        </w:trPr>
        <w:tc>
          <w:tcPr>
            <w:tcW w:w="610" w:type="dxa"/>
            <w:vMerge w:val="continue"/>
            <w:noWrap w:val="0"/>
            <w:vAlign w:val="center"/>
          </w:tcPr>
          <w:p w14:paraId="7C60239F">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41BA550A">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2371CA9D">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tcBorders>
              <w:bottom w:val="single" w:color="auto" w:sz="4" w:space="0"/>
            </w:tcBorders>
            <w:noWrap w:val="0"/>
            <w:vAlign w:val="center"/>
          </w:tcPr>
          <w:p w14:paraId="2D942901">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tcBorders>
              <w:bottom w:val="single" w:color="auto" w:sz="4" w:space="0"/>
            </w:tcBorders>
            <w:noWrap w:val="0"/>
            <w:vAlign w:val="center"/>
          </w:tcPr>
          <w:p w14:paraId="1700EFA1">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cs="宋体"/>
                <w:b w:val="0"/>
                <w:bCs w:val="0"/>
                <w:color w:val="auto"/>
                <w:kern w:val="0"/>
                <w:sz w:val="24"/>
                <w:szCs w:val="24"/>
                <w:lang w:val="en-US" w:eastAsia="zh-CN"/>
              </w:rPr>
              <w:t>产品已销售，追回全部或大部分的（50%以上），未导致危害后果。</w:t>
            </w:r>
          </w:p>
        </w:tc>
        <w:tc>
          <w:tcPr>
            <w:tcW w:w="3336" w:type="dxa"/>
            <w:tcBorders>
              <w:bottom w:val="single" w:color="auto" w:sz="4" w:space="0"/>
            </w:tcBorders>
            <w:noWrap w:val="0"/>
            <w:vAlign w:val="center"/>
          </w:tcPr>
          <w:p w14:paraId="3EC1272F">
            <w:pPr>
              <w:keepNext w:val="0"/>
              <w:keepLines w:val="0"/>
              <w:pageBreakBefore w:val="0"/>
              <w:widowControl/>
              <w:kinsoku/>
              <w:wordWrap/>
              <w:overflowPunct/>
              <w:topLinePunct w:val="0"/>
              <w:autoSpaceDE/>
              <w:autoSpaceDN/>
              <w:bidi w:val="0"/>
              <w:adjustRightInd/>
              <w:snapToGrid/>
              <w:spacing w:line="39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责令改正，没收违法生产、销售的产品，并处违法生产、销售产品货值金额1倍以上2倍以下的罚款；有违法所得的，没收违法所得。</w:t>
            </w:r>
          </w:p>
        </w:tc>
      </w:tr>
      <w:tr w14:paraId="5296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2" w:hRule="atLeast"/>
          <w:jc w:val="center"/>
        </w:trPr>
        <w:tc>
          <w:tcPr>
            <w:tcW w:w="610" w:type="dxa"/>
            <w:vMerge w:val="continue"/>
            <w:noWrap w:val="0"/>
            <w:vAlign w:val="center"/>
          </w:tcPr>
          <w:p w14:paraId="26EAA71E">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p>
        </w:tc>
        <w:tc>
          <w:tcPr>
            <w:tcW w:w="1750" w:type="dxa"/>
            <w:vMerge w:val="continue"/>
            <w:noWrap w:val="0"/>
            <w:vAlign w:val="center"/>
          </w:tcPr>
          <w:p w14:paraId="5009813E">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p>
        </w:tc>
        <w:tc>
          <w:tcPr>
            <w:tcW w:w="4203" w:type="dxa"/>
            <w:vMerge w:val="continue"/>
            <w:noWrap w:val="0"/>
            <w:vAlign w:val="center"/>
          </w:tcPr>
          <w:p w14:paraId="64C8FF09">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6A39F60C">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7FE7B5D9">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产品已销售</w:t>
            </w:r>
            <w:r>
              <w:rPr>
                <w:rFonts w:hint="eastAsia" w:ascii="宋体" w:hAnsi="宋体" w:cs="宋体"/>
                <w:b w:val="0"/>
                <w:bCs w:val="0"/>
                <w:color w:val="auto"/>
                <w:kern w:val="0"/>
                <w:sz w:val="24"/>
                <w:szCs w:val="24"/>
                <w:lang w:eastAsia="zh-CN"/>
              </w:rPr>
              <w:t>，</w:t>
            </w:r>
            <w:r>
              <w:rPr>
                <w:rFonts w:hint="eastAsia" w:ascii="宋体" w:hAnsi="宋体" w:eastAsia="宋体" w:cs="宋体"/>
                <w:b w:val="0"/>
                <w:bCs w:val="0"/>
                <w:color w:val="auto"/>
                <w:kern w:val="0"/>
                <w:sz w:val="24"/>
                <w:szCs w:val="24"/>
              </w:rPr>
              <w:t>拒不追回的。</w:t>
            </w:r>
          </w:p>
        </w:tc>
        <w:tc>
          <w:tcPr>
            <w:tcW w:w="3336" w:type="dxa"/>
            <w:noWrap w:val="0"/>
            <w:vAlign w:val="center"/>
          </w:tcPr>
          <w:p w14:paraId="1EC1F5BE">
            <w:pPr>
              <w:keepNext w:val="0"/>
              <w:keepLines w:val="0"/>
              <w:pageBreakBefore w:val="0"/>
              <w:widowControl/>
              <w:kinsoku/>
              <w:wordWrap/>
              <w:overflowPunct/>
              <w:topLinePunct w:val="0"/>
              <w:autoSpaceDE/>
              <w:autoSpaceDN/>
              <w:bidi w:val="0"/>
              <w:adjustRightInd/>
              <w:snapToGrid/>
              <w:spacing w:line="39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责令改正，没收违法生产、销售的产品，并处违法生产、销售产品货值金额2倍以上3倍以下的罚款；有违法所得的，没收违法所得。</w:t>
            </w:r>
          </w:p>
        </w:tc>
      </w:tr>
      <w:tr w14:paraId="6969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610" w:type="dxa"/>
            <w:vMerge w:val="restart"/>
            <w:noWrap w:val="0"/>
            <w:vAlign w:val="center"/>
          </w:tcPr>
          <w:p w14:paraId="007712A5">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10</w:t>
            </w:r>
            <w:r>
              <w:rPr>
                <w:rFonts w:hint="eastAsia" w:ascii="宋体" w:hAnsi="宋体" w:cs="宋体"/>
                <w:b w:val="0"/>
                <w:bCs w:val="0"/>
                <w:color w:val="auto"/>
                <w:kern w:val="0"/>
                <w:sz w:val="24"/>
                <w:szCs w:val="24"/>
                <w:lang w:val="en-US" w:eastAsia="zh-CN"/>
              </w:rPr>
              <w:t>5</w:t>
            </w:r>
          </w:p>
        </w:tc>
        <w:tc>
          <w:tcPr>
            <w:tcW w:w="1750" w:type="dxa"/>
            <w:vMerge w:val="restart"/>
            <w:noWrap w:val="0"/>
            <w:vAlign w:val="center"/>
          </w:tcPr>
          <w:p w14:paraId="04858A13">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《中华人民共和国工业产品生产许可证管理条例》</w:t>
            </w:r>
          </w:p>
        </w:tc>
        <w:tc>
          <w:tcPr>
            <w:tcW w:w="4203" w:type="dxa"/>
            <w:vMerge w:val="restart"/>
            <w:noWrap w:val="0"/>
            <w:vAlign w:val="center"/>
          </w:tcPr>
          <w:p w14:paraId="3EF33F4C">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第五十二条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企业用欺骗、贿赂等不正当手段取得生产许可证的，由工业产品生产许可证主管部门处20万元以下的罚款，并依照《中华人民共和国行政许可法》的有关规定作出处理。</w:t>
            </w:r>
          </w:p>
        </w:tc>
        <w:tc>
          <w:tcPr>
            <w:tcW w:w="1141" w:type="dxa"/>
            <w:noWrap w:val="0"/>
            <w:vAlign w:val="center"/>
          </w:tcPr>
          <w:p w14:paraId="1FB71808">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70804BDF">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尚未生产的。</w:t>
            </w:r>
          </w:p>
        </w:tc>
        <w:tc>
          <w:tcPr>
            <w:tcW w:w="3336" w:type="dxa"/>
            <w:noWrap w:val="0"/>
            <w:vAlign w:val="center"/>
          </w:tcPr>
          <w:p w14:paraId="21881F3B">
            <w:pPr>
              <w:keepNext w:val="0"/>
              <w:keepLines w:val="0"/>
              <w:pageBreakBefore w:val="0"/>
              <w:widowControl/>
              <w:kinsoku/>
              <w:wordWrap/>
              <w:overflowPunct/>
              <w:topLinePunct w:val="0"/>
              <w:autoSpaceDE/>
              <w:autoSpaceDN/>
              <w:bidi w:val="0"/>
              <w:adjustRightInd/>
              <w:snapToGrid/>
              <w:spacing w:line="39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处</w:t>
            </w:r>
            <w:r>
              <w:rPr>
                <w:rFonts w:hint="eastAsia" w:ascii="宋体" w:hAnsi="宋体" w:eastAsia="宋体" w:cs="宋体"/>
                <w:b w:val="0"/>
                <w:bCs w:val="0"/>
                <w:color w:val="auto"/>
                <w:kern w:val="0"/>
                <w:sz w:val="24"/>
                <w:szCs w:val="24"/>
                <w:lang w:val="en-US" w:eastAsia="zh-CN"/>
              </w:rPr>
              <w:t>6</w:t>
            </w:r>
            <w:r>
              <w:rPr>
                <w:rFonts w:hint="eastAsia" w:ascii="宋体" w:hAnsi="宋体" w:eastAsia="宋体" w:cs="宋体"/>
                <w:b w:val="0"/>
                <w:bCs w:val="0"/>
                <w:color w:val="auto"/>
                <w:kern w:val="0"/>
                <w:sz w:val="24"/>
                <w:szCs w:val="24"/>
              </w:rPr>
              <w:t>万元以下罚款。</w:t>
            </w:r>
          </w:p>
        </w:tc>
      </w:tr>
      <w:tr w14:paraId="2BE6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610" w:type="dxa"/>
            <w:vMerge w:val="continue"/>
            <w:noWrap w:val="0"/>
            <w:vAlign w:val="center"/>
          </w:tcPr>
          <w:p w14:paraId="6669300B">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1B1B51C5">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38214C19">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25DDC3EA">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0F28D837">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生产的产品未销售的。</w:t>
            </w:r>
          </w:p>
        </w:tc>
        <w:tc>
          <w:tcPr>
            <w:tcW w:w="3336" w:type="dxa"/>
            <w:noWrap w:val="0"/>
            <w:vAlign w:val="center"/>
          </w:tcPr>
          <w:p w14:paraId="1D66BAAF">
            <w:pPr>
              <w:keepNext w:val="0"/>
              <w:keepLines w:val="0"/>
              <w:pageBreakBefore w:val="0"/>
              <w:widowControl/>
              <w:kinsoku/>
              <w:wordWrap/>
              <w:overflowPunct/>
              <w:topLinePunct w:val="0"/>
              <w:autoSpaceDE/>
              <w:autoSpaceDN/>
              <w:bidi w:val="0"/>
              <w:adjustRightInd/>
              <w:snapToGrid/>
              <w:spacing w:line="39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处</w:t>
            </w:r>
            <w:r>
              <w:rPr>
                <w:rFonts w:hint="eastAsia" w:ascii="宋体" w:hAnsi="宋体" w:eastAsia="宋体" w:cs="宋体"/>
                <w:b w:val="0"/>
                <w:bCs w:val="0"/>
                <w:color w:val="auto"/>
                <w:kern w:val="0"/>
                <w:sz w:val="24"/>
                <w:szCs w:val="24"/>
                <w:lang w:val="en-US" w:eastAsia="zh-CN"/>
              </w:rPr>
              <w:t>6</w:t>
            </w:r>
            <w:r>
              <w:rPr>
                <w:rFonts w:hint="eastAsia" w:ascii="宋体" w:hAnsi="宋体" w:eastAsia="宋体" w:cs="宋体"/>
                <w:b w:val="0"/>
                <w:bCs w:val="0"/>
                <w:color w:val="auto"/>
                <w:kern w:val="0"/>
                <w:sz w:val="24"/>
                <w:szCs w:val="24"/>
              </w:rPr>
              <w:t>万元以上1</w:t>
            </w:r>
            <w:r>
              <w:rPr>
                <w:rFonts w:hint="eastAsia" w:ascii="宋体" w:hAnsi="宋体" w:eastAsia="宋体" w:cs="宋体"/>
                <w:b w:val="0"/>
                <w:bCs w:val="0"/>
                <w:color w:val="auto"/>
                <w:kern w:val="0"/>
                <w:sz w:val="24"/>
                <w:szCs w:val="24"/>
                <w:lang w:val="en-US" w:eastAsia="zh-CN"/>
              </w:rPr>
              <w:t>4</w:t>
            </w:r>
            <w:r>
              <w:rPr>
                <w:rFonts w:hint="eastAsia" w:ascii="宋体" w:hAnsi="宋体" w:eastAsia="宋体" w:cs="宋体"/>
                <w:b w:val="0"/>
                <w:bCs w:val="0"/>
                <w:color w:val="auto"/>
                <w:kern w:val="0"/>
                <w:sz w:val="24"/>
                <w:szCs w:val="24"/>
              </w:rPr>
              <w:t>万元以下的罚款。</w:t>
            </w:r>
          </w:p>
        </w:tc>
      </w:tr>
      <w:tr w14:paraId="04C69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610" w:type="dxa"/>
            <w:vMerge w:val="continue"/>
            <w:noWrap w:val="0"/>
            <w:vAlign w:val="center"/>
          </w:tcPr>
          <w:p w14:paraId="01844A59">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2D520489">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2A39B075">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03BB1F86">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4252A5E5">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生产的产品已销售的。</w:t>
            </w:r>
          </w:p>
        </w:tc>
        <w:tc>
          <w:tcPr>
            <w:tcW w:w="3336" w:type="dxa"/>
            <w:noWrap w:val="0"/>
            <w:vAlign w:val="center"/>
          </w:tcPr>
          <w:p w14:paraId="5B521FC4">
            <w:pPr>
              <w:keepNext w:val="0"/>
              <w:keepLines w:val="0"/>
              <w:pageBreakBefore w:val="0"/>
              <w:widowControl/>
              <w:kinsoku/>
              <w:wordWrap/>
              <w:overflowPunct/>
              <w:topLinePunct w:val="0"/>
              <w:autoSpaceDE/>
              <w:autoSpaceDN/>
              <w:bidi w:val="0"/>
              <w:adjustRightInd/>
              <w:snapToGrid/>
              <w:spacing w:line="39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处1</w:t>
            </w:r>
            <w:r>
              <w:rPr>
                <w:rFonts w:hint="eastAsia" w:ascii="宋体" w:hAnsi="宋体" w:eastAsia="宋体" w:cs="宋体"/>
                <w:b w:val="0"/>
                <w:bCs w:val="0"/>
                <w:color w:val="auto"/>
                <w:kern w:val="0"/>
                <w:sz w:val="24"/>
                <w:szCs w:val="24"/>
                <w:lang w:val="en-US" w:eastAsia="zh-CN"/>
              </w:rPr>
              <w:t>4</w:t>
            </w:r>
            <w:r>
              <w:rPr>
                <w:rFonts w:hint="eastAsia" w:ascii="宋体" w:hAnsi="宋体" w:eastAsia="宋体" w:cs="宋体"/>
                <w:b w:val="0"/>
                <w:bCs w:val="0"/>
                <w:color w:val="auto"/>
                <w:kern w:val="0"/>
                <w:sz w:val="24"/>
                <w:szCs w:val="24"/>
              </w:rPr>
              <w:t>万元以上</w:t>
            </w:r>
            <w:r>
              <w:rPr>
                <w:rFonts w:hint="eastAsia" w:ascii="宋体" w:hAnsi="宋体" w:eastAsia="宋体" w:cs="宋体"/>
                <w:b w:val="0"/>
                <w:bCs w:val="0"/>
                <w:color w:val="auto"/>
                <w:kern w:val="0"/>
                <w:sz w:val="24"/>
                <w:szCs w:val="24"/>
                <w:lang w:val="en-US" w:eastAsia="zh-CN"/>
              </w:rPr>
              <w:t>20</w:t>
            </w:r>
            <w:r>
              <w:rPr>
                <w:rFonts w:hint="eastAsia" w:ascii="宋体" w:hAnsi="宋体" w:eastAsia="宋体" w:cs="宋体"/>
                <w:b w:val="0"/>
                <w:bCs w:val="0"/>
                <w:color w:val="auto"/>
                <w:kern w:val="0"/>
                <w:sz w:val="24"/>
                <w:szCs w:val="24"/>
              </w:rPr>
              <w:t>万元以下罚款。</w:t>
            </w:r>
          </w:p>
        </w:tc>
      </w:tr>
      <w:tr w14:paraId="3A79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3" w:hRule="atLeast"/>
          <w:jc w:val="center"/>
        </w:trPr>
        <w:tc>
          <w:tcPr>
            <w:tcW w:w="610" w:type="dxa"/>
            <w:vMerge w:val="continue"/>
            <w:noWrap w:val="0"/>
            <w:vAlign w:val="center"/>
          </w:tcPr>
          <w:p w14:paraId="715B3CC1">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3BC72216">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35E97EA0">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6EF821F2">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严重</w:t>
            </w:r>
          </w:p>
        </w:tc>
        <w:tc>
          <w:tcPr>
            <w:tcW w:w="3133" w:type="dxa"/>
            <w:noWrap w:val="0"/>
            <w:vAlign w:val="center"/>
          </w:tcPr>
          <w:p w14:paraId="3690B4CB">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造成严重后果的。</w:t>
            </w:r>
          </w:p>
        </w:tc>
        <w:tc>
          <w:tcPr>
            <w:tcW w:w="3336" w:type="dxa"/>
            <w:noWrap w:val="0"/>
            <w:vAlign w:val="center"/>
          </w:tcPr>
          <w:p w14:paraId="44C6F1D9">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lang w:val="en-US" w:eastAsia="zh-CN"/>
              </w:rPr>
              <w:t>取得的行政许可属于直接关系公共安全、人身健康、生命财产安全事项的，申请人在三年内不得再次申请该行政许可；构成犯罪的，依法追究刑事责任。</w:t>
            </w:r>
          </w:p>
        </w:tc>
      </w:tr>
      <w:tr w14:paraId="01C3E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jc w:val="center"/>
        </w:trPr>
        <w:tc>
          <w:tcPr>
            <w:tcW w:w="610" w:type="dxa"/>
            <w:vMerge w:val="restart"/>
            <w:noWrap w:val="0"/>
            <w:vAlign w:val="center"/>
          </w:tcPr>
          <w:p w14:paraId="2D268D5C">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rPr>
              <w:t>10</w:t>
            </w:r>
            <w:r>
              <w:rPr>
                <w:rFonts w:hint="eastAsia" w:ascii="宋体" w:hAnsi="宋体" w:cs="宋体"/>
                <w:b w:val="0"/>
                <w:bCs w:val="0"/>
                <w:color w:val="auto"/>
                <w:kern w:val="0"/>
                <w:sz w:val="24"/>
                <w:szCs w:val="24"/>
                <w:lang w:val="en-US" w:eastAsia="zh-CN"/>
              </w:rPr>
              <w:t>6</w:t>
            </w:r>
          </w:p>
        </w:tc>
        <w:tc>
          <w:tcPr>
            <w:tcW w:w="1750" w:type="dxa"/>
            <w:vMerge w:val="restart"/>
            <w:noWrap w:val="0"/>
            <w:vAlign w:val="center"/>
          </w:tcPr>
          <w:p w14:paraId="19EC3999">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《中华人民共和国工业产品生产许可证管理条例》</w:t>
            </w:r>
          </w:p>
        </w:tc>
        <w:tc>
          <w:tcPr>
            <w:tcW w:w="4203" w:type="dxa"/>
            <w:vMerge w:val="restart"/>
            <w:noWrap w:val="0"/>
            <w:vAlign w:val="center"/>
          </w:tcPr>
          <w:p w14:paraId="0112B389">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第五十六条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承担发证产品检验工作的检验机构伪造检验结论或者出具虚假证明的，由工业产品生产许可证主管部门责令改正，对单位处5万元以上20万元以下的罚款，对直接负责的主管人员和其他直接责任人员处1万元以上5万元以下的罚款；有违法所得的，没收违法所得；情节严重的，撤销其检验资格；构成犯罪的，依法追究刑事责任。</w:t>
            </w:r>
          </w:p>
        </w:tc>
        <w:tc>
          <w:tcPr>
            <w:tcW w:w="1141" w:type="dxa"/>
            <w:noWrap w:val="0"/>
            <w:vAlign w:val="center"/>
          </w:tcPr>
          <w:p w14:paraId="503914F4">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04514EBF">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伪造检验结论或者出具虚假证明</w:t>
            </w:r>
            <w:r>
              <w:rPr>
                <w:rFonts w:hint="eastAsia" w:ascii="宋体" w:hAnsi="宋体" w:cs="宋体"/>
                <w:b w:val="0"/>
                <w:bCs w:val="0"/>
                <w:color w:val="auto"/>
                <w:kern w:val="0"/>
                <w:sz w:val="24"/>
                <w:szCs w:val="24"/>
                <w:lang w:val="en-US" w:eastAsia="zh-CN"/>
              </w:rPr>
              <w:t>3份以下</w:t>
            </w:r>
            <w:r>
              <w:rPr>
                <w:rFonts w:hint="eastAsia" w:ascii="宋体" w:hAnsi="宋体" w:eastAsia="宋体" w:cs="宋体"/>
                <w:b w:val="0"/>
                <w:bCs w:val="0"/>
                <w:color w:val="auto"/>
                <w:kern w:val="0"/>
                <w:sz w:val="24"/>
                <w:szCs w:val="24"/>
              </w:rPr>
              <w:t>的。</w:t>
            </w:r>
          </w:p>
        </w:tc>
        <w:tc>
          <w:tcPr>
            <w:tcW w:w="3336" w:type="dxa"/>
            <w:noWrap w:val="0"/>
            <w:vAlign w:val="center"/>
          </w:tcPr>
          <w:p w14:paraId="0AFEAC5B">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责令改正，对单位处5万元以上</w:t>
            </w:r>
            <w:r>
              <w:rPr>
                <w:rFonts w:hint="eastAsia" w:ascii="宋体" w:hAnsi="宋体" w:eastAsia="宋体" w:cs="宋体"/>
                <w:b w:val="0"/>
                <w:bCs w:val="0"/>
                <w:color w:val="auto"/>
                <w:kern w:val="0"/>
                <w:sz w:val="24"/>
                <w:szCs w:val="24"/>
                <w:lang w:val="en-US" w:eastAsia="zh-CN"/>
              </w:rPr>
              <w:t>9.5</w:t>
            </w:r>
            <w:r>
              <w:rPr>
                <w:rFonts w:hint="eastAsia" w:ascii="宋体" w:hAnsi="宋体" w:eastAsia="宋体" w:cs="宋体"/>
                <w:b w:val="0"/>
                <w:bCs w:val="0"/>
                <w:color w:val="auto"/>
                <w:kern w:val="0"/>
                <w:sz w:val="24"/>
                <w:szCs w:val="24"/>
              </w:rPr>
              <w:t>万元以下的罚款，对直接负责的主管人员和其他直接责任人员处1万元</w:t>
            </w:r>
            <w:r>
              <w:rPr>
                <w:rFonts w:hint="eastAsia" w:ascii="宋体" w:hAnsi="宋体" w:eastAsia="宋体" w:cs="宋体"/>
                <w:b w:val="0"/>
                <w:bCs w:val="0"/>
                <w:color w:val="auto"/>
                <w:spacing w:val="-6"/>
                <w:kern w:val="0"/>
                <w:sz w:val="24"/>
                <w:szCs w:val="24"/>
              </w:rPr>
              <w:t>以上2万元以下的罚款；有违法所得的，没收违法所得</w:t>
            </w:r>
            <w:r>
              <w:rPr>
                <w:rFonts w:hint="eastAsia" w:ascii="宋体" w:hAnsi="宋体" w:eastAsia="宋体" w:cs="宋体"/>
                <w:b w:val="0"/>
                <w:bCs w:val="0"/>
                <w:color w:val="auto"/>
                <w:kern w:val="0"/>
                <w:sz w:val="24"/>
                <w:szCs w:val="24"/>
              </w:rPr>
              <w:t>。</w:t>
            </w:r>
          </w:p>
        </w:tc>
      </w:tr>
      <w:tr w14:paraId="0AF6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610" w:type="dxa"/>
            <w:vMerge w:val="continue"/>
            <w:noWrap w:val="0"/>
            <w:vAlign w:val="center"/>
          </w:tcPr>
          <w:p w14:paraId="682AEDC4">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542D18B5">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4870C602">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5FB8D9A2">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793EAF60">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伪造检验结论或者出具虚假证明</w:t>
            </w:r>
            <w:r>
              <w:rPr>
                <w:rFonts w:hint="eastAsia" w:ascii="宋体" w:hAnsi="宋体" w:cs="宋体"/>
                <w:b w:val="0"/>
                <w:bCs w:val="0"/>
                <w:color w:val="auto"/>
                <w:kern w:val="0"/>
                <w:sz w:val="24"/>
                <w:szCs w:val="24"/>
                <w:lang w:val="en-US" w:eastAsia="zh-CN"/>
              </w:rPr>
              <w:t>3份以上10份以下</w:t>
            </w:r>
            <w:r>
              <w:rPr>
                <w:rFonts w:hint="eastAsia" w:ascii="宋体" w:hAnsi="宋体" w:eastAsia="宋体" w:cs="宋体"/>
                <w:b w:val="0"/>
                <w:bCs w:val="0"/>
                <w:color w:val="auto"/>
                <w:kern w:val="0"/>
                <w:sz w:val="24"/>
                <w:szCs w:val="24"/>
              </w:rPr>
              <w:t>的。</w:t>
            </w:r>
          </w:p>
        </w:tc>
        <w:tc>
          <w:tcPr>
            <w:tcW w:w="3336" w:type="dxa"/>
            <w:noWrap w:val="0"/>
            <w:vAlign w:val="center"/>
          </w:tcPr>
          <w:p w14:paraId="10FB64BB">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pacing w:val="-6"/>
                <w:kern w:val="0"/>
                <w:sz w:val="24"/>
                <w:szCs w:val="24"/>
              </w:rPr>
            </w:pPr>
            <w:r>
              <w:rPr>
                <w:rFonts w:hint="eastAsia" w:ascii="宋体" w:hAnsi="宋体" w:eastAsia="宋体" w:cs="宋体"/>
                <w:b w:val="0"/>
                <w:bCs w:val="0"/>
                <w:color w:val="auto"/>
                <w:spacing w:val="-6"/>
                <w:kern w:val="0"/>
                <w:sz w:val="24"/>
                <w:szCs w:val="24"/>
              </w:rPr>
              <w:t>责令改正，对单位处</w:t>
            </w:r>
            <w:r>
              <w:rPr>
                <w:rFonts w:hint="eastAsia" w:ascii="宋体" w:hAnsi="宋体" w:eastAsia="宋体" w:cs="宋体"/>
                <w:b w:val="0"/>
                <w:bCs w:val="0"/>
                <w:color w:val="auto"/>
                <w:spacing w:val="-6"/>
                <w:kern w:val="0"/>
                <w:sz w:val="24"/>
                <w:szCs w:val="24"/>
                <w:lang w:val="en-US" w:eastAsia="zh-CN"/>
              </w:rPr>
              <w:t>9.5</w:t>
            </w:r>
            <w:r>
              <w:rPr>
                <w:rFonts w:hint="eastAsia" w:ascii="宋体" w:hAnsi="宋体" w:eastAsia="宋体" w:cs="宋体"/>
                <w:b w:val="0"/>
                <w:bCs w:val="0"/>
                <w:color w:val="auto"/>
                <w:spacing w:val="-6"/>
                <w:kern w:val="0"/>
                <w:sz w:val="24"/>
                <w:szCs w:val="24"/>
              </w:rPr>
              <w:t>万元以上15</w:t>
            </w:r>
            <w:r>
              <w:rPr>
                <w:rFonts w:hint="eastAsia" w:ascii="宋体" w:hAnsi="宋体" w:eastAsia="宋体" w:cs="宋体"/>
                <w:b w:val="0"/>
                <w:bCs w:val="0"/>
                <w:color w:val="auto"/>
                <w:spacing w:val="-6"/>
                <w:kern w:val="0"/>
                <w:sz w:val="24"/>
                <w:szCs w:val="24"/>
                <w:lang w:val="en-US" w:eastAsia="zh-CN"/>
              </w:rPr>
              <w:t>.5</w:t>
            </w:r>
            <w:r>
              <w:rPr>
                <w:rFonts w:hint="eastAsia" w:ascii="宋体" w:hAnsi="宋体" w:eastAsia="宋体" w:cs="宋体"/>
                <w:b w:val="0"/>
                <w:bCs w:val="0"/>
                <w:color w:val="auto"/>
                <w:spacing w:val="-6"/>
                <w:kern w:val="0"/>
                <w:sz w:val="24"/>
                <w:szCs w:val="24"/>
              </w:rPr>
              <w:t>万元以下的罚款，对直接负责的主管人员和其他直接责任人员处2万元以上3万元以下的罚款；有违法所得的，没收违法所得。</w:t>
            </w:r>
          </w:p>
        </w:tc>
      </w:tr>
      <w:tr w14:paraId="2FEE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atLeast"/>
          <w:jc w:val="center"/>
        </w:trPr>
        <w:tc>
          <w:tcPr>
            <w:tcW w:w="610" w:type="dxa"/>
            <w:vMerge w:val="continue"/>
            <w:noWrap w:val="0"/>
            <w:vAlign w:val="center"/>
          </w:tcPr>
          <w:p w14:paraId="7165573E">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16A4F7C4">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1829210C">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2D6927F0">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0061D104">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伪造检验结论或者出具虚假证明</w:t>
            </w:r>
            <w:r>
              <w:rPr>
                <w:rFonts w:hint="eastAsia" w:ascii="宋体" w:hAnsi="宋体" w:cs="宋体"/>
                <w:b w:val="0"/>
                <w:bCs w:val="0"/>
                <w:color w:val="auto"/>
                <w:kern w:val="0"/>
                <w:sz w:val="24"/>
                <w:szCs w:val="24"/>
                <w:lang w:val="en-US" w:eastAsia="zh-CN"/>
              </w:rPr>
              <w:t>10份</w:t>
            </w:r>
            <w:r>
              <w:rPr>
                <w:rFonts w:hint="eastAsia" w:ascii="宋体" w:hAnsi="宋体" w:eastAsia="宋体" w:cs="宋体"/>
                <w:b w:val="0"/>
                <w:bCs w:val="0"/>
                <w:color w:val="auto"/>
                <w:kern w:val="0"/>
                <w:sz w:val="24"/>
                <w:szCs w:val="24"/>
              </w:rPr>
              <w:t>以上的。</w:t>
            </w:r>
          </w:p>
        </w:tc>
        <w:tc>
          <w:tcPr>
            <w:tcW w:w="3336" w:type="dxa"/>
            <w:noWrap w:val="0"/>
            <w:vAlign w:val="center"/>
          </w:tcPr>
          <w:p w14:paraId="599C3851">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pacing w:val="-6"/>
                <w:kern w:val="0"/>
                <w:sz w:val="24"/>
                <w:szCs w:val="24"/>
              </w:rPr>
            </w:pPr>
            <w:r>
              <w:rPr>
                <w:rFonts w:hint="eastAsia" w:ascii="宋体" w:hAnsi="宋体" w:eastAsia="宋体" w:cs="宋体"/>
                <w:b w:val="0"/>
                <w:bCs w:val="0"/>
                <w:color w:val="auto"/>
                <w:spacing w:val="-6"/>
                <w:kern w:val="0"/>
                <w:sz w:val="24"/>
                <w:szCs w:val="24"/>
              </w:rPr>
              <w:t>责令改正，对单位处15</w:t>
            </w:r>
            <w:r>
              <w:rPr>
                <w:rFonts w:hint="eastAsia" w:ascii="宋体" w:hAnsi="宋体" w:eastAsia="宋体" w:cs="宋体"/>
                <w:b w:val="0"/>
                <w:bCs w:val="0"/>
                <w:color w:val="auto"/>
                <w:spacing w:val="-6"/>
                <w:kern w:val="0"/>
                <w:sz w:val="24"/>
                <w:szCs w:val="24"/>
                <w:lang w:val="en-US" w:eastAsia="zh-CN"/>
              </w:rPr>
              <w:t>.5</w:t>
            </w:r>
            <w:r>
              <w:rPr>
                <w:rFonts w:hint="eastAsia" w:ascii="宋体" w:hAnsi="宋体" w:eastAsia="宋体" w:cs="宋体"/>
                <w:b w:val="0"/>
                <w:bCs w:val="0"/>
                <w:color w:val="auto"/>
                <w:spacing w:val="-6"/>
                <w:kern w:val="0"/>
                <w:sz w:val="24"/>
                <w:szCs w:val="24"/>
              </w:rPr>
              <w:t>万元以上20万元以下的罚款，对直接负责的主管人员和其他直接责任人员处3万元以上5万元以下的罚款；有违法所得的，没收违法所得。</w:t>
            </w:r>
          </w:p>
        </w:tc>
      </w:tr>
      <w:tr w14:paraId="17B9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10" w:type="dxa"/>
            <w:vMerge w:val="continue"/>
            <w:noWrap w:val="0"/>
            <w:vAlign w:val="center"/>
          </w:tcPr>
          <w:p w14:paraId="567F4F5A">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04752EBF">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3A2583AB">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3A91CB7A">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严重</w:t>
            </w:r>
          </w:p>
        </w:tc>
        <w:tc>
          <w:tcPr>
            <w:tcW w:w="3133" w:type="dxa"/>
            <w:noWrap w:val="0"/>
            <w:vAlign w:val="center"/>
          </w:tcPr>
          <w:p w14:paraId="3F4C192E">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情节严重的。</w:t>
            </w:r>
          </w:p>
        </w:tc>
        <w:tc>
          <w:tcPr>
            <w:tcW w:w="3336" w:type="dxa"/>
            <w:noWrap w:val="0"/>
            <w:vAlign w:val="center"/>
          </w:tcPr>
          <w:p w14:paraId="628F3EF7">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撤销其检验资格。</w:t>
            </w:r>
          </w:p>
        </w:tc>
      </w:tr>
      <w:tr w14:paraId="459A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610" w:type="dxa"/>
            <w:vMerge w:val="restart"/>
            <w:noWrap w:val="0"/>
            <w:vAlign w:val="center"/>
          </w:tcPr>
          <w:p w14:paraId="0CDF7E46">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rPr>
              <w:t>10</w:t>
            </w:r>
            <w:r>
              <w:rPr>
                <w:rFonts w:hint="eastAsia" w:ascii="宋体" w:hAnsi="宋体" w:cs="宋体"/>
                <w:b w:val="0"/>
                <w:bCs w:val="0"/>
                <w:color w:val="auto"/>
                <w:kern w:val="0"/>
                <w:sz w:val="24"/>
                <w:szCs w:val="24"/>
                <w:lang w:val="en-US" w:eastAsia="zh-CN"/>
              </w:rPr>
              <w:t>7</w:t>
            </w:r>
          </w:p>
        </w:tc>
        <w:tc>
          <w:tcPr>
            <w:tcW w:w="1750" w:type="dxa"/>
            <w:vMerge w:val="restart"/>
            <w:noWrap w:val="0"/>
            <w:vAlign w:val="center"/>
          </w:tcPr>
          <w:p w14:paraId="6D12E995">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《中华人民共和国工业产品生产许可证管理条例》</w:t>
            </w:r>
          </w:p>
        </w:tc>
        <w:tc>
          <w:tcPr>
            <w:tcW w:w="4203" w:type="dxa"/>
            <w:vMerge w:val="restart"/>
            <w:noWrap w:val="0"/>
            <w:vAlign w:val="center"/>
          </w:tcPr>
          <w:p w14:paraId="748F14AB">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第五十七条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检验机构和检验人员从事与其检验的列入目录产品相关的生产、销售活动，或者以其名义推荐或者监制、监销其检验的列入目录产品的，由工业产品生产许可证主管部门处2万元以上10万元以下的罚款；有违法所得的，没收违法所得；情节严重的，撤销其检验资格。</w:t>
            </w:r>
          </w:p>
        </w:tc>
        <w:tc>
          <w:tcPr>
            <w:tcW w:w="1141" w:type="dxa"/>
            <w:noWrap w:val="0"/>
            <w:vAlign w:val="center"/>
          </w:tcPr>
          <w:p w14:paraId="1D4E21BC">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630B84C1">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推荐或者监制、监销</w:t>
            </w:r>
            <w:r>
              <w:rPr>
                <w:rFonts w:hint="default" w:ascii="宋体" w:hAnsi="宋体" w:cs="宋体"/>
                <w:b w:val="0"/>
                <w:bCs w:val="0"/>
                <w:color w:val="auto"/>
                <w:kern w:val="0"/>
                <w:sz w:val="24"/>
                <w:szCs w:val="24"/>
                <w:lang w:val="en"/>
              </w:rPr>
              <w:t>1</w:t>
            </w:r>
            <w:r>
              <w:rPr>
                <w:rFonts w:hint="eastAsia" w:ascii="宋体" w:hAnsi="宋体" w:eastAsia="宋体" w:cs="宋体"/>
                <w:b w:val="0"/>
                <w:bCs w:val="0"/>
                <w:color w:val="auto"/>
                <w:kern w:val="0"/>
                <w:sz w:val="24"/>
                <w:szCs w:val="24"/>
              </w:rPr>
              <w:t>种产品的。</w:t>
            </w:r>
          </w:p>
        </w:tc>
        <w:tc>
          <w:tcPr>
            <w:tcW w:w="3336" w:type="dxa"/>
            <w:noWrap w:val="0"/>
            <w:vAlign w:val="center"/>
          </w:tcPr>
          <w:p w14:paraId="6171B1E7">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处2万元以上</w:t>
            </w:r>
            <w:r>
              <w:rPr>
                <w:rFonts w:hint="eastAsia" w:ascii="宋体" w:hAnsi="宋体" w:eastAsia="宋体" w:cs="宋体"/>
                <w:b w:val="0"/>
                <w:bCs w:val="0"/>
                <w:color w:val="auto"/>
                <w:kern w:val="0"/>
                <w:sz w:val="24"/>
                <w:szCs w:val="24"/>
                <w:lang w:val="en-US" w:eastAsia="zh-CN"/>
              </w:rPr>
              <w:t>4.4</w:t>
            </w:r>
            <w:r>
              <w:rPr>
                <w:rFonts w:hint="eastAsia" w:ascii="宋体" w:hAnsi="宋体" w:eastAsia="宋体" w:cs="宋体"/>
                <w:b w:val="0"/>
                <w:bCs w:val="0"/>
                <w:color w:val="auto"/>
                <w:kern w:val="0"/>
                <w:sz w:val="24"/>
                <w:szCs w:val="24"/>
              </w:rPr>
              <w:t>万元以下的罚款；有违法所得的，没收违法所得。</w:t>
            </w:r>
          </w:p>
        </w:tc>
      </w:tr>
      <w:tr w14:paraId="54DF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jc w:val="center"/>
        </w:trPr>
        <w:tc>
          <w:tcPr>
            <w:tcW w:w="610" w:type="dxa"/>
            <w:vMerge w:val="continue"/>
            <w:noWrap w:val="0"/>
            <w:vAlign w:val="center"/>
          </w:tcPr>
          <w:p w14:paraId="284834CC">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659D617C">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72BA7FA9">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717BEE73">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7324F3C0">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推荐或者监制、监销</w:t>
            </w:r>
            <w:r>
              <w:rPr>
                <w:rFonts w:hint="default" w:ascii="宋体" w:hAnsi="宋体" w:cs="宋体"/>
                <w:b w:val="0"/>
                <w:bCs w:val="0"/>
                <w:color w:val="auto"/>
                <w:kern w:val="0"/>
                <w:sz w:val="24"/>
                <w:szCs w:val="24"/>
                <w:lang w:val="en"/>
              </w:rPr>
              <w:t>2</w:t>
            </w:r>
            <w:r>
              <w:rPr>
                <w:rFonts w:hint="eastAsia" w:ascii="宋体" w:hAnsi="宋体" w:eastAsia="宋体" w:cs="宋体"/>
                <w:b w:val="0"/>
                <w:bCs w:val="0"/>
                <w:color w:val="auto"/>
                <w:kern w:val="0"/>
                <w:sz w:val="24"/>
                <w:szCs w:val="24"/>
              </w:rPr>
              <w:t>种产品的。</w:t>
            </w:r>
          </w:p>
        </w:tc>
        <w:tc>
          <w:tcPr>
            <w:tcW w:w="3336" w:type="dxa"/>
            <w:noWrap w:val="0"/>
            <w:vAlign w:val="center"/>
          </w:tcPr>
          <w:p w14:paraId="6EFC37F3">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处</w:t>
            </w:r>
            <w:r>
              <w:rPr>
                <w:rFonts w:hint="eastAsia" w:ascii="宋体" w:hAnsi="宋体" w:eastAsia="宋体" w:cs="宋体"/>
                <w:b w:val="0"/>
                <w:bCs w:val="0"/>
                <w:color w:val="auto"/>
                <w:kern w:val="0"/>
                <w:sz w:val="24"/>
                <w:szCs w:val="24"/>
                <w:lang w:val="en-US" w:eastAsia="zh-CN"/>
              </w:rPr>
              <w:t>4.4</w:t>
            </w:r>
            <w:r>
              <w:rPr>
                <w:rFonts w:hint="eastAsia" w:ascii="宋体" w:hAnsi="宋体" w:eastAsia="宋体" w:cs="宋体"/>
                <w:b w:val="0"/>
                <w:bCs w:val="0"/>
                <w:color w:val="auto"/>
                <w:kern w:val="0"/>
                <w:sz w:val="24"/>
                <w:szCs w:val="24"/>
              </w:rPr>
              <w:t>万元以上</w:t>
            </w:r>
            <w:r>
              <w:rPr>
                <w:rFonts w:hint="eastAsia" w:ascii="宋体" w:hAnsi="宋体" w:eastAsia="宋体" w:cs="宋体"/>
                <w:b w:val="0"/>
                <w:bCs w:val="0"/>
                <w:color w:val="auto"/>
                <w:kern w:val="0"/>
                <w:sz w:val="24"/>
                <w:szCs w:val="24"/>
                <w:lang w:val="en-US" w:eastAsia="zh-CN"/>
              </w:rPr>
              <w:t>7.6</w:t>
            </w:r>
            <w:r>
              <w:rPr>
                <w:rFonts w:hint="eastAsia" w:ascii="宋体" w:hAnsi="宋体" w:eastAsia="宋体" w:cs="宋体"/>
                <w:b w:val="0"/>
                <w:bCs w:val="0"/>
                <w:color w:val="auto"/>
                <w:kern w:val="0"/>
                <w:sz w:val="24"/>
                <w:szCs w:val="24"/>
              </w:rPr>
              <w:t>万元以下的罚款；有违法所得的，没收违法所得。</w:t>
            </w:r>
          </w:p>
        </w:tc>
      </w:tr>
      <w:tr w14:paraId="5C9DA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610" w:type="dxa"/>
            <w:vMerge w:val="continue"/>
            <w:noWrap w:val="0"/>
            <w:vAlign w:val="center"/>
          </w:tcPr>
          <w:p w14:paraId="6B1F341C">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51BEAB2F">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60637FB0">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7A7EBD28">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420FBBFE">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推荐或者监制、监销</w:t>
            </w:r>
            <w:r>
              <w:rPr>
                <w:rFonts w:hint="default" w:ascii="宋体" w:hAnsi="宋体" w:cs="宋体"/>
                <w:b w:val="0"/>
                <w:bCs w:val="0"/>
                <w:color w:val="auto"/>
                <w:kern w:val="0"/>
                <w:sz w:val="24"/>
                <w:szCs w:val="24"/>
                <w:lang w:val="en"/>
              </w:rPr>
              <w:t>3</w:t>
            </w:r>
            <w:r>
              <w:rPr>
                <w:rFonts w:hint="eastAsia" w:ascii="宋体" w:hAnsi="宋体" w:eastAsia="宋体" w:cs="宋体"/>
                <w:b w:val="0"/>
                <w:bCs w:val="0"/>
                <w:color w:val="auto"/>
                <w:kern w:val="0"/>
                <w:sz w:val="24"/>
                <w:szCs w:val="24"/>
              </w:rPr>
              <w:t>种以上产品或从事生产、销售活动的。</w:t>
            </w:r>
          </w:p>
        </w:tc>
        <w:tc>
          <w:tcPr>
            <w:tcW w:w="3336" w:type="dxa"/>
            <w:noWrap w:val="0"/>
            <w:vAlign w:val="center"/>
          </w:tcPr>
          <w:p w14:paraId="006F8BAD">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处</w:t>
            </w:r>
            <w:r>
              <w:rPr>
                <w:rFonts w:hint="eastAsia" w:ascii="宋体" w:hAnsi="宋体" w:eastAsia="宋体" w:cs="宋体"/>
                <w:b w:val="0"/>
                <w:bCs w:val="0"/>
                <w:color w:val="auto"/>
                <w:kern w:val="0"/>
                <w:sz w:val="24"/>
                <w:szCs w:val="24"/>
                <w:lang w:val="en-US" w:eastAsia="zh-CN"/>
              </w:rPr>
              <w:t>7.6</w:t>
            </w:r>
            <w:r>
              <w:rPr>
                <w:rFonts w:hint="eastAsia" w:ascii="宋体" w:hAnsi="宋体" w:eastAsia="宋体" w:cs="宋体"/>
                <w:b w:val="0"/>
                <w:bCs w:val="0"/>
                <w:color w:val="auto"/>
                <w:kern w:val="0"/>
                <w:sz w:val="24"/>
                <w:szCs w:val="24"/>
              </w:rPr>
              <w:t>万元以上10万元以下的罚款；有违法所得的，没收违法所得。</w:t>
            </w:r>
          </w:p>
        </w:tc>
      </w:tr>
      <w:tr w14:paraId="2AE3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610" w:type="dxa"/>
            <w:vMerge w:val="continue"/>
            <w:noWrap w:val="0"/>
            <w:vAlign w:val="center"/>
          </w:tcPr>
          <w:p w14:paraId="2F27BE86">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0F67940A">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1A657AE7">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3EFE7F75">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严重</w:t>
            </w:r>
          </w:p>
        </w:tc>
        <w:tc>
          <w:tcPr>
            <w:tcW w:w="3133" w:type="dxa"/>
            <w:noWrap w:val="0"/>
            <w:vAlign w:val="center"/>
          </w:tcPr>
          <w:p w14:paraId="174280E2">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情节严重的。</w:t>
            </w:r>
          </w:p>
        </w:tc>
        <w:tc>
          <w:tcPr>
            <w:tcW w:w="3336" w:type="dxa"/>
            <w:noWrap w:val="0"/>
            <w:vAlign w:val="center"/>
          </w:tcPr>
          <w:p w14:paraId="21B3FA7A">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撤销其检验资格。</w:t>
            </w:r>
          </w:p>
        </w:tc>
      </w:tr>
      <w:tr w14:paraId="28CED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610" w:type="dxa"/>
            <w:vMerge w:val="restart"/>
            <w:noWrap w:val="0"/>
            <w:vAlign w:val="center"/>
          </w:tcPr>
          <w:p w14:paraId="637277E1">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eastAsia="zh-CN"/>
              </w:rPr>
            </w:pPr>
            <w:r>
              <w:rPr>
                <w:rFonts w:hint="eastAsia" w:ascii="宋体" w:hAnsi="宋体" w:eastAsia="宋体" w:cs="宋体"/>
                <w:b w:val="0"/>
                <w:bCs w:val="0"/>
                <w:color w:val="auto"/>
                <w:kern w:val="0"/>
                <w:sz w:val="24"/>
                <w:szCs w:val="24"/>
              </w:rPr>
              <w:t>10</w:t>
            </w:r>
            <w:r>
              <w:rPr>
                <w:rFonts w:hint="eastAsia" w:ascii="宋体" w:hAnsi="宋体" w:cs="宋体"/>
                <w:b w:val="0"/>
                <w:bCs w:val="0"/>
                <w:color w:val="auto"/>
                <w:kern w:val="0"/>
                <w:sz w:val="24"/>
                <w:szCs w:val="24"/>
                <w:lang w:val="en-US" w:eastAsia="zh-CN"/>
              </w:rPr>
              <w:t>8</w:t>
            </w:r>
          </w:p>
        </w:tc>
        <w:tc>
          <w:tcPr>
            <w:tcW w:w="1750" w:type="dxa"/>
            <w:vMerge w:val="restart"/>
            <w:noWrap w:val="0"/>
            <w:vAlign w:val="center"/>
          </w:tcPr>
          <w:p w14:paraId="693C89EE">
            <w:pPr>
              <w:keepNext w:val="0"/>
              <w:keepLines w:val="0"/>
              <w:pageBreakBefore w:val="0"/>
              <w:widowControl/>
              <w:kinsoku/>
              <w:wordWrap/>
              <w:overflowPunct/>
              <w:topLinePunct w:val="0"/>
              <w:autoSpaceDE/>
              <w:autoSpaceDN/>
              <w:bidi w:val="0"/>
              <w:adjustRightInd/>
              <w:snapToGrid/>
              <w:spacing w:line="420" w:lineRule="exact"/>
              <w:textAlignment w:val="auto"/>
              <w:outlineLvl w:val="2"/>
              <w:rPr>
                <w:rFonts w:hint="eastAsia" w:ascii="宋体" w:hAnsi="宋体" w:eastAsia="宋体" w:cs="宋体"/>
                <w:b w:val="0"/>
                <w:bCs w:val="0"/>
                <w:color w:val="auto"/>
                <w:kern w:val="0"/>
                <w:sz w:val="24"/>
                <w:szCs w:val="24"/>
                <w:highlight w:val="none"/>
                <w:lang w:val="en-US" w:eastAsia="zh-CN"/>
              </w:rPr>
            </w:pPr>
            <w:bookmarkStart w:id="147" w:name="_Toc23636"/>
            <w:bookmarkStart w:id="148" w:name="_Toc30243"/>
            <w:bookmarkStart w:id="149" w:name="_Toc21228"/>
            <w:bookmarkStart w:id="150" w:name="_Toc11865"/>
            <w:bookmarkStart w:id="151" w:name="_Toc20080"/>
            <w:r>
              <w:rPr>
                <w:rFonts w:hint="eastAsia" w:ascii="宋体" w:hAnsi="宋体" w:eastAsia="宋体" w:cs="宋体"/>
                <w:b w:val="0"/>
                <w:bCs w:val="0"/>
                <w:color w:val="auto"/>
                <w:kern w:val="0"/>
                <w:sz w:val="24"/>
                <w:szCs w:val="24"/>
                <w:highlight w:val="none"/>
              </w:rPr>
              <w:t>《中华人民共和国工业产品生产许可证管理条例实施办法》</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lang w:val="en-US" w:eastAsia="zh-CN"/>
              </w:rPr>
              <w:t>202</w:t>
            </w:r>
            <w:r>
              <w:rPr>
                <w:rFonts w:hint="eastAsia" w:ascii="宋体" w:hAnsi="宋体" w:cs="宋体"/>
                <w:b w:val="0"/>
                <w:bCs w:val="0"/>
                <w:color w:val="auto"/>
                <w:kern w:val="0"/>
                <w:sz w:val="24"/>
                <w:szCs w:val="24"/>
                <w:highlight w:val="none"/>
                <w:lang w:val="en-US" w:eastAsia="zh-CN"/>
              </w:rPr>
              <w:t>5</w:t>
            </w:r>
            <w:r>
              <w:rPr>
                <w:rFonts w:hint="eastAsia" w:ascii="宋体" w:hAnsi="宋体" w:eastAsia="宋体" w:cs="宋体"/>
                <w:b w:val="0"/>
                <w:bCs w:val="0"/>
                <w:color w:val="auto"/>
                <w:kern w:val="0"/>
                <w:sz w:val="24"/>
                <w:szCs w:val="24"/>
                <w:highlight w:val="none"/>
                <w:lang w:val="en-US" w:eastAsia="zh-CN"/>
              </w:rPr>
              <w:t>年</w:t>
            </w:r>
            <w:r>
              <w:rPr>
                <w:rFonts w:hint="eastAsia" w:ascii="宋体" w:hAnsi="宋体" w:cs="宋体"/>
                <w:b w:val="0"/>
                <w:bCs w:val="0"/>
                <w:color w:val="auto"/>
                <w:kern w:val="0"/>
                <w:sz w:val="24"/>
                <w:szCs w:val="24"/>
                <w:highlight w:val="none"/>
                <w:lang w:val="en-US" w:eastAsia="zh-CN"/>
              </w:rPr>
              <w:t>5</w:t>
            </w:r>
            <w:r>
              <w:rPr>
                <w:rFonts w:hint="eastAsia" w:ascii="宋体" w:hAnsi="宋体" w:eastAsia="宋体" w:cs="宋体"/>
                <w:b w:val="0"/>
                <w:bCs w:val="0"/>
                <w:color w:val="auto"/>
                <w:kern w:val="0"/>
                <w:sz w:val="24"/>
                <w:szCs w:val="24"/>
                <w:highlight w:val="none"/>
                <w:lang w:val="en-US" w:eastAsia="zh-CN"/>
              </w:rPr>
              <w:t>月</w:t>
            </w: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日</w:t>
            </w:r>
            <w:r>
              <w:rPr>
                <w:rFonts w:hint="eastAsia" w:ascii="宋体" w:hAnsi="宋体" w:cs="宋体"/>
                <w:b w:val="0"/>
                <w:bCs w:val="0"/>
                <w:color w:val="auto"/>
                <w:kern w:val="0"/>
                <w:sz w:val="24"/>
                <w:szCs w:val="24"/>
                <w:highlight w:val="none"/>
                <w:lang w:val="en-US" w:eastAsia="zh-CN"/>
              </w:rPr>
              <w:t>起施行</w:t>
            </w:r>
            <w:r>
              <w:rPr>
                <w:rFonts w:hint="eastAsia" w:ascii="宋体" w:hAnsi="宋体" w:eastAsia="宋体" w:cs="宋体"/>
                <w:b w:val="0"/>
                <w:bCs w:val="0"/>
                <w:color w:val="auto"/>
                <w:kern w:val="0"/>
                <w:sz w:val="24"/>
                <w:szCs w:val="24"/>
                <w:highlight w:val="none"/>
                <w:lang w:val="en-US" w:eastAsia="zh-CN"/>
              </w:rPr>
              <w:t>）</w:t>
            </w:r>
            <w:bookmarkEnd w:id="147"/>
            <w:bookmarkEnd w:id="148"/>
            <w:bookmarkEnd w:id="149"/>
            <w:bookmarkEnd w:id="150"/>
            <w:bookmarkEnd w:id="151"/>
          </w:p>
        </w:tc>
        <w:tc>
          <w:tcPr>
            <w:tcW w:w="4203" w:type="dxa"/>
            <w:vMerge w:val="restart"/>
            <w:noWrap w:val="0"/>
            <w:vAlign w:val="center"/>
          </w:tcPr>
          <w:p w14:paraId="1EB274EB">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w:t>
            </w:r>
            <w:r>
              <w:rPr>
                <w:rFonts w:hint="eastAsia" w:ascii="宋体" w:hAnsi="宋体" w:eastAsia="宋体" w:cs="宋体"/>
                <w:b w:val="0"/>
                <w:bCs w:val="0"/>
                <w:color w:val="auto"/>
                <w:kern w:val="0"/>
                <w:sz w:val="24"/>
                <w:szCs w:val="24"/>
                <w:lang w:eastAsia="zh-CN"/>
              </w:rPr>
              <w:t>四十九</w:t>
            </w:r>
            <w:r>
              <w:rPr>
                <w:rFonts w:hint="eastAsia" w:ascii="宋体" w:hAnsi="宋体" w:eastAsia="宋体" w:cs="宋体"/>
                <w:b w:val="0"/>
                <w:bCs w:val="0"/>
                <w:color w:val="auto"/>
                <w:kern w:val="0"/>
                <w:sz w:val="24"/>
                <w:szCs w:val="24"/>
              </w:rPr>
              <w:t>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违反本办法第四十六条规定，取得生产许可的企业未能持续保持取得生产许可的规定条件的，责令改正，处1万元以上3万元以下罚款。</w:t>
            </w:r>
          </w:p>
        </w:tc>
        <w:tc>
          <w:tcPr>
            <w:tcW w:w="1141" w:type="dxa"/>
            <w:noWrap w:val="0"/>
            <w:vAlign w:val="center"/>
          </w:tcPr>
          <w:p w14:paraId="771BEC56">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0238EBED">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违法产品货值金额1万元以下的。</w:t>
            </w:r>
          </w:p>
        </w:tc>
        <w:tc>
          <w:tcPr>
            <w:tcW w:w="3336" w:type="dxa"/>
            <w:noWrap w:val="0"/>
            <w:vAlign w:val="center"/>
          </w:tcPr>
          <w:p w14:paraId="2C656A0A">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lang w:eastAsia="zh-CN"/>
              </w:rPr>
              <w:t>责令改正，</w:t>
            </w:r>
            <w:r>
              <w:rPr>
                <w:rFonts w:hint="eastAsia" w:ascii="宋体" w:hAnsi="宋体" w:eastAsia="宋体" w:cs="宋体"/>
                <w:b w:val="0"/>
                <w:bCs w:val="0"/>
                <w:color w:val="auto"/>
                <w:kern w:val="0"/>
                <w:sz w:val="24"/>
                <w:szCs w:val="24"/>
              </w:rPr>
              <w:t>处1万元</w:t>
            </w:r>
            <w:r>
              <w:rPr>
                <w:rFonts w:hint="eastAsia" w:ascii="宋体" w:hAnsi="宋体" w:eastAsia="宋体" w:cs="宋体"/>
                <w:b w:val="0"/>
                <w:bCs w:val="0"/>
                <w:color w:val="auto"/>
                <w:kern w:val="0"/>
                <w:sz w:val="24"/>
                <w:szCs w:val="24"/>
                <w:lang w:val="en-US" w:eastAsia="zh-CN"/>
              </w:rPr>
              <w:t>以上1.6万元以下</w:t>
            </w:r>
            <w:r>
              <w:rPr>
                <w:rFonts w:hint="eastAsia" w:ascii="宋体" w:hAnsi="宋体" w:eastAsia="宋体" w:cs="宋体"/>
                <w:b w:val="0"/>
                <w:bCs w:val="0"/>
                <w:color w:val="auto"/>
                <w:kern w:val="0"/>
                <w:sz w:val="24"/>
                <w:szCs w:val="24"/>
              </w:rPr>
              <w:t>罚款。</w:t>
            </w:r>
          </w:p>
        </w:tc>
      </w:tr>
      <w:tr w14:paraId="6CC0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610" w:type="dxa"/>
            <w:vMerge w:val="continue"/>
            <w:noWrap w:val="0"/>
            <w:vAlign w:val="center"/>
          </w:tcPr>
          <w:p w14:paraId="5B3ADD28">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4BB47B95">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highlight w:val="none"/>
              </w:rPr>
            </w:pPr>
          </w:p>
        </w:tc>
        <w:tc>
          <w:tcPr>
            <w:tcW w:w="4203" w:type="dxa"/>
            <w:vMerge w:val="continue"/>
            <w:noWrap w:val="0"/>
            <w:vAlign w:val="center"/>
          </w:tcPr>
          <w:p w14:paraId="7729DDE7">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361CBD4A">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284C3AE1">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违法产品货值金额1万元以上2万元以下的。</w:t>
            </w:r>
          </w:p>
        </w:tc>
        <w:tc>
          <w:tcPr>
            <w:tcW w:w="3336" w:type="dxa"/>
            <w:noWrap w:val="0"/>
            <w:vAlign w:val="center"/>
          </w:tcPr>
          <w:p w14:paraId="7A2E1434">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lang w:eastAsia="zh-CN"/>
              </w:rPr>
              <w:t>责令改正，</w:t>
            </w:r>
            <w:r>
              <w:rPr>
                <w:rFonts w:hint="eastAsia" w:ascii="宋体" w:hAnsi="宋体" w:eastAsia="宋体" w:cs="宋体"/>
                <w:b w:val="0"/>
                <w:bCs w:val="0"/>
                <w:color w:val="auto"/>
                <w:kern w:val="0"/>
                <w:sz w:val="24"/>
                <w:szCs w:val="24"/>
              </w:rPr>
              <w:t>处1</w:t>
            </w:r>
            <w:r>
              <w:rPr>
                <w:rFonts w:hint="eastAsia" w:ascii="宋体" w:hAnsi="宋体" w:eastAsia="宋体" w:cs="宋体"/>
                <w:b w:val="0"/>
                <w:bCs w:val="0"/>
                <w:color w:val="auto"/>
                <w:kern w:val="0"/>
                <w:sz w:val="24"/>
                <w:szCs w:val="24"/>
                <w:lang w:val="en-US" w:eastAsia="zh-CN"/>
              </w:rPr>
              <w:t>.6</w:t>
            </w:r>
            <w:r>
              <w:rPr>
                <w:rFonts w:hint="eastAsia" w:ascii="宋体" w:hAnsi="宋体" w:eastAsia="宋体" w:cs="宋体"/>
                <w:b w:val="0"/>
                <w:bCs w:val="0"/>
                <w:color w:val="auto"/>
                <w:kern w:val="0"/>
                <w:sz w:val="24"/>
                <w:szCs w:val="24"/>
              </w:rPr>
              <w:t>万元以上2</w:t>
            </w:r>
            <w:r>
              <w:rPr>
                <w:rFonts w:hint="eastAsia" w:ascii="宋体" w:hAnsi="宋体" w:eastAsia="宋体" w:cs="宋体"/>
                <w:b w:val="0"/>
                <w:bCs w:val="0"/>
                <w:color w:val="auto"/>
                <w:kern w:val="0"/>
                <w:sz w:val="24"/>
                <w:szCs w:val="24"/>
                <w:lang w:val="en-US" w:eastAsia="zh-CN"/>
              </w:rPr>
              <w:t>.4</w:t>
            </w:r>
            <w:r>
              <w:rPr>
                <w:rFonts w:hint="eastAsia" w:ascii="宋体" w:hAnsi="宋体" w:eastAsia="宋体" w:cs="宋体"/>
                <w:b w:val="0"/>
                <w:bCs w:val="0"/>
                <w:color w:val="auto"/>
                <w:kern w:val="0"/>
                <w:sz w:val="24"/>
                <w:szCs w:val="24"/>
              </w:rPr>
              <w:t>万元以下罚款。</w:t>
            </w:r>
          </w:p>
        </w:tc>
      </w:tr>
      <w:tr w14:paraId="43D7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610" w:type="dxa"/>
            <w:vMerge w:val="continue"/>
            <w:noWrap w:val="0"/>
            <w:vAlign w:val="center"/>
          </w:tcPr>
          <w:p w14:paraId="3E352952">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2EAE8E2C">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highlight w:val="none"/>
              </w:rPr>
            </w:pPr>
          </w:p>
        </w:tc>
        <w:tc>
          <w:tcPr>
            <w:tcW w:w="4203" w:type="dxa"/>
            <w:vMerge w:val="continue"/>
            <w:noWrap w:val="0"/>
            <w:vAlign w:val="center"/>
          </w:tcPr>
          <w:p w14:paraId="289C0B70">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1CE07CB8">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2B2C1015">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违法产品货值金额2万元以上的。</w:t>
            </w:r>
          </w:p>
        </w:tc>
        <w:tc>
          <w:tcPr>
            <w:tcW w:w="3336" w:type="dxa"/>
            <w:noWrap w:val="0"/>
            <w:vAlign w:val="center"/>
          </w:tcPr>
          <w:p w14:paraId="55297E79">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lang w:eastAsia="zh-CN"/>
              </w:rPr>
              <w:t>责令改正，</w:t>
            </w:r>
            <w:r>
              <w:rPr>
                <w:rFonts w:hint="eastAsia" w:ascii="宋体" w:hAnsi="宋体" w:eastAsia="宋体" w:cs="宋体"/>
                <w:b w:val="0"/>
                <w:bCs w:val="0"/>
                <w:color w:val="auto"/>
                <w:kern w:val="0"/>
                <w:sz w:val="24"/>
                <w:szCs w:val="24"/>
              </w:rPr>
              <w:t>处2</w:t>
            </w:r>
            <w:r>
              <w:rPr>
                <w:rFonts w:hint="eastAsia" w:ascii="宋体" w:hAnsi="宋体" w:eastAsia="宋体" w:cs="宋体"/>
                <w:b w:val="0"/>
                <w:bCs w:val="0"/>
                <w:color w:val="auto"/>
                <w:kern w:val="0"/>
                <w:sz w:val="24"/>
                <w:szCs w:val="24"/>
                <w:lang w:val="en-US" w:eastAsia="zh-CN"/>
              </w:rPr>
              <w:t>.4</w:t>
            </w:r>
            <w:r>
              <w:rPr>
                <w:rFonts w:hint="eastAsia" w:ascii="宋体" w:hAnsi="宋体" w:eastAsia="宋体" w:cs="宋体"/>
                <w:b w:val="0"/>
                <w:bCs w:val="0"/>
                <w:color w:val="auto"/>
                <w:kern w:val="0"/>
                <w:sz w:val="24"/>
                <w:szCs w:val="24"/>
              </w:rPr>
              <w:t>万元以上3万元以下罚款。</w:t>
            </w:r>
          </w:p>
        </w:tc>
      </w:tr>
      <w:tr w14:paraId="6439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610" w:type="dxa"/>
            <w:vMerge w:val="restart"/>
            <w:noWrap w:val="0"/>
            <w:vAlign w:val="center"/>
          </w:tcPr>
          <w:p w14:paraId="033719E8">
            <w:pPr>
              <w:keepNext w:val="0"/>
              <w:keepLines w:val="0"/>
              <w:pageBreakBefore w:val="0"/>
              <w:widowControl/>
              <w:kinsoku/>
              <w:wordWrap/>
              <w:overflowPunct/>
              <w:topLinePunct w:val="0"/>
              <w:autoSpaceDE/>
              <w:autoSpaceDN/>
              <w:bidi w:val="0"/>
              <w:adjustRightInd/>
              <w:snapToGrid/>
              <w:spacing w:line="420" w:lineRule="exact"/>
              <w:jc w:val="center"/>
              <w:rPr>
                <w:rFonts w:hint="default"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rPr>
              <w:t>1</w:t>
            </w:r>
            <w:r>
              <w:rPr>
                <w:rFonts w:hint="eastAsia" w:ascii="宋体" w:hAnsi="宋体" w:cs="宋体"/>
                <w:b w:val="0"/>
                <w:bCs w:val="0"/>
                <w:color w:val="auto"/>
                <w:kern w:val="0"/>
                <w:sz w:val="24"/>
                <w:szCs w:val="24"/>
                <w:lang w:val="en-US" w:eastAsia="zh-CN"/>
              </w:rPr>
              <w:t>09</w:t>
            </w:r>
          </w:p>
        </w:tc>
        <w:tc>
          <w:tcPr>
            <w:tcW w:w="1750" w:type="dxa"/>
            <w:vMerge w:val="restart"/>
            <w:noWrap w:val="0"/>
            <w:vAlign w:val="center"/>
          </w:tcPr>
          <w:p w14:paraId="34EF8103">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《中华人民共和国工业产品生产许可证管理条例实施办法》</w:t>
            </w:r>
          </w:p>
        </w:tc>
        <w:tc>
          <w:tcPr>
            <w:tcW w:w="4203" w:type="dxa"/>
            <w:vMerge w:val="restart"/>
            <w:noWrap w:val="0"/>
            <w:vAlign w:val="center"/>
          </w:tcPr>
          <w:p w14:paraId="060EA1A5">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第五十条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违反本办法第四十七条规定，企业委托未取得与委托加工产品相应的生产许可的企业生产列入目录产品的，责令改正，处3万元以下罚款。</w:t>
            </w:r>
          </w:p>
        </w:tc>
        <w:tc>
          <w:tcPr>
            <w:tcW w:w="1141" w:type="dxa"/>
            <w:noWrap w:val="0"/>
            <w:vAlign w:val="center"/>
          </w:tcPr>
          <w:p w14:paraId="573D0249">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12700F2D">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违法产品货值金额1万元以下的。</w:t>
            </w:r>
          </w:p>
        </w:tc>
        <w:tc>
          <w:tcPr>
            <w:tcW w:w="3336" w:type="dxa"/>
            <w:noWrap w:val="0"/>
            <w:vAlign w:val="center"/>
          </w:tcPr>
          <w:p w14:paraId="161C36A4">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责令改正，处</w:t>
            </w:r>
            <w:r>
              <w:rPr>
                <w:rFonts w:hint="eastAsia" w:ascii="宋体" w:hAnsi="宋体" w:eastAsia="宋体" w:cs="宋体"/>
                <w:b w:val="0"/>
                <w:bCs w:val="0"/>
                <w:color w:val="auto"/>
                <w:kern w:val="0"/>
                <w:sz w:val="24"/>
                <w:szCs w:val="24"/>
                <w:lang w:val="en-US" w:eastAsia="zh-CN"/>
              </w:rPr>
              <w:t>9000</w:t>
            </w:r>
            <w:r>
              <w:rPr>
                <w:rFonts w:hint="eastAsia" w:ascii="宋体" w:hAnsi="宋体" w:eastAsia="宋体" w:cs="宋体"/>
                <w:b w:val="0"/>
                <w:bCs w:val="0"/>
                <w:color w:val="auto"/>
                <w:kern w:val="0"/>
                <w:sz w:val="24"/>
                <w:szCs w:val="24"/>
              </w:rPr>
              <w:t>元以下罚款。</w:t>
            </w:r>
          </w:p>
        </w:tc>
      </w:tr>
      <w:tr w14:paraId="0A82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610" w:type="dxa"/>
            <w:vMerge w:val="continue"/>
            <w:noWrap w:val="0"/>
            <w:vAlign w:val="center"/>
          </w:tcPr>
          <w:p w14:paraId="0E87881D">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42B2B208">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highlight w:val="yellow"/>
              </w:rPr>
            </w:pPr>
          </w:p>
        </w:tc>
        <w:tc>
          <w:tcPr>
            <w:tcW w:w="4203" w:type="dxa"/>
            <w:vMerge w:val="continue"/>
            <w:noWrap w:val="0"/>
            <w:vAlign w:val="center"/>
          </w:tcPr>
          <w:p w14:paraId="3CDCF95D">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47D01A17">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1DEE3E04">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违法产品货值金额1万元以上2万元以下的。</w:t>
            </w:r>
          </w:p>
        </w:tc>
        <w:tc>
          <w:tcPr>
            <w:tcW w:w="3336" w:type="dxa"/>
            <w:noWrap w:val="0"/>
            <w:vAlign w:val="center"/>
          </w:tcPr>
          <w:p w14:paraId="04BFD18B">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责令改正，处</w:t>
            </w:r>
            <w:r>
              <w:rPr>
                <w:rFonts w:hint="eastAsia" w:ascii="宋体" w:hAnsi="宋体" w:eastAsia="宋体" w:cs="宋体"/>
                <w:b w:val="0"/>
                <w:bCs w:val="0"/>
                <w:color w:val="auto"/>
                <w:kern w:val="0"/>
                <w:sz w:val="24"/>
                <w:szCs w:val="24"/>
                <w:lang w:val="en-US" w:eastAsia="zh-CN"/>
              </w:rPr>
              <w:t>9000</w:t>
            </w:r>
            <w:r>
              <w:rPr>
                <w:rFonts w:hint="eastAsia" w:ascii="宋体" w:hAnsi="宋体" w:eastAsia="宋体" w:cs="宋体"/>
                <w:b w:val="0"/>
                <w:bCs w:val="0"/>
                <w:color w:val="auto"/>
                <w:kern w:val="0"/>
                <w:sz w:val="24"/>
                <w:szCs w:val="24"/>
              </w:rPr>
              <w:t>元以上2</w:t>
            </w:r>
            <w:r>
              <w:rPr>
                <w:rFonts w:hint="eastAsia" w:ascii="宋体" w:hAnsi="宋体" w:eastAsia="宋体" w:cs="宋体"/>
                <w:b w:val="0"/>
                <w:bCs w:val="0"/>
                <w:color w:val="auto"/>
                <w:kern w:val="0"/>
                <w:sz w:val="24"/>
                <w:szCs w:val="24"/>
                <w:lang w:val="en-US" w:eastAsia="zh-CN"/>
              </w:rPr>
              <w:t>.1</w:t>
            </w:r>
            <w:r>
              <w:rPr>
                <w:rFonts w:hint="eastAsia" w:ascii="宋体" w:hAnsi="宋体" w:eastAsia="宋体" w:cs="宋体"/>
                <w:b w:val="0"/>
                <w:bCs w:val="0"/>
                <w:color w:val="auto"/>
                <w:kern w:val="0"/>
                <w:sz w:val="24"/>
                <w:szCs w:val="24"/>
              </w:rPr>
              <w:t>万元以下罚款。</w:t>
            </w:r>
          </w:p>
        </w:tc>
      </w:tr>
      <w:tr w14:paraId="1A62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610" w:type="dxa"/>
            <w:vMerge w:val="continue"/>
            <w:noWrap w:val="0"/>
            <w:vAlign w:val="center"/>
          </w:tcPr>
          <w:p w14:paraId="2A9D5EEE">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1750" w:type="dxa"/>
            <w:vMerge w:val="continue"/>
            <w:noWrap w:val="0"/>
            <w:vAlign w:val="center"/>
          </w:tcPr>
          <w:p w14:paraId="4BE50CCB">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highlight w:val="yellow"/>
              </w:rPr>
            </w:pPr>
          </w:p>
        </w:tc>
        <w:tc>
          <w:tcPr>
            <w:tcW w:w="4203" w:type="dxa"/>
            <w:vMerge w:val="continue"/>
            <w:noWrap w:val="0"/>
            <w:vAlign w:val="center"/>
          </w:tcPr>
          <w:p w14:paraId="1476B72A">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4CD96FD1">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34261266">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违法产品货值金额2万元以上的。</w:t>
            </w:r>
          </w:p>
        </w:tc>
        <w:tc>
          <w:tcPr>
            <w:tcW w:w="3336" w:type="dxa"/>
            <w:noWrap w:val="0"/>
            <w:vAlign w:val="center"/>
          </w:tcPr>
          <w:p w14:paraId="6362693D">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责令改正，处2</w:t>
            </w:r>
            <w:r>
              <w:rPr>
                <w:rFonts w:hint="eastAsia" w:ascii="宋体" w:hAnsi="宋体" w:eastAsia="宋体" w:cs="宋体"/>
                <w:b w:val="0"/>
                <w:bCs w:val="0"/>
                <w:color w:val="auto"/>
                <w:kern w:val="0"/>
                <w:sz w:val="24"/>
                <w:szCs w:val="24"/>
                <w:lang w:val="en-US" w:eastAsia="zh-CN"/>
              </w:rPr>
              <w:t>.1</w:t>
            </w:r>
            <w:r>
              <w:rPr>
                <w:rFonts w:hint="eastAsia" w:ascii="宋体" w:hAnsi="宋体" w:eastAsia="宋体" w:cs="宋体"/>
                <w:b w:val="0"/>
                <w:bCs w:val="0"/>
                <w:color w:val="auto"/>
                <w:kern w:val="0"/>
                <w:sz w:val="24"/>
                <w:szCs w:val="24"/>
              </w:rPr>
              <w:t>万元以上3万元以下罚款。</w:t>
            </w:r>
          </w:p>
        </w:tc>
      </w:tr>
      <w:tr w14:paraId="4293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exact"/>
          <w:jc w:val="center"/>
        </w:trPr>
        <w:tc>
          <w:tcPr>
            <w:tcW w:w="610" w:type="dxa"/>
            <w:vMerge w:val="restart"/>
            <w:noWrap w:val="0"/>
            <w:vAlign w:val="center"/>
          </w:tcPr>
          <w:p w14:paraId="67A0A78F">
            <w:pPr>
              <w:keepNext w:val="0"/>
              <w:keepLines w:val="0"/>
              <w:pageBreakBefore w:val="0"/>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rPr>
              <w:t>1</w:t>
            </w:r>
            <w:r>
              <w:rPr>
                <w:rFonts w:hint="eastAsia" w:ascii="宋体" w:hAnsi="宋体" w:eastAsia="宋体" w:cs="宋体"/>
                <w:b w:val="0"/>
                <w:bCs w:val="0"/>
                <w:color w:val="auto"/>
                <w:kern w:val="0"/>
                <w:sz w:val="24"/>
                <w:szCs w:val="24"/>
                <w:lang w:val="en-US" w:eastAsia="zh-CN"/>
              </w:rPr>
              <w:t>1</w:t>
            </w:r>
            <w:r>
              <w:rPr>
                <w:rFonts w:hint="eastAsia" w:ascii="宋体" w:hAnsi="宋体" w:cs="宋体"/>
                <w:b w:val="0"/>
                <w:bCs w:val="0"/>
                <w:color w:val="auto"/>
                <w:kern w:val="0"/>
                <w:sz w:val="24"/>
                <w:szCs w:val="24"/>
                <w:lang w:val="en-US" w:eastAsia="zh-CN"/>
              </w:rPr>
              <w:t>0</w:t>
            </w:r>
          </w:p>
        </w:tc>
        <w:tc>
          <w:tcPr>
            <w:tcW w:w="1750" w:type="dxa"/>
            <w:vMerge w:val="restart"/>
            <w:noWrap w:val="0"/>
            <w:vAlign w:val="center"/>
          </w:tcPr>
          <w:p w14:paraId="5F54F910">
            <w:pPr>
              <w:keepNext w:val="0"/>
              <w:keepLines w:val="0"/>
              <w:pageBreakBefore w:val="0"/>
              <w:widowControl/>
              <w:kinsoku/>
              <w:wordWrap/>
              <w:overflowPunct/>
              <w:topLinePunct w:val="0"/>
              <w:autoSpaceDE/>
              <w:autoSpaceDN/>
              <w:bidi w:val="0"/>
              <w:adjustRightInd/>
              <w:snapToGrid/>
              <w:spacing w:line="420" w:lineRule="exact"/>
              <w:jc w:val="center"/>
              <w:textAlignment w:val="auto"/>
              <w:outlineLvl w:val="2"/>
              <w:rPr>
                <w:rFonts w:hint="eastAsia" w:ascii="宋体" w:hAnsi="宋体" w:eastAsia="宋体" w:cs="宋体"/>
                <w:b w:val="0"/>
                <w:bCs w:val="0"/>
                <w:color w:val="auto"/>
                <w:kern w:val="0"/>
                <w:sz w:val="24"/>
                <w:szCs w:val="24"/>
                <w:lang w:val="en-US" w:eastAsia="zh-CN"/>
              </w:rPr>
            </w:pPr>
            <w:bookmarkStart w:id="152" w:name="_Toc21979"/>
            <w:bookmarkStart w:id="153" w:name="_Toc32253"/>
            <w:bookmarkStart w:id="154" w:name="_Toc32224"/>
            <w:bookmarkStart w:id="155" w:name="_Toc25059"/>
            <w:bookmarkStart w:id="156" w:name="_Toc5906"/>
            <w:r>
              <w:rPr>
                <w:rFonts w:hint="eastAsia" w:ascii="宋体" w:hAnsi="宋体" w:eastAsia="宋体" w:cs="宋体"/>
                <w:b w:val="0"/>
                <w:bCs w:val="0"/>
                <w:color w:val="auto"/>
                <w:kern w:val="0"/>
                <w:sz w:val="24"/>
                <w:szCs w:val="24"/>
              </w:rPr>
              <w:t>《纤维制品质量监督管理办法》</w:t>
            </w:r>
            <w:r>
              <w:rPr>
                <w:rFonts w:hint="eastAsia" w:ascii="宋体" w:hAnsi="宋体" w:eastAsia="宋体" w:cs="宋体"/>
                <w:b w:val="0"/>
                <w:bCs w:val="0"/>
                <w:color w:val="auto"/>
                <w:kern w:val="0"/>
                <w:sz w:val="24"/>
                <w:szCs w:val="24"/>
                <w:lang w:eastAsia="zh-CN"/>
              </w:rPr>
              <w:t>（</w:t>
            </w:r>
            <w:r>
              <w:rPr>
                <w:rFonts w:hint="eastAsia" w:ascii="宋体" w:hAnsi="宋体" w:eastAsia="宋体" w:cs="宋体"/>
                <w:b w:val="0"/>
                <w:bCs w:val="0"/>
                <w:color w:val="auto"/>
                <w:kern w:val="0"/>
                <w:sz w:val="24"/>
                <w:szCs w:val="24"/>
                <w:lang w:val="en-US" w:eastAsia="zh-CN"/>
              </w:rPr>
              <w:t>2016年</w:t>
            </w:r>
            <w:r>
              <w:rPr>
                <w:rFonts w:hint="eastAsia" w:ascii="宋体" w:hAnsi="宋体" w:cs="宋体"/>
                <w:b w:val="0"/>
                <w:bCs w:val="0"/>
                <w:color w:val="auto"/>
                <w:kern w:val="0"/>
                <w:sz w:val="24"/>
                <w:szCs w:val="24"/>
                <w:lang w:val="en-US" w:eastAsia="zh-CN"/>
              </w:rPr>
              <w:t>3</w:t>
            </w:r>
            <w:r>
              <w:rPr>
                <w:rFonts w:hint="eastAsia" w:ascii="宋体" w:hAnsi="宋体" w:eastAsia="宋体" w:cs="宋体"/>
                <w:b w:val="0"/>
                <w:bCs w:val="0"/>
                <w:color w:val="auto"/>
                <w:kern w:val="0"/>
                <w:sz w:val="24"/>
                <w:szCs w:val="24"/>
                <w:lang w:val="en-US" w:eastAsia="zh-CN"/>
              </w:rPr>
              <w:t>月</w:t>
            </w:r>
            <w:r>
              <w:rPr>
                <w:rFonts w:hint="eastAsia" w:ascii="宋体" w:hAnsi="宋体" w:cs="宋体"/>
                <w:b w:val="0"/>
                <w:bCs w:val="0"/>
                <w:color w:val="auto"/>
                <w:kern w:val="0"/>
                <w:sz w:val="24"/>
                <w:szCs w:val="24"/>
                <w:lang w:val="en-US" w:eastAsia="zh-CN"/>
              </w:rPr>
              <w:t>31</w:t>
            </w:r>
            <w:r>
              <w:rPr>
                <w:rFonts w:hint="eastAsia" w:ascii="宋体" w:hAnsi="宋体" w:eastAsia="宋体" w:cs="宋体"/>
                <w:b w:val="0"/>
                <w:bCs w:val="0"/>
                <w:color w:val="auto"/>
                <w:kern w:val="0"/>
                <w:sz w:val="24"/>
                <w:szCs w:val="24"/>
                <w:lang w:val="en-US" w:eastAsia="zh-CN"/>
              </w:rPr>
              <w:t>日</w:t>
            </w:r>
            <w:r>
              <w:rPr>
                <w:rFonts w:hint="eastAsia" w:ascii="宋体" w:hAnsi="宋体" w:cs="宋体"/>
                <w:b w:val="0"/>
                <w:bCs w:val="0"/>
                <w:color w:val="auto"/>
                <w:kern w:val="0"/>
                <w:sz w:val="24"/>
                <w:szCs w:val="24"/>
                <w:lang w:val="en-US" w:eastAsia="zh-CN"/>
              </w:rPr>
              <w:t>起施行</w:t>
            </w:r>
            <w:r>
              <w:rPr>
                <w:rFonts w:hint="eastAsia" w:ascii="宋体" w:hAnsi="宋体" w:eastAsia="宋体" w:cs="宋体"/>
                <w:b w:val="0"/>
                <w:bCs w:val="0"/>
                <w:color w:val="auto"/>
                <w:kern w:val="0"/>
                <w:sz w:val="24"/>
                <w:szCs w:val="24"/>
                <w:lang w:val="en-US" w:eastAsia="zh-CN"/>
              </w:rPr>
              <w:t>）</w:t>
            </w:r>
            <w:bookmarkEnd w:id="152"/>
            <w:bookmarkEnd w:id="153"/>
            <w:bookmarkEnd w:id="154"/>
            <w:bookmarkEnd w:id="155"/>
            <w:bookmarkEnd w:id="156"/>
          </w:p>
        </w:tc>
        <w:tc>
          <w:tcPr>
            <w:tcW w:w="4203" w:type="dxa"/>
            <w:vMerge w:val="restart"/>
            <w:noWrap w:val="0"/>
            <w:vAlign w:val="center"/>
          </w:tcPr>
          <w:p w14:paraId="2DB04F2B">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第三十二条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违反本办法第十一条、第十二条、第十三条，未对原辅材料进行进货检查验收记录，或者未验明原辅材料符合相关质量要求以及包装、标识等要求进行生产的，责令改正，并处以三万元以下罚款。</w:t>
            </w:r>
          </w:p>
        </w:tc>
        <w:tc>
          <w:tcPr>
            <w:tcW w:w="1141" w:type="dxa"/>
            <w:noWrap w:val="0"/>
            <w:vAlign w:val="center"/>
          </w:tcPr>
          <w:p w14:paraId="01F04DE7">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257651FE">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违反上述规定</w:t>
            </w:r>
            <w:r>
              <w:rPr>
                <w:rFonts w:hint="default" w:ascii="宋体" w:hAnsi="宋体" w:cs="宋体"/>
                <w:b w:val="0"/>
                <w:bCs w:val="0"/>
                <w:color w:val="auto"/>
                <w:kern w:val="0"/>
                <w:sz w:val="24"/>
                <w:szCs w:val="24"/>
                <w:lang w:val="en"/>
              </w:rPr>
              <w:t>1</w:t>
            </w:r>
            <w:r>
              <w:rPr>
                <w:rFonts w:hint="eastAsia" w:ascii="宋体" w:hAnsi="宋体" w:eastAsia="宋体" w:cs="宋体"/>
                <w:b w:val="0"/>
                <w:bCs w:val="0"/>
                <w:color w:val="auto"/>
                <w:kern w:val="0"/>
                <w:sz w:val="24"/>
                <w:szCs w:val="24"/>
              </w:rPr>
              <w:t>种的。</w:t>
            </w:r>
          </w:p>
        </w:tc>
        <w:tc>
          <w:tcPr>
            <w:tcW w:w="3336" w:type="dxa"/>
            <w:noWrap w:val="0"/>
            <w:vAlign w:val="center"/>
          </w:tcPr>
          <w:p w14:paraId="372A5EC8">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spacing w:val="-6"/>
                <w:kern w:val="0"/>
                <w:sz w:val="24"/>
                <w:szCs w:val="24"/>
              </w:rPr>
              <w:t>责令改正，</w:t>
            </w:r>
            <w:r>
              <w:rPr>
                <w:rFonts w:hint="eastAsia" w:ascii="宋体" w:hAnsi="宋体" w:eastAsia="宋体" w:cs="宋体"/>
                <w:b w:val="0"/>
                <w:bCs w:val="0"/>
                <w:color w:val="auto"/>
                <w:kern w:val="0"/>
                <w:sz w:val="24"/>
                <w:szCs w:val="24"/>
              </w:rPr>
              <w:t>并处以</w:t>
            </w:r>
            <w:r>
              <w:rPr>
                <w:rFonts w:hint="eastAsia" w:ascii="宋体" w:hAnsi="宋体" w:eastAsia="宋体" w:cs="宋体"/>
                <w:b w:val="0"/>
                <w:bCs w:val="0"/>
                <w:color w:val="auto"/>
                <w:spacing w:val="-6"/>
                <w:kern w:val="0"/>
                <w:sz w:val="24"/>
                <w:szCs w:val="24"/>
                <w:lang w:val="en-US" w:eastAsia="zh-CN"/>
              </w:rPr>
              <w:t>9000</w:t>
            </w:r>
            <w:r>
              <w:rPr>
                <w:rFonts w:hint="eastAsia" w:ascii="宋体" w:hAnsi="宋体" w:eastAsia="宋体" w:cs="宋体"/>
                <w:b w:val="0"/>
                <w:bCs w:val="0"/>
                <w:color w:val="auto"/>
                <w:spacing w:val="-6"/>
                <w:kern w:val="0"/>
                <w:sz w:val="24"/>
                <w:szCs w:val="24"/>
              </w:rPr>
              <w:t>元以下罚款。</w:t>
            </w:r>
          </w:p>
        </w:tc>
      </w:tr>
      <w:tr w14:paraId="2516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610" w:type="dxa"/>
            <w:vMerge w:val="continue"/>
            <w:noWrap w:val="0"/>
            <w:vAlign w:val="center"/>
          </w:tcPr>
          <w:p w14:paraId="543E4F36">
            <w:pPr>
              <w:keepNext w:val="0"/>
              <w:keepLines w:val="0"/>
              <w:pageBreakBefore w:val="0"/>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p>
        </w:tc>
        <w:tc>
          <w:tcPr>
            <w:tcW w:w="1750" w:type="dxa"/>
            <w:vMerge w:val="continue"/>
            <w:noWrap w:val="0"/>
            <w:vAlign w:val="center"/>
          </w:tcPr>
          <w:p w14:paraId="31C5D135">
            <w:pPr>
              <w:keepNext w:val="0"/>
              <w:keepLines w:val="0"/>
              <w:pageBreakBefore w:val="0"/>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58136199">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63D9321D">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4DA863C1">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违反上述规定</w:t>
            </w:r>
            <w:r>
              <w:rPr>
                <w:rFonts w:hint="default" w:ascii="宋体" w:hAnsi="宋体" w:cs="宋体"/>
                <w:b w:val="0"/>
                <w:bCs w:val="0"/>
                <w:color w:val="auto"/>
                <w:kern w:val="0"/>
                <w:sz w:val="24"/>
                <w:szCs w:val="24"/>
                <w:lang w:val="en"/>
              </w:rPr>
              <w:t>2</w:t>
            </w:r>
            <w:r>
              <w:rPr>
                <w:rFonts w:hint="eastAsia" w:ascii="宋体" w:hAnsi="宋体" w:eastAsia="宋体" w:cs="宋体"/>
                <w:b w:val="0"/>
                <w:bCs w:val="0"/>
                <w:color w:val="auto"/>
                <w:kern w:val="0"/>
                <w:sz w:val="24"/>
                <w:szCs w:val="24"/>
              </w:rPr>
              <w:t>种的。</w:t>
            </w:r>
          </w:p>
        </w:tc>
        <w:tc>
          <w:tcPr>
            <w:tcW w:w="3336" w:type="dxa"/>
            <w:noWrap w:val="0"/>
            <w:vAlign w:val="center"/>
          </w:tcPr>
          <w:p w14:paraId="15681CF2">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责令改正，并处以</w:t>
            </w:r>
            <w:r>
              <w:rPr>
                <w:rFonts w:hint="eastAsia" w:ascii="宋体" w:hAnsi="宋体" w:eastAsia="宋体" w:cs="宋体"/>
                <w:b w:val="0"/>
                <w:bCs w:val="0"/>
                <w:color w:val="auto"/>
                <w:kern w:val="0"/>
                <w:sz w:val="24"/>
                <w:szCs w:val="24"/>
                <w:lang w:val="en-US" w:eastAsia="zh-CN"/>
              </w:rPr>
              <w:t>9000</w:t>
            </w:r>
            <w:r>
              <w:rPr>
                <w:rFonts w:hint="eastAsia" w:ascii="宋体" w:hAnsi="宋体" w:eastAsia="宋体" w:cs="宋体"/>
                <w:b w:val="0"/>
                <w:bCs w:val="0"/>
                <w:color w:val="auto"/>
                <w:kern w:val="0"/>
                <w:sz w:val="24"/>
                <w:szCs w:val="24"/>
              </w:rPr>
              <w:t>元以上2</w:t>
            </w:r>
            <w:r>
              <w:rPr>
                <w:rFonts w:hint="eastAsia" w:ascii="宋体" w:hAnsi="宋体" w:eastAsia="宋体" w:cs="宋体"/>
                <w:b w:val="0"/>
                <w:bCs w:val="0"/>
                <w:color w:val="auto"/>
                <w:kern w:val="0"/>
                <w:sz w:val="24"/>
                <w:szCs w:val="24"/>
                <w:lang w:val="en-US" w:eastAsia="zh-CN"/>
              </w:rPr>
              <w:t>.1</w:t>
            </w:r>
            <w:r>
              <w:rPr>
                <w:rFonts w:hint="eastAsia" w:ascii="宋体" w:hAnsi="宋体" w:eastAsia="宋体" w:cs="宋体"/>
                <w:b w:val="0"/>
                <w:bCs w:val="0"/>
                <w:color w:val="auto"/>
                <w:kern w:val="0"/>
                <w:sz w:val="24"/>
                <w:szCs w:val="24"/>
              </w:rPr>
              <w:t>万元以下罚款。</w:t>
            </w:r>
          </w:p>
        </w:tc>
      </w:tr>
      <w:tr w14:paraId="2568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610" w:type="dxa"/>
            <w:vMerge w:val="continue"/>
            <w:noWrap w:val="0"/>
            <w:vAlign w:val="center"/>
          </w:tcPr>
          <w:p w14:paraId="7D67D048">
            <w:pPr>
              <w:keepNext w:val="0"/>
              <w:keepLines w:val="0"/>
              <w:pageBreakBefore w:val="0"/>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p>
        </w:tc>
        <w:tc>
          <w:tcPr>
            <w:tcW w:w="1750" w:type="dxa"/>
            <w:vMerge w:val="continue"/>
            <w:noWrap w:val="0"/>
            <w:vAlign w:val="center"/>
          </w:tcPr>
          <w:p w14:paraId="72372037">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6002D413">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619CCB3B">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5EB486CD">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违反上述规定</w:t>
            </w:r>
            <w:r>
              <w:rPr>
                <w:rFonts w:hint="default" w:ascii="宋体" w:hAnsi="宋体" w:cs="宋体"/>
                <w:b w:val="0"/>
                <w:bCs w:val="0"/>
                <w:color w:val="auto"/>
                <w:kern w:val="0"/>
                <w:sz w:val="24"/>
                <w:szCs w:val="24"/>
                <w:lang w:val="en" w:eastAsia="zh-CN"/>
              </w:rPr>
              <w:t>3</w:t>
            </w:r>
            <w:r>
              <w:rPr>
                <w:rFonts w:hint="eastAsia" w:ascii="宋体" w:hAnsi="宋体" w:eastAsia="宋体" w:cs="宋体"/>
                <w:b w:val="0"/>
                <w:bCs w:val="0"/>
                <w:color w:val="auto"/>
                <w:kern w:val="0"/>
                <w:sz w:val="24"/>
                <w:szCs w:val="24"/>
              </w:rPr>
              <w:t>种以上的。</w:t>
            </w:r>
          </w:p>
        </w:tc>
        <w:tc>
          <w:tcPr>
            <w:tcW w:w="3336" w:type="dxa"/>
            <w:noWrap w:val="0"/>
            <w:vAlign w:val="center"/>
          </w:tcPr>
          <w:p w14:paraId="692B2CB9">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责令改正，并处以2</w:t>
            </w:r>
            <w:r>
              <w:rPr>
                <w:rFonts w:hint="eastAsia" w:ascii="宋体" w:hAnsi="宋体" w:eastAsia="宋体" w:cs="宋体"/>
                <w:b w:val="0"/>
                <w:bCs w:val="0"/>
                <w:color w:val="auto"/>
                <w:kern w:val="0"/>
                <w:sz w:val="24"/>
                <w:szCs w:val="24"/>
                <w:lang w:val="en-US" w:eastAsia="zh-CN"/>
              </w:rPr>
              <w:t>.1</w:t>
            </w:r>
            <w:r>
              <w:rPr>
                <w:rFonts w:hint="eastAsia" w:ascii="宋体" w:hAnsi="宋体" w:eastAsia="宋体" w:cs="宋体"/>
                <w:b w:val="0"/>
                <w:bCs w:val="0"/>
                <w:color w:val="auto"/>
                <w:kern w:val="0"/>
                <w:sz w:val="24"/>
                <w:szCs w:val="24"/>
              </w:rPr>
              <w:t>万元以上3万元以下罚款。</w:t>
            </w:r>
          </w:p>
        </w:tc>
      </w:tr>
      <w:tr w14:paraId="6CD4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610" w:type="dxa"/>
            <w:vMerge w:val="restart"/>
            <w:noWrap w:val="0"/>
            <w:vAlign w:val="center"/>
          </w:tcPr>
          <w:p w14:paraId="65DA379C">
            <w:pPr>
              <w:keepNext w:val="0"/>
              <w:keepLines w:val="0"/>
              <w:pageBreakBefore w:val="0"/>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rPr>
              <w:t>11</w:t>
            </w:r>
            <w:r>
              <w:rPr>
                <w:rFonts w:hint="eastAsia" w:ascii="宋体" w:hAnsi="宋体" w:cs="宋体"/>
                <w:b w:val="0"/>
                <w:bCs w:val="0"/>
                <w:color w:val="auto"/>
                <w:kern w:val="0"/>
                <w:sz w:val="24"/>
                <w:szCs w:val="24"/>
                <w:lang w:val="en-US" w:eastAsia="zh-CN"/>
              </w:rPr>
              <w:t>1</w:t>
            </w:r>
          </w:p>
        </w:tc>
        <w:tc>
          <w:tcPr>
            <w:tcW w:w="1750" w:type="dxa"/>
            <w:vMerge w:val="restart"/>
            <w:noWrap w:val="0"/>
            <w:vAlign w:val="center"/>
          </w:tcPr>
          <w:p w14:paraId="28DB4316">
            <w:pPr>
              <w:keepNext w:val="0"/>
              <w:keepLines w:val="0"/>
              <w:pageBreakBefore w:val="0"/>
              <w:widowControl/>
              <w:kinsoku/>
              <w:wordWrap/>
              <w:overflowPunct/>
              <w:topLinePunct w:val="0"/>
              <w:autoSpaceDE/>
              <w:autoSpaceDN/>
              <w:bidi w:val="0"/>
              <w:adjustRightInd/>
              <w:snapToGrid/>
              <w:spacing w:line="420" w:lineRule="exact"/>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《纤维制品质量监督管理办法》</w:t>
            </w:r>
          </w:p>
        </w:tc>
        <w:tc>
          <w:tcPr>
            <w:tcW w:w="4203" w:type="dxa"/>
            <w:vMerge w:val="restart"/>
            <w:noWrap w:val="0"/>
            <w:vAlign w:val="center"/>
          </w:tcPr>
          <w:p w14:paraId="1BA191E9">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第三十四条</w:t>
            </w:r>
            <w:r>
              <w:rPr>
                <w:rFonts w:hint="eastAsia" w:ascii="宋体" w:hAnsi="宋体" w:cs="宋体"/>
                <w:b w:val="0"/>
                <w:bCs w:val="0"/>
                <w:color w:val="auto"/>
                <w:kern w:val="0"/>
                <w:sz w:val="24"/>
                <w:szCs w:val="24"/>
                <w:lang w:val="en-US" w:eastAsia="zh-CN"/>
              </w:rPr>
              <w:t xml:space="preserve"> </w:t>
            </w:r>
            <w:r>
              <w:rPr>
                <w:rFonts w:hint="eastAsia" w:ascii="宋体" w:hAnsi="宋体" w:eastAsia="宋体" w:cs="宋体"/>
                <w:b w:val="0"/>
                <w:bCs w:val="0"/>
                <w:color w:val="auto"/>
                <w:kern w:val="0"/>
                <w:sz w:val="24"/>
                <w:szCs w:val="24"/>
              </w:rPr>
              <w:t>学生服使用单位违反本办法第十九条，未履行检查验收和记录义务或未按规定委托送检的，责令改正，并处以一万元以下罚款。</w:t>
            </w:r>
          </w:p>
        </w:tc>
        <w:tc>
          <w:tcPr>
            <w:tcW w:w="1141" w:type="dxa"/>
            <w:noWrap w:val="0"/>
            <w:vAlign w:val="center"/>
          </w:tcPr>
          <w:p w14:paraId="5B9FFB5C">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较轻</w:t>
            </w:r>
          </w:p>
        </w:tc>
        <w:tc>
          <w:tcPr>
            <w:tcW w:w="3133" w:type="dxa"/>
            <w:noWrap w:val="0"/>
            <w:vAlign w:val="center"/>
          </w:tcPr>
          <w:p w14:paraId="66D973FE">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违反上述规定</w:t>
            </w:r>
            <w:r>
              <w:rPr>
                <w:rFonts w:hint="default" w:ascii="宋体" w:hAnsi="宋体" w:cs="宋体"/>
                <w:b w:val="0"/>
                <w:bCs w:val="0"/>
                <w:color w:val="auto"/>
                <w:kern w:val="0"/>
                <w:sz w:val="24"/>
                <w:szCs w:val="24"/>
                <w:lang w:val="en"/>
              </w:rPr>
              <w:t>1</w:t>
            </w:r>
            <w:r>
              <w:rPr>
                <w:rFonts w:hint="eastAsia" w:ascii="宋体" w:hAnsi="宋体" w:eastAsia="宋体" w:cs="宋体"/>
                <w:b w:val="0"/>
                <w:bCs w:val="0"/>
                <w:color w:val="auto"/>
                <w:kern w:val="0"/>
                <w:sz w:val="24"/>
                <w:szCs w:val="24"/>
              </w:rPr>
              <w:t>种的。</w:t>
            </w:r>
          </w:p>
        </w:tc>
        <w:tc>
          <w:tcPr>
            <w:tcW w:w="3336" w:type="dxa"/>
            <w:noWrap w:val="0"/>
            <w:vAlign w:val="center"/>
          </w:tcPr>
          <w:p w14:paraId="7BEBD2FD">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责令改正，并处以</w:t>
            </w:r>
            <w:r>
              <w:rPr>
                <w:rFonts w:hint="eastAsia" w:ascii="宋体" w:hAnsi="宋体" w:eastAsia="宋体" w:cs="宋体"/>
                <w:b w:val="0"/>
                <w:bCs w:val="0"/>
                <w:color w:val="auto"/>
                <w:kern w:val="0"/>
                <w:sz w:val="24"/>
                <w:szCs w:val="24"/>
                <w:lang w:val="en-US" w:eastAsia="zh-CN"/>
              </w:rPr>
              <w:t>3000</w:t>
            </w:r>
            <w:r>
              <w:rPr>
                <w:rFonts w:hint="eastAsia" w:ascii="宋体" w:hAnsi="宋体" w:eastAsia="宋体" w:cs="宋体"/>
                <w:b w:val="0"/>
                <w:bCs w:val="0"/>
                <w:color w:val="auto"/>
                <w:kern w:val="0"/>
                <w:sz w:val="24"/>
                <w:szCs w:val="24"/>
              </w:rPr>
              <w:t>元以下罚款。</w:t>
            </w:r>
          </w:p>
        </w:tc>
      </w:tr>
      <w:tr w14:paraId="22E3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exact"/>
          <w:jc w:val="center"/>
        </w:trPr>
        <w:tc>
          <w:tcPr>
            <w:tcW w:w="610" w:type="dxa"/>
            <w:vMerge w:val="continue"/>
            <w:noWrap w:val="0"/>
            <w:vAlign w:val="center"/>
          </w:tcPr>
          <w:p w14:paraId="39394A19">
            <w:pPr>
              <w:keepNext w:val="0"/>
              <w:keepLines w:val="0"/>
              <w:pageBreakBefore w:val="0"/>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p>
        </w:tc>
        <w:tc>
          <w:tcPr>
            <w:tcW w:w="1750" w:type="dxa"/>
            <w:vMerge w:val="continue"/>
            <w:noWrap w:val="0"/>
            <w:vAlign w:val="center"/>
          </w:tcPr>
          <w:p w14:paraId="21BFCC9B">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387CEA62">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61AD03DF">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一般</w:t>
            </w:r>
          </w:p>
        </w:tc>
        <w:tc>
          <w:tcPr>
            <w:tcW w:w="3133" w:type="dxa"/>
            <w:noWrap w:val="0"/>
            <w:vAlign w:val="center"/>
          </w:tcPr>
          <w:p w14:paraId="1B19A6B7">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违反上述规定</w:t>
            </w:r>
            <w:r>
              <w:rPr>
                <w:rFonts w:hint="default" w:ascii="宋体" w:hAnsi="宋体" w:cs="宋体"/>
                <w:b w:val="0"/>
                <w:bCs w:val="0"/>
                <w:color w:val="auto"/>
                <w:kern w:val="0"/>
                <w:sz w:val="24"/>
                <w:szCs w:val="24"/>
                <w:lang w:val="en"/>
              </w:rPr>
              <w:t>2</w:t>
            </w:r>
            <w:r>
              <w:rPr>
                <w:rFonts w:hint="eastAsia" w:ascii="宋体" w:hAnsi="宋体" w:eastAsia="宋体" w:cs="宋体"/>
                <w:b w:val="0"/>
                <w:bCs w:val="0"/>
                <w:color w:val="auto"/>
                <w:kern w:val="0"/>
                <w:sz w:val="24"/>
                <w:szCs w:val="24"/>
              </w:rPr>
              <w:t>种的。</w:t>
            </w:r>
          </w:p>
        </w:tc>
        <w:tc>
          <w:tcPr>
            <w:tcW w:w="3336" w:type="dxa"/>
            <w:noWrap w:val="0"/>
            <w:vAlign w:val="center"/>
          </w:tcPr>
          <w:p w14:paraId="3346C3EE">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责令改正，并处以</w:t>
            </w:r>
            <w:r>
              <w:rPr>
                <w:rFonts w:hint="eastAsia" w:ascii="宋体" w:hAnsi="宋体" w:eastAsia="宋体" w:cs="宋体"/>
                <w:b w:val="0"/>
                <w:bCs w:val="0"/>
                <w:color w:val="auto"/>
                <w:kern w:val="0"/>
                <w:sz w:val="24"/>
                <w:szCs w:val="24"/>
                <w:lang w:val="en-US" w:eastAsia="zh-CN"/>
              </w:rPr>
              <w:t>3</w:t>
            </w:r>
            <w:r>
              <w:rPr>
                <w:rFonts w:hint="eastAsia" w:ascii="宋体" w:hAnsi="宋体" w:eastAsia="宋体" w:cs="宋体"/>
                <w:b w:val="0"/>
                <w:bCs w:val="0"/>
                <w:color w:val="auto"/>
                <w:kern w:val="0"/>
                <w:sz w:val="24"/>
                <w:szCs w:val="24"/>
              </w:rPr>
              <w:t>000元以上</w:t>
            </w:r>
            <w:r>
              <w:rPr>
                <w:rFonts w:hint="eastAsia" w:ascii="宋体" w:hAnsi="宋体" w:eastAsia="宋体" w:cs="宋体"/>
                <w:b w:val="0"/>
                <w:bCs w:val="0"/>
                <w:color w:val="auto"/>
                <w:kern w:val="0"/>
                <w:sz w:val="24"/>
                <w:szCs w:val="24"/>
                <w:lang w:val="en-US" w:eastAsia="zh-CN"/>
              </w:rPr>
              <w:t>7</w:t>
            </w:r>
            <w:r>
              <w:rPr>
                <w:rFonts w:hint="eastAsia" w:ascii="宋体" w:hAnsi="宋体" w:eastAsia="宋体" w:cs="宋体"/>
                <w:b w:val="0"/>
                <w:bCs w:val="0"/>
                <w:color w:val="auto"/>
                <w:kern w:val="0"/>
                <w:sz w:val="24"/>
                <w:szCs w:val="24"/>
              </w:rPr>
              <w:t>000元以下罚款。</w:t>
            </w:r>
          </w:p>
        </w:tc>
      </w:tr>
      <w:tr w14:paraId="1AC2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exact"/>
          <w:jc w:val="center"/>
        </w:trPr>
        <w:tc>
          <w:tcPr>
            <w:tcW w:w="610" w:type="dxa"/>
            <w:vMerge w:val="continue"/>
            <w:noWrap w:val="0"/>
            <w:vAlign w:val="center"/>
          </w:tcPr>
          <w:p w14:paraId="4504D814">
            <w:pPr>
              <w:keepNext w:val="0"/>
              <w:keepLines w:val="0"/>
              <w:pageBreakBefore w:val="0"/>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p>
        </w:tc>
        <w:tc>
          <w:tcPr>
            <w:tcW w:w="1750" w:type="dxa"/>
            <w:vMerge w:val="continue"/>
            <w:noWrap w:val="0"/>
            <w:vAlign w:val="center"/>
          </w:tcPr>
          <w:p w14:paraId="578FF4BD">
            <w:pPr>
              <w:keepNext w:val="0"/>
              <w:keepLines w:val="0"/>
              <w:pageBreakBefore w:val="0"/>
              <w:widowControl/>
              <w:kinsoku/>
              <w:wordWrap/>
              <w:overflowPunct/>
              <w:topLinePunct w:val="0"/>
              <w:autoSpaceDE/>
              <w:autoSpaceDN/>
              <w:bidi w:val="0"/>
              <w:adjustRightInd/>
              <w:snapToGrid/>
              <w:spacing w:line="420" w:lineRule="exact"/>
              <w:jc w:val="left"/>
              <w:rPr>
                <w:rFonts w:hint="eastAsia" w:ascii="宋体" w:hAnsi="宋体" w:eastAsia="宋体" w:cs="宋体"/>
                <w:b w:val="0"/>
                <w:bCs w:val="0"/>
                <w:color w:val="auto"/>
                <w:kern w:val="0"/>
                <w:sz w:val="24"/>
                <w:szCs w:val="24"/>
              </w:rPr>
            </w:pPr>
          </w:p>
        </w:tc>
        <w:tc>
          <w:tcPr>
            <w:tcW w:w="4203" w:type="dxa"/>
            <w:vMerge w:val="continue"/>
            <w:noWrap w:val="0"/>
            <w:vAlign w:val="center"/>
          </w:tcPr>
          <w:p w14:paraId="77A67574">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1141" w:type="dxa"/>
            <w:noWrap w:val="0"/>
            <w:vAlign w:val="center"/>
          </w:tcPr>
          <w:p w14:paraId="3755CB1E">
            <w:pPr>
              <w:keepNext w:val="0"/>
              <w:keepLines w:val="0"/>
              <w:pageBreakBefore w:val="0"/>
              <w:widowControl/>
              <w:kinsoku/>
              <w:wordWrap/>
              <w:overflowPunct/>
              <w:topLinePunct w:val="0"/>
              <w:autoSpaceDE/>
              <w:autoSpaceDN/>
              <w:bidi w:val="0"/>
              <w:adjustRightInd/>
              <w:snapToGrid/>
              <w:spacing w:line="420" w:lineRule="exact"/>
              <w:jc w:val="center"/>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较重</w:t>
            </w:r>
          </w:p>
        </w:tc>
        <w:tc>
          <w:tcPr>
            <w:tcW w:w="3133" w:type="dxa"/>
            <w:noWrap w:val="0"/>
            <w:vAlign w:val="center"/>
          </w:tcPr>
          <w:p w14:paraId="43AD3700">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违反上述规定</w:t>
            </w:r>
            <w:r>
              <w:rPr>
                <w:rFonts w:hint="default" w:ascii="宋体" w:hAnsi="宋体" w:cs="宋体"/>
                <w:b w:val="0"/>
                <w:bCs w:val="0"/>
                <w:color w:val="auto"/>
                <w:kern w:val="0"/>
                <w:sz w:val="24"/>
                <w:szCs w:val="24"/>
                <w:lang w:val="en" w:eastAsia="zh-CN"/>
              </w:rPr>
              <w:t>3</w:t>
            </w:r>
            <w:r>
              <w:rPr>
                <w:rFonts w:hint="eastAsia" w:ascii="宋体" w:hAnsi="宋体" w:eastAsia="宋体" w:cs="宋体"/>
                <w:b w:val="0"/>
                <w:bCs w:val="0"/>
                <w:color w:val="auto"/>
                <w:kern w:val="0"/>
                <w:sz w:val="24"/>
                <w:szCs w:val="24"/>
              </w:rPr>
              <w:t>种以上的。</w:t>
            </w:r>
          </w:p>
          <w:p w14:paraId="09BE60A0">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p>
        </w:tc>
        <w:tc>
          <w:tcPr>
            <w:tcW w:w="3336" w:type="dxa"/>
            <w:noWrap w:val="0"/>
            <w:vAlign w:val="center"/>
          </w:tcPr>
          <w:p w14:paraId="066D02FF">
            <w:pPr>
              <w:keepNext w:val="0"/>
              <w:keepLines w:val="0"/>
              <w:pageBreakBefore w:val="0"/>
              <w:widowControl/>
              <w:kinsoku/>
              <w:wordWrap/>
              <w:overflowPunct/>
              <w:topLinePunct w:val="0"/>
              <w:autoSpaceDE/>
              <w:autoSpaceDN/>
              <w:bidi w:val="0"/>
              <w:adjustRightInd/>
              <w:snapToGrid/>
              <w:spacing w:line="420" w:lineRule="exact"/>
              <w:jc w:val="both"/>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rPr>
              <w:t>责令改正，并处以</w:t>
            </w:r>
            <w:r>
              <w:rPr>
                <w:rFonts w:hint="eastAsia" w:ascii="宋体" w:hAnsi="宋体" w:eastAsia="宋体" w:cs="宋体"/>
                <w:b w:val="0"/>
                <w:bCs w:val="0"/>
                <w:color w:val="auto"/>
                <w:kern w:val="0"/>
                <w:sz w:val="24"/>
                <w:szCs w:val="24"/>
                <w:lang w:val="en-US" w:eastAsia="zh-CN"/>
              </w:rPr>
              <w:t>7</w:t>
            </w:r>
            <w:r>
              <w:rPr>
                <w:rFonts w:hint="eastAsia" w:ascii="宋体" w:hAnsi="宋体" w:eastAsia="宋体" w:cs="宋体"/>
                <w:b w:val="0"/>
                <w:bCs w:val="0"/>
                <w:color w:val="auto"/>
                <w:kern w:val="0"/>
                <w:sz w:val="24"/>
                <w:szCs w:val="24"/>
              </w:rPr>
              <w:t>000元以上</w:t>
            </w:r>
            <w:r>
              <w:rPr>
                <w:rFonts w:hint="eastAsia" w:ascii="宋体" w:hAnsi="宋体" w:eastAsia="宋体" w:cs="宋体"/>
                <w:b w:val="0"/>
                <w:bCs w:val="0"/>
                <w:color w:val="auto"/>
                <w:kern w:val="0"/>
                <w:sz w:val="24"/>
                <w:szCs w:val="24"/>
                <w:lang w:val="en-US" w:eastAsia="zh-CN"/>
              </w:rPr>
              <w:t>1</w:t>
            </w:r>
            <w:r>
              <w:rPr>
                <w:rFonts w:hint="eastAsia" w:ascii="宋体" w:hAnsi="宋体" w:eastAsia="宋体" w:cs="宋体"/>
                <w:b w:val="0"/>
                <w:bCs w:val="0"/>
                <w:color w:val="auto"/>
                <w:kern w:val="0"/>
                <w:sz w:val="24"/>
                <w:szCs w:val="24"/>
              </w:rPr>
              <w:t>万元以下罚款。</w:t>
            </w:r>
          </w:p>
        </w:tc>
      </w:tr>
    </w:tbl>
    <w:p w14:paraId="2298172E">
      <w:pPr>
        <w:pStyle w:val="3"/>
        <w:keepNext w:val="0"/>
        <w:keepLines w:val="0"/>
        <w:pageBreakBefore w:val="0"/>
        <w:widowControl w:val="0"/>
        <w:numPr>
          <w:ilvl w:val="0"/>
          <w:numId w:val="0"/>
        </w:numPr>
        <w:tabs>
          <w:tab w:val="left" w:pos="1269"/>
        </w:tabs>
        <w:kinsoku/>
        <w:wordWrap/>
        <w:overflowPunct/>
        <w:topLinePunct w:val="0"/>
        <w:autoSpaceDE/>
        <w:autoSpaceDN/>
        <w:bidi w:val="0"/>
        <w:adjustRightInd/>
        <w:snapToGrid/>
        <w:spacing w:before="0" w:line="240" w:lineRule="auto"/>
        <w:ind w:right="0" w:rightChars="0"/>
        <w:jc w:val="center"/>
        <w:textAlignment w:val="auto"/>
        <w:outlineLvl w:val="1"/>
        <w:rPr>
          <w:rFonts w:hint="default" w:ascii="方正小标宋简体" w:hAnsi="方正小标宋简体" w:eastAsia="方正小标宋简体" w:cs="方正小标宋简体"/>
          <w:b w:val="0"/>
          <w:bCs/>
          <w:kern w:val="44"/>
          <w:sz w:val="36"/>
          <w:szCs w:val="20"/>
          <w:lang w:val="en-US" w:eastAsia="zh-CN" w:bidi="ar-SA"/>
        </w:rPr>
      </w:pPr>
      <w:bookmarkStart w:id="157" w:name="_Toc20693"/>
      <w:bookmarkStart w:id="158" w:name="_Toc10171"/>
      <w:bookmarkStart w:id="159" w:name="_Toc30661"/>
      <w:bookmarkStart w:id="160" w:name="_Toc18789"/>
      <w:r>
        <w:rPr>
          <w:rFonts w:hint="eastAsia" w:ascii="方正小标宋简体" w:hAnsi="方正小标宋简体" w:eastAsia="方正小标宋简体" w:cs="方正小标宋简体"/>
          <w:b w:val="0"/>
          <w:bCs/>
          <w:kern w:val="44"/>
          <w:sz w:val="36"/>
          <w:szCs w:val="20"/>
          <w:lang w:val="en-US" w:eastAsia="zh-CN" w:bidi="ar-SA"/>
        </w:rPr>
        <w:t>第五节　</w:t>
      </w:r>
      <w:r>
        <w:rPr>
          <w:rFonts w:hint="default" w:ascii="方正小标宋简体" w:hAnsi="方正小标宋简体" w:eastAsia="方正小标宋简体" w:cs="方正小标宋简体"/>
          <w:b w:val="0"/>
          <w:bCs/>
          <w:kern w:val="44"/>
          <w:sz w:val="36"/>
          <w:szCs w:val="20"/>
          <w:lang w:val="en-US" w:eastAsia="zh-CN" w:bidi="ar-SA"/>
        </w:rPr>
        <w:t>适用计量监管法规、规章的裁量标准</w:t>
      </w:r>
      <w:bookmarkEnd w:id="157"/>
      <w:bookmarkEnd w:id="158"/>
      <w:bookmarkEnd w:id="159"/>
      <w:bookmarkEnd w:id="160"/>
    </w:p>
    <w:tbl>
      <w:tblPr>
        <w:tblStyle w:val="10"/>
        <w:tblW w:w="143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0"/>
        <w:gridCol w:w="1793"/>
        <w:gridCol w:w="4193"/>
        <w:gridCol w:w="1132"/>
        <w:gridCol w:w="3165"/>
        <w:gridCol w:w="3382"/>
      </w:tblGrid>
      <w:tr w14:paraId="75432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exact"/>
          <w:tblHeader/>
          <w:jc w:val="center"/>
        </w:trPr>
        <w:tc>
          <w:tcPr>
            <w:tcW w:w="640" w:type="dxa"/>
            <w:noWrap w:val="0"/>
            <w:vAlign w:val="center"/>
          </w:tcPr>
          <w:p w14:paraId="20E8B368">
            <w:pPr>
              <w:keepNext w:val="0"/>
              <w:keepLines w:val="0"/>
              <w:pageBreakBefore w:val="0"/>
              <w:widowControl/>
              <w:kinsoku/>
              <w:wordWrap/>
              <w:overflowPunct/>
              <w:topLinePunct w:val="0"/>
              <w:bidi w:val="0"/>
              <w:adjustRightInd/>
              <w:snapToGrid/>
              <w:spacing w:line="400" w:lineRule="exact"/>
              <w:ind w:left="63" w:leftChars="30" w:right="63" w:rightChars="30"/>
              <w:jc w:val="center"/>
              <w:textAlignment w:val="auto"/>
              <w:rPr>
                <w:rFonts w:hint="eastAsia" w:ascii="黑体" w:hAnsi="黑体" w:eastAsia="黑体" w:cs="黑体"/>
                <w:b w:val="0"/>
                <w:bCs w:val="0"/>
                <w:spacing w:val="0"/>
                <w:kern w:val="21"/>
                <w:sz w:val="24"/>
                <w:szCs w:val="24"/>
              </w:rPr>
            </w:pPr>
            <w:r>
              <w:rPr>
                <w:rFonts w:hint="eastAsia" w:ascii="黑体" w:hAnsi="黑体" w:eastAsia="黑体" w:cs="黑体"/>
                <w:b w:val="0"/>
                <w:bCs w:val="0"/>
                <w:spacing w:val="0"/>
                <w:kern w:val="21"/>
                <w:sz w:val="24"/>
                <w:szCs w:val="24"/>
              </w:rPr>
              <w:t>序号</w:t>
            </w:r>
          </w:p>
        </w:tc>
        <w:tc>
          <w:tcPr>
            <w:tcW w:w="1793" w:type="dxa"/>
            <w:noWrap w:val="0"/>
            <w:vAlign w:val="center"/>
          </w:tcPr>
          <w:p w14:paraId="70121E00">
            <w:pPr>
              <w:keepNext w:val="0"/>
              <w:keepLines w:val="0"/>
              <w:pageBreakBefore w:val="0"/>
              <w:widowControl/>
              <w:kinsoku/>
              <w:overflowPunct/>
              <w:topLinePunct w:val="0"/>
              <w:bidi w:val="0"/>
              <w:adjustRightInd/>
              <w:snapToGrid/>
              <w:spacing w:line="400" w:lineRule="exact"/>
              <w:ind w:left="63" w:leftChars="30" w:right="63" w:rightChars="30"/>
              <w:jc w:val="center"/>
              <w:rPr>
                <w:rFonts w:hint="eastAsia" w:ascii="黑体" w:hAnsi="黑体" w:eastAsia="黑体" w:cs="黑体"/>
                <w:b w:val="0"/>
                <w:bCs w:val="0"/>
                <w:spacing w:val="0"/>
                <w:kern w:val="21"/>
                <w:sz w:val="24"/>
                <w:szCs w:val="24"/>
              </w:rPr>
            </w:pPr>
            <w:r>
              <w:rPr>
                <w:rFonts w:hint="eastAsia" w:ascii="黑体" w:hAnsi="黑体" w:eastAsia="黑体" w:cs="黑体"/>
                <w:b w:val="0"/>
                <w:bCs w:val="0"/>
                <w:spacing w:val="0"/>
                <w:kern w:val="21"/>
                <w:sz w:val="24"/>
                <w:szCs w:val="24"/>
              </w:rPr>
              <w:t>法律名称</w:t>
            </w:r>
          </w:p>
        </w:tc>
        <w:tc>
          <w:tcPr>
            <w:tcW w:w="4193" w:type="dxa"/>
            <w:noWrap w:val="0"/>
            <w:vAlign w:val="center"/>
          </w:tcPr>
          <w:p w14:paraId="1F32EBDA">
            <w:pPr>
              <w:keepNext w:val="0"/>
              <w:keepLines w:val="0"/>
              <w:pageBreakBefore w:val="0"/>
              <w:widowControl/>
              <w:kinsoku/>
              <w:overflowPunct/>
              <w:topLinePunct w:val="0"/>
              <w:bidi w:val="0"/>
              <w:adjustRightInd/>
              <w:snapToGrid/>
              <w:spacing w:line="400" w:lineRule="exact"/>
              <w:ind w:left="63" w:leftChars="30" w:right="63" w:rightChars="30"/>
              <w:jc w:val="center"/>
              <w:rPr>
                <w:rFonts w:hint="eastAsia" w:ascii="黑体" w:hAnsi="黑体" w:eastAsia="黑体" w:cs="黑体"/>
                <w:b w:val="0"/>
                <w:bCs w:val="0"/>
                <w:spacing w:val="0"/>
                <w:kern w:val="21"/>
                <w:sz w:val="24"/>
                <w:szCs w:val="24"/>
              </w:rPr>
            </w:pPr>
            <w:r>
              <w:rPr>
                <w:rFonts w:hint="eastAsia" w:ascii="黑体" w:hAnsi="黑体" w:eastAsia="黑体" w:cs="黑体"/>
                <w:b w:val="0"/>
                <w:bCs w:val="0"/>
                <w:spacing w:val="0"/>
                <w:kern w:val="21"/>
                <w:sz w:val="24"/>
                <w:szCs w:val="24"/>
              </w:rPr>
              <w:t>法律依据</w:t>
            </w:r>
          </w:p>
        </w:tc>
        <w:tc>
          <w:tcPr>
            <w:tcW w:w="1132" w:type="dxa"/>
            <w:noWrap w:val="0"/>
            <w:vAlign w:val="center"/>
          </w:tcPr>
          <w:p w14:paraId="0726A259">
            <w:pPr>
              <w:keepNext w:val="0"/>
              <w:keepLines w:val="0"/>
              <w:pageBreakBefore w:val="0"/>
              <w:widowControl/>
              <w:kinsoku/>
              <w:overflowPunct/>
              <w:topLinePunct w:val="0"/>
              <w:bidi w:val="0"/>
              <w:adjustRightInd/>
              <w:snapToGrid/>
              <w:spacing w:line="400" w:lineRule="exact"/>
              <w:ind w:left="63" w:leftChars="30" w:right="63" w:rightChars="30"/>
              <w:jc w:val="center"/>
              <w:rPr>
                <w:rFonts w:hint="eastAsia" w:ascii="黑体" w:hAnsi="黑体" w:eastAsia="黑体" w:cs="黑体"/>
                <w:b w:val="0"/>
                <w:bCs w:val="0"/>
                <w:spacing w:val="0"/>
                <w:kern w:val="21"/>
                <w:sz w:val="24"/>
                <w:szCs w:val="24"/>
              </w:rPr>
            </w:pPr>
            <w:r>
              <w:rPr>
                <w:rFonts w:hint="eastAsia" w:ascii="黑体" w:hAnsi="黑体" w:eastAsia="黑体" w:cs="黑体"/>
                <w:b w:val="0"/>
                <w:bCs w:val="0"/>
                <w:spacing w:val="0"/>
                <w:kern w:val="21"/>
                <w:sz w:val="24"/>
                <w:szCs w:val="24"/>
              </w:rPr>
              <w:t>违法程度</w:t>
            </w:r>
          </w:p>
        </w:tc>
        <w:tc>
          <w:tcPr>
            <w:tcW w:w="3165" w:type="dxa"/>
            <w:noWrap w:val="0"/>
            <w:vAlign w:val="center"/>
          </w:tcPr>
          <w:p w14:paraId="36259AC1">
            <w:pPr>
              <w:keepNext w:val="0"/>
              <w:keepLines w:val="0"/>
              <w:pageBreakBefore w:val="0"/>
              <w:widowControl/>
              <w:kinsoku/>
              <w:wordWrap/>
              <w:overflowPunct/>
              <w:topLinePunct w:val="0"/>
              <w:bidi w:val="0"/>
              <w:adjustRightInd/>
              <w:snapToGrid/>
              <w:spacing w:line="400" w:lineRule="exact"/>
              <w:ind w:left="63" w:leftChars="30" w:right="63" w:rightChars="30"/>
              <w:jc w:val="center"/>
              <w:rPr>
                <w:rFonts w:hint="eastAsia" w:ascii="黑体" w:hAnsi="黑体" w:eastAsia="黑体" w:cs="黑体"/>
                <w:b w:val="0"/>
                <w:bCs w:val="0"/>
                <w:spacing w:val="0"/>
                <w:kern w:val="21"/>
                <w:sz w:val="24"/>
                <w:szCs w:val="24"/>
              </w:rPr>
            </w:pPr>
            <w:r>
              <w:rPr>
                <w:rFonts w:hint="eastAsia" w:ascii="黑体" w:hAnsi="黑体" w:eastAsia="黑体" w:cs="黑体"/>
                <w:b w:val="0"/>
                <w:bCs w:val="0"/>
                <w:spacing w:val="0"/>
                <w:kern w:val="21"/>
                <w:sz w:val="24"/>
                <w:szCs w:val="24"/>
              </w:rPr>
              <w:t>判断</w:t>
            </w:r>
            <w:r>
              <w:rPr>
                <w:rFonts w:hint="eastAsia" w:ascii="黑体" w:hAnsi="黑体" w:eastAsia="黑体" w:cs="黑体"/>
                <w:b w:val="0"/>
                <w:bCs w:val="0"/>
                <w:spacing w:val="0"/>
                <w:kern w:val="21"/>
                <w:sz w:val="24"/>
                <w:szCs w:val="24"/>
                <w:lang w:val="en-US" w:eastAsia="zh-CN"/>
              </w:rPr>
              <w:t>基</w:t>
            </w:r>
            <w:r>
              <w:rPr>
                <w:rFonts w:hint="eastAsia" w:ascii="黑体" w:hAnsi="黑体" w:eastAsia="黑体" w:cs="黑体"/>
                <w:b w:val="0"/>
                <w:bCs w:val="0"/>
                <w:spacing w:val="0"/>
                <w:kern w:val="21"/>
                <w:sz w:val="24"/>
                <w:szCs w:val="24"/>
              </w:rPr>
              <w:t>准</w:t>
            </w:r>
          </w:p>
        </w:tc>
        <w:tc>
          <w:tcPr>
            <w:tcW w:w="3382" w:type="dxa"/>
            <w:noWrap w:val="0"/>
            <w:vAlign w:val="center"/>
          </w:tcPr>
          <w:p w14:paraId="7468F64A">
            <w:pPr>
              <w:keepNext w:val="0"/>
              <w:keepLines w:val="0"/>
              <w:pageBreakBefore w:val="0"/>
              <w:widowControl/>
              <w:kinsoku/>
              <w:overflowPunct/>
              <w:topLinePunct w:val="0"/>
              <w:bidi w:val="0"/>
              <w:adjustRightInd/>
              <w:snapToGrid/>
              <w:spacing w:line="400" w:lineRule="exact"/>
              <w:ind w:left="63" w:leftChars="30" w:right="63" w:rightChars="30"/>
              <w:jc w:val="center"/>
              <w:rPr>
                <w:rFonts w:hint="eastAsia" w:ascii="黑体" w:hAnsi="黑体" w:eastAsia="黑体" w:cs="黑体"/>
                <w:b w:val="0"/>
                <w:bCs w:val="0"/>
                <w:spacing w:val="0"/>
                <w:kern w:val="21"/>
                <w:sz w:val="24"/>
                <w:szCs w:val="24"/>
              </w:rPr>
            </w:pPr>
            <w:r>
              <w:rPr>
                <w:rFonts w:hint="eastAsia" w:ascii="黑体" w:hAnsi="黑体" w:eastAsia="黑体" w:cs="黑体"/>
                <w:b w:val="0"/>
                <w:bCs w:val="0"/>
                <w:spacing w:val="0"/>
                <w:kern w:val="21"/>
                <w:sz w:val="24"/>
                <w:szCs w:val="24"/>
              </w:rPr>
              <w:t>处罚</w:t>
            </w:r>
            <w:r>
              <w:rPr>
                <w:rFonts w:hint="eastAsia" w:ascii="黑体" w:hAnsi="黑体" w:eastAsia="黑体" w:cs="黑体"/>
                <w:b w:val="0"/>
                <w:bCs w:val="0"/>
                <w:spacing w:val="0"/>
                <w:kern w:val="21"/>
                <w:sz w:val="24"/>
                <w:szCs w:val="24"/>
                <w:lang w:val="en-US" w:eastAsia="zh-CN"/>
              </w:rPr>
              <w:t>基</w:t>
            </w:r>
            <w:r>
              <w:rPr>
                <w:rFonts w:hint="eastAsia" w:ascii="黑体" w:hAnsi="黑体" w:eastAsia="黑体" w:cs="黑体"/>
                <w:b w:val="0"/>
                <w:bCs w:val="0"/>
                <w:spacing w:val="0"/>
                <w:kern w:val="21"/>
                <w:sz w:val="24"/>
                <w:szCs w:val="24"/>
              </w:rPr>
              <w:t>准</w:t>
            </w:r>
          </w:p>
        </w:tc>
      </w:tr>
      <w:tr w14:paraId="5BEBB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5" w:hRule="atLeast"/>
          <w:jc w:val="center"/>
        </w:trPr>
        <w:tc>
          <w:tcPr>
            <w:tcW w:w="640" w:type="dxa"/>
            <w:vMerge w:val="restart"/>
            <w:noWrap w:val="0"/>
            <w:vAlign w:val="center"/>
          </w:tcPr>
          <w:p w14:paraId="5385AF99">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lang w:eastAsia="zh-CN"/>
              </w:rPr>
            </w:pPr>
            <w:r>
              <w:rPr>
                <w:rFonts w:hint="eastAsia" w:ascii="宋体" w:hAnsi="宋体" w:eastAsia="宋体" w:cs="宋体"/>
                <w:b w:val="0"/>
                <w:bCs w:val="0"/>
                <w:color w:val="auto"/>
                <w:spacing w:val="6"/>
                <w:kern w:val="21"/>
                <w:sz w:val="24"/>
                <w:szCs w:val="24"/>
              </w:rPr>
              <w:t>11</w:t>
            </w:r>
            <w:r>
              <w:rPr>
                <w:rFonts w:hint="eastAsia" w:cs="宋体"/>
                <w:b w:val="0"/>
                <w:bCs w:val="0"/>
                <w:color w:val="auto"/>
                <w:spacing w:val="6"/>
                <w:kern w:val="21"/>
                <w:sz w:val="24"/>
                <w:szCs w:val="24"/>
                <w:lang w:val="en-US" w:eastAsia="zh-CN"/>
              </w:rPr>
              <w:t>2</w:t>
            </w:r>
          </w:p>
        </w:tc>
        <w:tc>
          <w:tcPr>
            <w:tcW w:w="1793" w:type="dxa"/>
            <w:vMerge w:val="restart"/>
            <w:noWrap w:val="0"/>
            <w:vAlign w:val="center"/>
          </w:tcPr>
          <w:p w14:paraId="43CC5D74">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p>
          <w:p w14:paraId="0D603FC0">
            <w:pPr>
              <w:pStyle w:val="17"/>
              <w:keepNext w:val="0"/>
              <w:keepLines w:val="0"/>
              <w:pageBreakBefore w:val="0"/>
              <w:widowControl w:val="0"/>
              <w:kinsoku/>
              <w:wordWrap/>
              <w:overflowPunct/>
              <w:topLinePunct w:val="0"/>
              <w:autoSpaceDE w:val="0"/>
              <w:autoSpaceDN w:val="0"/>
              <w:bidi w:val="0"/>
              <w:adjustRightInd/>
              <w:snapToGrid/>
              <w:spacing w:line="400" w:lineRule="exact"/>
              <w:ind w:left="63" w:leftChars="30" w:right="63" w:rightChars="30"/>
              <w:jc w:val="both"/>
              <w:textAlignment w:val="auto"/>
              <w:outlineLvl w:val="2"/>
              <w:rPr>
                <w:rFonts w:hint="eastAsia" w:ascii="宋体" w:hAnsi="宋体" w:eastAsia="宋体" w:cs="宋体"/>
                <w:b w:val="0"/>
                <w:bCs w:val="0"/>
                <w:color w:val="auto"/>
                <w:spacing w:val="6"/>
                <w:kern w:val="21"/>
                <w:sz w:val="24"/>
                <w:szCs w:val="24"/>
              </w:rPr>
            </w:pPr>
            <w:bookmarkStart w:id="161" w:name="_Toc4054"/>
            <w:bookmarkStart w:id="162" w:name="_Toc25009"/>
            <w:bookmarkStart w:id="163" w:name="_Toc9719"/>
            <w:bookmarkStart w:id="164" w:name="_Toc9047"/>
            <w:bookmarkStart w:id="165" w:name="_Toc10253"/>
            <w:r>
              <w:rPr>
                <w:rFonts w:hint="eastAsia" w:ascii="宋体" w:hAnsi="宋体" w:eastAsia="宋体" w:cs="宋体"/>
                <w:b w:val="0"/>
                <w:bCs w:val="0"/>
                <w:color w:val="auto"/>
                <w:spacing w:val="6"/>
                <w:kern w:val="21"/>
                <w:sz w:val="24"/>
                <w:szCs w:val="24"/>
              </w:rPr>
              <w:t>《商品量计量违法行为处罚规定》</w:t>
            </w:r>
            <w:bookmarkEnd w:id="161"/>
            <w:r>
              <w:rPr>
                <w:rFonts w:hint="eastAsia" w:ascii="宋体" w:hAnsi="宋体" w:eastAsia="宋体" w:cs="宋体"/>
                <w:b w:val="0"/>
                <w:bCs w:val="0"/>
                <w:color w:val="auto"/>
                <w:spacing w:val="6"/>
                <w:kern w:val="21"/>
                <w:sz w:val="24"/>
                <w:szCs w:val="24"/>
                <w:lang w:eastAsia="zh-CN"/>
              </w:rPr>
              <w:t>（</w:t>
            </w:r>
            <w:r>
              <w:rPr>
                <w:rFonts w:hint="eastAsia" w:ascii="宋体" w:hAnsi="宋体" w:eastAsia="宋体" w:cs="宋体"/>
                <w:b w:val="0"/>
                <w:bCs w:val="0"/>
                <w:color w:val="auto"/>
                <w:spacing w:val="6"/>
                <w:kern w:val="21"/>
                <w:sz w:val="24"/>
                <w:szCs w:val="24"/>
                <w:lang w:val="en-US" w:eastAsia="zh-CN"/>
              </w:rPr>
              <w:t>2020年10月23日</w:t>
            </w:r>
            <w:r>
              <w:rPr>
                <w:rFonts w:hint="eastAsia" w:cs="宋体"/>
                <w:b w:val="0"/>
                <w:bCs w:val="0"/>
                <w:color w:val="auto"/>
                <w:spacing w:val="6"/>
                <w:kern w:val="21"/>
                <w:sz w:val="24"/>
                <w:szCs w:val="24"/>
                <w:lang w:val="en-US" w:eastAsia="zh-CN"/>
              </w:rPr>
              <w:t>起施行</w:t>
            </w:r>
            <w:r>
              <w:rPr>
                <w:rFonts w:hint="eastAsia" w:ascii="宋体" w:hAnsi="宋体" w:eastAsia="宋体" w:cs="宋体"/>
                <w:b w:val="0"/>
                <w:bCs w:val="0"/>
                <w:color w:val="auto"/>
                <w:spacing w:val="6"/>
                <w:kern w:val="21"/>
                <w:sz w:val="24"/>
                <w:szCs w:val="24"/>
                <w:lang w:eastAsia="zh-CN"/>
              </w:rPr>
              <w:t>）</w:t>
            </w:r>
            <w:bookmarkEnd w:id="162"/>
            <w:bookmarkEnd w:id="163"/>
            <w:bookmarkEnd w:id="164"/>
            <w:bookmarkEnd w:id="165"/>
          </w:p>
        </w:tc>
        <w:tc>
          <w:tcPr>
            <w:tcW w:w="4193" w:type="dxa"/>
            <w:vMerge w:val="restart"/>
            <w:noWrap w:val="0"/>
            <w:vAlign w:val="center"/>
          </w:tcPr>
          <w:p w14:paraId="2D2A9046">
            <w:pPr>
              <w:pStyle w:val="17"/>
              <w:keepNext w:val="0"/>
              <w:keepLines w:val="0"/>
              <w:pageBreakBefore w:val="0"/>
              <w:tabs>
                <w:tab w:val="left" w:pos="1053"/>
              </w:tabs>
              <w:kinsoku/>
              <w:overflowPunct/>
              <w:topLinePunct w:val="0"/>
              <w:bidi w:val="0"/>
              <w:adjustRightInd/>
              <w:snapToGrid/>
              <w:spacing w:line="400" w:lineRule="exact"/>
              <w:ind w:left="63" w:leftChars="30" w:right="63" w:rightChars="30"/>
              <w:jc w:val="left"/>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第四条</w:t>
            </w:r>
            <w:r>
              <w:rPr>
                <w:rFonts w:hint="eastAsia" w:ascii="宋体" w:hAnsi="宋体" w:eastAsia="宋体" w:cs="宋体"/>
                <w:b w:val="0"/>
                <w:bCs w:val="0"/>
                <w:color w:val="auto"/>
                <w:spacing w:val="6"/>
                <w:kern w:val="21"/>
                <w:sz w:val="24"/>
                <w:szCs w:val="24"/>
                <w:lang w:val="en-US" w:eastAsia="zh-CN"/>
              </w:rPr>
              <w:t xml:space="preserve"> </w:t>
            </w:r>
            <w:r>
              <w:rPr>
                <w:rFonts w:hint="eastAsia" w:ascii="宋体" w:hAnsi="宋体" w:eastAsia="宋体" w:cs="宋体"/>
                <w:b w:val="0"/>
                <w:bCs w:val="0"/>
                <w:color w:val="auto"/>
                <w:spacing w:val="6"/>
                <w:kern w:val="21"/>
                <w:sz w:val="24"/>
                <w:szCs w:val="24"/>
              </w:rPr>
              <w:t>生产者生产定量包装商品，其实际量与标注量不相符，计量偏差超过《定量包装商品计量监督</w:t>
            </w:r>
            <w:r>
              <w:rPr>
                <w:rFonts w:hint="eastAsia" w:ascii="宋体" w:hAnsi="宋体" w:eastAsia="宋体" w:cs="宋体"/>
                <w:b w:val="0"/>
                <w:bCs w:val="0"/>
                <w:color w:val="auto"/>
                <w:spacing w:val="6"/>
                <w:kern w:val="21"/>
                <w:sz w:val="24"/>
                <w:szCs w:val="24"/>
                <w:lang w:val="en-US" w:eastAsia="zh-CN"/>
              </w:rPr>
              <w:t>管理办法</w:t>
            </w:r>
            <w:r>
              <w:rPr>
                <w:rFonts w:hint="eastAsia" w:ascii="宋体" w:hAnsi="宋体" w:eastAsia="宋体" w:cs="宋体"/>
                <w:b w:val="0"/>
                <w:bCs w:val="0"/>
                <w:color w:val="auto"/>
                <w:spacing w:val="6"/>
                <w:kern w:val="21"/>
                <w:sz w:val="24"/>
                <w:szCs w:val="24"/>
              </w:rPr>
              <w:t>》或者国家其它有关规定的，</w:t>
            </w:r>
            <w:r>
              <w:rPr>
                <w:rFonts w:hint="eastAsia" w:ascii="宋体" w:hAnsi="宋体" w:eastAsia="宋体" w:cs="宋体"/>
                <w:b w:val="0"/>
                <w:bCs w:val="0"/>
                <w:color w:val="auto"/>
                <w:spacing w:val="6"/>
                <w:kern w:val="21"/>
                <w:sz w:val="24"/>
                <w:szCs w:val="24"/>
                <w:lang w:val="en-US" w:eastAsia="zh-CN"/>
              </w:rPr>
              <w:t>市场</w:t>
            </w:r>
            <w:r>
              <w:rPr>
                <w:rFonts w:hint="eastAsia" w:ascii="宋体" w:hAnsi="宋体" w:eastAsia="宋体" w:cs="宋体"/>
                <w:b w:val="0"/>
                <w:bCs w:val="0"/>
                <w:color w:val="auto"/>
                <w:spacing w:val="6"/>
                <w:kern w:val="21"/>
                <w:sz w:val="24"/>
                <w:szCs w:val="24"/>
              </w:rPr>
              <w:t>监督</w:t>
            </w:r>
            <w:r>
              <w:rPr>
                <w:rFonts w:hint="eastAsia" w:ascii="宋体" w:hAnsi="宋体" w:eastAsia="宋体" w:cs="宋体"/>
                <w:b w:val="0"/>
                <w:bCs w:val="0"/>
                <w:color w:val="auto"/>
                <w:spacing w:val="6"/>
                <w:kern w:val="21"/>
                <w:sz w:val="24"/>
                <w:szCs w:val="24"/>
                <w:lang w:val="en-US" w:eastAsia="zh-CN"/>
              </w:rPr>
              <w:t>管理</w:t>
            </w:r>
            <w:r>
              <w:rPr>
                <w:rFonts w:hint="eastAsia" w:ascii="宋体" w:hAnsi="宋体" w:eastAsia="宋体" w:cs="宋体"/>
                <w:b w:val="0"/>
                <w:bCs w:val="0"/>
                <w:color w:val="auto"/>
                <w:spacing w:val="6"/>
                <w:kern w:val="21"/>
                <w:sz w:val="24"/>
                <w:szCs w:val="24"/>
              </w:rPr>
              <w:t>部门责令改正，并处</w:t>
            </w:r>
            <w:r>
              <w:rPr>
                <w:rFonts w:hint="eastAsia" w:ascii="宋体" w:hAnsi="宋体" w:eastAsia="宋体" w:cs="宋体"/>
                <w:b w:val="0"/>
                <w:bCs w:val="0"/>
                <w:color w:val="auto"/>
                <w:spacing w:val="6"/>
                <w:kern w:val="21"/>
                <w:sz w:val="24"/>
                <w:szCs w:val="24"/>
                <w:lang w:val="en-US" w:eastAsia="zh-CN"/>
              </w:rPr>
              <w:t xml:space="preserve"> </w:t>
            </w:r>
            <w:r>
              <w:rPr>
                <w:rFonts w:hint="eastAsia" w:ascii="宋体" w:hAnsi="宋体" w:eastAsia="宋体" w:cs="宋体"/>
                <w:b w:val="0"/>
                <w:bCs w:val="0"/>
                <w:color w:val="auto"/>
                <w:spacing w:val="6"/>
                <w:kern w:val="21"/>
                <w:sz w:val="24"/>
                <w:szCs w:val="24"/>
              </w:rPr>
              <w:t>30000元</w:t>
            </w:r>
            <w:r>
              <w:rPr>
                <w:rFonts w:hint="eastAsia" w:ascii="宋体" w:hAnsi="宋体" w:eastAsia="宋体" w:cs="宋体"/>
                <w:b w:val="0"/>
                <w:bCs w:val="0"/>
                <w:color w:val="auto"/>
                <w:spacing w:val="6"/>
                <w:kern w:val="21"/>
                <w:sz w:val="24"/>
                <w:szCs w:val="24"/>
                <w:lang w:val="en-US" w:eastAsia="zh-CN"/>
              </w:rPr>
              <w:t>以下</w:t>
            </w:r>
            <w:r>
              <w:rPr>
                <w:rFonts w:hint="eastAsia" w:ascii="宋体" w:hAnsi="宋体" w:eastAsia="宋体" w:cs="宋体"/>
                <w:b w:val="0"/>
                <w:bCs w:val="0"/>
                <w:color w:val="auto"/>
                <w:spacing w:val="6"/>
                <w:kern w:val="21"/>
                <w:sz w:val="24"/>
                <w:szCs w:val="24"/>
              </w:rPr>
              <w:t>的罚款。</w:t>
            </w:r>
          </w:p>
        </w:tc>
        <w:tc>
          <w:tcPr>
            <w:tcW w:w="1132" w:type="dxa"/>
            <w:noWrap w:val="0"/>
            <w:vAlign w:val="center"/>
          </w:tcPr>
          <w:p w14:paraId="596F33DA">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117CEE0C">
            <w:pPr>
              <w:pStyle w:val="17"/>
              <w:keepNext w:val="0"/>
              <w:keepLines w:val="0"/>
              <w:pageBreakBefore w:val="0"/>
              <w:kinsoku/>
              <w:wordWrap/>
              <w:overflowPunct/>
              <w:topLinePunct w:val="0"/>
              <w:bidi w:val="0"/>
              <w:adjustRightInd/>
              <w:snapToGrid/>
              <w:spacing w:line="38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计量偏差超过标准规定值2倍以下的。</w:t>
            </w:r>
          </w:p>
        </w:tc>
        <w:tc>
          <w:tcPr>
            <w:tcW w:w="3382" w:type="dxa"/>
            <w:noWrap w:val="0"/>
            <w:vAlign w:val="center"/>
          </w:tcPr>
          <w:p w14:paraId="45644CA7">
            <w:pPr>
              <w:keepNext w:val="0"/>
              <w:keepLines w:val="0"/>
              <w:pageBreakBefore w:val="0"/>
              <w:widowControl/>
              <w:suppressLineNumbers w:val="0"/>
              <w:kinsoku/>
              <w:wordWrap/>
              <w:overflowPunct/>
              <w:topLinePunct w:val="0"/>
              <w:autoSpaceDE w:val="0"/>
              <w:autoSpaceDN w:val="0"/>
              <w:bidi w:val="0"/>
              <w:adjustRightInd/>
              <w:snapToGrid/>
              <w:spacing w:line="380" w:lineRule="exact"/>
              <w:ind w:left="63" w:leftChars="30" w:right="63" w:rightChars="30"/>
              <w:jc w:val="both"/>
              <w:textAlignment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i w:val="0"/>
                <w:iCs w:val="0"/>
                <w:color w:val="auto"/>
                <w:spacing w:val="6"/>
                <w:kern w:val="21"/>
                <w:sz w:val="24"/>
                <w:szCs w:val="24"/>
                <w:u w:val="none"/>
                <w:lang w:val="en-US" w:eastAsia="zh-CN" w:bidi="ar"/>
              </w:rPr>
              <w:t>责令改正，并处9000元以下的罚款。</w:t>
            </w:r>
          </w:p>
        </w:tc>
      </w:tr>
      <w:tr w14:paraId="3828C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7" w:hRule="atLeast"/>
          <w:jc w:val="center"/>
        </w:trPr>
        <w:tc>
          <w:tcPr>
            <w:tcW w:w="640" w:type="dxa"/>
            <w:vMerge w:val="continue"/>
            <w:tcBorders>
              <w:top w:val="nil"/>
            </w:tcBorders>
            <w:noWrap w:val="0"/>
            <w:vAlign w:val="center"/>
          </w:tcPr>
          <w:p w14:paraId="6C5D7EFA">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tcBorders>
              <w:top w:val="nil"/>
            </w:tcBorders>
            <w:noWrap w:val="0"/>
            <w:vAlign w:val="center"/>
          </w:tcPr>
          <w:p w14:paraId="5933A715">
            <w:pPr>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p>
        </w:tc>
        <w:tc>
          <w:tcPr>
            <w:tcW w:w="4193" w:type="dxa"/>
            <w:vMerge w:val="continue"/>
            <w:tcBorders>
              <w:top w:val="nil"/>
            </w:tcBorders>
            <w:noWrap w:val="0"/>
            <w:vAlign w:val="center"/>
          </w:tcPr>
          <w:p w14:paraId="5BE9919B">
            <w:pPr>
              <w:keepNext w:val="0"/>
              <w:keepLines w:val="0"/>
              <w:pageBreakBefore w:val="0"/>
              <w:kinsoku/>
              <w:overflowPunct/>
              <w:topLinePunct w:val="0"/>
              <w:bidi w:val="0"/>
              <w:adjustRightInd/>
              <w:snapToGrid/>
              <w:spacing w:line="400" w:lineRule="exact"/>
              <w:ind w:left="63" w:leftChars="30" w:right="63" w:rightChars="30"/>
              <w:jc w:val="left"/>
              <w:rPr>
                <w:rFonts w:hint="eastAsia" w:ascii="宋体" w:hAnsi="宋体" w:eastAsia="宋体" w:cs="宋体"/>
                <w:b w:val="0"/>
                <w:bCs w:val="0"/>
                <w:color w:val="auto"/>
                <w:spacing w:val="6"/>
                <w:kern w:val="21"/>
                <w:sz w:val="24"/>
                <w:szCs w:val="24"/>
              </w:rPr>
            </w:pPr>
          </w:p>
        </w:tc>
        <w:tc>
          <w:tcPr>
            <w:tcW w:w="1132" w:type="dxa"/>
            <w:noWrap w:val="0"/>
            <w:vAlign w:val="center"/>
          </w:tcPr>
          <w:p w14:paraId="3A101583">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514E0E04">
            <w:pPr>
              <w:pStyle w:val="17"/>
              <w:keepNext w:val="0"/>
              <w:keepLines w:val="0"/>
              <w:pageBreakBefore w:val="0"/>
              <w:kinsoku/>
              <w:wordWrap/>
              <w:overflowPunct/>
              <w:topLinePunct w:val="0"/>
              <w:bidi w:val="0"/>
              <w:adjustRightInd/>
              <w:snapToGrid/>
              <w:spacing w:line="38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计量偏差超过标准规定值2倍以上3倍以下的。</w:t>
            </w:r>
          </w:p>
        </w:tc>
        <w:tc>
          <w:tcPr>
            <w:tcW w:w="3382" w:type="dxa"/>
            <w:noWrap w:val="0"/>
            <w:vAlign w:val="center"/>
          </w:tcPr>
          <w:p w14:paraId="2597CE03">
            <w:pPr>
              <w:keepNext w:val="0"/>
              <w:keepLines w:val="0"/>
              <w:pageBreakBefore w:val="0"/>
              <w:widowControl/>
              <w:suppressLineNumbers w:val="0"/>
              <w:kinsoku/>
              <w:wordWrap/>
              <w:overflowPunct/>
              <w:topLinePunct w:val="0"/>
              <w:autoSpaceDE w:val="0"/>
              <w:autoSpaceDN w:val="0"/>
              <w:bidi w:val="0"/>
              <w:adjustRightInd/>
              <w:snapToGrid/>
              <w:spacing w:line="380" w:lineRule="exact"/>
              <w:ind w:left="63" w:leftChars="30" w:right="63" w:rightChars="30"/>
              <w:jc w:val="both"/>
              <w:textAlignment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i w:val="0"/>
                <w:iCs w:val="0"/>
                <w:color w:val="auto"/>
                <w:spacing w:val="6"/>
                <w:kern w:val="21"/>
                <w:sz w:val="24"/>
                <w:szCs w:val="24"/>
                <w:u w:val="none"/>
                <w:lang w:val="en-US" w:eastAsia="zh-CN" w:bidi="ar"/>
              </w:rPr>
              <w:t>责令改正，并处9000元以上</w:t>
            </w:r>
            <w:r>
              <w:rPr>
                <w:rFonts w:hint="eastAsia" w:ascii="宋体" w:hAnsi="宋体" w:cs="宋体"/>
                <w:b w:val="0"/>
                <w:bCs w:val="0"/>
                <w:i w:val="0"/>
                <w:iCs w:val="0"/>
                <w:color w:val="auto"/>
                <w:spacing w:val="6"/>
                <w:kern w:val="21"/>
                <w:sz w:val="24"/>
                <w:szCs w:val="24"/>
                <w:u w:val="none"/>
                <w:lang w:val="en-US" w:eastAsia="zh-CN" w:bidi="ar"/>
              </w:rPr>
              <w:t>2.1万</w:t>
            </w:r>
            <w:r>
              <w:rPr>
                <w:rFonts w:hint="eastAsia" w:ascii="宋体" w:hAnsi="宋体" w:eastAsia="宋体" w:cs="宋体"/>
                <w:b w:val="0"/>
                <w:bCs w:val="0"/>
                <w:i w:val="0"/>
                <w:iCs w:val="0"/>
                <w:color w:val="auto"/>
                <w:spacing w:val="6"/>
                <w:kern w:val="21"/>
                <w:sz w:val="24"/>
                <w:szCs w:val="24"/>
                <w:u w:val="none"/>
                <w:lang w:val="en-US" w:eastAsia="zh-CN" w:bidi="ar"/>
              </w:rPr>
              <w:t>元以下的罚款。</w:t>
            </w:r>
          </w:p>
        </w:tc>
      </w:tr>
      <w:tr w14:paraId="5BBAF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1" w:hRule="atLeast"/>
          <w:jc w:val="center"/>
        </w:trPr>
        <w:tc>
          <w:tcPr>
            <w:tcW w:w="640" w:type="dxa"/>
            <w:vMerge w:val="continue"/>
            <w:tcBorders>
              <w:top w:val="nil"/>
            </w:tcBorders>
            <w:noWrap w:val="0"/>
            <w:vAlign w:val="center"/>
          </w:tcPr>
          <w:p w14:paraId="343111E0">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tcBorders>
              <w:top w:val="nil"/>
            </w:tcBorders>
            <w:noWrap w:val="0"/>
            <w:vAlign w:val="center"/>
          </w:tcPr>
          <w:p w14:paraId="6035C6F2">
            <w:pPr>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p>
        </w:tc>
        <w:tc>
          <w:tcPr>
            <w:tcW w:w="4193" w:type="dxa"/>
            <w:vMerge w:val="continue"/>
            <w:tcBorders>
              <w:top w:val="nil"/>
            </w:tcBorders>
            <w:noWrap w:val="0"/>
            <w:vAlign w:val="center"/>
          </w:tcPr>
          <w:p w14:paraId="40A5B7F2">
            <w:pPr>
              <w:keepNext w:val="0"/>
              <w:keepLines w:val="0"/>
              <w:pageBreakBefore w:val="0"/>
              <w:kinsoku/>
              <w:overflowPunct/>
              <w:topLinePunct w:val="0"/>
              <w:bidi w:val="0"/>
              <w:adjustRightInd/>
              <w:snapToGrid/>
              <w:spacing w:line="400" w:lineRule="exact"/>
              <w:ind w:left="63" w:leftChars="30" w:right="63" w:rightChars="30"/>
              <w:jc w:val="left"/>
              <w:rPr>
                <w:rFonts w:hint="eastAsia" w:ascii="宋体" w:hAnsi="宋体" w:eastAsia="宋体" w:cs="宋体"/>
                <w:b w:val="0"/>
                <w:bCs w:val="0"/>
                <w:color w:val="auto"/>
                <w:spacing w:val="6"/>
                <w:kern w:val="21"/>
                <w:sz w:val="24"/>
                <w:szCs w:val="24"/>
              </w:rPr>
            </w:pPr>
          </w:p>
        </w:tc>
        <w:tc>
          <w:tcPr>
            <w:tcW w:w="1132" w:type="dxa"/>
            <w:noWrap w:val="0"/>
            <w:vAlign w:val="center"/>
          </w:tcPr>
          <w:p w14:paraId="10D1D357">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08ACCA73">
            <w:pPr>
              <w:pStyle w:val="17"/>
              <w:keepNext w:val="0"/>
              <w:keepLines w:val="0"/>
              <w:pageBreakBefore w:val="0"/>
              <w:kinsoku/>
              <w:wordWrap/>
              <w:overflowPunct/>
              <w:topLinePunct w:val="0"/>
              <w:bidi w:val="0"/>
              <w:adjustRightInd/>
              <w:snapToGrid/>
              <w:spacing w:line="38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计量偏差超过标准规定值3倍以上的。</w:t>
            </w:r>
          </w:p>
        </w:tc>
        <w:tc>
          <w:tcPr>
            <w:tcW w:w="3382" w:type="dxa"/>
            <w:noWrap w:val="0"/>
            <w:vAlign w:val="center"/>
          </w:tcPr>
          <w:p w14:paraId="426900B1">
            <w:pPr>
              <w:keepNext w:val="0"/>
              <w:keepLines w:val="0"/>
              <w:pageBreakBefore w:val="0"/>
              <w:widowControl/>
              <w:suppressLineNumbers w:val="0"/>
              <w:kinsoku/>
              <w:wordWrap/>
              <w:overflowPunct/>
              <w:topLinePunct w:val="0"/>
              <w:autoSpaceDE w:val="0"/>
              <w:autoSpaceDN w:val="0"/>
              <w:bidi w:val="0"/>
              <w:adjustRightInd/>
              <w:snapToGrid/>
              <w:spacing w:line="380" w:lineRule="exact"/>
              <w:ind w:left="63" w:leftChars="30" w:right="63" w:rightChars="30"/>
              <w:jc w:val="both"/>
              <w:textAlignment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i w:val="0"/>
                <w:iCs w:val="0"/>
                <w:color w:val="auto"/>
                <w:spacing w:val="6"/>
                <w:kern w:val="21"/>
                <w:sz w:val="24"/>
                <w:szCs w:val="24"/>
                <w:u w:val="none"/>
                <w:lang w:val="en-US" w:eastAsia="zh-CN" w:bidi="ar"/>
              </w:rPr>
              <w:t>责令改正，并处</w:t>
            </w:r>
            <w:r>
              <w:rPr>
                <w:rFonts w:hint="eastAsia" w:ascii="宋体" w:hAnsi="宋体" w:cs="宋体"/>
                <w:b w:val="0"/>
                <w:bCs w:val="0"/>
                <w:i w:val="0"/>
                <w:iCs w:val="0"/>
                <w:color w:val="auto"/>
                <w:spacing w:val="6"/>
                <w:kern w:val="21"/>
                <w:sz w:val="24"/>
                <w:szCs w:val="24"/>
                <w:u w:val="none"/>
                <w:lang w:val="en-US" w:eastAsia="zh-CN" w:bidi="ar"/>
              </w:rPr>
              <w:t>2.1万</w:t>
            </w:r>
            <w:r>
              <w:rPr>
                <w:rFonts w:hint="eastAsia" w:ascii="宋体" w:hAnsi="宋体" w:eastAsia="宋体" w:cs="宋体"/>
                <w:b w:val="0"/>
                <w:bCs w:val="0"/>
                <w:i w:val="0"/>
                <w:iCs w:val="0"/>
                <w:color w:val="auto"/>
                <w:spacing w:val="6"/>
                <w:kern w:val="21"/>
                <w:sz w:val="24"/>
                <w:szCs w:val="24"/>
                <w:u w:val="none"/>
                <w:lang w:val="en-US" w:eastAsia="zh-CN" w:bidi="ar"/>
              </w:rPr>
              <w:t>元以上3</w:t>
            </w:r>
            <w:r>
              <w:rPr>
                <w:rFonts w:hint="eastAsia" w:ascii="宋体" w:hAnsi="宋体" w:cs="宋体"/>
                <w:b w:val="0"/>
                <w:bCs w:val="0"/>
                <w:i w:val="0"/>
                <w:iCs w:val="0"/>
                <w:color w:val="auto"/>
                <w:spacing w:val="6"/>
                <w:kern w:val="21"/>
                <w:sz w:val="24"/>
                <w:szCs w:val="24"/>
                <w:u w:val="none"/>
                <w:lang w:val="en-US" w:eastAsia="zh-CN" w:bidi="ar"/>
              </w:rPr>
              <w:t>万</w:t>
            </w:r>
            <w:r>
              <w:rPr>
                <w:rFonts w:hint="eastAsia" w:ascii="宋体" w:hAnsi="宋体" w:eastAsia="宋体" w:cs="宋体"/>
                <w:b w:val="0"/>
                <w:bCs w:val="0"/>
                <w:i w:val="0"/>
                <w:iCs w:val="0"/>
                <w:color w:val="auto"/>
                <w:spacing w:val="6"/>
                <w:kern w:val="21"/>
                <w:sz w:val="24"/>
                <w:szCs w:val="24"/>
                <w:u w:val="none"/>
                <w:lang w:val="en-US" w:eastAsia="zh-CN" w:bidi="ar"/>
              </w:rPr>
              <w:t>元以下的罚款。</w:t>
            </w:r>
          </w:p>
        </w:tc>
      </w:tr>
      <w:tr w14:paraId="1F3D2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5" w:hRule="atLeast"/>
          <w:jc w:val="center"/>
        </w:trPr>
        <w:tc>
          <w:tcPr>
            <w:tcW w:w="640" w:type="dxa"/>
            <w:vMerge w:val="restart"/>
            <w:noWrap w:val="0"/>
            <w:vAlign w:val="center"/>
          </w:tcPr>
          <w:p w14:paraId="6A2BBAA7">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11</w:t>
            </w:r>
            <w:r>
              <w:rPr>
                <w:rFonts w:hint="eastAsia" w:cs="宋体"/>
                <w:b w:val="0"/>
                <w:bCs w:val="0"/>
                <w:color w:val="auto"/>
                <w:spacing w:val="6"/>
                <w:kern w:val="21"/>
                <w:sz w:val="24"/>
                <w:szCs w:val="24"/>
                <w:lang w:val="en-US" w:eastAsia="zh-CN"/>
              </w:rPr>
              <w:t>3</w:t>
            </w:r>
          </w:p>
        </w:tc>
        <w:tc>
          <w:tcPr>
            <w:tcW w:w="1793" w:type="dxa"/>
            <w:vMerge w:val="restart"/>
            <w:noWrap w:val="0"/>
            <w:vAlign w:val="center"/>
          </w:tcPr>
          <w:p w14:paraId="36D0EEF4">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《商品量计量违法行为处罚规定》</w:t>
            </w:r>
          </w:p>
        </w:tc>
        <w:tc>
          <w:tcPr>
            <w:tcW w:w="4193" w:type="dxa"/>
            <w:vMerge w:val="restart"/>
            <w:noWrap w:val="0"/>
            <w:vAlign w:val="center"/>
          </w:tcPr>
          <w:p w14:paraId="5A80C5A2">
            <w:pPr>
              <w:pStyle w:val="17"/>
              <w:keepNext w:val="0"/>
              <w:keepLines w:val="0"/>
              <w:pageBreakBefore w:val="0"/>
              <w:widowControl w:val="0"/>
              <w:kinsoku/>
              <w:wordWrap/>
              <w:overflowPunct/>
              <w:topLinePunct w:val="0"/>
              <w:autoSpaceDE/>
              <w:autoSpaceDN/>
              <w:bidi w:val="0"/>
              <w:adjustRightInd/>
              <w:snapToGrid/>
              <w:spacing w:line="380" w:lineRule="exact"/>
              <w:ind w:left="63" w:leftChars="30" w:right="63" w:rightChars="3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第五条 销售者销售的定量包装商品或者零售商品，其实际量与标注量或者实际量与贸易结算量不相符，计量偏差超过《定量包装商品计量监督</w:t>
            </w:r>
            <w:r>
              <w:rPr>
                <w:rFonts w:hint="eastAsia" w:ascii="宋体" w:hAnsi="宋体" w:eastAsia="宋体" w:cs="宋体"/>
                <w:b w:val="0"/>
                <w:bCs w:val="0"/>
                <w:color w:val="auto"/>
                <w:spacing w:val="6"/>
                <w:kern w:val="21"/>
                <w:sz w:val="24"/>
                <w:szCs w:val="24"/>
                <w:lang w:val="en-US" w:eastAsia="zh-CN"/>
              </w:rPr>
              <w:t>管理办法</w:t>
            </w:r>
            <w:r>
              <w:rPr>
                <w:rFonts w:hint="eastAsia" w:ascii="宋体" w:hAnsi="宋体" w:eastAsia="宋体" w:cs="宋体"/>
                <w:b w:val="0"/>
                <w:bCs w:val="0"/>
                <w:color w:val="auto"/>
                <w:spacing w:val="6"/>
                <w:kern w:val="21"/>
                <w:sz w:val="24"/>
                <w:szCs w:val="24"/>
              </w:rPr>
              <w:t>》、《零售商品称重计量监督</w:t>
            </w:r>
            <w:r>
              <w:rPr>
                <w:rFonts w:hint="eastAsia" w:ascii="宋体" w:hAnsi="宋体" w:eastAsia="宋体" w:cs="宋体"/>
                <w:b w:val="0"/>
                <w:bCs w:val="0"/>
                <w:color w:val="auto"/>
                <w:spacing w:val="6"/>
                <w:kern w:val="21"/>
                <w:sz w:val="24"/>
                <w:szCs w:val="24"/>
                <w:lang w:val="en-US" w:eastAsia="zh-CN"/>
              </w:rPr>
              <w:t>管理办法</w:t>
            </w:r>
            <w:r>
              <w:rPr>
                <w:rFonts w:hint="eastAsia" w:ascii="宋体" w:hAnsi="宋体" w:eastAsia="宋体" w:cs="宋体"/>
                <w:b w:val="0"/>
                <w:bCs w:val="0"/>
                <w:color w:val="auto"/>
                <w:spacing w:val="6"/>
                <w:kern w:val="21"/>
                <w:sz w:val="24"/>
                <w:szCs w:val="24"/>
              </w:rPr>
              <w:t>》或者国家其它有关规定的，</w:t>
            </w:r>
            <w:r>
              <w:rPr>
                <w:rFonts w:hint="eastAsia" w:ascii="宋体" w:hAnsi="宋体" w:eastAsia="宋体" w:cs="宋体"/>
                <w:b w:val="0"/>
                <w:bCs w:val="0"/>
                <w:color w:val="auto"/>
                <w:spacing w:val="6"/>
                <w:kern w:val="21"/>
                <w:sz w:val="24"/>
                <w:szCs w:val="24"/>
                <w:lang w:val="en-US" w:eastAsia="zh-CN"/>
              </w:rPr>
              <w:t>市场</w:t>
            </w:r>
            <w:r>
              <w:rPr>
                <w:rFonts w:hint="eastAsia" w:ascii="宋体" w:hAnsi="宋体" w:eastAsia="宋体" w:cs="宋体"/>
                <w:b w:val="0"/>
                <w:bCs w:val="0"/>
                <w:color w:val="auto"/>
                <w:spacing w:val="6"/>
                <w:kern w:val="21"/>
                <w:sz w:val="24"/>
                <w:szCs w:val="24"/>
              </w:rPr>
              <w:t>监督</w:t>
            </w:r>
            <w:r>
              <w:rPr>
                <w:rFonts w:hint="eastAsia" w:ascii="宋体" w:hAnsi="宋体" w:eastAsia="宋体" w:cs="宋体"/>
                <w:b w:val="0"/>
                <w:bCs w:val="0"/>
                <w:color w:val="auto"/>
                <w:spacing w:val="6"/>
                <w:kern w:val="21"/>
                <w:sz w:val="24"/>
                <w:szCs w:val="24"/>
                <w:lang w:val="en-US" w:eastAsia="zh-CN"/>
              </w:rPr>
              <w:t>管理</w:t>
            </w:r>
            <w:r>
              <w:rPr>
                <w:rFonts w:hint="eastAsia" w:ascii="宋体" w:hAnsi="宋体" w:eastAsia="宋体" w:cs="宋体"/>
                <w:b w:val="0"/>
                <w:bCs w:val="0"/>
                <w:color w:val="auto"/>
                <w:spacing w:val="6"/>
                <w:kern w:val="21"/>
                <w:sz w:val="24"/>
                <w:szCs w:val="24"/>
              </w:rPr>
              <w:t>部门责令改正</w:t>
            </w:r>
            <w:r>
              <w:rPr>
                <w:rFonts w:hint="eastAsia" w:ascii="宋体" w:hAnsi="宋体" w:eastAsia="宋体" w:cs="宋体"/>
                <w:b w:val="0"/>
                <w:bCs w:val="0"/>
                <w:color w:val="auto"/>
                <w:spacing w:val="6"/>
                <w:kern w:val="21"/>
                <w:sz w:val="24"/>
                <w:szCs w:val="24"/>
                <w:lang w:eastAsia="zh-CN"/>
              </w:rPr>
              <w:t>，</w:t>
            </w:r>
            <w:r>
              <w:rPr>
                <w:rFonts w:hint="eastAsia" w:ascii="宋体" w:hAnsi="宋体" w:eastAsia="宋体" w:cs="宋体"/>
                <w:b w:val="0"/>
                <w:bCs w:val="0"/>
                <w:color w:val="auto"/>
                <w:spacing w:val="6"/>
                <w:kern w:val="21"/>
                <w:sz w:val="24"/>
                <w:szCs w:val="24"/>
              </w:rPr>
              <w:t>并处30000元以下的罚款。</w:t>
            </w:r>
          </w:p>
        </w:tc>
        <w:tc>
          <w:tcPr>
            <w:tcW w:w="1132" w:type="dxa"/>
            <w:noWrap w:val="0"/>
            <w:vAlign w:val="center"/>
          </w:tcPr>
          <w:p w14:paraId="6288CE3F">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27DED244">
            <w:pPr>
              <w:pStyle w:val="17"/>
              <w:keepNext w:val="0"/>
              <w:keepLines w:val="0"/>
              <w:pageBreakBefore w:val="0"/>
              <w:kinsoku/>
              <w:wordWrap/>
              <w:overflowPunct/>
              <w:topLinePunct w:val="0"/>
              <w:bidi w:val="0"/>
              <w:adjustRightInd/>
              <w:snapToGrid/>
              <w:spacing w:line="38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计量偏差超过标准规定值2倍以下的。</w:t>
            </w:r>
          </w:p>
        </w:tc>
        <w:tc>
          <w:tcPr>
            <w:tcW w:w="3382" w:type="dxa"/>
            <w:noWrap w:val="0"/>
            <w:vAlign w:val="center"/>
          </w:tcPr>
          <w:p w14:paraId="2868247B">
            <w:pPr>
              <w:keepNext w:val="0"/>
              <w:keepLines w:val="0"/>
              <w:pageBreakBefore w:val="0"/>
              <w:widowControl/>
              <w:suppressLineNumbers w:val="0"/>
              <w:kinsoku/>
              <w:wordWrap/>
              <w:overflowPunct/>
              <w:topLinePunct w:val="0"/>
              <w:autoSpaceDE w:val="0"/>
              <w:autoSpaceDN w:val="0"/>
              <w:bidi w:val="0"/>
              <w:adjustRightInd/>
              <w:snapToGrid/>
              <w:spacing w:line="380" w:lineRule="exact"/>
              <w:ind w:left="63" w:leftChars="30" w:right="63" w:rightChars="30"/>
              <w:jc w:val="both"/>
              <w:textAlignment w:val="center"/>
              <w:rPr>
                <w:rFonts w:hint="eastAsia" w:ascii="宋体" w:hAnsi="宋体" w:eastAsia="宋体" w:cs="宋体"/>
                <w:b w:val="0"/>
                <w:bCs w:val="0"/>
                <w:i w:val="0"/>
                <w:iCs w:val="0"/>
                <w:color w:val="auto"/>
                <w:spacing w:val="6"/>
                <w:kern w:val="21"/>
                <w:sz w:val="24"/>
                <w:szCs w:val="24"/>
                <w:u w:val="none"/>
                <w:lang w:val="zh-CN" w:eastAsia="zh-CN" w:bidi="zh-CN"/>
              </w:rPr>
            </w:pPr>
            <w:r>
              <w:rPr>
                <w:rFonts w:hint="eastAsia" w:ascii="宋体" w:hAnsi="宋体" w:eastAsia="宋体" w:cs="宋体"/>
                <w:b w:val="0"/>
                <w:bCs w:val="0"/>
                <w:i w:val="0"/>
                <w:iCs w:val="0"/>
                <w:color w:val="auto"/>
                <w:spacing w:val="6"/>
                <w:kern w:val="21"/>
                <w:sz w:val="24"/>
                <w:szCs w:val="24"/>
                <w:u w:val="none"/>
                <w:lang w:val="en-US" w:eastAsia="zh-CN" w:bidi="ar"/>
              </w:rPr>
              <w:t>责令改正，并处9000元以下的罚款。</w:t>
            </w:r>
          </w:p>
        </w:tc>
      </w:tr>
      <w:tr w14:paraId="2A169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9" w:hRule="atLeast"/>
          <w:jc w:val="center"/>
        </w:trPr>
        <w:tc>
          <w:tcPr>
            <w:tcW w:w="640" w:type="dxa"/>
            <w:vMerge w:val="continue"/>
            <w:noWrap w:val="0"/>
            <w:vAlign w:val="top"/>
          </w:tcPr>
          <w:p w14:paraId="4330083A">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tcBorders>
              <w:top w:val="nil"/>
            </w:tcBorders>
            <w:noWrap w:val="0"/>
            <w:vAlign w:val="top"/>
          </w:tcPr>
          <w:p w14:paraId="2D05A232">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4193" w:type="dxa"/>
            <w:vMerge w:val="continue"/>
            <w:tcBorders>
              <w:top w:val="nil"/>
            </w:tcBorders>
            <w:noWrap w:val="0"/>
            <w:vAlign w:val="top"/>
          </w:tcPr>
          <w:p w14:paraId="1F9957B4">
            <w:pPr>
              <w:keepNext w:val="0"/>
              <w:keepLines w:val="0"/>
              <w:pageBreakBefore w:val="0"/>
              <w:widowControl w:val="0"/>
              <w:kinsoku/>
              <w:wordWrap/>
              <w:overflowPunct/>
              <w:topLinePunct w:val="0"/>
              <w:autoSpaceDE/>
              <w:autoSpaceDN/>
              <w:bidi w:val="0"/>
              <w:adjustRightInd/>
              <w:snapToGrid/>
              <w:spacing w:line="38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132" w:type="dxa"/>
            <w:noWrap w:val="0"/>
            <w:vAlign w:val="center"/>
          </w:tcPr>
          <w:p w14:paraId="16209E80">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6C02B79C">
            <w:pPr>
              <w:pStyle w:val="17"/>
              <w:keepNext w:val="0"/>
              <w:keepLines w:val="0"/>
              <w:pageBreakBefore w:val="0"/>
              <w:kinsoku/>
              <w:wordWrap/>
              <w:overflowPunct/>
              <w:topLinePunct w:val="0"/>
              <w:bidi w:val="0"/>
              <w:adjustRightInd/>
              <w:snapToGrid/>
              <w:spacing w:line="38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计量偏差超过标准规定值2倍以上3倍以下的。</w:t>
            </w:r>
          </w:p>
        </w:tc>
        <w:tc>
          <w:tcPr>
            <w:tcW w:w="3382" w:type="dxa"/>
            <w:noWrap w:val="0"/>
            <w:vAlign w:val="center"/>
          </w:tcPr>
          <w:p w14:paraId="6B9ACC50">
            <w:pPr>
              <w:keepNext w:val="0"/>
              <w:keepLines w:val="0"/>
              <w:pageBreakBefore w:val="0"/>
              <w:widowControl/>
              <w:suppressLineNumbers w:val="0"/>
              <w:kinsoku/>
              <w:wordWrap/>
              <w:overflowPunct/>
              <w:topLinePunct w:val="0"/>
              <w:autoSpaceDE w:val="0"/>
              <w:autoSpaceDN w:val="0"/>
              <w:bidi w:val="0"/>
              <w:adjustRightInd/>
              <w:snapToGrid/>
              <w:spacing w:line="380" w:lineRule="exact"/>
              <w:ind w:left="63" w:leftChars="30" w:right="63" w:rightChars="30"/>
              <w:jc w:val="both"/>
              <w:textAlignment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i w:val="0"/>
                <w:iCs w:val="0"/>
                <w:color w:val="auto"/>
                <w:spacing w:val="6"/>
                <w:kern w:val="21"/>
                <w:sz w:val="24"/>
                <w:szCs w:val="24"/>
                <w:u w:val="none"/>
                <w:lang w:val="en-US" w:eastAsia="zh-CN" w:bidi="ar"/>
              </w:rPr>
              <w:t>责令改正，并处9000元以上2</w:t>
            </w:r>
            <w:r>
              <w:rPr>
                <w:rFonts w:hint="eastAsia" w:ascii="宋体" w:hAnsi="宋体" w:cs="宋体"/>
                <w:b w:val="0"/>
                <w:bCs w:val="0"/>
                <w:i w:val="0"/>
                <w:iCs w:val="0"/>
                <w:color w:val="auto"/>
                <w:spacing w:val="6"/>
                <w:kern w:val="21"/>
                <w:sz w:val="24"/>
                <w:szCs w:val="24"/>
                <w:u w:val="none"/>
                <w:lang w:val="en-US" w:eastAsia="zh-CN" w:bidi="ar"/>
              </w:rPr>
              <w:t>.1万</w:t>
            </w:r>
            <w:r>
              <w:rPr>
                <w:rFonts w:hint="eastAsia" w:ascii="宋体" w:hAnsi="宋体" w:eastAsia="宋体" w:cs="宋体"/>
                <w:b w:val="0"/>
                <w:bCs w:val="0"/>
                <w:i w:val="0"/>
                <w:iCs w:val="0"/>
                <w:color w:val="auto"/>
                <w:spacing w:val="6"/>
                <w:kern w:val="21"/>
                <w:sz w:val="24"/>
                <w:szCs w:val="24"/>
                <w:u w:val="none"/>
                <w:lang w:val="en-US" w:eastAsia="zh-CN" w:bidi="ar"/>
              </w:rPr>
              <w:t>元以下的罚款。</w:t>
            </w:r>
          </w:p>
        </w:tc>
      </w:tr>
      <w:tr w14:paraId="762D1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6" w:hRule="atLeast"/>
          <w:jc w:val="center"/>
        </w:trPr>
        <w:tc>
          <w:tcPr>
            <w:tcW w:w="640" w:type="dxa"/>
            <w:vMerge w:val="continue"/>
            <w:noWrap w:val="0"/>
            <w:vAlign w:val="top"/>
          </w:tcPr>
          <w:p w14:paraId="3EE3BA72">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tcBorders>
              <w:top w:val="nil"/>
            </w:tcBorders>
            <w:noWrap w:val="0"/>
            <w:vAlign w:val="top"/>
          </w:tcPr>
          <w:p w14:paraId="5831104A">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4193" w:type="dxa"/>
            <w:vMerge w:val="continue"/>
            <w:tcBorders>
              <w:top w:val="nil"/>
            </w:tcBorders>
            <w:noWrap w:val="0"/>
            <w:vAlign w:val="top"/>
          </w:tcPr>
          <w:p w14:paraId="7B9EEDE5">
            <w:pPr>
              <w:keepNext w:val="0"/>
              <w:keepLines w:val="0"/>
              <w:pageBreakBefore w:val="0"/>
              <w:widowControl w:val="0"/>
              <w:kinsoku/>
              <w:wordWrap/>
              <w:overflowPunct/>
              <w:topLinePunct w:val="0"/>
              <w:autoSpaceDE/>
              <w:autoSpaceDN/>
              <w:bidi w:val="0"/>
              <w:adjustRightInd/>
              <w:snapToGrid/>
              <w:spacing w:line="38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132" w:type="dxa"/>
            <w:noWrap w:val="0"/>
            <w:vAlign w:val="center"/>
          </w:tcPr>
          <w:p w14:paraId="272A8C89">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5740563B">
            <w:pPr>
              <w:pStyle w:val="17"/>
              <w:keepNext w:val="0"/>
              <w:keepLines w:val="0"/>
              <w:pageBreakBefore w:val="0"/>
              <w:kinsoku/>
              <w:wordWrap/>
              <w:overflowPunct/>
              <w:topLinePunct w:val="0"/>
              <w:bidi w:val="0"/>
              <w:adjustRightInd/>
              <w:snapToGrid/>
              <w:spacing w:line="38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计量偏差超过标准规定值3倍以上的。</w:t>
            </w:r>
          </w:p>
        </w:tc>
        <w:tc>
          <w:tcPr>
            <w:tcW w:w="3382" w:type="dxa"/>
            <w:noWrap w:val="0"/>
            <w:vAlign w:val="center"/>
          </w:tcPr>
          <w:p w14:paraId="3FA66DBA">
            <w:pPr>
              <w:keepNext w:val="0"/>
              <w:keepLines w:val="0"/>
              <w:pageBreakBefore w:val="0"/>
              <w:widowControl/>
              <w:suppressLineNumbers w:val="0"/>
              <w:kinsoku/>
              <w:wordWrap/>
              <w:overflowPunct/>
              <w:topLinePunct w:val="0"/>
              <w:autoSpaceDE w:val="0"/>
              <w:autoSpaceDN w:val="0"/>
              <w:bidi w:val="0"/>
              <w:adjustRightInd/>
              <w:snapToGrid/>
              <w:spacing w:line="380" w:lineRule="exact"/>
              <w:ind w:left="63" w:leftChars="30" w:right="63" w:rightChars="30"/>
              <w:jc w:val="both"/>
              <w:textAlignment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i w:val="0"/>
                <w:iCs w:val="0"/>
                <w:color w:val="auto"/>
                <w:spacing w:val="6"/>
                <w:kern w:val="21"/>
                <w:sz w:val="24"/>
                <w:szCs w:val="24"/>
                <w:u w:val="none"/>
                <w:lang w:val="en-US" w:eastAsia="zh-CN" w:bidi="ar"/>
              </w:rPr>
              <w:t>责令改正，并处</w:t>
            </w:r>
            <w:r>
              <w:rPr>
                <w:rFonts w:hint="eastAsia" w:ascii="宋体" w:hAnsi="宋体" w:cs="宋体"/>
                <w:b w:val="0"/>
                <w:bCs w:val="0"/>
                <w:i w:val="0"/>
                <w:iCs w:val="0"/>
                <w:color w:val="auto"/>
                <w:spacing w:val="6"/>
                <w:kern w:val="21"/>
                <w:sz w:val="24"/>
                <w:szCs w:val="24"/>
                <w:u w:val="none"/>
                <w:lang w:val="en-US" w:eastAsia="zh-CN" w:bidi="ar"/>
              </w:rPr>
              <w:t>2.1万</w:t>
            </w:r>
            <w:r>
              <w:rPr>
                <w:rFonts w:hint="eastAsia" w:ascii="宋体" w:hAnsi="宋体" w:eastAsia="宋体" w:cs="宋体"/>
                <w:b w:val="0"/>
                <w:bCs w:val="0"/>
                <w:i w:val="0"/>
                <w:iCs w:val="0"/>
                <w:color w:val="auto"/>
                <w:spacing w:val="6"/>
                <w:kern w:val="21"/>
                <w:sz w:val="24"/>
                <w:szCs w:val="24"/>
                <w:u w:val="none"/>
                <w:lang w:val="en-US" w:eastAsia="zh-CN" w:bidi="ar"/>
              </w:rPr>
              <w:t>元以上3</w:t>
            </w:r>
            <w:r>
              <w:rPr>
                <w:rFonts w:hint="eastAsia" w:ascii="宋体" w:hAnsi="宋体" w:cs="宋体"/>
                <w:b w:val="0"/>
                <w:bCs w:val="0"/>
                <w:i w:val="0"/>
                <w:iCs w:val="0"/>
                <w:color w:val="auto"/>
                <w:spacing w:val="6"/>
                <w:kern w:val="21"/>
                <w:sz w:val="24"/>
                <w:szCs w:val="24"/>
                <w:u w:val="none"/>
                <w:lang w:val="en-US" w:eastAsia="zh-CN" w:bidi="ar"/>
              </w:rPr>
              <w:t>万</w:t>
            </w:r>
            <w:r>
              <w:rPr>
                <w:rFonts w:hint="eastAsia" w:ascii="宋体" w:hAnsi="宋体" w:eastAsia="宋体" w:cs="宋体"/>
                <w:b w:val="0"/>
                <w:bCs w:val="0"/>
                <w:i w:val="0"/>
                <w:iCs w:val="0"/>
                <w:color w:val="auto"/>
                <w:spacing w:val="6"/>
                <w:kern w:val="21"/>
                <w:sz w:val="24"/>
                <w:szCs w:val="24"/>
                <w:u w:val="none"/>
                <w:lang w:val="en-US" w:eastAsia="zh-CN" w:bidi="ar"/>
              </w:rPr>
              <w:t>元以下的罚款。</w:t>
            </w:r>
          </w:p>
        </w:tc>
      </w:tr>
      <w:tr w14:paraId="78A01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 w:hRule="exact"/>
          <w:jc w:val="center"/>
        </w:trPr>
        <w:tc>
          <w:tcPr>
            <w:tcW w:w="640" w:type="dxa"/>
            <w:vMerge w:val="restart"/>
            <w:noWrap w:val="0"/>
            <w:vAlign w:val="center"/>
          </w:tcPr>
          <w:p w14:paraId="5B8CE804">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lang w:eastAsia="zh-CN"/>
              </w:rPr>
            </w:pPr>
            <w:r>
              <w:rPr>
                <w:rFonts w:hint="eastAsia" w:ascii="宋体" w:hAnsi="宋体" w:eastAsia="宋体" w:cs="宋体"/>
                <w:b w:val="0"/>
                <w:bCs w:val="0"/>
                <w:color w:val="auto"/>
                <w:spacing w:val="6"/>
                <w:kern w:val="21"/>
                <w:sz w:val="24"/>
                <w:szCs w:val="24"/>
              </w:rPr>
              <w:t>11</w:t>
            </w:r>
            <w:r>
              <w:rPr>
                <w:rFonts w:hint="eastAsia" w:cs="宋体"/>
                <w:b w:val="0"/>
                <w:bCs w:val="0"/>
                <w:color w:val="auto"/>
                <w:spacing w:val="6"/>
                <w:kern w:val="21"/>
                <w:sz w:val="24"/>
                <w:szCs w:val="24"/>
                <w:lang w:val="en-US" w:eastAsia="zh-CN"/>
              </w:rPr>
              <w:t>4</w:t>
            </w:r>
          </w:p>
        </w:tc>
        <w:tc>
          <w:tcPr>
            <w:tcW w:w="1793" w:type="dxa"/>
            <w:vMerge w:val="restart"/>
            <w:noWrap w:val="0"/>
            <w:vAlign w:val="center"/>
          </w:tcPr>
          <w:p w14:paraId="653CD8A4">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《商品量计量违法行为处罚规定》</w:t>
            </w:r>
          </w:p>
        </w:tc>
        <w:tc>
          <w:tcPr>
            <w:tcW w:w="4193" w:type="dxa"/>
            <w:vMerge w:val="restart"/>
            <w:noWrap w:val="0"/>
            <w:vAlign w:val="center"/>
          </w:tcPr>
          <w:p w14:paraId="3AE631D9">
            <w:pPr>
              <w:pStyle w:val="17"/>
              <w:keepNext w:val="0"/>
              <w:keepLines w:val="0"/>
              <w:pageBreakBefore w:val="0"/>
              <w:widowControl w:val="0"/>
              <w:kinsoku/>
              <w:wordWrap/>
              <w:overflowPunct/>
              <w:topLinePunct w:val="0"/>
              <w:autoSpaceDE/>
              <w:autoSpaceDN/>
              <w:bidi w:val="0"/>
              <w:adjustRightInd/>
              <w:snapToGrid/>
              <w:spacing w:line="380" w:lineRule="exact"/>
              <w:ind w:left="63" w:leftChars="30" w:right="63" w:rightChars="3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第六条 销售者销售国家对计量偏差没有规定的商品，其实际量与贸易结算量之差，超过国家规定使用的计量器具极限误差的，</w:t>
            </w:r>
            <w:r>
              <w:rPr>
                <w:rFonts w:hint="eastAsia" w:ascii="宋体" w:hAnsi="宋体" w:eastAsia="宋体" w:cs="宋体"/>
                <w:b w:val="0"/>
                <w:bCs w:val="0"/>
                <w:color w:val="auto"/>
                <w:spacing w:val="6"/>
                <w:kern w:val="21"/>
                <w:sz w:val="24"/>
                <w:szCs w:val="24"/>
                <w:lang w:val="en-US" w:eastAsia="zh-CN"/>
              </w:rPr>
              <w:t>市场</w:t>
            </w:r>
            <w:r>
              <w:rPr>
                <w:rFonts w:hint="eastAsia" w:ascii="宋体" w:hAnsi="宋体" w:eastAsia="宋体" w:cs="宋体"/>
                <w:b w:val="0"/>
                <w:bCs w:val="0"/>
                <w:color w:val="auto"/>
                <w:spacing w:val="6"/>
                <w:kern w:val="21"/>
                <w:sz w:val="24"/>
                <w:szCs w:val="24"/>
              </w:rPr>
              <w:t>监督</w:t>
            </w:r>
            <w:r>
              <w:rPr>
                <w:rFonts w:hint="eastAsia" w:ascii="宋体" w:hAnsi="宋体" w:eastAsia="宋体" w:cs="宋体"/>
                <w:b w:val="0"/>
                <w:bCs w:val="0"/>
                <w:color w:val="auto"/>
                <w:spacing w:val="6"/>
                <w:kern w:val="21"/>
                <w:sz w:val="24"/>
                <w:szCs w:val="24"/>
                <w:lang w:val="en-US" w:eastAsia="zh-CN"/>
              </w:rPr>
              <w:t>管理</w:t>
            </w:r>
            <w:r>
              <w:rPr>
                <w:rFonts w:hint="eastAsia" w:ascii="宋体" w:hAnsi="宋体" w:eastAsia="宋体" w:cs="宋体"/>
                <w:b w:val="0"/>
                <w:bCs w:val="0"/>
                <w:color w:val="auto"/>
                <w:spacing w:val="6"/>
                <w:kern w:val="21"/>
                <w:sz w:val="24"/>
                <w:szCs w:val="24"/>
              </w:rPr>
              <w:t>部门责令改正，并处20000元</w:t>
            </w:r>
            <w:r>
              <w:rPr>
                <w:rFonts w:hint="eastAsia" w:ascii="宋体" w:hAnsi="宋体" w:eastAsia="宋体" w:cs="宋体"/>
                <w:b w:val="0"/>
                <w:bCs w:val="0"/>
                <w:color w:val="auto"/>
                <w:spacing w:val="6"/>
                <w:kern w:val="21"/>
                <w:sz w:val="24"/>
                <w:szCs w:val="24"/>
                <w:lang w:val="en-US" w:eastAsia="zh-CN"/>
              </w:rPr>
              <w:t>以下</w:t>
            </w:r>
            <w:r>
              <w:rPr>
                <w:rFonts w:hint="eastAsia" w:ascii="宋体" w:hAnsi="宋体" w:eastAsia="宋体" w:cs="宋体"/>
                <w:b w:val="0"/>
                <w:bCs w:val="0"/>
                <w:color w:val="auto"/>
                <w:spacing w:val="6"/>
                <w:kern w:val="21"/>
                <w:sz w:val="24"/>
                <w:szCs w:val="24"/>
              </w:rPr>
              <w:t>罚款。</w:t>
            </w:r>
          </w:p>
        </w:tc>
        <w:tc>
          <w:tcPr>
            <w:tcW w:w="1132" w:type="dxa"/>
            <w:noWrap w:val="0"/>
            <w:vAlign w:val="center"/>
          </w:tcPr>
          <w:p w14:paraId="461F2B92">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5CC34DA9">
            <w:pPr>
              <w:pStyle w:val="17"/>
              <w:keepNext w:val="0"/>
              <w:keepLines w:val="0"/>
              <w:pageBreakBefore w:val="0"/>
              <w:kinsoku/>
              <w:wordWrap/>
              <w:overflowPunct/>
              <w:topLinePunct w:val="0"/>
              <w:bidi w:val="0"/>
              <w:adjustRightInd/>
              <w:snapToGrid/>
              <w:spacing w:line="380" w:lineRule="exact"/>
              <w:ind w:left="63" w:leftChars="30" w:right="63" w:rightChars="30"/>
              <w:jc w:val="both"/>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color w:val="auto"/>
                <w:spacing w:val="0"/>
                <w:kern w:val="21"/>
                <w:sz w:val="24"/>
                <w:szCs w:val="24"/>
              </w:rPr>
              <w:t>实际量与贸易结算量之差超过计量器具极限误2倍以下的。</w:t>
            </w:r>
          </w:p>
        </w:tc>
        <w:tc>
          <w:tcPr>
            <w:tcW w:w="3382" w:type="dxa"/>
            <w:noWrap w:val="0"/>
            <w:vAlign w:val="center"/>
          </w:tcPr>
          <w:p w14:paraId="5BA5CB86">
            <w:pPr>
              <w:keepNext w:val="0"/>
              <w:keepLines w:val="0"/>
              <w:pageBreakBefore w:val="0"/>
              <w:widowControl/>
              <w:suppressLineNumbers w:val="0"/>
              <w:kinsoku/>
              <w:wordWrap/>
              <w:overflowPunct/>
              <w:topLinePunct w:val="0"/>
              <w:autoSpaceDE w:val="0"/>
              <w:autoSpaceDN w:val="0"/>
              <w:bidi w:val="0"/>
              <w:adjustRightInd/>
              <w:snapToGrid/>
              <w:spacing w:line="380" w:lineRule="exact"/>
              <w:ind w:left="63" w:leftChars="30" w:right="63" w:rightChars="30"/>
              <w:jc w:val="both"/>
              <w:textAlignment w:val="center"/>
              <w:rPr>
                <w:rFonts w:hint="eastAsia" w:ascii="宋体" w:hAnsi="宋体" w:eastAsia="宋体" w:cs="宋体"/>
                <w:b w:val="0"/>
                <w:bCs w:val="0"/>
                <w:i w:val="0"/>
                <w:iCs w:val="0"/>
                <w:color w:val="auto"/>
                <w:spacing w:val="0"/>
                <w:kern w:val="21"/>
                <w:sz w:val="24"/>
                <w:szCs w:val="24"/>
                <w:u w:val="none"/>
                <w:lang w:val="zh-CN" w:eastAsia="zh-CN" w:bidi="zh-CN"/>
              </w:rPr>
            </w:pPr>
            <w:r>
              <w:rPr>
                <w:rFonts w:hint="eastAsia" w:ascii="宋体" w:hAnsi="宋体" w:eastAsia="宋体" w:cs="宋体"/>
                <w:b w:val="0"/>
                <w:bCs w:val="0"/>
                <w:i w:val="0"/>
                <w:iCs w:val="0"/>
                <w:color w:val="auto"/>
                <w:spacing w:val="0"/>
                <w:kern w:val="21"/>
                <w:sz w:val="24"/>
                <w:szCs w:val="24"/>
                <w:u w:val="none"/>
                <w:lang w:val="en-US" w:eastAsia="zh-CN" w:bidi="ar"/>
              </w:rPr>
              <w:t>责令改正，并处6000元以下的罚款。</w:t>
            </w:r>
          </w:p>
        </w:tc>
      </w:tr>
      <w:tr w14:paraId="4A6EF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exact"/>
          <w:jc w:val="center"/>
        </w:trPr>
        <w:tc>
          <w:tcPr>
            <w:tcW w:w="640" w:type="dxa"/>
            <w:vMerge w:val="continue"/>
            <w:noWrap w:val="0"/>
            <w:vAlign w:val="top"/>
          </w:tcPr>
          <w:p w14:paraId="28A676D0">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top"/>
          </w:tcPr>
          <w:p w14:paraId="3B402A7A">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4193" w:type="dxa"/>
            <w:vMerge w:val="continue"/>
            <w:noWrap w:val="0"/>
            <w:vAlign w:val="top"/>
          </w:tcPr>
          <w:p w14:paraId="48469768">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00EE3A1E">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p w14:paraId="14686528">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20CEF653">
            <w:pPr>
              <w:pStyle w:val="17"/>
              <w:keepNext w:val="0"/>
              <w:keepLines w:val="0"/>
              <w:pageBreakBefore w:val="0"/>
              <w:kinsoku/>
              <w:wordWrap/>
              <w:overflowPunct/>
              <w:topLinePunct w:val="0"/>
              <w:bidi w:val="0"/>
              <w:adjustRightInd/>
              <w:snapToGrid/>
              <w:spacing w:line="380" w:lineRule="exact"/>
              <w:ind w:left="63" w:leftChars="30" w:right="63" w:rightChars="30"/>
              <w:jc w:val="both"/>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color w:val="auto"/>
                <w:spacing w:val="0"/>
                <w:kern w:val="21"/>
                <w:sz w:val="24"/>
                <w:szCs w:val="24"/>
              </w:rPr>
              <w:t>实际量与贸易结算量之差超过计量器具极限误差2倍以上3倍以下的。</w:t>
            </w:r>
          </w:p>
        </w:tc>
        <w:tc>
          <w:tcPr>
            <w:tcW w:w="3382" w:type="dxa"/>
            <w:noWrap w:val="0"/>
            <w:vAlign w:val="center"/>
          </w:tcPr>
          <w:p w14:paraId="0E6BA52D">
            <w:pPr>
              <w:keepNext w:val="0"/>
              <w:keepLines w:val="0"/>
              <w:pageBreakBefore w:val="0"/>
              <w:widowControl/>
              <w:suppressLineNumbers w:val="0"/>
              <w:kinsoku/>
              <w:wordWrap/>
              <w:overflowPunct/>
              <w:topLinePunct w:val="0"/>
              <w:autoSpaceDE w:val="0"/>
              <w:autoSpaceDN w:val="0"/>
              <w:bidi w:val="0"/>
              <w:adjustRightInd/>
              <w:snapToGrid/>
              <w:spacing w:line="380" w:lineRule="exact"/>
              <w:ind w:left="63" w:leftChars="30" w:right="63" w:rightChars="30"/>
              <w:jc w:val="both"/>
              <w:textAlignment w:val="center"/>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i w:val="0"/>
                <w:iCs w:val="0"/>
                <w:color w:val="auto"/>
                <w:spacing w:val="0"/>
                <w:kern w:val="21"/>
                <w:sz w:val="24"/>
                <w:szCs w:val="24"/>
                <w:u w:val="none"/>
                <w:lang w:val="en-US" w:eastAsia="zh-CN" w:bidi="ar"/>
              </w:rPr>
              <w:t>责令改正，并处6000元以上</w:t>
            </w:r>
            <w:r>
              <w:rPr>
                <w:rFonts w:hint="eastAsia" w:ascii="宋体" w:hAnsi="宋体" w:cs="宋体"/>
                <w:b w:val="0"/>
                <w:bCs w:val="0"/>
                <w:i w:val="0"/>
                <w:iCs w:val="0"/>
                <w:color w:val="auto"/>
                <w:spacing w:val="0"/>
                <w:kern w:val="21"/>
                <w:sz w:val="24"/>
                <w:szCs w:val="24"/>
                <w:u w:val="none"/>
                <w:lang w:val="en-US" w:eastAsia="zh-CN" w:bidi="ar"/>
              </w:rPr>
              <w:t>1.4万</w:t>
            </w:r>
            <w:r>
              <w:rPr>
                <w:rFonts w:hint="eastAsia" w:ascii="宋体" w:hAnsi="宋体" w:eastAsia="宋体" w:cs="宋体"/>
                <w:b w:val="0"/>
                <w:bCs w:val="0"/>
                <w:i w:val="0"/>
                <w:iCs w:val="0"/>
                <w:color w:val="auto"/>
                <w:spacing w:val="0"/>
                <w:kern w:val="21"/>
                <w:sz w:val="24"/>
                <w:szCs w:val="24"/>
                <w:u w:val="none"/>
                <w:lang w:val="en-US" w:eastAsia="zh-CN" w:bidi="ar"/>
              </w:rPr>
              <w:t>元以下的罚款。</w:t>
            </w:r>
          </w:p>
        </w:tc>
      </w:tr>
      <w:tr w14:paraId="30B43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7" w:hRule="exact"/>
          <w:jc w:val="center"/>
        </w:trPr>
        <w:tc>
          <w:tcPr>
            <w:tcW w:w="640" w:type="dxa"/>
            <w:vMerge w:val="continue"/>
            <w:noWrap w:val="0"/>
            <w:vAlign w:val="top"/>
          </w:tcPr>
          <w:p w14:paraId="57170F2E">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top"/>
          </w:tcPr>
          <w:p w14:paraId="69434708">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4193" w:type="dxa"/>
            <w:vMerge w:val="continue"/>
            <w:noWrap w:val="0"/>
            <w:vAlign w:val="top"/>
          </w:tcPr>
          <w:p w14:paraId="3F83BBDA">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1A6A3177">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2B2C6F63">
            <w:pPr>
              <w:pStyle w:val="17"/>
              <w:keepNext w:val="0"/>
              <w:keepLines w:val="0"/>
              <w:pageBreakBefore w:val="0"/>
              <w:kinsoku/>
              <w:wordWrap/>
              <w:overflowPunct/>
              <w:topLinePunct w:val="0"/>
              <w:bidi w:val="0"/>
              <w:adjustRightInd/>
              <w:snapToGrid/>
              <w:spacing w:line="380" w:lineRule="exact"/>
              <w:ind w:left="63" w:leftChars="30" w:right="63" w:rightChars="30"/>
              <w:jc w:val="both"/>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color w:val="auto"/>
                <w:spacing w:val="0"/>
                <w:kern w:val="21"/>
                <w:sz w:val="24"/>
                <w:szCs w:val="24"/>
              </w:rPr>
              <w:t>实际量与贸易结算量之差超过计量器具极限误差3倍以上的。</w:t>
            </w:r>
          </w:p>
        </w:tc>
        <w:tc>
          <w:tcPr>
            <w:tcW w:w="3382" w:type="dxa"/>
            <w:noWrap w:val="0"/>
            <w:vAlign w:val="center"/>
          </w:tcPr>
          <w:p w14:paraId="1BB26637">
            <w:pPr>
              <w:keepNext w:val="0"/>
              <w:keepLines w:val="0"/>
              <w:pageBreakBefore w:val="0"/>
              <w:widowControl/>
              <w:suppressLineNumbers w:val="0"/>
              <w:kinsoku/>
              <w:wordWrap/>
              <w:overflowPunct/>
              <w:topLinePunct w:val="0"/>
              <w:autoSpaceDE w:val="0"/>
              <w:autoSpaceDN w:val="0"/>
              <w:bidi w:val="0"/>
              <w:adjustRightInd/>
              <w:snapToGrid/>
              <w:spacing w:line="380" w:lineRule="exact"/>
              <w:ind w:left="63" w:leftChars="30" w:right="63" w:rightChars="30"/>
              <w:jc w:val="both"/>
              <w:textAlignment w:val="center"/>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i w:val="0"/>
                <w:iCs w:val="0"/>
                <w:color w:val="auto"/>
                <w:spacing w:val="0"/>
                <w:kern w:val="21"/>
                <w:sz w:val="24"/>
                <w:szCs w:val="24"/>
                <w:u w:val="none"/>
                <w:lang w:val="en-US" w:eastAsia="zh-CN" w:bidi="ar"/>
              </w:rPr>
              <w:t>责令改正，并处</w:t>
            </w:r>
            <w:r>
              <w:rPr>
                <w:rFonts w:hint="eastAsia" w:ascii="宋体" w:hAnsi="宋体" w:cs="宋体"/>
                <w:b w:val="0"/>
                <w:bCs w:val="0"/>
                <w:i w:val="0"/>
                <w:iCs w:val="0"/>
                <w:color w:val="auto"/>
                <w:spacing w:val="0"/>
                <w:kern w:val="21"/>
                <w:sz w:val="24"/>
                <w:szCs w:val="24"/>
                <w:u w:val="none"/>
                <w:lang w:val="en-US" w:eastAsia="zh-CN" w:bidi="ar"/>
              </w:rPr>
              <w:t>1.4万</w:t>
            </w:r>
            <w:r>
              <w:rPr>
                <w:rFonts w:hint="eastAsia" w:ascii="宋体" w:hAnsi="宋体" w:eastAsia="宋体" w:cs="宋体"/>
                <w:b w:val="0"/>
                <w:bCs w:val="0"/>
                <w:i w:val="0"/>
                <w:iCs w:val="0"/>
                <w:color w:val="auto"/>
                <w:spacing w:val="0"/>
                <w:kern w:val="21"/>
                <w:sz w:val="24"/>
                <w:szCs w:val="24"/>
                <w:u w:val="none"/>
                <w:lang w:val="en-US" w:eastAsia="zh-CN" w:bidi="ar"/>
              </w:rPr>
              <w:t>元以上2</w:t>
            </w:r>
            <w:r>
              <w:rPr>
                <w:rFonts w:hint="eastAsia" w:ascii="宋体" w:hAnsi="宋体" w:cs="宋体"/>
                <w:b w:val="0"/>
                <w:bCs w:val="0"/>
                <w:i w:val="0"/>
                <w:iCs w:val="0"/>
                <w:color w:val="auto"/>
                <w:spacing w:val="0"/>
                <w:kern w:val="21"/>
                <w:sz w:val="24"/>
                <w:szCs w:val="24"/>
                <w:u w:val="none"/>
                <w:lang w:val="en-US" w:eastAsia="zh-CN" w:bidi="ar"/>
              </w:rPr>
              <w:t>万</w:t>
            </w:r>
            <w:r>
              <w:rPr>
                <w:rFonts w:hint="eastAsia" w:ascii="宋体" w:hAnsi="宋体" w:eastAsia="宋体" w:cs="宋体"/>
                <w:b w:val="0"/>
                <w:bCs w:val="0"/>
                <w:i w:val="0"/>
                <w:iCs w:val="0"/>
                <w:color w:val="auto"/>
                <w:spacing w:val="0"/>
                <w:kern w:val="21"/>
                <w:sz w:val="24"/>
                <w:szCs w:val="24"/>
                <w:u w:val="none"/>
                <w:lang w:val="en-US" w:eastAsia="zh-CN" w:bidi="ar"/>
              </w:rPr>
              <w:t>元以下的罚款。</w:t>
            </w:r>
          </w:p>
        </w:tc>
      </w:tr>
      <w:tr w14:paraId="0FAA4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2" w:hRule="atLeast"/>
          <w:jc w:val="center"/>
        </w:trPr>
        <w:tc>
          <w:tcPr>
            <w:tcW w:w="640" w:type="dxa"/>
            <w:vMerge w:val="restart"/>
            <w:noWrap w:val="0"/>
            <w:vAlign w:val="center"/>
          </w:tcPr>
          <w:p w14:paraId="12DFE0C1">
            <w:pPr>
              <w:pStyle w:val="17"/>
              <w:keepNext w:val="0"/>
              <w:keepLines w:val="0"/>
              <w:pageBreakBefore w:val="0"/>
              <w:kinsoku/>
              <w:wordWrap/>
              <w:overflowPunct/>
              <w:topLinePunct w:val="0"/>
              <w:autoSpaceDE w:val="0"/>
              <w:autoSpaceDN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lang w:eastAsia="zh-CN"/>
              </w:rPr>
            </w:pPr>
            <w:r>
              <w:rPr>
                <w:rFonts w:hint="eastAsia" w:ascii="宋体" w:hAnsi="宋体" w:eastAsia="宋体" w:cs="宋体"/>
                <w:b w:val="0"/>
                <w:bCs w:val="0"/>
                <w:color w:val="auto"/>
                <w:spacing w:val="6"/>
                <w:kern w:val="21"/>
                <w:sz w:val="24"/>
                <w:szCs w:val="24"/>
              </w:rPr>
              <w:t>11</w:t>
            </w:r>
            <w:r>
              <w:rPr>
                <w:rFonts w:hint="eastAsia" w:cs="宋体"/>
                <w:b w:val="0"/>
                <w:bCs w:val="0"/>
                <w:color w:val="auto"/>
                <w:spacing w:val="6"/>
                <w:kern w:val="21"/>
                <w:sz w:val="24"/>
                <w:szCs w:val="24"/>
                <w:lang w:val="en-US" w:eastAsia="zh-CN"/>
              </w:rPr>
              <w:t>5</w:t>
            </w:r>
          </w:p>
        </w:tc>
        <w:tc>
          <w:tcPr>
            <w:tcW w:w="1793" w:type="dxa"/>
            <w:vMerge w:val="restart"/>
            <w:noWrap w:val="0"/>
            <w:vAlign w:val="center"/>
          </w:tcPr>
          <w:p w14:paraId="75E1090D">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《商品量计量违法行为处罚规定》</w:t>
            </w:r>
          </w:p>
        </w:tc>
        <w:tc>
          <w:tcPr>
            <w:tcW w:w="4193" w:type="dxa"/>
            <w:vMerge w:val="restart"/>
            <w:noWrap w:val="0"/>
            <w:vAlign w:val="center"/>
          </w:tcPr>
          <w:p w14:paraId="1435F30F">
            <w:pPr>
              <w:pStyle w:val="17"/>
              <w:keepNext w:val="0"/>
              <w:keepLines w:val="0"/>
              <w:pageBreakBefore w:val="0"/>
              <w:kinsoku/>
              <w:wordWrap/>
              <w:overflowPunct/>
              <w:topLinePunct w:val="0"/>
              <w:autoSpaceDE w:val="0"/>
              <w:autoSpaceDN w:val="0"/>
              <w:bidi w:val="0"/>
              <w:adjustRightInd/>
              <w:snapToGrid/>
              <w:spacing w:line="400" w:lineRule="exact"/>
              <w:ind w:left="63" w:leftChars="30" w:right="63" w:rightChars="30" w:firstLine="50"/>
              <w:jc w:val="both"/>
              <w:rPr>
                <w:rFonts w:hint="eastAsia" w:ascii="宋体" w:hAnsi="宋体" w:eastAsia="宋体" w:cs="宋体"/>
                <w:b w:val="0"/>
                <w:bCs w:val="0"/>
                <w:color w:val="auto"/>
                <w:spacing w:val="6"/>
                <w:kern w:val="21"/>
                <w:sz w:val="24"/>
                <w:szCs w:val="24"/>
                <w:lang w:eastAsia="zh-CN"/>
              </w:rPr>
            </w:pPr>
            <w:r>
              <w:rPr>
                <w:rFonts w:hint="eastAsia" w:ascii="宋体" w:hAnsi="宋体" w:eastAsia="宋体" w:cs="宋体"/>
                <w:b w:val="0"/>
                <w:bCs w:val="0"/>
                <w:color w:val="auto"/>
                <w:spacing w:val="6"/>
                <w:kern w:val="21"/>
                <w:sz w:val="24"/>
                <w:szCs w:val="24"/>
              </w:rPr>
              <w:t>第七条 收购者收购商品，其实际量与贸易结算量之差，超过国家规定使用的计量器具极限误差的，</w:t>
            </w:r>
            <w:r>
              <w:rPr>
                <w:rFonts w:hint="eastAsia" w:ascii="宋体" w:hAnsi="宋体" w:eastAsia="宋体" w:cs="宋体"/>
                <w:b w:val="0"/>
                <w:bCs w:val="0"/>
                <w:color w:val="auto"/>
                <w:spacing w:val="6"/>
                <w:kern w:val="21"/>
                <w:sz w:val="24"/>
                <w:szCs w:val="24"/>
                <w:lang w:val="en-US" w:eastAsia="zh-CN"/>
              </w:rPr>
              <w:t>市场</w:t>
            </w:r>
            <w:r>
              <w:rPr>
                <w:rFonts w:hint="eastAsia" w:ascii="宋体" w:hAnsi="宋体" w:eastAsia="宋体" w:cs="宋体"/>
                <w:b w:val="0"/>
                <w:bCs w:val="0"/>
                <w:color w:val="auto"/>
                <w:spacing w:val="6"/>
                <w:kern w:val="21"/>
                <w:sz w:val="24"/>
                <w:szCs w:val="24"/>
              </w:rPr>
              <w:t>监督</w:t>
            </w:r>
            <w:r>
              <w:rPr>
                <w:rFonts w:hint="eastAsia" w:ascii="宋体" w:hAnsi="宋体" w:eastAsia="宋体" w:cs="宋体"/>
                <w:b w:val="0"/>
                <w:bCs w:val="0"/>
                <w:color w:val="auto"/>
                <w:spacing w:val="6"/>
                <w:kern w:val="21"/>
                <w:sz w:val="24"/>
                <w:szCs w:val="24"/>
                <w:lang w:val="en-US" w:eastAsia="zh-CN"/>
              </w:rPr>
              <w:t>管理</w:t>
            </w:r>
            <w:r>
              <w:rPr>
                <w:rFonts w:hint="eastAsia" w:ascii="宋体" w:hAnsi="宋体" w:eastAsia="宋体" w:cs="宋体"/>
                <w:b w:val="0"/>
                <w:bCs w:val="0"/>
                <w:color w:val="auto"/>
                <w:spacing w:val="6"/>
                <w:kern w:val="21"/>
                <w:sz w:val="24"/>
                <w:szCs w:val="24"/>
              </w:rPr>
              <w:t>部门责令改正，并处20000元</w:t>
            </w:r>
            <w:r>
              <w:rPr>
                <w:rFonts w:hint="eastAsia" w:ascii="宋体" w:hAnsi="宋体" w:eastAsia="宋体" w:cs="宋体"/>
                <w:b w:val="0"/>
                <w:bCs w:val="0"/>
                <w:color w:val="auto"/>
                <w:spacing w:val="6"/>
                <w:kern w:val="21"/>
                <w:sz w:val="24"/>
                <w:szCs w:val="24"/>
                <w:lang w:val="en-US" w:eastAsia="zh-CN"/>
              </w:rPr>
              <w:t>以下</w:t>
            </w:r>
            <w:r>
              <w:rPr>
                <w:rFonts w:hint="eastAsia" w:ascii="宋体" w:hAnsi="宋体" w:eastAsia="宋体" w:cs="宋体"/>
                <w:b w:val="0"/>
                <w:bCs w:val="0"/>
                <w:color w:val="auto"/>
                <w:spacing w:val="6"/>
                <w:kern w:val="21"/>
                <w:sz w:val="24"/>
                <w:szCs w:val="24"/>
              </w:rPr>
              <w:t>罚款</w:t>
            </w:r>
            <w:r>
              <w:rPr>
                <w:rFonts w:hint="eastAsia" w:ascii="宋体" w:hAnsi="宋体" w:eastAsia="宋体" w:cs="宋体"/>
                <w:b w:val="0"/>
                <w:bCs w:val="0"/>
                <w:color w:val="auto"/>
                <w:spacing w:val="6"/>
                <w:kern w:val="21"/>
                <w:sz w:val="24"/>
                <w:szCs w:val="24"/>
                <w:lang w:eastAsia="zh-CN"/>
              </w:rPr>
              <w:t>。</w:t>
            </w:r>
          </w:p>
        </w:tc>
        <w:tc>
          <w:tcPr>
            <w:tcW w:w="1132" w:type="dxa"/>
            <w:noWrap w:val="0"/>
            <w:vAlign w:val="center"/>
          </w:tcPr>
          <w:p w14:paraId="2C553AE8">
            <w:pPr>
              <w:pStyle w:val="17"/>
              <w:keepNext w:val="0"/>
              <w:keepLines w:val="0"/>
              <w:pageBreakBefore w:val="0"/>
              <w:kinsoku/>
              <w:wordWrap/>
              <w:overflowPunct/>
              <w:topLinePunct w:val="0"/>
              <w:autoSpaceDE w:val="0"/>
              <w:autoSpaceDN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26E81163">
            <w:pPr>
              <w:pStyle w:val="17"/>
              <w:keepNext w:val="0"/>
              <w:keepLines w:val="0"/>
              <w:pageBreakBefore w:val="0"/>
              <w:kinsoku/>
              <w:wordWrap/>
              <w:overflowPunct/>
              <w:topLinePunct w:val="0"/>
              <w:autoSpaceDE w:val="0"/>
              <w:autoSpaceDN w:val="0"/>
              <w:bidi w:val="0"/>
              <w:adjustRightInd/>
              <w:snapToGrid/>
              <w:spacing w:line="400" w:lineRule="exact"/>
              <w:ind w:left="63" w:leftChars="30" w:right="63" w:rightChars="30"/>
              <w:jc w:val="both"/>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color w:val="auto"/>
                <w:spacing w:val="0"/>
                <w:kern w:val="21"/>
                <w:sz w:val="24"/>
                <w:szCs w:val="24"/>
              </w:rPr>
              <w:t>实际量与贸易结算量之差超过计量器具极限误差2倍以下的。</w:t>
            </w:r>
          </w:p>
        </w:tc>
        <w:tc>
          <w:tcPr>
            <w:tcW w:w="3382" w:type="dxa"/>
            <w:noWrap w:val="0"/>
            <w:vAlign w:val="center"/>
          </w:tcPr>
          <w:p w14:paraId="09A7A892">
            <w:pPr>
              <w:keepNext w:val="0"/>
              <w:keepLines w:val="0"/>
              <w:pageBreakBefore w:val="0"/>
              <w:widowControl/>
              <w:suppressLineNumbers w:val="0"/>
              <w:kinsoku/>
              <w:wordWrap/>
              <w:overflowPunct/>
              <w:topLinePunct w:val="0"/>
              <w:autoSpaceDE w:val="0"/>
              <w:autoSpaceDN w:val="0"/>
              <w:bidi w:val="0"/>
              <w:adjustRightInd/>
              <w:snapToGrid/>
              <w:spacing w:line="400" w:lineRule="exact"/>
              <w:ind w:left="63" w:leftChars="30" w:right="63" w:rightChars="30"/>
              <w:jc w:val="both"/>
              <w:textAlignment w:val="center"/>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i w:val="0"/>
                <w:iCs w:val="0"/>
                <w:color w:val="auto"/>
                <w:spacing w:val="0"/>
                <w:kern w:val="21"/>
                <w:sz w:val="24"/>
                <w:szCs w:val="24"/>
                <w:u w:val="none"/>
                <w:lang w:val="en-US" w:eastAsia="zh-CN" w:bidi="ar"/>
              </w:rPr>
              <w:t>责令改正，并处6000元以下的罚款。</w:t>
            </w:r>
          </w:p>
        </w:tc>
      </w:tr>
      <w:tr w14:paraId="1A1BA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8" w:hRule="atLeast"/>
          <w:jc w:val="center"/>
        </w:trPr>
        <w:tc>
          <w:tcPr>
            <w:tcW w:w="640" w:type="dxa"/>
            <w:vMerge w:val="continue"/>
            <w:tcBorders>
              <w:top w:val="nil"/>
            </w:tcBorders>
            <w:noWrap w:val="0"/>
            <w:vAlign w:val="top"/>
          </w:tcPr>
          <w:p w14:paraId="1F4F3CA9">
            <w:pPr>
              <w:keepNext w:val="0"/>
              <w:keepLines w:val="0"/>
              <w:pageBreakBefore w:val="0"/>
              <w:kinsoku/>
              <w:wordWrap/>
              <w:overflowPunct/>
              <w:topLinePunct w:val="0"/>
              <w:autoSpaceDE w:val="0"/>
              <w:autoSpaceDN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tcBorders>
              <w:top w:val="nil"/>
            </w:tcBorders>
            <w:noWrap w:val="0"/>
            <w:vAlign w:val="top"/>
          </w:tcPr>
          <w:p w14:paraId="74F2BA62">
            <w:pPr>
              <w:keepNext w:val="0"/>
              <w:keepLines w:val="0"/>
              <w:pageBreakBefore w:val="0"/>
              <w:kinsoku/>
              <w:wordWrap/>
              <w:overflowPunct/>
              <w:topLinePunct w:val="0"/>
              <w:autoSpaceDE w:val="0"/>
              <w:autoSpaceDN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4193" w:type="dxa"/>
            <w:vMerge w:val="continue"/>
            <w:tcBorders>
              <w:top w:val="nil"/>
            </w:tcBorders>
            <w:noWrap w:val="0"/>
            <w:vAlign w:val="top"/>
          </w:tcPr>
          <w:p w14:paraId="4EA4CDBD">
            <w:pPr>
              <w:keepNext w:val="0"/>
              <w:keepLines w:val="0"/>
              <w:pageBreakBefore w:val="0"/>
              <w:kinsoku/>
              <w:wordWrap/>
              <w:overflowPunct/>
              <w:topLinePunct w:val="0"/>
              <w:autoSpaceDE w:val="0"/>
              <w:autoSpaceDN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09D5B9EE">
            <w:pPr>
              <w:pStyle w:val="17"/>
              <w:keepNext w:val="0"/>
              <w:keepLines w:val="0"/>
              <w:pageBreakBefore w:val="0"/>
              <w:kinsoku/>
              <w:wordWrap/>
              <w:overflowPunct/>
              <w:topLinePunct w:val="0"/>
              <w:autoSpaceDE w:val="0"/>
              <w:autoSpaceDN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4A689770">
            <w:pPr>
              <w:pStyle w:val="17"/>
              <w:keepNext w:val="0"/>
              <w:keepLines w:val="0"/>
              <w:pageBreakBefore w:val="0"/>
              <w:kinsoku/>
              <w:wordWrap/>
              <w:overflowPunct/>
              <w:topLinePunct w:val="0"/>
              <w:autoSpaceDE w:val="0"/>
              <w:autoSpaceDN w:val="0"/>
              <w:bidi w:val="0"/>
              <w:adjustRightInd/>
              <w:snapToGrid/>
              <w:spacing w:line="400" w:lineRule="exact"/>
              <w:ind w:left="63" w:leftChars="30" w:right="63" w:rightChars="30"/>
              <w:jc w:val="both"/>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color w:val="auto"/>
                <w:spacing w:val="0"/>
                <w:kern w:val="21"/>
                <w:sz w:val="24"/>
                <w:szCs w:val="24"/>
              </w:rPr>
              <w:t>实际量与贸易结算量之差超过计量器具极限误差2倍以上3倍以下的。</w:t>
            </w:r>
          </w:p>
        </w:tc>
        <w:tc>
          <w:tcPr>
            <w:tcW w:w="3382" w:type="dxa"/>
            <w:noWrap w:val="0"/>
            <w:vAlign w:val="center"/>
          </w:tcPr>
          <w:p w14:paraId="6ADB7DB2">
            <w:pPr>
              <w:keepNext w:val="0"/>
              <w:keepLines w:val="0"/>
              <w:pageBreakBefore w:val="0"/>
              <w:widowControl/>
              <w:suppressLineNumbers w:val="0"/>
              <w:kinsoku/>
              <w:wordWrap/>
              <w:overflowPunct/>
              <w:topLinePunct w:val="0"/>
              <w:autoSpaceDE w:val="0"/>
              <w:autoSpaceDN w:val="0"/>
              <w:bidi w:val="0"/>
              <w:adjustRightInd/>
              <w:snapToGrid/>
              <w:spacing w:line="400" w:lineRule="exact"/>
              <w:ind w:left="63" w:leftChars="30" w:right="63" w:rightChars="30"/>
              <w:jc w:val="both"/>
              <w:textAlignment w:val="center"/>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i w:val="0"/>
                <w:iCs w:val="0"/>
                <w:color w:val="auto"/>
                <w:spacing w:val="0"/>
                <w:kern w:val="21"/>
                <w:sz w:val="24"/>
                <w:szCs w:val="24"/>
                <w:u w:val="none"/>
                <w:lang w:val="en-US" w:eastAsia="zh-CN" w:bidi="ar"/>
              </w:rPr>
              <w:t>责令改正，并处6000元以上</w:t>
            </w:r>
            <w:r>
              <w:rPr>
                <w:rFonts w:hint="eastAsia" w:ascii="宋体" w:hAnsi="宋体" w:cs="宋体"/>
                <w:b w:val="0"/>
                <w:bCs w:val="0"/>
                <w:i w:val="0"/>
                <w:iCs w:val="0"/>
                <w:color w:val="auto"/>
                <w:spacing w:val="0"/>
                <w:kern w:val="21"/>
                <w:sz w:val="24"/>
                <w:szCs w:val="24"/>
                <w:u w:val="none"/>
                <w:lang w:val="en-US" w:eastAsia="zh-CN" w:bidi="ar"/>
              </w:rPr>
              <w:t>1.4万</w:t>
            </w:r>
            <w:r>
              <w:rPr>
                <w:rFonts w:hint="eastAsia" w:ascii="宋体" w:hAnsi="宋体" w:eastAsia="宋体" w:cs="宋体"/>
                <w:b w:val="0"/>
                <w:bCs w:val="0"/>
                <w:i w:val="0"/>
                <w:iCs w:val="0"/>
                <w:color w:val="auto"/>
                <w:spacing w:val="0"/>
                <w:kern w:val="21"/>
                <w:sz w:val="24"/>
                <w:szCs w:val="24"/>
                <w:u w:val="none"/>
                <w:lang w:val="en-US" w:eastAsia="zh-CN" w:bidi="ar"/>
              </w:rPr>
              <w:t>元以下的罚款。</w:t>
            </w:r>
          </w:p>
        </w:tc>
      </w:tr>
      <w:tr w14:paraId="4C1AC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6" w:hRule="atLeast"/>
          <w:jc w:val="center"/>
        </w:trPr>
        <w:tc>
          <w:tcPr>
            <w:tcW w:w="640" w:type="dxa"/>
            <w:vMerge w:val="continue"/>
            <w:tcBorders>
              <w:top w:val="nil"/>
            </w:tcBorders>
            <w:noWrap w:val="0"/>
            <w:vAlign w:val="top"/>
          </w:tcPr>
          <w:p w14:paraId="7795E36D">
            <w:pPr>
              <w:keepNext w:val="0"/>
              <w:keepLines w:val="0"/>
              <w:pageBreakBefore w:val="0"/>
              <w:kinsoku/>
              <w:wordWrap/>
              <w:overflowPunct/>
              <w:topLinePunct w:val="0"/>
              <w:autoSpaceDE w:val="0"/>
              <w:autoSpaceDN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tcBorders>
              <w:top w:val="nil"/>
            </w:tcBorders>
            <w:noWrap w:val="0"/>
            <w:vAlign w:val="top"/>
          </w:tcPr>
          <w:p w14:paraId="7A5510A3">
            <w:pPr>
              <w:keepNext w:val="0"/>
              <w:keepLines w:val="0"/>
              <w:pageBreakBefore w:val="0"/>
              <w:kinsoku/>
              <w:wordWrap/>
              <w:overflowPunct/>
              <w:topLinePunct w:val="0"/>
              <w:autoSpaceDE w:val="0"/>
              <w:autoSpaceDN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4193" w:type="dxa"/>
            <w:vMerge w:val="continue"/>
            <w:tcBorders>
              <w:top w:val="nil"/>
            </w:tcBorders>
            <w:noWrap w:val="0"/>
            <w:vAlign w:val="top"/>
          </w:tcPr>
          <w:p w14:paraId="3DAB3FD3">
            <w:pPr>
              <w:keepNext w:val="0"/>
              <w:keepLines w:val="0"/>
              <w:pageBreakBefore w:val="0"/>
              <w:kinsoku/>
              <w:wordWrap/>
              <w:overflowPunct/>
              <w:topLinePunct w:val="0"/>
              <w:autoSpaceDE w:val="0"/>
              <w:autoSpaceDN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410BB275">
            <w:pPr>
              <w:pStyle w:val="17"/>
              <w:keepNext w:val="0"/>
              <w:keepLines w:val="0"/>
              <w:pageBreakBefore w:val="0"/>
              <w:kinsoku/>
              <w:wordWrap/>
              <w:overflowPunct/>
              <w:topLinePunct w:val="0"/>
              <w:autoSpaceDE w:val="0"/>
              <w:autoSpaceDN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6FAA7DA5">
            <w:pPr>
              <w:pStyle w:val="17"/>
              <w:keepNext w:val="0"/>
              <w:keepLines w:val="0"/>
              <w:pageBreakBefore w:val="0"/>
              <w:kinsoku/>
              <w:wordWrap/>
              <w:overflowPunct/>
              <w:topLinePunct w:val="0"/>
              <w:autoSpaceDE w:val="0"/>
              <w:autoSpaceDN w:val="0"/>
              <w:bidi w:val="0"/>
              <w:adjustRightInd/>
              <w:snapToGrid/>
              <w:spacing w:line="400" w:lineRule="exact"/>
              <w:ind w:left="63" w:leftChars="30" w:right="63" w:rightChars="30"/>
              <w:jc w:val="both"/>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color w:val="auto"/>
                <w:spacing w:val="0"/>
                <w:kern w:val="21"/>
                <w:sz w:val="24"/>
                <w:szCs w:val="24"/>
              </w:rPr>
              <w:t>实际量与贸易结算量之差超过计量器具极限误差3倍以上的。</w:t>
            </w:r>
          </w:p>
        </w:tc>
        <w:tc>
          <w:tcPr>
            <w:tcW w:w="3382" w:type="dxa"/>
            <w:noWrap w:val="0"/>
            <w:vAlign w:val="center"/>
          </w:tcPr>
          <w:p w14:paraId="6C00C8B2">
            <w:pPr>
              <w:keepNext w:val="0"/>
              <w:keepLines w:val="0"/>
              <w:pageBreakBefore w:val="0"/>
              <w:widowControl/>
              <w:suppressLineNumbers w:val="0"/>
              <w:kinsoku/>
              <w:wordWrap/>
              <w:overflowPunct/>
              <w:topLinePunct w:val="0"/>
              <w:autoSpaceDE w:val="0"/>
              <w:autoSpaceDN w:val="0"/>
              <w:bidi w:val="0"/>
              <w:adjustRightInd/>
              <w:snapToGrid/>
              <w:spacing w:line="400" w:lineRule="exact"/>
              <w:ind w:left="63" w:leftChars="30" w:right="63" w:rightChars="30"/>
              <w:jc w:val="both"/>
              <w:textAlignment w:val="center"/>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i w:val="0"/>
                <w:iCs w:val="0"/>
                <w:color w:val="auto"/>
                <w:spacing w:val="0"/>
                <w:kern w:val="21"/>
                <w:sz w:val="24"/>
                <w:szCs w:val="24"/>
                <w:u w:val="none"/>
                <w:lang w:val="en-US" w:eastAsia="zh-CN" w:bidi="ar"/>
              </w:rPr>
              <w:t>责令改正，并处</w:t>
            </w:r>
            <w:r>
              <w:rPr>
                <w:rFonts w:hint="eastAsia" w:ascii="宋体" w:hAnsi="宋体" w:cs="宋体"/>
                <w:b w:val="0"/>
                <w:bCs w:val="0"/>
                <w:i w:val="0"/>
                <w:iCs w:val="0"/>
                <w:color w:val="auto"/>
                <w:spacing w:val="0"/>
                <w:kern w:val="21"/>
                <w:sz w:val="24"/>
                <w:szCs w:val="24"/>
                <w:u w:val="none"/>
                <w:lang w:val="en-US" w:eastAsia="zh-CN" w:bidi="ar"/>
              </w:rPr>
              <w:t>1.4万</w:t>
            </w:r>
            <w:r>
              <w:rPr>
                <w:rFonts w:hint="eastAsia" w:ascii="宋体" w:hAnsi="宋体" w:eastAsia="宋体" w:cs="宋体"/>
                <w:b w:val="0"/>
                <w:bCs w:val="0"/>
                <w:i w:val="0"/>
                <w:iCs w:val="0"/>
                <w:color w:val="auto"/>
                <w:spacing w:val="0"/>
                <w:kern w:val="21"/>
                <w:sz w:val="24"/>
                <w:szCs w:val="24"/>
                <w:u w:val="none"/>
                <w:lang w:val="en-US" w:eastAsia="zh-CN" w:bidi="ar"/>
              </w:rPr>
              <w:t>元以上2</w:t>
            </w:r>
            <w:r>
              <w:rPr>
                <w:rFonts w:hint="eastAsia" w:ascii="宋体" w:hAnsi="宋体" w:cs="宋体"/>
                <w:b w:val="0"/>
                <w:bCs w:val="0"/>
                <w:i w:val="0"/>
                <w:iCs w:val="0"/>
                <w:color w:val="auto"/>
                <w:spacing w:val="0"/>
                <w:kern w:val="21"/>
                <w:sz w:val="24"/>
                <w:szCs w:val="24"/>
                <w:u w:val="none"/>
                <w:lang w:val="en-US" w:eastAsia="zh-CN" w:bidi="ar"/>
              </w:rPr>
              <w:t>万</w:t>
            </w:r>
            <w:r>
              <w:rPr>
                <w:rFonts w:hint="eastAsia" w:ascii="宋体" w:hAnsi="宋体" w:eastAsia="宋体" w:cs="宋体"/>
                <w:b w:val="0"/>
                <w:bCs w:val="0"/>
                <w:i w:val="0"/>
                <w:iCs w:val="0"/>
                <w:color w:val="auto"/>
                <w:spacing w:val="0"/>
                <w:kern w:val="21"/>
                <w:sz w:val="24"/>
                <w:szCs w:val="24"/>
                <w:u w:val="none"/>
                <w:lang w:val="en-US" w:eastAsia="zh-CN" w:bidi="ar"/>
              </w:rPr>
              <w:t>元以下的罚款。</w:t>
            </w:r>
          </w:p>
        </w:tc>
      </w:tr>
      <w:tr w14:paraId="732A4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40" w:type="dxa"/>
            <w:vMerge w:val="restart"/>
            <w:noWrap w:val="0"/>
            <w:vAlign w:val="center"/>
          </w:tcPr>
          <w:p w14:paraId="4002CDA8">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lang w:val="en-US" w:eastAsia="zh-CN"/>
              </w:rPr>
            </w:pPr>
            <w:r>
              <w:rPr>
                <w:rFonts w:hint="eastAsia" w:ascii="宋体" w:hAnsi="宋体" w:eastAsia="宋体" w:cs="宋体"/>
                <w:b w:val="0"/>
                <w:bCs w:val="0"/>
                <w:color w:val="auto"/>
                <w:spacing w:val="6"/>
                <w:kern w:val="21"/>
                <w:sz w:val="24"/>
                <w:szCs w:val="24"/>
              </w:rPr>
              <w:t>1</w:t>
            </w:r>
            <w:r>
              <w:rPr>
                <w:rFonts w:hint="eastAsia" w:ascii="宋体" w:hAnsi="宋体" w:eastAsia="宋体" w:cs="宋体"/>
                <w:b w:val="0"/>
                <w:bCs w:val="0"/>
                <w:color w:val="auto"/>
                <w:spacing w:val="6"/>
                <w:kern w:val="21"/>
                <w:sz w:val="24"/>
                <w:szCs w:val="24"/>
                <w:lang w:val="en-US" w:eastAsia="zh-CN"/>
              </w:rPr>
              <w:t>1</w:t>
            </w:r>
            <w:r>
              <w:rPr>
                <w:rFonts w:hint="eastAsia" w:cs="宋体"/>
                <w:b w:val="0"/>
                <w:bCs w:val="0"/>
                <w:color w:val="auto"/>
                <w:spacing w:val="6"/>
                <w:kern w:val="21"/>
                <w:sz w:val="24"/>
                <w:szCs w:val="24"/>
                <w:lang w:val="en-US" w:eastAsia="zh-CN"/>
              </w:rPr>
              <w:t>6</w:t>
            </w:r>
          </w:p>
        </w:tc>
        <w:tc>
          <w:tcPr>
            <w:tcW w:w="1793" w:type="dxa"/>
            <w:vMerge w:val="restart"/>
            <w:noWrap w:val="0"/>
            <w:vAlign w:val="center"/>
          </w:tcPr>
          <w:p w14:paraId="637C9A93">
            <w:pPr>
              <w:pStyle w:val="17"/>
              <w:keepNext w:val="0"/>
              <w:keepLines w:val="0"/>
              <w:pageBreakBefore w:val="0"/>
              <w:widowControl w:val="0"/>
              <w:kinsoku/>
              <w:wordWrap/>
              <w:overflowPunct/>
              <w:topLinePunct w:val="0"/>
              <w:autoSpaceDE w:val="0"/>
              <w:autoSpaceDN w:val="0"/>
              <w:bidi w:val="0"/>
              <w:adjustRightInd/>
              <w:snapToGrid/>
              <w:spacing w:line="400" w:lineRule="exact"/>
              <w:ind w:left="63" w:leftChars="30" w:right="63" w:rightChars="30"/>
              <w:jc w:val="both"/>
              <w:textAlignment w:val="auto"/>
              <w:outlineLvl w:val="2"/>
              <w:rPr>
                <w:rFonts w:hint="eastAsia" w:ascii="宋体" w:hAnsi="宋体" w:eastAsia="宋体" w:cs="宋体"/>
                <w:b w:val="0"/>
                <w:bCs w:val="0"/>
                <w:color w:val="auto"/>
                <w:spacing w:val="6"/>
                <w:kern w:val="21"/>
                <w:sz w:val="24"/>
                <w:szCs w:val="24"/>
                <w:lang w:eastAsia="zh-CN"/>
              </w:rPr>
            </w:pPr>
            <w:bookmarkStart w:id="166" w:name="_Toc9237"/>
            <w:bookmarkStart w:id="167" w:name="_Toc26337"/>
            <w:bookmarkStart w:id="168" w:name="_Toc31287"/>
            <w:bookmarkStart w:id="169" w:name="_Toc30820"/>
            <w:bookmarkStart w:id="170" w:name="_Toc707"/>
            <w:r>
              <w:rPr>
                <w:rFonts w:hint="eastAsia" w:ascii="宋体" w:hAnsi="宋体" w:eastAsia="宋体" w:cs="宋体"/>
                <w:b w:val="0"/>
                <w:bCs w:val="0"/>
                <w:color w:val="auto"/>
                <w:spacing w:val="6"/>
                <w:kern w:val="21"/>
                <w:sz w:val="24"/>
                <w:szCs w:val="24"/>
              </w:rPr>
              <w:t>《</w:t>
            </w:r>
            <w:r>
              <w:rPr>
                <w:rFonts w:hint="eastAsia" w:ascii="宋体" w:hAnsi="宋体" w:eastAsia="宋体" w:cs="宋体"/>
                <w:b w:val="0"/>
                <w:bCs w:val="0"/>
                <w:color w:val="auto"/>
                <w:spacing w:val="6"/>
                <w:kern w:val="21"/>
                <w:sz w:val="24"/>
                <w:szCs w:val="24"/>
                <w:lang w:eastAsia="zh-CN"/>
              </w:rPr>
              <w:t>中华人民共和国</w:t>
            </w:r>
            <w:r>
              <w:rPr>
                <w:rFonts w:hint="eastAsia" w:ascii="宋体" w:hAnsi="宋体" w:eastAsia="宋体" w:cs="宋体"/>
                <w:b w:val="0"/>
                <w:bCs w:val="0"/>
                <w:color w:val="auto"/>
                <w:spacing w:val="6"/>
                <w:kern w:val="21"/>
                <w:sz w:val="24"/>
                <w:szCs w:val="24"/>
              </w:rPr>
              <w:t>计量法实施细则》</w:t>
            </w:r>
            <w:r>
              <w:rPr>
                <w:rFonts w:hint="eastAsia" w:ascii="宋体" w:hAnsi="宋体" w:eastAsia="宋体" w:cs="宋体"/>
                <w:b w:val="0"/>
                <w:bCs w:val="0"/>
                <w:color w:val="auto"/>
                <w:spacing w:val="6"/>
                <w:kern w:val="21"/>
                <w:sz w:val="24"/>
                <w:szCs w:val="24"/>
                <w:lang w:eastAsia="zh-CN"/>
              </w:rPr>
              <w:t>（</w:t>
            </w:r>
            <w:r>
              <w:rPr>
                <w:rFonts w:hint="eastAsia" w:ascii="宋体" w:hAnsi="宋体" w:eastAsia="宋体" w:cs="宋体"/>
                <w:b w:val="0"/>
                <w:bCs w:val="0"/>
                <w:color w:val="auto"/>
                <w:spacing w:val="6"/>
                <w:kern w:val="21"/>
                <w:sz w:val="24"/>
                <w:szCs w:val="24"/>
                <w:lang w:val="en-US" w:eastAsia="zh-CN"/>
              </w:rPr>
              <w:t>2022年</w:t>
            </w:r>
            <w:r>
              <w:rPr>
                <w:rFonts w:hint="eastAsia" w:cs="宋体"/>
                <w:b w:val="0"/>
                <w:bCs w:val="0"/>
                <w:color w:val="auto"/>
                <w:spacing w:val="6"/>
                <w:kern w:val="21"/>
                <w:sz w:val="24"/>
                <w:szCs w:val="24"/>
                <w:lang w:val="en-US" w:eastAsia="zh-CN"/>
              </w:rPr>
              <w:t>5</w:t>
            </w:r>
            <w:r>
              <w:rPr>
                <w:rFonts w:hint="eastAsia" w:ascii="宋体" w:hAnsi="宋体" w:eastAsia="宋体" w:cs="宋体"/>
                <w:b w:val="0"/>
                <w:bCs w:val="0"/>
                <w:color w:val="auto"/>
                <w:spacing w:val="6"/>
                <w:kern w:val="21"/>
                <w:sz w:val="24"/>
                <w:szCs w:val="24"/>
                <w:lang w:val="en-US" w:eastAsia="zh-CN"/>
              </w:rPr>
              <w:t>月</w:t>
            </w:r>
            <w:r>
              <w:rPr>
                <w:rFonts w:hint="eastAsia" w:cs="宋体"/>
                <w:b w:val="0"/>
                <w:bCs w:val="0"/>
                <w:color w:val="auto"/>
                <w:spacing w:val="6"/>
                <w:kern w:val="21"/>
                <w:sz w:val="24"/>
                <w:szCs w:val="24"/>
                <w:lang w:val="en-US" w:eastAsia="zh-CN"/>
              </w:rPr>
              <w:t>1</w:t>
            </w:r>
            <w:r>
              <w:rPr>
                <w:rFonts w:hint="eastAsia" w:ascii="宋体" w:hAnsi="宋体" w:eastAsia="宋体" w:cs="宋体"/>
                <w:b w:val="0"/>
                <w:bCs w:val="0"/>
                <w:color w:val="auto"/>
                <w:spacing w:val="6"/>
                <w:kern w:val="21"/>
                <w:sz w:val="24"/>
                <w:szCs w:val="24"/>
                <w:lang w:val="en-US" w:eastAsia="zh-CN"/>
              </w:rPr>
              <w:t>日</w:t>
            </w:r>
            <w:r>
              <w:rPr>
                <w:rFonts w:hint="eastAsia" w:cs="宋体"/>
                <w:b w:val="0"/>
                <w:bCs w:val="0"/>
                <w:color w:val="auto"/>
                <w:spacing w:val="6"/>
                <w:kern w:val="21"/>
                <w:sz w:val="24"/>
                <w:szCs w:val="24"/>
                <w:lang w:val="en-US" w:eastAsia="zh-CN"/>
              </w:rPr>
              <w:t>起施行</w:t>
            </w:r>
            <w:r>
              <w:rPr>
                <w:rFonts w:hint="eastAsia" w:ascii="宋体" w:hAnsi="宋体" w:eastAsia="宋体" w:cs="宋体"/>
                <w:b w:val="0"/>
                <w:bCs w:val="0"/>
                <w:color w:val="auto"/>
                <w:spacing w:val="6"/>
                <w:kern w:val="21"/>
                <w:sz w:val="24"/>
                <w:szCs w:val="24"/>
                <w:lang w:eastAsia="zh-CN"/>
              </w:rPr>
              <w:t>）</w:t>
            </w:r>
            <w:bookmarkEnd w:id="166"/>
            <w:bookmarkEnd w:id="167"/>
            <w:bookmarkEnd w:id="168"/>
            <w:bookmarkEnd w:id="169"/>
            <w:bookmarkEnd w:id="170"/>
          </w:p>
        </w:tc>
        <w:tc>
          <w:tcPr>
            <w:tcW w:w="4193" w:type="dxa"/>
            <w:vMerge w:val="restart"/>
            <w:noWrap w:val="0"/>
            <w:vAlign w:val="center"/>
          </w:tcPr>
          <w:p w14:paraId="22F3B262">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第四十一条 违反《中华人民共和国计量法》第十四条规定，制造、销售和进口非法定计量单位的计量器具的，责令其停止制造、销售和进口，没收计量器具和全部违法所得，可并处相当其违法所得10%至50%的罚款。</w:t>
            </w:r>
          </w:p>
        </w:tc>
        <w:tc>
          <w:tcPr>
            <w:tcW w:w="1132" w:type="dxa"/>
            <w:noWrap w:val="0"/>
            <w:vAlign w:val="center"/>
          </w:tcPr>
          <w:p w14:paraId="7653860B">
            <w:pPr>
              <w:pStyle w:val="17"/>
              <w:keepNext w:val="0"/>
              <w:keepLines w:val="0"/>
              <w:pageBreakBefore w:val="0"/>
              <w:widowControl w:val="0"/>
              <w:kinsoku/>
              <w:wordWrap/>
              <w:overflowPunct/>
              <w:topLinePunct w:val="0"/>
              <w:autoSpaceDE/>
              <w:autoSpaceDN/>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24D4BBF0">
            <w:pPr>
              <w:pStyle w:val="17"/>
              <w:keepNext w:val="0"/>
              <w:keepLines w:val="0"/>
              <w:pageBreakBefore w:val="0"/>
              <w:kinsoku/>
              <w:wordWrap/>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color w:val="auto"/>
                <w:spacing w:val="0"/>
                <w:kern w:val="21"/>
                <w:sz w:val="24"/>
                <w:szCs w:val="24"/>
              </w:rPr>
              <w:t>制造、销售和进口10台（件）以下的。</w:t>
            </w:r>
          </w:p>
        </w:tc>
        <w:tc>
          <w:tcPr>
            <w:tcW w:w="3382" w:type="dxa"/>
            <w:noWrap w:val="0"/>
            <w:vAlign w:val="center"/>
          </w:tcPr>
          <w:p w14:paraId="59BF0D8D">
            <w:pPr>
              <w:pStyle w:val="17"/>
              <w:keepNext w:val="0"/>
              <w:keepLines w:val="0"/>
              <w:pageBreakBefore w:val="0"/>
              <w:widowControl w:val="0"/>
              <w:kinsoku/>
              <w:wordWrap/>
              <w:overflowPunct/>
              <w:topLinePunct w:val="0"/>
              <w:autoSpaceDE/>
              <w:autoSpaceDN/>
              <w:bidi w:val="0"/>
              <w:adjustRightInd/>
              <w:snapToGrid/>
              <w:spacing w:line="420" w:lineRule="exact"/>
              <w:ind w:left="63" w:leftChars="30" w:right="63" w:rightChars="30"/>
              <w:jc w:val="both"/>
              <w:textAlignment w:val="auto"/>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color w:val="auto"/>
                <w:spacing w:val="0"/>
                <w:kern w:val="21"/>
                <w:sz w:val="24"/>
                <w:szCs w:val="24"/>
              </w:rPr>
              <w:t>责令其停止制造、销售和进口，没收计量器具和全部违法所得，可并处相当其违法所得10%以上</w:t>
            </w:r>
            <w:r>
              <w:rPr>
                <w:rFonts w:hint="eastAsia" w:ascii="宋体" w:hAnsi="宋体" w:eastAsia="宋体" w:cs="宋体"/>
                <w:b w:val="0"/>
                <w:bCs w:val="0"/>
                <w:color w:val="auto"/>
                <w:spacing w:val="0"/>
                <w:kern w:val="21"/>
                <w:sz w:val="24"/>
                <w:szCs w:val="24"/>
                <w:lang w:val="en-US" w:eastAsia="zh-CN"/>
              </w:rPr>
              <w:t>20</w:t>
            </w:r>
            <w:r>
              <w:rPr>
                <w:rFonts w:hint="eastAsia" w:ascii="宋体" w:hAnsi="宋体" w:eastAsia="宋体" w:cs="宋体"/>
                <w:b w:val="0"/>
                <w:bCs w:val="0"/>
                <w:color w:val="auto"/>
                <w:spacing w:val="0"/>
                <w:kern w:val="21"/>
                <w:sz w:val="24"/>
                <w:szCs w:val="24"/>
              </w:rPr>
              <w:t>%以下罚款。</w:t>
            </w:r>
          </w:p>
        </w:tc>
      </w:tr>
      <w:tr w14:paraId="7A620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8" w:hRule="atLeast"/>
          <w:jc w:val="center"/>
        </w:trPr>
        <w:tc>
          <w:tcPr>
            <w:tcW w:w="640" w:type="dxa"/>
            <w:vMerge w:val="continue"/>
            <w:tcBorders>
              <w:top w:val="nil"/>
            </w:tcBorders>
            <w:noWrap w:val="0"/>
            <w:vAlign w:val="top"/>
          </w:tcPr>
          <w:p w14:paraId="70AAA045">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tcBorders>
              <w:top w:val="nil"/>
            </w:tcBorders>
            <w:noWrap w:val="0"/>
            <w:vAlign w:val="top"/>
          </w:tcPr>
          <w:p w14:paraId="663E736D">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4193" w:type="dxa"/>
            <w:vMerge w:val="continue"/>
            <w:tcBorders>
              <w:top w:val="nil"/>
            </w:tcBorders>
            <w:noWrap w:val="0"/>
            <w:vAlign w:val="top"/>
          </w:tcPr>
          <w:p w14:paraId="67D00F07">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633746A5">
            <w:pPr>
              <w:pStyle w:val="17"/>
              <w:keepNext w:val="0"/>
              <w:keepLines w:val="0"/>
              <w:pageBreakBefore w:val="0"/>
              <w:widowControl w:val="0"/>
              <w:kinsoku/>
              <w:wordWrap/>
              <w:overflowPunct/>
              <w:topLinePunct w:val="0"/>
              <w:autoSpaceDE/>
              <w:autoSpaceDN/>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1342289A">
            <w:pPr>
              <w:pStyle w:val="17"/>
              <w:keepNext w:val="0"/>
              <w:keepLines w:val="0"/>
              <w:pageBreakBefore w:val="0"/>
              <w:kinsoku/>
              <w:wordWrap/>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color w:val="auto"/>
                <w:spacing w:val="0"/>
                <w:kern w:val="21"/>
                <w:sz w:val="24"/>
                <w:szCs w:val="24"/>
              </w:rPr>
              <w:t>制造、销售和进口10台（件）以上50台（件）以下的。</w:t>
            </w:r>
          </w:p>
        </w:tc>
        <w:tc>
          <w:tcPr>
            <w:tcW w:w="3382" w:type="dxa"/>
            <w:noWrap w:val="0"/>
            <w:vAlign w:val="center"/>
          </w:tcPr>
          <w:p w14:paraId="3904DA6D">
            <w:pPr>
              <w:pStyle w:val="17"/>
              <w:keepNext w:val="0"/>
              <w:keepLines w:val="0"/>
              <w:pageBreakBefore w:val="0"/>
              <w:widowControl w:val="0"/>
              <w:kinsoku/>
              <w:wordWrap/>
              <w:overflowPunct/>
              <w:topLinePunct w:val="0"/>
              <w:autoSpaceDE/>
              <w:autoSpaceDN/>
              <w:bidi w:val="0"/>
              <w:adjustRightInd/>
              <w:snapToGrid/>
              <w:spacing w:line="420" w:lineRule="exact"/>
              <w:ind w:left="63" w:leftChars="30" w:right="63" w:rightChars="30"/>
              <w:jc w:val="both"/>
              <w:textAlignment w:val="auto"/>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color w:val="auto"/>
                <w:spacing w:val="0"/>
                <w:kern w:val="21"/>
                <w:sz w:val="24"/>
                <w:szCs w:val="24"/>
              </w:rPr>
              <w:t>责令其停止制造、销售和进口，没收计量器具和全部违法所得，可并处相当其违法所得</w:t>
            </w:r>
            <w:r>
              <w:rPr>
                <w:rFonts w:hint="eastAsia" w:ascii="宋体" w:hAnsi="宋体" w:eastAsia="宋体" w:cs="宋体"/>
                <w:b w:val="0"/>
                <w:bCs w:val="0"/>
                <w:color w:val="auto"/>
                <w:spacing w:val="0"/>
                <w:kern w:val="21"/>
                <w:sz w:val="24"/>
                <w:szCs w:val="24"/>
                <w:lang w:val="en-US" w:eastAsia="zh-CN"/>
              </w:rPr>
              <w:t>20</w:t>
            </w:r>
            <w:r>
              <w:rPr>
                <w:rFonts w:hint="eastAsia" w:ascii="宋体" w:hAnsi="宋体" w:eastAsia="宋体" w:cs="宋体"/>
                <w:b w:val="0"/>
                <w:bCs w:val="0"/>
                <w:color w:val="auto"/>
                <w:spacing w:val="0"/>
                <w:kern w:val="21"/>
                <w:sz w:val="24"/>
                <w:szCs w:val="24"/>
              </w:rPr>
              <w:t>%以上</w:t>
            </w:r>
            <w:r>
              <w:rPr>
                <w:rFonts w:hint="eastAsia" w:ascii="宋体" w:hAnsi="宋体" w:eastAsia="宋体" w:cs="宋体"/>
                <w:b w:val="0"/>
                <w:bCs w:val="0"/>
                <w:color w:val="auto"/>
                <w:spacing w:val="0"/>
                <w:kern w:val="21"/>
                <w:sz w:val="24"/>
                <w:szCs w:val="24"/>
                <w:lang w:val="en-US" w:eastAsia="zh-CN"/>
              </w:rPr>
              <w:t>40</w:t>
            </w:r>
            <w:r>
              <w:rPr>
                <w:rFonts w:hint="eastAsia" w:ascii="宋体" w:hAnsi="宋体" w:eastAsia="宋体" w:cs="宋体"/>
                <w:b w:val="0"/>
                <w:bCs w:val="0"/>
                <w:color w:val="auto"/>
                <w:spacing w:val="0"/>
                <w:kern w:val="21"/>
                <w:sz w:val="24"/>
                <w:szCs w:val="24"/>
              </w:rPr>
              <w:t>%以下罚款。</w:t>
            </w:r>
          </w:p>
        </w:tc>
      </w:tr>
      <w:tr w14:paraId="79912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1" w:hRule="atLeast"/>
          <w:jc w:val="center"/>
        </w:trPr>
        <w:tc>
          <w:tcPr>
            <w:tcW w:w="640" w:type="dxa"/>
            <w:vMerge w:val="continue"/>
            <w:tcBorders>
              <w:top w:val="nil"/>
            </w:tcBorders>
            <w:noWrap w:val="0"/>
            <w:vAlign w:val="top"/>
          </w:tcPr>
          <w:p w14:paraId="75ABBEA4">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tcBorders>
              <w:top w:val="nil"/>
            </w:tcBorders>
            <w:noWrap w:val="0"/>
            <w:vAlign w:val="top"/>
          </w:tcPr>
          <w:p w14:paraId="037B627B">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4193" w:type="dxa"/>
            <w:vMerge w:val="continue"/>
            <w:tcBorders>
              <w:top w:val="nil"/>
            </w:tcBorders>
            <w:noWrap w:val="0"/>
            <w:vAlign w:val="top"/>
          </w:tcPr>
          <w:p w14:paraId="3F9B86D7">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3908FAFC">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40FB7150">
            <w:pPr>
              <w:pStyle w:val="17"/>
              <w:keepNext w:val="0"/>
              <w:keepLines w:val="0"/>
              <w:pageBreakBefore w:val="0"/>
              <w:kinsoku/>
              <w:wordWrap/>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color w:val="auto"/>
                <w:spacing w:val="0"/>
                <w:kern w:val="21"/>
                <w:sz w:val="24"/>
                <w:szCs w:val="24"/>
              </w:rPr>
              <w:t>制造、销售和进口50台（件）以上的。</w:t>
            </w:r>
          </w:p>
        </w:tc>
        <w:tc>
          <w:tcPr>
            <w:tcW w:w="3382" w:type="dxa"/>
            <w:noWrap w:val="0"/>
            <w:vAlign w:val="center"/>
          </w:tcPr>
          <w:p w14:paraId="6B6787FD">
            <w:pPr>
              <w:pStyle w:val="17"/>
              <w:keepNext w:val="0"/>
              <w:keepLines w:val="0"/>
              <w:pageBreakBefore w:val="0"/>
              <w:widowControl w:val="0"/>
              <w:kinsoku/>
              <w:wordWrap/>
              <w:overflowPunct/>
              <w:topLinePunct w:val="0"/>
              <w:autoSpaceDE/>
              <w:autoSpaceDN/>
              <w:bidi w:val="0"/>
              <w:adjustRightInd/>
              <w:snapToGrid/>
              <w:spacing w:line="420" w:lineRule="exact"/>
              <w:ind w:left="63" w:leftChars="30" w:right="63" w:rightChars="30"/>
              <w:jc w:val="both"/>
              <w:textAlignment w:val="auto"/>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color w:val="auto"/>
                <w:spacing w:val="0"/>
                <w:kern w:val="21"/>
                <w:sz w:val="24"/>
                <w:szCs w:val="24"/>
              </w:rPr>
              <w:t>责令其停止制造、销售和进口，没收计量器具和全部违法所得，可并处相当其违法所得</w:t>
            </w:r>
            <w:r>
              <w:rPr>
                <w:rFonts w:hint="eastAsia" w:ascii="宋体" w:hAnsi="宋体" w:eastAsia="宋体" w:cs="宋体"/>
                <w:b w:val="0"/>
                <w:bCs w:val="0"/>
                <w:color w:val="auto"/>
                <w:spacing w:val="0"/>
                <w:kern w:val="21"/>
                <w:sz w:val="24"/>
                <w:szCs w:val="24"/>
                <w:lang w:val="en-US" w:eastAsia="zh-CN"/>
              </w:rPr>
              <w:t>40</w:t>
            </w:r>
            <w:r>
              <w:rPr>
                <w:rFonts w:hint="eastAsia" w:ascii="宋体" w:hAnsi="宋体" w:eastAsia="宋体" w:cs="宋体"/>
                <w:b w:val="0"/>
                <w:bCs w:val="0"/>
                <w:color w:val="auto"/>
                <w:spacing w:val="0"/>
                <w:kern w:val="21"/>
                <w:sz w:val="24"/>
                <w:szCs w:val="24"/>
              </w:rPr>
              <w:t>%以上50%以下的罚款。</w:t>
            </w:r>
          </w:p>
        </w:tc>
      </w:tr>
      <w:tr w14:paraId="77EDD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5" w:hRule="atLeast"/>
          <w:jc w:val="center"/>
        </w:trPr>
        <w:tc>
          <w:tcPr>
            <w:tcW w:w="640" w:type="dxa"/>
            <w:vMerge w:val="restart"/>
            <w:tcBorders>
              <w:top w:val="nil"/>
            </w:tcBorders>
            <w:noWrap w:val="0"/>
            <w:vAlign w:val="center"/>
          </w:tcPr>
          <w:p w14:paraId="1304C65C">
            <w:pPr>
              <w:keepNext w:val="0"/>
              <w:keepLines w:val="0"/>
              <w:widowControl/>
              <w:suppressLineNumbers w:val="0"/>
              <w:jc w:val="center"/>
              <w:textAlignment w:val="center"/>
              <w:rPr>
                <w:rFonts w:hint="eastAsia" w:ascii="宋体" w:hAnsi="宋体" w:eastAsia="宋体" w:cs="宋体"/>
                <w:b w:val="0"/>
                <w:bCs w:val="0"/>
                <w:color w:val="auto"/>
                <w:spacing w:val="6"/>
                <w:kern w:val="21"/>
                <w:sz w:val="24"/>
                <w:szCs w:val="24"/>
                <w:lang w:val="zh-CN" w:bidi="zh-CN"/>
              </w:rPr>
            </w:pPr>
            <w:r>
              <w:rPr>
                <w:rFonts w:hint="eastAsia" w:ascii="宋体" w:hAnsi="宋体" w:eastAsia="宋体" w:cs="宋体"/>
                <w:i w:val="0"/>
                <w:color w:val="auto"/>
                <w:spacing w:val="6"/>
                <w:kern w:val="21"/>
                <w:sz w:val="24"/>
                <w:szCs w:val="24"/>
                <w:u w:val="none"/>
                <w:lang w:val="zh-CN" w:eastAsia="zh-CN" w:bidi="zh-CN"/>
              </w:rPr>
              <w:t>11</w:t>
            </w:r>
            <w:r>
              <w:rPr>
                <w:rFonts w:hint="eastAsia" w:ascii="宋体" w:hAnsi="宋体" w:cs="宋体"/>
                <w:i w:val="0"/>
                <w:color w:val="auto"/>
                <w:spacing w:val="6"/>
                <w:kern w:val="21"/>
                <w:sz w:val="24"/>
                <w:szCs w:val="24"/>
                <w:u w:val="none"/>
                <w:lang w:val="en-US" w:eastAsia="zh-CN" w:bidi="zh-CN"/>
              </w:rPr>
              <w:t>7</w:t>
            </w:r>
          </w:p>
        </w:tc>
        <w:tc>
          <w:tcPr>
            <w:tcW w:w="1793" w:type="dxa"/>
            <w:vMerge w:val="restart"/>
            <w:tcBorders>
              <w:top w:val="nil"/>
            </w:tcBorders>
            <w:noWrap w:val="0"/>
            <w:vAlign w:val="center"/>
          </w:tcPr>
          <w:p w14:paraId="1FDB15D2">
            <w:pPr>
              <w:keepNext w:val="0"/>
              <w:keepLines w:val="0"/>
              <w:widowControl/>
              <w:suppressLineNumbers w:val="0"/>
              <w:ind w:left="105" w:leftChars="50"/>
              <w:jc w:val="left"/>
              <w:textAlignment w:val="center"/>
              <w:rPr>
                <w:rFonts w:hint="eastAsia" w:ascii="宋体" w:hAnsi="宋体" w:eastAsia="宋体" w:cs="宋体"/>
                <w:b w:val="0"/>
                <w:bCs w:val="0"/>
                <w:color w:val="auto"/>
                <w:spacing w:val="6"/>
                <w:kern w:val="21"/>
                <w:sz w:val="24"/>
                <w:szCs w:val="24"/>
                <w:lang w:val="zh-CN" w:bidi="zh-CN"/>
              </w:rPr>
            </w:pPr>
            <w:r>
              <w:rPr>
                <w:rFonts w:hint="eastAsia" w:ascii="宋体" w:hAnsi="宋体" w:eastAsia="宋体" w:cs="宋体"/>
                <w:i w:val="0"/>
                <w:color w:val="auto"/>
                <w:spacing w:val="6"/>
                <w:kern w:val="21"/>
                <w:sz w:val="24"/>
                <w:szCs w:val="24"/>
                <w:u w:val="none"/>
                <w:lang w:val="zh-CN" w:eastAsia="zh-CN" w:bidi="zh-CN"/>
              </w:rPr>
              <w:t>《中华人民共和国计量法实施细则》</w:t>
            </w:r>
          </w:p>
        </w:tc>
        <w:tc>
          <w:tcPr>
            <w:tcW w:w="4193" w:type="dxa"/>
            <w:vMerge w:val="restart"/>
            <w:tcBorders>
              <w:top w:val="nil"/>
            </w:tcBorders>
            <w:noWrap w:val="0"/>
            <w:vAlign w:val="center"/>
          </w:tcPr>
          <w:p w14:paraId="56882769">
            <w:pPr>
              <w:pStyle w:val="17"/>
              <w:spacing w:line="400" w:lineRule="exact"/>
              <w:ind w:left="63" w:leftChars="30" w:right="63" w:rightChars="30"/>
              <w:jc w:val="both"/>
              <w:rPr>
                <w:rFonts w:hint="eastAsia" w:ascii="宋体" w:hAnsi="宋体" w:eastAsia="宋体" w:cs="宋体"/>
                <w:b w:val="0"/>
                <w:bCs w:val="0"/>
                <w:color w:val="auto"/>
                <w:spacing w:val="6"/>
                <w:kern w:val="21"/>
                <w:sz w:val="24"/>
                <w:szCs w:val="24"/>
                <w:lang w:val="zh-CN" w:bidi="zh-CN"/>
              </w:rPr>
            </w:pPr>
            <w:r>
              <w:rPr>
                <w:rFonts w:hint="eastAsia" w:ascii="宋体" w:hAnsi="宋体" w:eastAsia="宋体" w:cs="宋体"/>
                <w:i w:val="0"/>
                <w:color w:val="auto"/>
                <w:spacing w:val="6"/>
                <w:kern w:val="21"/>
                <w:sz w:val="24"/>
                <w:szCs w:val="24"/>
                <w:u w:val="none"/>
                <w:lang w:val="zh-CN" w:eastAsia="zh-CN" w:bidi="zh-CN"/>
              </w:rPr>
              <w:t>第四十三条</w:t>
            </w:r>
            <w:r>
              <w:rPr>
                <w:rFonts w:hint="eastAsia" w:ascii="宋体" w:hAnsi="宋体" w:cs="宋体"/>
                <w:i w:val="0"/>
                <w:color w:val="auto"/>
                <w:spacing w:val="6"/>
                <w:kern w:val="21"/>
                <w:sz w:val="24"/>
                <w:szCs w:val="24"/>
                <w:u w:val="none"/>
                <w:lang w:val="zh-CN" w:eastAsia="zh-CN" w:bidi="zh-CN"/>
              </w:rPr>
              <w:t xml:space="preserve"> </w:t>
            </w:r>
            <w:r>
              <w:rPr>
                <w:rFonts w:hint="eastAsia" w:ascii="宋体" w:hAnsi="宋体" w:eastAsia="宋体" w:cs="宋体"/>
                <w:i w:val="0"/>
                <w:color w:val="auto"/>
                <w:spacing w:val="6"/>
                <w:kern w:val="21"/>
                <w:sz w:val="24"/>
                <w:szCs w:val="24"/>
                <w:u w:val="none"/>
                <w:lang w:val="zh-CN" w:eastAsia="zh-CN" w:bidi="zh-CN"/>
              </w:rPr>
              <w:t>属于强制检定范围的计量器具，未按照规定申请检定和属于非强制检定范围的计量器具未自行定期检定或者送其他计量检定机构定期检定的，以及经检定不合格继续使用的，责令其停止使用，可并处1000元以下的罚款。</w:t>
            </w:r>
          </w:p>
        </w:tc>
        <w:tc>
          <w:tcPr>
            <w:tcW w:w="1132" w:type="dxa"/>
            <w:noWrap w:val="0"/>
            <w:vAlign w:val="center"/>
          </w:tcPr>
          <w:p w14:paraId="44B8B544">
            <w:pPr>
              <w:keepNext w:val="0"/>
              <w:keepLines w:val="0"/>
              <w:widowControl/>
              <w:suppressLineNumbers w:val="0"/>
              <w:jc w:val="center"/>
              <w:textAlignment w:val="center"/>
              <w:rPr>
                <w:rFonts w:hint="eastAsia" w:ascii="宋体" w:hAnsi="宋体" w:eastAsia="宋体" w:cs="宋体"/>
                <w:b w:val="0"/>
                <w:bCs w:val="0"/>
                <w:color w:val="auto"/>
                <w:spacing w:val="6"/>
                <w:kern w:val="21"/>
                <w:sz w:val="24"/>
                <w:szCs w:val="24"/>
                <w:lang w:val="zh-CN" w:bidi="zh-CN"/>
              </w:rPr>
            </w:pPr>
            <w:r>
              <w:rPr>
                <w:rFonts w:hint="eastAsia" w:ascii="宋体" w:hAnsi="宋体" w:eastAsia="宋体" w:cs="宋体"/>
                <w:i w:val="0"/>
                <w:color w:val="auto"/>
                <w:spacing w:val="6"/>
                <w:kern w:val="21"/>
                <w:sz w:val="24"/>
                <w:szCs w:val="24"/>
                <w:u w:val="none"/>
                <w:lang w:val="zh-CN" w:eastAsia="zh-CN" w:bidi="zh-CN"/>
              </w:rPr>
              <w:t>较轻</w:t>
            </w:r>
          </w:p>
        </w:tc>
        <w:tc>
          <w:tcPr>
            <w:tcW w:w="3165" w:type="dxa"/>
            <w:noWrap w:val="0"/>
            <w:vAlign w:val="center"/>
          </w:tcPr>
          <w:p w14:paraId="37E27ED7">
            <w:pPr>
              <w:keepNext w:val="0"/>
              <w:keepLines w:val="0"/>
              <w:widowControl/>
              <w:suppressLineNumbers w:val="0"/>
              <w:ind w:left="105" w:leftChars="50"/>
              <w:jc w:val="both"/>
              <w:textAlignment w:val="center"/>
              <w:rPr>
                <w:rFonts w:hint="eastAsia" w:ascii="宋体" w:hAnsi="宋体" w:eastAsia="宋体" w:cs="宋体"/>
                <w:b w:val="0"/>
                <w:bCs w:val="0"/>
                <w:color w:val="auto"/>
                <w:spacing w:val="6"/>
                <w:kern w:val="21"/>
                <w:sz w:val="24"/>
                <w:szCs w:val="24"/>
                <w:lang w:val="zh-CN" w:bidi="zh-CN"/>
              </w:rPr>
            </w:pPr>
            <w:r>
              <w:rPr>
                <w:rFonts w:hint="eastAsia" w:ascii="宋体" w:hAnsi="宋体" w:eastAsia="宋体" w:cs="宋体"/>
                <w:i w:val="0"/>
                <w:color w:val="auto"/>
                <w:spacing w:val="6"/>
                <w:kern w:val="21"/>
                <w:sz w:val="24"/>
                <w:szCs w:val="24"/>
                <w:u w:val="none"/>
                <w:lang w:val="zh-CN" w:eastAsia="zh-CN" w:bidi="zh-CN"/>
              </w:rPr>
              <w:t>涉案计量器具1台以上不足3台</w:t>
            </w:r>
            <w:r>
              <w:rPr>
                <w:rFonts w:hint="eastAsia" w:ascii="宋体" w:hAnsi="宋体" w:cs="宋体"/>
                <w:i w:val="0"/>
                <w:color w:val="auto"/>
                <w:spacing w:val="6"/>
                <w:kern w:val="21"/>
                <w:sz w:val="24"/>
                <w:szCs w:val="24"/>
                <w:u w:val="none"/>
                <w:lang w:val="zh-CN" w:eastAsia="zh-CN" w:bidi="zh-CN"/>
              </w:rPr>
              <w:t>。</w:t>
            </w:r>
          </w:p>
        </w:tc>
        <w:tc>
          <w:tcPr>
            <w:tcW w:w="3382" w:type="dxa"/>
            <w:noWrap w:val="0"/>
            <w:vAlign w:val="center"/>
          </w:tcPr>
          <w:p w14:paraId="049EC53F">
            <w:pPr>
              <w:keepNext w:val="0"/>
              <w:keepLines w:val="0"/>
              <w:widowControl/>
              <w:suppressLineNumbers w:val="0"/>
              <w:ind w:left="105" w:leftChars="50"/>
              <w:jc w:val="left"/>
              <w:textAlignment w:val="center"/>
              <w:rPr>
                <w:rFonts w:hint="eastAsia" w:ascii="宋体" w:hAnsi="宋体" w:eastAsia="宋体" w:cs="宋体"/>
                <w:b w:val="0"/>
                <w:bCs w:val="0"/>
                <w:color w:val="auto"/>
                <w:spacing w:val="6"/>
                <w:kern w:val="21"/>
                <w:sz w:val="24"/>
                <w:szCs w:val="24"/>
                <w:lang w:val="zh-CN" w:bidi="zh-CN"/>
              </w:rPr>
            </w:pPr>
            <w:r>
              <w:rPr>
                <w:rFonts w:hint="eastAsia" w:ascii="宋体" w:hAnsi="宋体" w:eastAsia="宋体" w:cs="宋体"/>
                <w:i w:val="0"/>
                <w:color w:val="auto"/>
                <w:spacing w:val="6"/>
                <w:kern w:val="21"/>
                <w:sz w:val="24"/>
                <w:szCs w:val="24"/>
                <w:u w:val="none"/>
                <w:lang w:val="zh-CN" w:eastAsia="zh-CN" w:bidi="zh-CN"/>
              </w:rPr>
              <w:t>责令改正，处300元以下罚款。</w:t>
            </w:r>
          </w:p>
        </w:tc>
      </w:tr>
      <w:tr w14:paraId="310CB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jc w:val="center"/>
        </w:trPr>
        <w:tc>
          <w:tcPr>
            <w:tcW w:w="640" w:type="dxa"/>
            <w:vMerge w:val="continue"/>
            <w:noWrap w:val="0"/>
            <w:vAlign w:val="center"/>
          </w:tcPr>
          <w:p w14:paraId="1EF13B5D">
            <w:pPr>
              <w:jc w:val="center"/>
              <w:rPr>
                <w:rFonts w:hint="eastAsia" w:ascii="宋体" w:hAnsi="宋体" w:eastAsia="宋体" w:cs="宋体"/>
                <w:b w:val="0"/>
                <w:bCs w:val="0"/>
                <w:color w:val="auto"/>
                <w:spacing w:val="6"/>
                <w:kern w:val="21"/>
                <w:sz w:val="24"/>
                <w:szCs w:val="24"/>
                <w:lang w:val="zh-CN" w:bidi="zh-CN"/>
              </w:rPr>
            </w:pPr>
          </w:p>
        </w:tc>
        <w:tc>
          <w:tcPr>
            <w:tcW w:w="1793" w:type="dxa"/>
            <w:vMerge w:val="continue"/>
            <w:noWrap w:val="0"/>
            <w:vAlign w:val="center"/>
          </w:tcPr>
          <w:p w14:paraId="11562180">
            <w:pPr>
              <w:jc w:val="center"/>
              <w:rPr>
                <w:rFonts w:hint="eastAsia" w:ascii="宋体" w:hAnsi="宋体" w:eastAsia="宋体" w:cs="宋体"/>
                <w:b w:val="0"/>
                <w:bCs w:val="0"/>
                <w:color w:val="auto"/>
                <w:spacing w:val="6"/>
                <w:kern w:val="21"/>
                <w:sz w:val="24"/>
                <w:szCs w:val="24"/>
                <w:lang w:val="zh-CN" w:bidi="zh-CN"/>
              </w:rPr>
            </w:pPr>
          </w:p>
        </w:tc>
        <w:tc>
          <w:tcPr>
            <w:tcW w:w="4193" w:type="dxa"/>
            <w:vMerge w:val="continue"/>
            <w:tcBorders>
              <w:top w:val="nil"/>
            </w:tcBorders>
            <w:noWrap w:val="0"/>
            <w:vAlign w:val="center"/>
          </w:tcPr>
          <w:p w14:paraId="63CE1EF6">
            <w:pPr>
              <w:jc w:val="left"/>
              <w:rPr>
                <w:rFonts w:hint="eastAsia" w:ascii="宋体" w:hAnsi="宋体" w:eastAsia="宋体" w:cs="宋体"/>
                <w:b w:val="0"/>
                <w:bCs w:val="0"/>
                <w:color w:val="auto"/>
                <w:spacing w:val="6"/>
                <w:kern w:val="21"/>
                <w:sz w:val="24"/>
                <w:szCs w:val="24"/>
                <w:lang w:val="zh-CN" w:bidi="zh-CN"/>
              </w:rPr>
            </w:pPr>
          </w:p>
        </w:tc>
        <w:tc>
          <w:tcPr>
            <w:tcW w:w="1132" w:type="dxa"/>
            <w:noWrap w:val="0"/>
            <w:vAlign w:val="center"/>
          </w:tcPr>
          <w:p w14:paraId="7C93A497">
            <w:pPr>
              <w:keepNext w:val="0"/>
              <w:keepLines w:val="0"/>
              <w:widowControl/>
              <w:suppressLineNumbers w:val="0"/>
              <w:jc w:val="center"/>
              <w:textAlignment w:val="center"/>
              <w:rPr>
                <w:rFonts w:hint="eastAsia" w:ascii="宋体" w:hAnsi="宋体" w:eastAsia="宋体" w:cs="宋体"/>
                <w:b w:val="0"/>
                <w:bCs w:val="0"/>
                <w:color w:val="auto"/>
                <w:spacing w:val="6"/>
                <w:kern w:val="21"/>
                <w:sz w:val="24"/>
                <w:szCs w:val="24"/>
                <w:lang w:val="zh-CN" w:bidi="zh-CN"/>
              </w:rPr>
            </w:pPr>
            <w:r>
              <w:rPr>
                <w:rFonts w:hint="eastAsia" w:ascii="宋体" w:hAnsi="宋体" w:eastAsia="宋体" w:cs="宋体"/>
                <w:i w:val="0"/>
                <w:color w:val="auto"/>
                <w:spacing w:val="6"/>
                <w:kern w:val="21"/>
                <w:sz w:val="24"/>
                <w:szCs w:val="24"/>
                <w:u w:val="none"/>
                <w:lang w:val="zh-CN" w:eastAsia="zh-CN" w:bidi="zh-CN"/>
              </w:rPr>
              <w:t>一般</w:t>
            </w:r>
          </w:p>
        </w:tc>
        <w:tc>
          <w:tcPr>
            <w:tcW w:w="3165" w:type="dxa"/>
            <w:noWrap w:val="0"/>
            <w:vAlign w:val="center"/>
          </w:tcPr>
          <w:p w14:paraId="50CF5C53">
            <w:pPr>
              <w:keepNext w:val="0"/>
              <w:keepLines w:val="0"/>
              <w:widowControl/>
              <w:suppressLineNumbers w:val="0"/>
              <w:ind w:left="105" w:leftChars="50"/>
              <w:jc w:val="both"/>
              <w:textAlignment w:val="center"/>
              <w:rPr>
                <w:rFonts w:hint="eastAsia" w:ascii="宋体" w:hAnsi="宋体" w:eastAsia="宋体" w:cs="宋体"/>
                <w:b w:val="0"/>
                <w:bCs w:val="0"/>
                <w:color w:val="auto"/>
                <w:spacing w:val="6"/>
                <w:kern w:val="21"/>
                <w:sz w:val="24"/>
                <w:szCs w:val="24"/>
                <w:lang w:val="zh-CN" w:bidi="zh-CN"/>
              </w:rPr>
            </w:pPr>
            <w:r>
              <w:rPr>
                <w:rFonts w:hint="eastAsia" w:ascii="宋体" w:hAnsi="宋体" w:eastAsia="宋体" w:cs="宋体"/>
                <w:i w:val="0"/>
                <w:color w:val="auto"/>
                <w:spacing w:val="6"/>
                <w:kern w:val="21"/>
                <w:sz w:val="24"/>
                <w:szCs w:val="24"/>
                <w:u w:val="none"/>
                <w:lang w:val="zh-CN" w:eastAsia="zh-CN" w:bidi="zh-CN"/>
              </w:rPr>
              <w:t>涉案计量器具数量3台以上不足10台</w:t>
            </w:r>
            <w:r>
              <w:rPr>
                <w:rFonts w:hint="eastAsia" w:ascii="宋体" w:hAnsi="宋体" w:cs="宋体"/>
                <w:i w:val="0"/>
                <w:color w:val="auto"/>
                <w:spacing w:val="6"/>
                <w:kern w:val="21"/>
                <w:sz w:val="24"/>
                <w:szCs w:val="24"/>
                <w:u w:val="none"/>
                <w:lang w:val="zh-CN" w:eastAsia="zh-CN" w:bidi="zh-CN"/>
              </w:rPr>
              <w:t>。</w:t>
            </w:r>
          </w:p>
        </w:tc>
        <w:tc>
          <w:tcPr>
            <w:tcW w:w="3382" w:type="dxa"/>
            <w:noWrap w:val="0"/>
            <w:vAlign w:val="center"/>
          </w:tcPr>
          <w:p w14:paraId="7286BE8F">
            <w:pPr>
              <w:keepNext w:val="0"/>
              <w:keepLines w:val="0"/>
              <w:widowControl/>
              <w:suppressLineNumbers w:val="0"/>
              <w:ind w:left="105" w:leftChars="50"/>
              <w:jc w:val="left"/>
              <w:textAlignment w:val="center"/>
              <w:rPr>
                <w:rFonts w:hint="eastAsia" w:ascii="宋体" w:hAnsi="宋体" w:eastAsia="宋体" w:cs="宋体"/>
                <w:b w:val="0"/>
                <w:bCs w:val="0"/>
                <w:color w:val="auto"/>
                <w:spacing w:val="6"/>
                <w:kern w:val="21"/>
                <w:sz w:val="24"/>
                <w:szCs w:val="24"/>
                <w:lang w:val="zh-CN" w:bidi="zh-CN"/>
              </w:rPr>
            </w:pPr>
            <w:r>
              <w:rPr>
                <w:rFonts w:hint="eastAsia" w:ascii="宋体" w:hAnsi="宋体" w:eastAsia="宋体" w:cs="宋体"/>
                <w:i w:val="0"/>
                <w:color w:val="auto"/>
                <w:spacing w:val="6"/>
                <w:kern w:val="21"/>
                <w:sz w:val="24"/>
                <w:szCs w:val="24"/>
                <w:u w:val="none"/>
                <w:lang w:val="zh-CN" w:eastAsia="zh-CN" w:bidi="zh-CN"/>
              </w:rPr>
              <w:t>责令改正，处300元以上700元以下罚款。</w:t>
            </w:r>
          </w:p>
        </w:tc>
      </w:tr>
      <w:tr w14:paraId="61CBF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2" w:hRule="atLeast"/>
          <w:jc w:val="center"/>
        </w:trPr>
        <w:tc>
          <w:tcPr>
            <w:tcW w:w="640" w:type="dxa"/>
            <w:vMerge w:val="continue"/>
            <w:noWrap w:val="0"/>
            <w:vAlign w:val="center"/>
          </w:tcPr>
          <w:p w14:paraId="352A792E">
            <w:pPr>
              <w:jc w:val="center"/>
              <w:rPr>
                <w:rFonts w:hint="eastAsia" w:ascii="宋体" w:hAnsi="宋体" w:eastAsia="宋体" w:cs="宋体"/>
                <w:b w:val="0"/>
                <w:bCs w:val="0"/>
                <w:color w:val="auto"/>
                <w:spacing w:val="6"/>
                <w:kern w:val="21"/>
                <w:sz w:val="24"/>
                <w:szCs w:val="24"/>
                <w:lang w:val="zh-CN" w:bidi="zh-CN"/>
              </w:rPr>
            </w:pPr>
          </w:p>
        </w:tc>
        <w:tc>
          <w:tcPr>
            <w:tcW w:w="1793" w:type="dxa"/>
            <w:vMerge w:val="continue"/>
            <w:noWrap w:val="0"/>
            <w:vAlign w:val="center"/>
          </w:tcPr>
          <w:p w14:paraId="3FE465C8">
            <w:pPr>
              <w:jc w:val="center"/>
              <w:rPr>
                <w:rFonts w:hint="eastAsia" w:ascii="宋体" w:hAnsi="宋体" w:eastAsia="宋体" w:cs="宋体"/>
                <w:b w:val="0"/>
                <w:bCs w:val="0"/>
                <w:color w:val="auto"/>
                <w:spacing w:val="6"/>
                <w:kern w:val="21"/>
                <w:sz w:val="24"/>
                <w:szCs w:val="24"/>
                <w:lang w:val="zh-CN" w:bidi="zh-CN"/>
              </w:rPr>
            </w:pPr>
          </w:p>
        </w:tc>
        <w:tc>
          <w:tcPr>
            <w:tcW w:w="4193" w:type="dxa"/>
            <w:vMerge w:val="continue"/>
            <w:tcBorders>
              <w:top w:val="nil"/>
            </w:tcBorders>
            <w:noWrap w:val="0"/>
            <w:vAlign w:val="center"/>
          </w:tcPr>
          <w:p w14:paraId="34A72576">
            <w:pPr>
              <w:jc w:val="left"/>
              <w:rPr>
                <w:rFonts w:hint="eastAsia" w:ascii="宋体" w:hAnsi="宋体" w:eastAsia="宋体" w:cs="宋体"/>
                <w:b w:val="0"/>
                <w:bCs w:val="0"/>
                <w:color w:val="auto"/>
                <w:spacing w:val="6"/>
                <w:kern w:val="21"/>
                <w:sz w:val="24"/>
                <w:szCs w:val="24"/>
                <w:lang w:val="zh-CN" w:bidi="zh-CN"/>
              </w:rPr>
            </w:pPr>
          </w:p>
        </w:tc>
        <w:tc>
          <w:tcPr>
            <w:tcW w:w="1132" w:type="dxa"/>
            <w:noWrap w:val="0"/>
            <w:vAlign w:val="center"/>
          </w:tcPr>
          <w:p w14:paraId="73CEF051">
            <w:pPr>
              <w:keepNext w:val="0"/>
              <w:keepLines w:val="0"/>
              <w:widowControl/>
              <w:suppressLineNumbers w:val="0"/>
              <w:jc w:val="center"/>
              <w:textAlignment w:val="center"/>
              <w:rPr>
                <w:rFonts w:hint="eastAsia" w:ascii="宋体" w:hAnsi="宋体" w:eastAsia="宋体" w:cs="宋体"/>
                <w:b w:val="0"/>
                <w:bCs w:val="0"/>
                <w:color w:val="auto"/>
                <w:spacing w:val="6"/>
                <w:kern w:val="21"/>
                <w:sz w:val="24"/>
                <w:szCs w:val="24"/>
                <w:lang w:val="zh-CN" w:bidi="zh-CN"/>
              </w:rPr>
            </w:pPr>
            <w:r>
              <w:rPr>
                <w:rFonts w:hint="eastAsia" w:ascii="宋体" w:hAnsi="宋体" w:eastAsia="宋体" w:cs="宋体"/>
                <w:i w:val="0"/>
                <w:color w:val="auto"/>
                <w:spacing w:val="6"/>
                <w:kern w:val="21"/>
                <w:sz w:val="24"/>
                <w:szCs w:val="24"/>
                <w:u w:val="none"/>
                <w:lang w:val="zh-CN" w:eastAsia="zh-CN" w:bidi="zh-CN"/>
              </w:rPr>
              <w:t>较重</w:t>
            </w:r>
          </w:p>
        </w:tc>
        <w:tc>
          <w:tcPr>
            <w:tcW w:w="3165" w:type="dxa"/>
            <w:noWrap w:val="0"/>
            <w:vAlign w:val="center"/>
          </w:tcPr>
          <w:p w14:paraId="271D3EF2">
            <w:pPr>
              <w:keepNext w:val="0"/>
              <w:keepLines w:val="0"/>
              <w:widowControl/>
              <w:suppressLineNumbers w:val="0"/>
              <w:ind w:left="105" w:leftChars="50"/>
              <w:jc w:val="both"/>
              <w:textAlignment w:val="center"/>
              <w:rPr>
                <w:rFonts w:hint="eastAsia" w:ascii="宋体" w:hAnsi="宋体" w:eastAsia="宋体" w:cs="宋体"/>
                <w:b w:val="0"/>
                <w:bCs w:val="0"/>
                <w:color w:val="auto"/>
                <w:spacing w:val="6"/>
                <w:kern w:val="21"/>
                <w:sz w:val="24"/>
                <w:szCs w:val="24"/>
                <w:lang w:val="zh-CN" w:bidi="zh-CN"/>
              </w:rPr>
            </w:pPr>
            <w:r>
              <w:rPr>
                <w:rFonts w:hint="eastAsia" w:ascii="宋体" w:hAnsi="宋体" w:eastAsia="宋体" w:cs="宋体"/>
                <w:i w:val="0"/>
                <w:color w:val="auto"/>
                <w:spacing w:val="6"/>
                <w:kern w:val="21"/>
                <w:sz w:val="24"/>
                <w:szCs w:val="24"/>
                <w:u w:val="none"/>
                <w:lang w:val="zh-CN" w:eastAsia="zh-CN" w:bidi="zh-CN"/>
              </w:rPr>
              <w:t>涉案计量器具数量10台以上</w:t>
            </w:r>
            <w:r>
              <w:rPr>
                <w:rFonts w:hint="eastAsia" w:ascii="宋体" w:hAnsi="宋体" w:cs="宋体"/>
                <w:i w:val="0"/>
                <w:color w:val="auto"/>
                <w:spacing w:val="6"/>
                <w:kern w:val="21"/>
                <w:sz w:val="24"/>
                <w:szCs w:val="24"/>
                <w:u w:val="none"/>
                <w:lang w:val="zh-CN" w:eastAsia="zh-CN" w:bidi="zh-CN"/>
              </w:rPr>
              <w:t>。</w:t>
            </w:r>
          </w:p>
        </w:tc>
        <w:tc>
          <w:tcPr>
            <w:tcW w:w="3382" w:type="dxa"/>
            <w:noWrap w:val="0"/>
            <w:vAlign w:val="center"/>
          </w:tcPr>
          <w:p w14:paraId="2221FCA5">
            <w:pPr>
              <w:keepNext w:val="0"/>
              <w:keepLines w:val="0"/>
              <w:widowControl/>
              <w:suppressLineNumbers w:val="0"/>
              <w:ind w:left="105" w:leftChars="50"/>
              <w:jc w:val="left"/>
              <w:textAlignment w:val="center"/>
              <w:rPr>
                <w:rFonts w:hint="eastAsia" w:ascii="宋体" w:hAnsi="宋体" w:eastAsia="宋体" w:cs="宋体"/>
                <w:b w:val="0"/>
                <w:bCs w:val="0"/>
                <w:color w:val="auto"/>
                <w:spacing w:val="6"/>
                <w:kern w:val="21"/>
                <w:sz w:val="24"/>
                <w:szCs w:val="24"/>
                <w:lang w:val="zh-CN" w:bidi="zh-CN"/>
              </w:rPr>
            </w:pPr>
            <w:r>
              <w:rPr>
                <w:rFonts w:hint="eastAsia" w:ascii="宋体" w:hAnsi="宋体" w:eastAsia="宋体" w:cs="宋体"/>
                <w:i w:val="0"/>
                <w:color w:val="auto"/>
                <w:spacing w:val="6"/>
                <w:kern w:val="21"/>
                <w:sz w:val="24"/>
                <w:szCs w:val="24"/>
                <w:u w:val="none"/>
                <w:lang w:val="zh-CN" w:eastAsia="zh-CN" w:bidi="zh-CN"/>
              </w:rPr>
              <w:t>责令改正，处700元以上1000元以下罚款。</w:t>
            </w:r>
          </w:p>
        </w:tc>
      </w:tr>
      <w:tr w14:paraId="3D5AD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exact"/>
          <w:jc w:val="center"/>
        </w:trPr>
        <w:tc>
          <w:tcPr>
            <w:tcW w:w="640" w:type="dxa"/>
            <w:vMerge w:val="restart"/>
            <w:noWrap w:val="0"/>
            <w:vAlign w:val="center"/>
          </w:tcPr>
          <w:p w14:paraId="468BFC58">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lang w:val="en-US" w:eastAsia="zh-CN"/>
              </w:rPr>
            </w:pPr>
            <w:r>
              <w:rPr>
                <w:rFonts w:hint="eastAsia" w:ascii="宋体" w:hAnsi="宋体" w:eastAsia="宋体" w:cs="宋体"/>
                <w:b w:val="0"/>
                <w:bCs w:val="0"/>
                <w:color w:val="auto"/>
                <w:spacing w:val="6"/>
                <w:kern w:val="21"/>
                <w:sz w:val="24"/>
                <w:szCs w:val="24"/>
                <w:lang w:val="en-US" w:eastAsia="zh-CN"/>
              </w:rPr>
              <w:t>11</w:t>
            </w:r>
            <w:r>
              <w:rPr>
                <w:rFonts w:hint="eastAsia" w:cs="宋体"/>
                <w:b w:val="0"/>
                <w:bCs w:val="0"/>
                <w:color w:val="auto"/>
                <w:spacing w:val="6"/>
                <w:kern w:val="21"/>
                <w:sz w:val="24"/>
                <w:szCs w:val="24"/>
                <w:lang w:val="en-US" w:eastAsia="zh-CN"/>
              </w:rPr>
              <w:t>8</w:t>
            </w:r>
          </w:p>
        </w:tc>
        <w:tc>
          <w:tcPr>
            <w:tcW w:w="1793" w:type="dxa"/>
            <w:vMerge w:val="restart"/>
            <w:noWrap w:val="0"/>
            <w:vAlign w:val="center"/>
          </w:tcPr>
          <w:p w14:paraId="4987251D">
            <w:pPr>
              <w:keepNext w:val="0"/>
              <w:keepLines w:val="0"/>
              <w:pageBreakBefore w:val="0"/>
              <w:widowControl/>
              <w:suppressLineNumbers w:val="0"/>
              <w:kinsoku/>
              <w:wordWrap/>
              <w:overflowPunct/>
              <w:topLinePunct w:val="0"/>
              <w:autoSpaceDE/>
              <w:autoSpaceDN/>
              <w:bidi w:val="0"/>
              <w:adjustRightInd/>
              <w:snapToGrid/>
              <w:spacing w:line="400" w:lineRule="exact"/>
              <w:ind w:left="63" w:leftChars="30" w:right="63" w:rightChars="30"/>
              <w:jc w:val="left"/>
              <w:textAlignment w:val="auto"/>
              <w:outlineLvl w:val="2"/>
              <w:rPr>
                <w:rFonts w:hint="eastAsia" w:ascii="宋体" w:hAnsi="宋体" w:eastAsia="宋体" w:cs="宋体"/>
                <w:b w:val="0"/>
                <w:bCs w:val="0"/>
                <w:color w:val="auto"/>
                <w:spacing w:val="6"/>
                <w:kern w:val="21"/>
                <w:sz w:val="24"/>
                <w:szCs w:val="24"/>
                <w:lang w:val="en-US" w:eastAsia="zh-CN"/>
              </w:rPr>
            </w:pPr>
            <w:bookmarkStart w:id="171" w:name="_Toc3812"/>
            <w:bookmarkStart w:id="172" w:name="_Toc28744"/>
            <w:bookmarkStart w:id="173" w:name="_Toc25321"/>
            <w:bookmarkStart w:id="174" w:name="_Toc16551"/>
            <w:bookmarkStart w:id="175" w:name="_Toc29750"/>
            <w:r>
              <w:rPr>
                <w:rFonts w:hint="eastAsia" w:ascii="宋体" w:hAnsi="宋体" w:eastAsia="宋体" w:cs="宋体"/>
                <w:b w:val="0"/>
                <w:bCs w:val="0"/>
                <w:color w:val="auto"/>
                <w:spacing w:val="6"/>
                <w:kern w:val="21"/>
                <w:sz w:val="24"/>
                <w:szCs w:val="24"/>
              </w:rPr>
              <w:t>《定量包装商品计量监督管理办法》</w:t>
            </w:r>
            <w:r>
              <w:rPr>
                <w:rFonts w:hint="eastAsia" w:ascii="宋体" w:hAnsi="宋体" w:eastAsia="宋体" w:cs="宋体"/>
                <w:b w:val="0"/>
                <w:bCs w:val="0"/>
                <w:color w:val="auto"/>
                <w:spacing w:val="6"/>
                <w:kern w:val="21"/>
                <w:sz w:val="24"/>
                <w:szCs w:val="24"/>
                <w:lang w:val="en-US" w:eastAsia="zh-CN"/>
              </w:rPr>
              <w:t>(</w:t>
            </w:r>
            <w:r>
              <w:rPr>
                <w:rFonts w:hint="eastAsia" w:ascii="宋体" w:hAnsi="宋体" w:eastAsia="宋体" w:cs="宋体"/>
                <w:spacing w:val="6"/>
                <w:kern w:val="21"/>
                <w:sz w:val="24"/>
                <w:szCs w:val="24"/>
                <w:lang w:val="en-US" w:eastAsia="zh-CN" w:bidi="ar"/>
              </w:rPr>
              <w:t>2023</w:t>
            </w:r>
            <w:r>
              <w:rPr>
                <w:rFonts w:hint="eastAsia" w:ascii="宋体" w:hAnsi="宋体" w:cs="宋体"/>
                <w:spacing w:val="6"/>
                <w:kern w:val="21"/>
                <w:sz w:val="24"/>
                <w:szCs w:val="24"/>
                <w:lang w:val="en-US" w:eastAsia="zh-CN" w:bidi="ar"/>
              </w:rPr>
              <w:t>年</w:t>
            </w:r>
            <w:r>
              <w:rPr>
                <w:rFonts w:hint="eastAsia" w:ascii="宋体" w:hAnsi="宋体" w:eastAsia="宋体" w:cs="宋体"/>
                <w:spacing w:val="6"/>
                <w:kern w:val="21"/>
                <w:sz w:val="24"/>
                <w:szCs w:val="24"/>
                <w:lang w:val="en-US" w:eastAsia="zh-CN" w:bidi="ar"/>
              </w:rPr>
              <w:t>年</w:t>
            </w:r>
            <w:r>
              <w:rPr>
                <w:rFonts w:hint="eastAsia" w:ascii="宋体" w:hAnsi="宋体" w:cs="宋体"/>
                <w:spacing w:val="6"/>
                <w:kern w:val="21"/>
                <w:sz w:val="24"/>
                <w:szCs w:val="24"/>
                <w:lang w:val="en-US" w:eastAsia="zh-CN" w:bidi="ar"/>
              </w:rPr>
              <w:t>6</w:t>
            </w:r>
            <w:r>
              <w:rPr>
                <w:rFonts w:hint="eastAsia" w:ascii="宋体" w:hAnsi="宋体" w:eastAsia="宋体" w:cs="宋体"/>
                <w:spacing w:val="6"/>
                <w:kern w:val="21"/>
                <w:sz w:val="24"/>
                <w:szCs w:val="24"/>
                <w:lang w:val="en-US" w:eastAsia="zh-CN" w:bidi="ar"/>
              </w:rPr>
              <w:t>月1日</w:t>
            </w:r>
            <w:r>
              <w:rPr>
                <w:rFonts w:hint="eastAsia" w:ascii="宋体" w:hAnsi="宋体" w:cs="宋体"/>
                <w:spacing w:val="6"/>
                <w:kern w:val="21"/>
                <w:sz w:val="24"/>
                <w:szCs w:val="24"/>
                <w:lang w:val="en-US" w:eastAsia="zh-CN" w:bidi="ar"/>
              </w:rPr>
              <w:t>起施行</w:t>
            </w:r>
            <w:r>
              <w:rPr>
                <w:rFonts w:hint="eastAsia" w:ascii="宋体" w:hAnsi="宋体" w:eastAsia="宋体" w:cs="宋体"/>
                <w:spacing w:val="6"/>
                <w:kern w:val="21"/>
                <w:sz w:val="24"/>
                <w:szCs w:val="24"/>
                <w:lang w:val="en-US" w:eastAsia="zh-CN" w:bidi="ar"/>
              </w:rPr>
              <w:t>)</w:t>
            </w:r>
            <w:bookmarkEnd w:id="171"/>
            <w:bookmarkEnd w:id="172"/>
            <w:bookmarkEnd w:id="173"/>
            <w:bookmarkEnd w:id="174"/>
            <w:bookmarkEnd w:id="175"/>
          </w:p>
        </w:tc>
        <w:tc>
          <w:tcPr>
            <w:tcW w:w="4193" w:type="dxa"/>
            <w:vMerge w:val="restart"/>
            <w:noWrap w:val="0"/>
            <w:vAlign w:val="center"/>
          </w:tcPr>
          <w:p w14:paraId="13720B56">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u w:val="none"/>
              </w:rPr>
            </w:pPr>
            <w:r>
              <w:rPr>
                <w:rFonts w:hint="eastAsia" w:ascii="宋体" w:hAnsi="宋体" w:eastAsia="宋体" w:cs="宋体"/>
                <w:b w:val="0"/>
                <w:bCs w:val="0"/>
                <w:color w:val="auto"/>
                <w:spacing w:val="6"/>
                <w:kern w:val="21"/>
                <w:sz w:val="24"/>
                <w:szCs w:val="24"/>
                <w:u w:val="none"/>
              </w:rPr>
              <w:t>第十六条</w:t>
            </w:r>
            <w:r>
              <w:rPr>
                <w:rFonts w:hint="eastAsia" w:ascii="宋体" w:hAnsi="宋体" w:eastAsia="宋体" w:cs="宋体"/>
                <w:b w:val="0"/>
                <w:bCs w:val="0"/>
                <w:color w:val="auto"/>
                <w:spacing w:val="6"/>
                <w:kern w:val="21"/>
                <w:sz w:val="24"/>
                <w:szCs w:val="24"/>
                <w:u w:val="none"/>
                <w:lang w:eastAsia="zh-CN"/>
              </w:rPr>
              <w:t>第一款</w:t>
            </w:r>
            <w:r>
              <w:rPr>
                <w:rFonts w:hint="eastAsia" w:ascii="宋体" w:hAnsi="宋体" w:eastAsia="宋体" w:cs="宋体"/>
                <w:b w:val="0"/>
                <w:bCs w:val="0"/>
                <w:color w:val="auto"/>
                <w:spacing w:val="6"/>
                <w:kern w:val="21"/>
                <w:sz w:val="24"/>
                <w:szCs w:val="24"/>
                <w:u w:val="none"/>
                <w:lang w:val="zh-CN" w:eastAsia="zh-CN"/>
              </w:rPr>
              <w:t xml:space="preserve"> </w:t>
            </w:r>
            <w:r>
              <w:rPr>
                <w:rFonts w:hint="eastAsia" w:ascii="宋体" w:hAnsi="宋体" w:eastAsia="宋体" w:cs="宋体"/>
                <w:b w:val="0"/>
                <w:bCs w:val="0"/>
                <w:color w:val="auto"/>
                <w:spacing w:val="6"/>
                <w:kern w:val="21"/>
                <w:sz w:val="24"/>
                <w:szCs w:val="24"/>
                <w:u w:val="none"/>
              </w:rPr>
              <w:t>定量包装商品生产者按要求进行自我声明，使用计量保证能力合格标志，达不到定量包装商品生产企业计量保证能力要求的，由县级以上地方市场监督管理部门责令改正，处三万元以下罚款。</w:t>
            </w:r>
          </w:p>
          <w:p w14:paraId="71048EBD">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strike/>
                <w:dstrike w:val="0"/>
                <w:color w:val="auto"/>
                <w:spacing w:val="6"/>
                <w:kern w:val="21"/>
                <w:sz w:val="24"/>
                <w:szCs w:val="24"/>
                <w:highlight w:val="yellow"/>
              </w:rPr>
            </w:pPr>
          </w:p>
        </w:tc>
        <w:tc>
          <w:tcPr>
            <w:tcW w:w="1132" w:type="dxa"/>
            <w:noWrap w:val="0"/>
            <w:vAlign w:val="center"/>
          </w:tcPr>
          <w:p w14:paraId="4DB7EEC2">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19E4F0A6">
            <w:pPr>
              <w:pStyle w:val="17"/>
              <w:keepNext w:val="0"/>
              <w:keepLines w:val="0"/>
              <w:pageBreakBefore w:val="0"/>
              <w:widowControl w:val="0"/>
              <w:kinsoku/>
              <w:wordWrap/>
              <w:overflowPunct/>
              <w:topLinePunct w:val="0"/>
              <w:autoSpaceDE/>
              <w:autoSpaceDN/>
              <w:bidi w:val="0"/>
              <w:adjustRightInd/>
              <w:snapToGrid/>
              <w:spacing w:line="420" w:lineRule="exact"/>
              <w:ind w:left="105" w:leftChars="50" w:right="63" w:rightChars="30"/>
              <w:jc w:val="both"/>
              <w:textAlignment w:val="auto"/>
              <w:rPr>
                <w:rFonts w:hint="eastAsia" w:ascii="宋体" w:hAnsi="宋体" w:eastAsia="宋体" w:cs="宋体"/>
                <w:b w:val="0"/>
                <w:bCs w:val="0"/>
                <w:color w:val="auto"/>
                <w:spacing w:val="-6"/>
                <w:kern w:val="21"/>
                <w:sz w:val="24"/>
                <w:szCs w:val="24"/>
                <w:lang w:val="en-US"/>
              </w:rPr>
            </w:pPr>
            <w:r>
              <w:rPr>
                <w:rFonts w:hint="eastAsia" w:ascii="宋体" w:hAnsi="宋体" w:eastAsia="宋体" w:cs="宋体"/>
                <w:b w:val="0"/>
                <w:bCs w:val="0"/>
                <w:color w:val="auto"/>
                <w:spacing w:val="-6"/>
                <w:kern w:val="21"/>
                <w:sz w:val="24"/>
                <w:szCs w:val="24"/>
                <w:lang w:val="en-US" w:eastAsia="zh-CN"/>
              </w:rPr>
              <w:t>使用计量保证能力合格标志，达不到定量包装商品生产企业计量保证能力要求</w:t>
            </w:r>
            <w:r>
              <w:rPr>
                <w:rFonts w:hint="default" w:cs="宋体"/>
                <w:b w:val="0"/>
                <w:bCs w:val="0"/>
                <w:color w:val="auto"/>
                <w:spacing w:val="-6"/>
                <w:kern w:val="21"/>
                <w:sz w:val="24"/>
                <w:szCs w:val="24"/>
                <w:lang w:val="en" w:eastAsia="zh-CN"/>
              </w:rPr>
              <w:t>1</w:t>
            </w:r>
            <w:r>
              <w:rPr>
                <w:rFonts w:hint="eastAsia" w:ascii="宋体" w:hAnsi="宋体" w:eastAsia="宋体" w:cs="宋体"/>
                <w:b w:val="0"/>
                <w:bCs w:val="0"/>
                <w:color w:val="auto"/>
                <w:spacing w:val="-6"/>
                <w:kern w:val="21"/>
                <w:sz w:val="24"/>
                <w:szCs w:val="24"/>
                <w:lang w:val="en-US" w:eastAsia="zh-CN"/>
              </w:rPr>
              <w:t>项的。</w:t>
            </w:r>
          </w:p>
        </w:tc>
        <w:tc>
          <w:tcPr>
            <w:tcW w:w="3382" w:type="dxa"/>
            <w:noWrap w:val="0"/>
            <w:vAlign w:val="center"/>
          </w:tcPr>
          <w:p w14:paraId="6CC4771A">
            <w:pPr>
              <w:pStyle w:val="17"/>
              <w:keepNext w:val="0"/>
              <w:keepLines w:val="0"/>
              <w:pageBreakBefore w:val="0"/>
              <w:kinsoku/>
              <w:overflowPunct/>
              <w:topLinePunct w:val="0"/>
              <w:bidi w:val="0"/>
              <w:adjustRightInd/>
              <w:snapToGrid/>
              <w:spacing w:line="400" w:lineRule="exact"/>
              <w:ind w:left="105" w:leftChars="50" w:right="63" w:rightChars="30"/>
              <w:jc w:val="both"/>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color w:val="auto"/>
                <w:spacing w:val="0"/>
                <w:kern w:val="21"/>
                <w:sz w:val="24"/>
                <w:szCs w:val="24"/>
              </w:rPr>
              <w:t>责令改正，</w:t>
            </w:r>
            <w:r>
              <w:rPr>
                <w:rFonts w:hint="eastAsia" w:ascii="宋体" w:hAnsi="宋体" w:eastAsia="宋体" w:cs="宋体"/>
                <w:b w:val="0"/>
                <w:bCs w:val="0"/>
                <w:color w:val="auto"/>
                <w:spacing w:val="0"/>
                <w:kern w:val="21"/>
                <w:sz w:val="24"/>
                <w:szCs w:val="24"/>
                <w:lang w:val="en-US" w:eastAsia="zh-CN"/>
              </w:rPr>
              <w:t>处9000元以下罚款。</w:t>
            </w:r>
          </w:p>
        </w:tc>
      </w:tr>
      <w:tr w14:paraId="653E0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0" w:hRule="exact"/>
          <w:jc w:val="center"/>
        </w:trPr>
        <w:tc>
          <w:tcPr>
            <w:tcW w:w="640" w:type="dxa"/>
            <w:vMerge w:val="continue"/>
            <w:noWrap w:val="0"/>
            <w:vAlign w:val="center"/>
          </w:tcPr>
          <w:p w14:paraId="7729AF81">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center"/>
          </w:tcPr>
          <w:p w14:paraId="09E35C65">
            <w:pPr>
              <w:pStyle w:val="17"/>
              <w:keepNext w:val="0"/>
              <w:keepLines w:val="0"/>
              <w:pageBreakBefore w:val="0"/>
              <w:widowControl w:val="0"/>
              <w:kinsoku/>
              <w:wordWrap/>
              <w:overflowPunct/>
              <w:topLinePunct w:val="0"/>
              <w:autoSpaceDE w:val="0"/>
              <w:autoSpaceDN w:val="0"/>
              <w:bidi w:val="0"/>
              <w:adjustRightInd/>
              <w:snapToGrid/>
              <w:spacing w:line="400" w:lineRule="exact"/>
              <w:ind w:left="63" w:leftChars="30" w:right="63" w:rightChars="30"/>
              <w:jc w:val="both"/>
              <w:textAlignment w:val="auto"/>
              <w:rPr>
                <w:rFonts w:hint="eastAsia" w:ascii="宋体" w:hAnsi="宋体" w:eastAsia="宋体" w:cs="宋体"/>
                <w:b w:val="0"/>
                <w:bCs w:val="0"/>
                <w:color w:val="auto"/>
                <w:spacing w:val="6"/>
                <w:kern w:val="21"/>
                <w:sz w:val="24"/>
                <w:szCs w:val="24"/>
                <w:lang w:eastAsia="zh-CN"/>
              </w:rPr>
            </w:pPr>
          </w:p>
        </w:tc>
        <w:tc>
          <w:tcPr>
            <w:tcW w:w="4193" w:type="dxa"/>
            <w:vMerge w:val="continue"/>
            <w:noWrap w:val="0"/>
            <w:vAlign w:val="center"/>
          </w:tcPr>
          <w:p w14:paraId="1FDA632B">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strike/>
                <w:dstrike w:val="0"/>
                <w:color w:val="auto"/>
                <w:spacing w:val="6"/>
                <w:kern w:val="21"/>
                <w:sz w:val="24"/>
                <w:szCs w:val="24"/>
                <w:highlight w:val="yellow"/>
              </w:rPr>
            </w:pPr>
          </w:p>
        </w:tc>
        <w:tc>
          <w:tcPr>
            <w:tcW w:w="1132" w:type="dxa"/>
            <w:noWrap w:val="0"/>
            <w:vAlign w:val="center"/>
          </w:tcPr>
          <w:p w14:paraId="0E96C7AD">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6E9E6B9B">
            <w:pPr>
              <w:pStyle w:val="17"/>
              <w:keepNext w:val="0"/>
              <w:keepLines w:val="0"/>
              <w:pageBreakBefore w:val="0"/>
              <w:widowControl w:val="0"/>
              <w:kinsoku/>
              <w:wordWrap/>
              <w:overflowPunct/>
              <w:topLinePunct w:val="0"/>
              <w:autoSpaceDE/>
              <w:autoSpaceDN/>
              <w:bidi w:val="0"/>
              <w:adjustRightInd/>
              <w:snapToGrid/>
              <w:spacing w:line="420" w:lineRule="exact"/>
              <w:ind w:left="63" w:leftChars="30" w:right="63" w:rightChars="30"/>
              <w:jc w:val="both"/>
              <w:textAlignment w:val="auto"/>
              <w:rPr>
                <w:rFonts w:hint="eastAsia" w:ascii="宋体" w:hAnsi="宋体" w:eastAsia="宋体" w:cs="宋体"/>
                <w:b w:val="0"/>
                <w:bCs w:val="0"/>
                <w:color w:val="auto"/>
                <w:spacing w:val="-6"/>
                <w:kern w:val="21"/>
                <w:sz w:val="24"/>
                <w:szCs w:val="24"/>
                <w:lang w:val="en-US" w:eastAsia="zh-CN"/>
              </w:rPr>
            </w:pPr>
            <w:r>
              <w:rPr>
                <w:rFonts w:hint="eastAsia" w:ascii="宋体" w:hAnsi="宋体" w:eastAsia="宋体" w:cs="宋体"/>
                <w:b w:val="0"/>
                <w:bCs w:val="0"/>
                <w:color w:val="auto"/>
                <w:spacing w:val="-6"/>
                <w:kern w:val="21"/>
                <w:sz w:val="24"/>
                <w:szCs w:val="24"/>
                <w:lang w:val="en-US" w:eastAsia="zh-CN"/>
              </w:rPr>
              <w:t>使用计量保证能力合格标志，达不到定量包装商品生产企业计量保证能力要求</w:t>
            </w:r>
            <w:r>
              <w:rPr>
                <w:rFonts w:hint="default" w:cs="宋体"/>
                <w:b w:val="0"/>
                <w:bCs w:val="0"/>
                <w:color w:val="auto"/>
                <w:spacing w:val="-6"/>
                <w:kern w:val="21"/>
                <w:sz w:val="24"/>
                <w:szCs w:val="24"/>
                <w:lang w:val="en" w:eastAsia="zh-CN"/>
              </w:rPr>
              <w:t>2</w:t>
            </w:r>
            <w:r>
              <w:rPr>
                <w:rFonts w:hint="eastAsia" w:ascii="宋体" w:hAnsi="宋体" w:eastAsia="宋体" w:cs="宋体"/>
                <w:b w:val="0"/>
                <w:bCs w:val="0"/>
                <w:color w:val="auto"/>
                <w:spacing w:val="-6"/>
                <w:kern w:val="21"/>
                <w:sz w:val="24"/>
                <w:szCs w:val="24"/>
                <w:lang w:val="en-US" w:eastAsia="zh-CN"/>
              </w:rPr>
              <w:t>项的。</w:t>
            </w:r>
          </w:p>
        </w:tc>
        <w:tc>
          <w:tcPr>
            <w:tcW w:w="3382" w:type="dxa"/>
            <w:noWrap w:val="0"/>
            <w:vAlign w:val="center"/>
          </w:tcPr>
          <w:p w14:paraId="6C7BC862">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color w:val="auto"/>
                <w:spacing w:val="0"/>
                <w:kern w:val="21"/>
                <w:sz w:val="24"/>
                <w:szCs w:val="24"/>
              </w:rPr>
              <w:t>责令改正，</w:t>
            </w:r>
            <w:r>
              <w:rPr>
                <w:rFonts w:hint="eastAsia" w:ascii="宋体" w:hAnsi="宋体" w:eastAsia="宋体" w:cs="宋体"/>
                <w:b w:val="0"/>
                <w:bCs w:val="0"/>
                <w:color w:val="auto"/>
                <w:spacing w:val="0"/>
                <w:kern w:val="21"/>
                <w:sz w:val="24"/>
                <w:szCs w:val="24"/>
                <w:lang w:val="en-US" w:eastAsia="zh-CN"/>
              </w:rPr>
              <w:t>处9000元以上</w:t>
            </w:r>
            <w:r>
              <w:rPr>
                <w:rFonts w:hint="eastAsia" w:cs="宋体"/>
                <w:b w:val="0"/>
                <w:bCs w:val="0"/>
                <w:color w:val="auto"/>
                <w:spacing w:val="0"/>
                <w:kern w:val="21"/>
                <w:sz w:val="24"/>
                <w:szCs w:val="24"/>
                <w:lang w:val="en-US" w:eastAsia="zh-CN"/>
              </w:rPr>
              <w:t>2.1万</w:t>
            </w:r>
            <w:r>
              <w:rPr>
                <w:rFonts w:hint="eastAsia" w:ascii="宋体" w:hAnsi="宋体" w:eastAsia="宋体" w:cs="宋体"/>
                <w:b w:val="0"/>
                <w:bCs w:val="0"/>
                <w:color w:val="auto"/>
                <w:spacing w:val="0"/>
                <w:kern w:val="21"/>
                <w:sz w:val="24"/>
                <w:szCs w:val="24"/>
                <w:lang w:val="en-US" w:eastAsia="zh-CN"/>
              </w:rPr>
              <w:t>元以下罚款。</w:t>
            </w:r>
          </w:p>
        </w:tc>
      </w:tr>
      <w:tr w14:paraId="5D996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4" w:hRule="exact"/>
          <w:jc w:val="center"/>
        </w:trPr>
        <w:tc>
          <w:tcPr>
            <w:tcW w:w="640" w:type="dxa"/>
            <w:vMerge w:val="continue"/>
            <w:noWrap w:val="0"/>
            <w:vAlign w:val="center"/>
          </w:tcPr>
          <w:p w14:paraId="61832930">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center"/>
          </w:tcPr>
          <w:p w14:paraId="28DA8CA7">
            <w:pPr>
              <w:pStyle w:val="17"/>
              <w:keepNext w:val="0"/>
              <w:keepLines w:val="0"/>
              <w:pageBreakBefore w:val="0"/>
              <w:widowControl w:val="0"/>
              <w:kinsoku/>
              <w:wordWrap/>
              <w:overflowPunct/>
              <w:topLinePunct w:val="0"/>
              <w:autoSpaceDE w:val="0"/>
              <w:autoSpaceDN w:val="0"/>
              <w:bidi w:val="0"/>
              <w:adjustRightInd/>
              <w:snapToGrid/>
              <w:spacing w:line="400" w:lineRule="exact"/>
              <w:ind w:left="63" w:leftChars="30" w:right="63" w:rightChars="30"/>
              <w:jc w:val="both"/>
              <w:textAlignment w:val="auto"/>
              <w:rPr>
                <w:rFonts w:hint="eastAsia" w:ascii="宋体" w:hAnsi="宋体" w:eastAsia="宋体" w:cs="宋体"/>
                <w:b w:val="0"/>
                <w:bCs w:val="0"/>
                <w:color w:val="auto"/>
                <w:spacing w:val="6"/>
                <w:kern w:val="21"/>
                <w:sz w:val="24"/>
                <w:szCs w:val="24"/>
                <w:lang w:eastAsia="zh-CN"/>
              </w:rPr>
            </w:pPr>
          </w:p>
        </w:tc>
        <w:tc>
          <w:tcPr>
            <w:tcW w:w="4193" w:type="dxa"/>
            <w:vMerge w:val="continue"/>
            <w:noWrap w:val="0"/>
            <w:vAlign w:val="center"/>
          </w:tcPr>
          <w:p w14:paraId="0BFC0313">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strike/>
                <w:dstrike w:val="0"/>
                <w:color w:val="auto"/>
                <w:spacing w:val="6"/>
                <w:kern w:val="21"/>
                <w:sz w:val="24"/>
                <w:szCs w:val="24"/>
                <w:highlight w:val="yellow"/>
              </w:rPr>
            </w:pPr>
          </w:p>
        </w:tc>
        <w:tc>
          <w:tcPr>
            <w:tcW w:w="1132" w:type="dxa"/>
            <w:noWrap w:val="0"/>
            <w:vAlign w:val="center"/>
          </w:tcPr>
          <w:p w14:paraId="2D35DE68">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7884483E">
            <w:pPr>
              <w:pStyle w:val="17"/>
              <w:keepNext w:val="0"/>
              <w:keepLines w:val="0"/>
              <w:pageBreakBefore w:val="0"/>
              <w:widowControl w:val="0"/>
              <w:kinsoku/>
              <w:wordWrap/>
              <w:overflowPunct/>
              <w:topLinePunct w:val="0"/>
              <w:autoSpaceDE/>
              <w:autoSpaceDN/>
              <w:bidi w:val="0"/>
              <w:adjustRightInd/>
              <w:snapToGrid/>
              <w:spacing w:line="420" w:lineRule="exact"/>
              <w:ind w:left="63" w:leftChars="30" w:right="63" w:rightChars="3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lang w:val="en-US" w:eastAsia="zh-CN"/>
              </w:rPr>
              <w:t>使用计量保证能力合格标志，达不到定量包装商品生产企业计量保证能力要求</w:t>
            </w:r>
            <w:r>
              <w:rPr>
                <w:rFonts w:hint="default" w:cs="宋体"/>
                <w:b w:val="0"/>
                <w:bCs w:val="0"/>
                <w:color w:val="auto"/>
                <w:spacing w:val="-6"/>
                <w:kern w:val="21"/>
                <w:sz w:val="24"/>
                <w:szCs w:val="24"/>
                <w:lang w:val="en" w:eastAsia="zh-CN"/>
              </w:rPr>
              <w:t>3</w:t>
            </w:r>
            <w:r>
              <w:rPr>
                <w:rFonts w:hint="eastAsia" w:ascii="宋体" w:hAnsi="宋体" w:eastAsia="宋体" w:cs="宋体"/>
                <w:b w:val="0"/>
                <w:bCs w:val="0"/>
                <w:color w:val="auto"/>
                <w:spacing w:val="-6"/>
                <w:kern w:val="21"/>
                <w:sz w:val="24"/>
                <w:szCs w:val="24"/>
                <w:lang w:val="en-US" w:eastAsia="zh-CN"/>
              </w:rPr>
              <w:t>项以上的。</w:t>
            </w:r>
          </w:p>
        </w:tc>
        <w:tc>
          <w:tcPr>
            <w:tcW w:w="3382" w:type="dxa"/>
            <w:noWrap w:val="0"/>
            <w:vAlign w:val="center"/>
          </w:tcPr>
          <w:p w14:paraId="628260EB">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color w:val="auto"/>
                <w:spacing w:val="0"/>
                <w:kern w:val="21"/>
                <w:sz w:val="24"/>
                <w:szCs w:val="24"/>
              </w:rPr>
              <w:t>责令改正，</w:t>
            </w:r>
            <w:r>
              <w:rPr>
                <w:rFonts w:hint="eastAsia" w:ascii="宋体" w:hAnsi="宋体" w:eastAsia="宋体" w:cs="宋体"/>
                <w:b w:val="0"/>
                <w:bCs w:val="0"/>
                <w:color w:val="auto"/>
                <w:spacing w:val="0"/>
                <w:kern w:val="21"/>
                <w:sz w:val="24"/>
                <w:szCs w:val="24"/>
                <w:lang w:val="en-US" w:eastAsia="zh-CN"/>
              </w:rPr>
              <w:t>处</w:t>
            </w:r>
            <w:r>
              <w:rPr>
                <w:rFonts w:hint="eastAsia" w:cs="宋体"/>
                <w:b w:val="0"/>
                <w:bCs w:val="0"/>
                <w:color w:val="auto"/>
                <w:spacing w:val="0"/>
                <w:kern w:val="21"/>
                <w:sz w:val="24"/>
                <w:szCs w:val="24"/>
                <w:lang w:val="en-US" w:eastAsia="zh-CN"/>
              </w:rPr>
              <w:t>2.1万</w:t>
            </w:r>
            <w:r>
              <w:rPr>
                <w:rFonts w:hint="eastAsia" w:ascii="宋体" w:hAnsi="宋体" w:eastAsia="宋体" w:cs="宋体"/>
                <w:b w:val="0"/>
                <w:bCs w:val="0"/>
                <w:color w:val="auto"/>
                <w:spacing w:val="0"/>
                <w:kern w:val="21"/>
                <w:sz w:val="24"/>
                <w:szCs w:val="24"/>
                <w:lang w:val="en-US" w:eastAsia="zh-CN"/>
              </w:rPr>
              <w:t>元以上3</w:t>
            </w:r>
            <w:r>
              <w:rPr>
                <w:rFonts w:hint="eastAsia" w:cs="宋体"/>
                <w:b w:val="0"/>
                <w:bCs w:val="0"/>
                <w:color w:val="auto"/>
                <w:spacing w:val="0"/>
                <w:kern w:val="21"/>
                <w:sz w:val="24"/>
                <w:szCs w:val="24"/>
                <w:lang w:val="en-US" w:eastAsia="zh-CN"/>
              </w:rPr>
              <w:t>万</w:t>
            </w:r>
            <w:r>
              <w:rPr>
                <w:rFonts w:hint="eastAsia" w:ascii="宋体" w:hAnsi="宋体" w:eastAsia="宋体" w:cs="宋体"/>
                <w:b w:val="0"/>
                <w:bCs w:val="0"/>
                <w:color w:val="auto"/>
                <w:spacing w:val="0"/>
                <w:kern w:val="21"/>
                <w:sz w:val="24"/>
                <w:szCs w:val="24"/>
                <w:lang w:val="en-US" w:eastAsia="zh-CN"/>
              </w:rPr>
              <w:t>元以下罚款。</w:t>
            </w:r>
          </w:p>
        </w:tc>
      </w:tr>
      <w:tr w14:paraId="5915A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7" w:hRule="exact"/>
          <w:jc w:val="center"/>
        </w:trPr>
        <w:tc>
          <w:tcPr>
            <w:tcW w:w="640" w:type="dxa"/>
            <w:vMerge w:val="restart"/>
            <w:noWrap w:val="0"/>
            <w:vAlign w:val="center"/>
          </w:tcPr>
          <w:p w14:paraId="1E001055">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default" w:ascii="宋体" w:hAnsi="宋体" w:eastAsia="宋体" w:cs="宋体"/>
                <w:b w:val="0"/>
                <w:bCs w:val="0"/>
                <w:color w:val="auto"/>
                <w:spacing w:val="6"/>
                <w:kern w:val="21"/>
                <w:sz w:val="24"/>
                <w:szCs w:val="24"/>
                <w:lang w:val="en-US" w:eastAsia="zh-CN"/>
              </w:rPr>
            </w:pPr>
            <w:r>
              <w:rPr>
                <w:rFonts w:hint="eastAsia" w:ascii="宋体" w:hAnsi="宋体" w:eastAsia="宋体" w:cs="宋体"/>
                <w:b w:val="0"/>
                <w:bCs w:val="0"/>
                <w:color w:val="auto"/>
                <w:spacing w:val="6"/>
                <w:kern w:val="21"/>
                <w:sz w:val="24"/>
                <w:szCs w:val="24"/>
                <w:lang w:val="en-US" w:eastAsia="zh-CN"/>
              </w:rPr>
              <w:t>1</w:t>
            </w:r>
            <w:r>
              <w:rPr>
                <w:rFonts w:hint="eastAsia" w:cs="宋体"/>
                <w:b w:val="0"/>
                <w:bCs w:val="0"/>
                <w:color w:val="auto"/>
                <w:spacing w:val="6"/>
                <w:kern w:val="21"/>
                <w:sz w:val="24"/>
                <w:szCs w:val="24"/>
                <w:lang w:val="en-US" w:eastAsia="zh-CN"/>
              </w:rPr>
              <w:t>19</w:t>
            </w:r>
          </w:p>
        </w:tc>
        <w:tc>
          <w:tcPr>
            <w:tcW w:w="1793" w:type="dxa"/>
            <w:vMerge w:val="restart"/>
            <w:noWrap w:val="0"/>
            <w:vAlign w:val="center"/>
          </w:tcPr>
          <w:p w14:paraId="034B1862">
            <w:pPr>
              <w:pStyle w:val="17"/>
              <w:keepNext w:val="0"/>
              <w:keepLines w:val="0"/>
              <w:pageBreakBefore w:val="0"/>
              <w:widowControl w:val="0"/>
              <w:kinsoku/>
              <w:wordWrap/>
              <w:overflowPunct/>
              <w:topLinePunct w:val="0"/>
              <w:autoSpaceDE w:val="0"/>
              <w:autoSpaceDN w:val="0"/>
              <w:bidi w:val="0"/>
              <w:adjustRightInd/>
              <w:snapToGrid/>
              <w:spacing w:line="400" w:lineRule="exact"/>
              <w:ind w:left="63" w:leftChars="30" w:right="63" w:rightChars="30"/>
              <w:jc w:val="both"/>
              <w:textAlignment w:val="auto"/>
              <w:rPr>
                <w:rFonts w:hint="eastAsia" w:ascii="宋体" w:hAnsi="宋体" w:eastAsia="宋体" w:cs="宋体"/>
                <w:b w:val="0"/>
                <w:bCs w:val="0"/>
                <w:color w:val="auto"/>
                <w:spacing w:val="6"/>
                <w:kern w:val="21"/>
                <w:sz w:val="24"/>
                <w:szCs w:val="24"/>
                <w:lang w:eastAsia="zh-CN"/>
              </w:rPr>
            </w:pPr>
            <w:r>
              <w:rPr>
                <w:rFonts w:hint="eastAsia" w:ascii="宋体" w:hAnsi="宋体" w:eastAsia="宋体" w:cs="宋体"/>
                <w:b w:val="0"/>
                <w:bCs w:val="0"/>
                <w:color w:val="auto"/>
                <w:spacing w:val="6"/>
                <w:kern w:val="21"/>
                <w:sz w:val="24"/>
                <w:szCs w:val="24"/>
              </w:rPr>
              <w:t>《定量包装商品计量监督管理办法》</w:t>
            </w:r>
          </w:p>
        </w:tc>
        <w:tc>
          <w:tcPr>
            <w:tcW w:w="4193" w:type="dxa"/>
            <w:vMerge w:val="restart"/>
            <w:noWrap w:val="0"/>
            <w:vAlign w:val="center"/>
          </w:tcPr>
          <w:p w14:paraId="02B60A51">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strike/>
                <w:dstrike w:val="0"/>
                <w:color w:val="auto"/>
                <w:spacing w:val="6"/>
                <w:kern w:val="21"/>
                <w:sz w:val="24"/>
                <w:szCs w:val="24"/>
                <w:highlight w:val="yellow"/>
                <w:lang w:val="en-US"/>
              </w:rPr>
            </w:pPr>
            <w:r>
              <w:rPr>
                <w:rFonts w:hint="eastAsia" w:ascii="宋体" w:hAnsi="宋体" w:eastAsia="宋体" w:cs="宋体"/>
                <w:b w:val="0"/>
                <w:bCs w:val="0"/>
                <w:color w:val="auto"/>
                <w:spacing w:val="6"/>
                <w:kern w:val="21"/>
                <w:sz w:val="24"/>
                <w:szCs w:val="24"/>
              </w:rPr>
              <w:t>第十六条</w:t>
            </w:r>
            <w:r>
              <w:rPr>
                <w:rFonts w:hint="eastAsia" w:ascii="宋体" w:hAnsi="宋体" w:eastAsia="宋体" w:cs="宋体"/>
                <w:b w:val="0"/>
                <w:bCs w:val="0"/>
                <w:color w:val="auto"/>
                <w:spacing w:val="6"/>
                <w:kern w:val="21"/>
                <w:sz w:val="24"/>
                <w:szCs w:val="24"/>
                <w:lang w:eastAsia="zh-CN"/>
              </w:rPr>
              <w:t>第二款</w:t>
            </w:r>
            <w:r>
              <w:rPr>
                <w:rFonts w:hint="eastAsia" w:ascii="宋体" w:hAnsi="宋体" w:eastAsia="宋体" w:cs="宋体"/>
                <w:b w:val="0"/>
                <w:bCs w:val="0"/>
                <w:color w:val="auto"/>
                <w:spacing w:val="6"/>
                <w:kern w:val="21"/>
                <w:sz w:val="24"/>
                <w:szCs w:val="24"/>
                <w:lang w:val="en-US" w:eastAsia="zh-CN"/>
              </w:rPr>
              <w:t xml:space="preserve"> </w:t>
            </w:r>
            <w:r>
              <w:rPr>
                <w:rFonts w:hint="eastAsia" w:ascii="宋体" w:hAnsi="宋体" w:eastAsia="宋体" w:cs="宋体"/>
                <w:b w:val="0"/>
                <w:bCs w:val="0"/>
                <w:color w:val="auto"/>
                <w:spacing w:val="6"/>
                <w:kern w:val="21"/>
                <w:sz w:val="24"/>
                <w:szCs w:val="24"/>
              </w:rPr>
              <w:t>定量包装商品生产者未按要求进行自我声明，使用计量保证能力合格标志的，由县级以上地方市场监督管理部门责令改正，处五万元以下罚款。</w:t>
            </w:r>
          </w:p>
        </w:tc>
        <w:tc>
          <w:tcPr>
            <w:tcW w:w="1132" w:type="dxa"/>
            <w:noWrap w:val="0"/>
            <w:vAlign w:val="center"/>
          </w:tcPr>
          <w:p w14:paraId="0A98D29C">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11"/>
                <w:kern w:val="21"/>
                <w:sz w:val="24"/>
                <w:szCs w:val="24"/>
                <w:lang w:val="en-US" w:eastAsia="zh-CN"/>
              </w:rPr>
            </w:pPr>
            <w:r>
              <w:rPr>
                <w:rFonts w:hint="eastAsia" w:ascii="宋体" w:hAnsi="宋体" w:eastAsia="宋体" w:cs="宋体"/>
                <w:b w:val="0"/>
                <w:bCs w:val="0"/>
                <w:color w:val="auto"/>
                <w:spacing w:val="-11"/>
                <w:kern w:val="21"/>
                <w:sz w:val="24"/>
                <w:szCs w:val="24"/>
                <w:lang w:val="en-US" w:eastAsia="zh-CN"/>
              </w:rPr>
              <w:t>较轻</w:t>
            </w:r>
          </w:p>
        </w:tc>
        <w:tc>
          <w:tcPr>
            <w:tcW w:w="3165" w:type="dxa"/>
            <w:noWrap w:val="0"/>
            <w:vAlign w:val="center"/>
          </w:tcPr>
          <w:p w14:paraId="076D051E">
            <w:pPr>
              <w:pStyle w:val="17"/>
              <w:keepNext w:val="0"/>
              <w:keepLines w:val="0"/>
              <w:pageBreakBefore w:val="0"/>
              <w:widowControl w:val="0"/>
              <w:kinsoku/>
              <w:wordWrap/>
              <w:overflowPunct/>
              <w:topLinePunct w:val="0"/>
              <w:autoSpaceDE/>
              <w:autoSpaceDN/>
              <w:bidi w:val="0"/>
              <w:adjustRightInd/>
              <w:snapToGrid/>
              <w:spacing w:line="420" w:lineRule="exact"/>
              <w:ind w:left="63" w:leftChars="30" w:right="63" w:rightChars="30"/>
              <w:jc w:val="both"/>
              <w:textAlignment w:val="auto"/>
              <w:rPr>
                <w:rFonts w:hint="eastAsia" w:ascii="宋体" w:hAnsi="宋体" w:eastAsia="宋体" w:cs="宋体"/>
                <w:b w:val="0"/>
                <w:bCs w:val="0"/>
                <w:color w:val="auto"/>
                <w:spacing w:val="-11"/>
                <w:kern w:val="21"/>
                <w:sz w:val="24"/>
                <w:szCs w:val="24"/>
                <w:lang w:val="en-US" w:eastAsia="zh-CN"/>
              </w:rPr>
            </w:pPr>
            <w:r>
              <w:rPr>
                <w:rFonts w:hint="eastAsia" w:ascii="宋体" w:hAnsi="宋体" w:eastAsia="宋体" w:cs="宋体"/>
                <w:b w:val="0"/>
                <w:bCs w:val="0"/>
                <w:color w:val="auto"/>
                <w:spacing w:val="-11"/>
                <w:kern w:val="21"/>
                <w:sz w:val="24"/>
                <w:szCs w:val="24"/>
                <w:lang w:val="en-US" w:eastAsia="zh-CN"/>
              </w:rPr>
              <w:t>未按要求进行自我声明，使用计量保证能力合格标志持续</w:t>
            </w:r>
            <w:r>
              <w:rPr>
                <w:rFonts w:hint="eastAsia" w:cs="宋体"/>
                <w:b w:val="0"/>
                <w:bCs w:val="0"/>
                <w:color w:val="auto"/>
                <w:spacing w:val="-11"/>
                <w:kern w:val="21"/>
                <w:sz w:val="24"/>
                <w:szCs w:val="24"/>
                <w:lang w:val="en-US" w:eastAsia="zh-CN"/>
              </w:rPr>
              <w:t>不超过</w:t>
            </w:r>
            <w:r>
              <w:rPr>
                <w:rFonts w:hint="default" w:cs="宋体"/>
                <w:b w:val="0"/>
                <w:bCs w:val="0"/>
                <w:color w:val="auto"/>
                <w:spacing w:val="-11"/>
                <w:kern w:val="21"/>
                <w:sz w:val="24"/>
                <w:szCs w:val="24"/>
                <w:lang w:val="en" w:eastAsia="zh-CN"/>
              </w:rPr>
              <w:t>1</w:t>
            </w:r>
            <w:r>
              <w:rPr>
                <w:rFonts w:hint="eastAsia" w:ascii="宋体" w:hAnsi="宋体" w:eastAsia="宋体" w:cs="宋体"/>
                <w:b w:val="0"/>
                <w:bCs w:val="0"/>
                <w:color w:val="auto"/>
                <w:spacing w:val="-11"/>
                <w:kern w:val="21"/>
                <w:sz w:val="24"/>
                <w:szCs w:val="24"/>
                <w:lang w:val="en-US" w:eastAsia="zh-CN"/>
              </w:rPr>
              <w:t>个月的。</w:t>
            </w:r>
          </w:p>
        </w:tc>
        <w:tc>
          <w:tcPr>
            <w:tcW w:w="3382" w:type="dxa"/>
            <w:noWrap w:val="0"/>
            <w:vAlign w:val="center"/>
          </w:tcPr>
          <w:p w14:paraId="1C8AAAE3">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0"/>
                <w:kern w:val="21"/>
                <w:sz w:val="24"/>
                <w:szCs w:val="24"/>
                <w:lang w:val="en-US" w:eastAsia="zh-CN"/>
              </w:rPr>
            </w:pPr>
            <w:r>
              <w:rPr>
                <w:rFonts w:hint="eastAsia" w:ascii="宋体" w:hAnsi="宋体" w:eastAsia="宋体" w:cs="宋体"/>
                <w:b w:val="0"/>
                <w:bCs w:val="0"/>
                <w:color w:val="auto"/>
                <w:spacing w:val="0"/>
                <w:kern w:val="21"/>
                <w:sz w:val="24"/>
                <w:szCs w:val="24"/>
                <w:lang w:val="en-US" w:eastAsia="zh-CN"/>
              </w:rPr>
              <w:t>责令改正，处</w:t>
            </w:r>
            <w:r>
              <w:rPr>
                <w:rFonts w:hint="eastAsia" w:cs="宋体"/>
                <w:b w:val="0"/>
                <w:bCs w:val="0"/>
                <w:color w:val="auto"/>
                <w:spacing w:val="0"/>
                <w:kern w:val="21"/>
                <w:sz w:val="24"/>
                <w:szCs w:val="24"/>
                <w:lang w:val="en-US" w:eastAsia="zh-CN"/>
              </w:rPr>
              <w:t>1.5万</w:t>
            </w:r>
            <w:r>
              <w:rPr>
                <w:rFonts w:hint="eastAsia" w:ascii="宋体" w:hAnsi="宋体" w:eastAsia="宋体" w:cs="宋体"/>
                <w:b w:val="0"/>
                <w:bCs w:val="0"/>
                <w:color w:val="auto"/>
                <w:spacing w:val="0"/>
                <w:kern w:val="21"/>
                <w:sz w:val="24"/>
                <w:szCs w:val="24"/>
                <w:lang w:val="en-US" w:eastAsia="zh-CN"/>
              </w:rPr>
              <w:t>元以下罚款。</w:t>
            </w:r>
          </w:p>
        </w:tc>
      </w:tr>
      <w:tr w14:paraId="1D299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exact"/>
          <w:jc w:val="center"/>
        </w:trPr>
        <w:tc>
          <w:tcPr>
            <w:tcW w:w="640" w:type="dxa"/>
            <w:vMerge w:val="continue"/>
            <w:noWrap w:val="0"/>
            <w:vAlign w:val="center"/>
          </w:tcPr>
          <w:p w14:paraId="6C2277F2">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center"/>
          </w:tcPr>
          <w:p w14:paraId="7DD43475">
            <w:pPr>
              <w:pStyle w:val="17"/>
              <w:keepNext w:val="0"/>
              <w:keepLines w:val="0"/>
              <w:pageBreakBefore w:val="0"/>
              <w:widowControl w:val="0"/>
              <w:kinsoku/>
              <w:wordWrap/>
              <w:overflowPunct/>
              <w:topLinePunct w:val="0"/>
              <w:autoSpaceDE w:val="0"/>
              <w:autoSpaceDN w:val="0"/>
              <w:bidi w:val="0"/>
              <w:adjustRightInd/>
              <w:snapToGrid/>
              <w:spacing w:line="400" w:lineRule="exact"/>
              <w:ind w:left="63" w:leftChars="30" w:right="63" w:rightChars="30"/>
              <w:jc w:val="both"/>
              <w:textAlignment w:val="auto"/>
              <w:rPr>
                <w:rFonts w:hint="eastAsia" w:ascii="宋体" w:hAnsi="宋体" w:eastAsia="宋体" w:cs="宋体"/>
                <w:b w:val="0"/>
                <w:bCs w:val="0"/>
                <w:color w:val="auto"/>
                <w:spacing w:val="6"/>
                <w:kern w:val="21"/>
                <w:sz w:val="24"/>
                <w:szCs w:val="24"/>
                <w:lang w:eastAsia="zh-CN"/>
              </w:rPr>
            </w:pPr>
          </w:p>
        </w:tc>
        <w:tc>
          <w:tcPr>
            <w:tcW w:w="4193" w:type="dxa"/>
            <w:vMerge w:val="continue"/>
            <w:noWrap w:val="0"/>
            <w:vAlign w:val="center"/>
          </w:tcPr>
          <w:p w14:paraId="11C2BE75">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strike/>
                <w:dstrike w:val="0"/>
                <w:color w:val="auto"/>
                <w:spacing w:val="6"/>
                <w:kern w:val="21"/>
                <w:sz w:val="24"/>
                <w:szCs w:val="24"/>
                <w:highlight w:val="yellow"/>
              </w:rPr>
            </w:pPr>
          </w:p>
        </w:tc>
        <w:tc>
          <w:tcPr>
            <w:tcW w:w="1132" w:type="dxa"/>
            <w:noWrap w:val="0"/>
            <w:vAlign w:val="center"/>
          </w:tcPr>
          <w:p w14:paraId="1D7A7915">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en-US" w:eastAsia="zh-CN"/>
              </w:rPr>
            </w:pPr>
            <w:r>
              <w:rPr>
                <w:rFonts w:hint="eastAsia" w:ascii="宋体" w:hAnsi="宋体" w:eastAsia="宋体" w:cs="宋体"/>
                <w:b w:val="0"/>
                <w:bCs w:val="0"/>
                <w:color w:val="auto"/>
                <w:spacing w:val="6"/>
                <w:kern w:val="21"/>
                <w:sz w:val="24"/>
                <w:szCs w:val="24"/>
                <w:lang w:val="en-US" w:eastAsia="zh-CN"/>
              </w:rPr>
              <w:t>一般</w:t>
            </w:r>
          </w:p>
        </w:tc>
        <w:tc>
          <w:tcPr>
            <w:tcW w:w="3165" w:type="dxa"/>
            <w:noWrap w:val="0"/>
            <w:vAlign w:val="center"/>
          </w:tcPr>
          <w:p w14:paraId="50BC5DE3">
            <w:pPr>
              <w:pStyle w:val="17"/>
              <w:keepNext w:val="0"/>
              <w:keepLines w:val="0"/>
              <w:pageBreakBefore w:val="0"/>
              <w:widowControl w:val="0"/>
              <w:kinsoku/>
              <w:wordWrap/>
              <w:overflowPunct/>
              <w:topLinePunct w:val="0"/>
              <w:autoSpaceDE/>
              <w:autoSpaceDN/>
              <w:bidi w:val="0"/>
              <w:adjustRightInd/>
              <w:snapToGrid/>
              <w:spacing w:line="420" w:lineRule="exact"/>
              <w:ind w:left="63" w:leftChars="30" w:right="63" w:rightChars="30"/>
              <w:jc w:val="both"/>
              <w:textAlignment w:val="auto"/>
              <w:rPr>
                <w:rFonts w:hint="eastAsia" w:ascii="宋体" w:hAnsi="宋体" w:eastAsia="宋体" w:cs="宋体"/>
                <w:b w:val="0"/>
                <w:bCs w:val="0"/>
                <w:color w:val="auto"/>
                <w:spacing w:val="-6"/>
                <w:kern w:val="21"/>
                <w:sz w:val="24"/>
                <w:szCs w:val="24"/>
                <w:lang w:val="en-US" w:eastAsia="zh-CN"/>
              </w:rPr>
            </w:pPr>
            <w:r>
              <w:rPr>
                <w:rFonts w:hint="eastAsia" w:ascii="宋体" w:hAnsi="宋体" w:eastAsia="宋体" w:cs="宋体"/>
                <w:b w:val="0"/>
                <w:bCs w:val="0"/>
                <w:color w:val="auto"/>
                <w:spacing w:val="-6"/>
                <w:kern w:val="21"/>
                <w:sz w:val="24"/>
                <w:szCs w:val="24"/>
                <w:lang w:val="en-US" w:eastAsia="zh-CN"/>
              </w:rPr>
              <w:t>未按要求进</w:t>
            </w:r>
            <w:r>
              <w:rPr>
                <w:rFonts w:hint="eastAsia" w:ascii="宋体" w:hAnsi="宋体" w:eastAsia="宋体" w:cs="宋体"/>
                <w:b w:val="0"/>
                <w:bCs w:val="0"/>
                <w:color w:val="auto"/>
                <w:spacing w:val="-11"/>
                <w:kern w:val="21"/>
                <w:sz w:val="24"/>
                <w:szCs w:val="24"/>
                <w:lang w:val="en-US" w:eastAsia="zh-CN"/>
              </w:rPr>
              <w:t>行自我声明，使用计量保证能力合格标志持续</w:t>
            </w:r>
            <w:r>
              <w:rPr>
                <w:rFonts w:hint="eastAsia" w:cs="宋体"/>
                <w:b w:val="0"/>
                <w:bCs w:val="0"/>
                <w:color w:val="auto"/>
                <w:spacing w:val="-11"/>
                <w:kern w:val="21"/>
                <w:sz w:val="24"/>
                <w:szCs w:val="24"/>
                <w:lang w:val="en-US" w:eastAsia="zh-CN"/>
              </w:rPr>
              <w:t>1个月以上</w:t>
            </w:r>
            <w:r>
              <w:rPr>
                <w:rFonts w:hint="default" w:cs="宋体"/>
                <w:b w:val="0"/>
                <w:bCs w:val="0"/>
                <w:color w:val="auto"/>
                <w:spacing w:val="-11"/>
                <w:kern w:val="21"/>
                <w:sz w:val="24"/>
                <w:szCs w:val="24"/>
                <w:lang w:val="en" w:eastAsia="zh-CN"/>
              </w:rPr>
              <w:t>3</w:t>
            </w:r>
            <w:r>
              <w:rPr>
                <w:rFonts w:hint="eastAsia" w:ascii="宋体" w:hAnsi="宋体" w:eastAsia="宋体" w:cs="宋体"/>
                <w:b w:val="0"/>
                <w:bCs w:val="0"/>
                <w:color w:val="auto"/>
                <w:spacing w:val="-11"/>
                <w:kern w:val="21"/>
                <w:sz w:val="24"/>
                <w:szCs w:val="24"/>
                <w:lang w:val="en-US" w:eastAsia="zh-CN"/>
              </w:rPr>
              <w:t>个月以</w:t>
            </w:r>
            <w:r>
              <w:rPr>
                <w:rFonts w:hint="eastAsia" w:cs="宋体"/>
                <w:b w:val="0"/>
                <w:bCs w:val="0"/>
                <w:color w:val="auto"/>
                <w:spacing w:val="-11"/>
                <w:kern w:val="21"/>
                <w:sz w:val="24"/>
                <w:szCs w:val="24"/>
                <w:lang w:val="en-US" w:eastAsia="zh-CN"/>
              </w:rPr>
              <w:t>下</w:t>
            </w:r>
            <w:r>
              <w:rPr>
                <w:rFonts w:hint="eastAsia" w:ascii="宋体" w:hAnsi="宋体" w:eastAsia="宋体" w:cs="宋体"/>
                <w:b w:val="0"/>
                <w:bCs w:val="0"/>
                <w:color w:val="auto"/>
                <w:spacing w:val="-11"/>
                <w:kern w:val="21"/>
                <w:sz w:val="24"/>
                <w:szCs w:val="24"/>
                <w:lang w:val="en-US" w:eastAsia="zh-CN"/>
              </w:rPr>
              <w:t>的。</w:t>
            </w:r>
          </w:p>
        </w:tc>
        <w:tc>
          <w:tcPr>
            <w:tcW w:w="3382" w:type="dxa"/>
            <w:noWrap w:val="0"/>
            <w:vAlign w:val="center"/>
          </w:tcPr>
          <w:p w14:paraId="66FAA834">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0"/>
                <w:kern w:val="21"/>
                <w:sz w:val="24"/>
                <w:szCs w:val="24"/>
                <w:lang w:val="en-US" w:eastAsia="zh-CN"/>
              </w:rPr>
            </w:pPr>
            <w:r>
              <w:rPr>
                <w:rFonts w:hint="eastAsia" w:ascii="宋体" w:hAnsi="宋体" w:eastAsia="宋体" w:cs="宋体"/>
                <w:b w:val="0"/>
                <w:bCs w:val="0"/>
                <w:color w:val="auto"/>
                <w:spacing w:val="0"/>
                <w:kern w:val="21"/>
                <w:sz w:val="24"/>
                <w:szCs w:val="24"/>
                <w:lang w:val="en-US" w:eastAsia="zh-CN"/>
              </w:rPr>
              <w:t>责令改正，处</w:t>
            </w:r>
            <w:r>
              <w:rPr>
                <w:rFonts w:hint="eastAsia" w:cs="宋体"/>
                <w:b w:val="0"/>
                <w:bCs w:val="0"/>
                <w:color w:val="auto"/>
                <w:spacing w:val="0"/>
                <w:kern w:val="21"/>
                <w:sz w:val="24"/>
                <w:szCs w:val="24"/>
                <w:lang w:val="en-US" w:eastAsia="zh-CN"/>
              </w:rPr>
              <w:t>1.5万</w:t>
            </w:r>
            <w:r>
              <w:rPr>
                <w:rFonts w:hint="eastAsia" w:ascii="宋体" w:hAnsi="宋体" w:eastAsia="宋体" w:cs="宋体"/>
                <w:b w:val="0"/>
                <w:bCs w:val="0"/>
                <w:color w:val="auto"/>
                <w:spacing w:val="0"/>
                <w:kern w:val="21"/>
                <w:sz w:val="24"/>
                <w:szCs w:val="24"/>
                <w:lang w:val="en-US" w:eastAsia="zh-CN"/>
              </w:rPr>
              <w:t>元以上</w:t>
            </w:r>
            <w:r>
              <w:rPr>
                <w:rFonts w:hint="eastAsia" w:cs="宋体"/>
                <w:b w:val="0"/>
                <w:bCs w:val="0"/>
                <w:color w:val="auto"/>
                <w:spacing w:val="0"/>
                <w:kern w:val="21"/>
                <w:sz w:val="24"/>
                <w:szCs w:val="24"/>
                <w:lang w:val="en-US" w:eastAsia="zh-CN"/>
              </w:rPr>
              <w:t>3.5万</w:t>
            </w:r>
            <w:r>
              <w:rPr>
                <w:rFonts w:hint="eastAsia" w:ascii="宋体" w:hAnsi="宋体" w:eastAsia="宋体" w:cs="宋体"/>
                <w:b w:val="0"/>
                <w:bCs w:val="0"/>
                <w:color w:val="auto"/>
                <w:spacing w:val="0"/>
                <w:kern w:val="21"/>
                <w:sz w:val="24"/>
                <w:szCs w:val="24"/>
                <w:lang w:val="en-US" w:eastAsia="zh-CN"/>
              </w:rPr>
              <w:t>元以下罚款。</w:t>
            </w:r>
          </w:p>
        </w:tc>
      </w:tr>
      <w:tr w14:paraId="007D4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0" w:hRule="exact"/>
          <w:jc w:val="center"/>
        </w:trPr>
        <w:tc>
          <w:tcPr>
            <w:tcW w:w="640" w:type="dxa"/>
            <w:vMerge w:val="continue"/>
            <w:noWrap w:val="0"/>
            <w:vAlign w:val="center"/>
          </w:tcPr>
          <w:p w14:paraId="0C335AE8">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center"/>
          </w:tcPr>
          <w:p w14:paraId="72A4C736">
            <w:pPr>
              <w:pStyle w:val="17"/>
              <w:keepNext w:val="0"/>
              <w:keepLines w:val="0"/>
              <w:pageBreakBefore w:val="0"/>
              <w:widowControl w:val="0"/>
              <w:kinsoku/>
              <w:wordWrap/>
              <w:overflowPunct/>
              <w:topLinePunct w:val="0"/>
              <w:autoSpaceDE w:val="0"/>
              <w:autoSpaceDN w:val="0"/>
              <w:bidi w:val="0"/>
              <w:adjustRightInd/>
              <w:snapToGrid/>
              <w:spacing w:line="400" w:lineRule="exact"/>
              <w:ind w:left="63" w:leftChars="30" w:right="63" w:rightChars="30"/>
              <w:jc w:val="both"/>
              <w:textAlignment w:val="auto"/>
              <w:rPr>
                <w:rFonts w:hint="eastAsia" w:ascii="宋体" w:hAnsi="宋体" w:eastAsia="宋体" w:cs="宋体"/>
                <w:b w:val="0"/>
                <w:bCs w:val="0"/>
                <w:color w:val="auto"/>
                <w:spacing w:val="6"/>
                <w:kern w:val="21"/>
                <w:sz w:val="24"/>
                <w:szCs w:val="24"/>
                <w:lang w:eastAsia="zh-CN"/>
              </w:rPr>
            </w:pPr>
          </w:p>
        </w:tc>
        <w:tc>
          <w:tcPr>
            <w:tcW w:w="4193" w:type="dxa"/>
            <w:vMerge w:val="continue"/>
            <w:noWrap w:val="0"/>
            <w:vAlign w:val="center"/>
          </w:tcPr>
          <w:p w14:paraId="004C3B8E">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strike/>
                <w:dstrike w:val="0"/>
                <w:color w:val="auto"/>
                <w:spacing w:val="6"/>
                <w:kern w:val="21"/>
                <w:sz w:val="24"/>
                <w:szCs w:val="24"/>
                <w:highlight w:val="yellow"/>
              </w:rPr>
            </w:pPr>
          </w:p>
        </w:tc>
        <w:tc>
          <w:tcPr>
            <w:tcW w:w="1132" w:type="dxa"/>
            <w:noWrap w:val="0"/>
            <w:vAlign w:val="center"/>
          </w:tcPr>
          <w:p w14:paraId="3F7AE72D">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en-US" w:eastAsia="zh-CN"/>
              </w:rPr>
            </w:pPr>
            <w:r>
              <w:rPr>
                <w:rFonts w:hint="eastAsia" w:ascii="宋体" w:hAnsi="宋体" w:eastAsia="宋体" w:cs="宋体"/>
                <w:b w:val="0"/>
                <w:bCs w:val="0"/>
                <w:color w:val="auto"/>
                <w:spacing w:val="6"/>
                <w:kern w:val="21"/>
                <w:sz w:val="24"/>
                <w:szCs w:val="24"/>
                <w:lang w:val="en-US" w:eastAsia="zh-CN"/>
              </w:rPr>
              <w:t>较重</w:t>
            </w:r>
          </w:p>
        </w:tc>
        <w:tc>
          <w:tcPr>
            <w:tcW w:w="3165" w:type="dxa"/>
            <w:noWrap w:val="0"/>
            <w:vAlign w:val="center"/>
          </w:tcPr>
          <w:p w14:paraId="0A619B01">
            <w:pPr>
              <w:pStyle w:val="17"/>
              <w:keepNext w:val="0"/>
              <w:keepLines w:val="0"/>
              <w:pageBreakBefore w:val="0"/>
              <w:widowControl w:val="0"/>
              <w:kinsoku/>
              <w:wordWrap/>
              <w:overflowPunct/>
              <w:topLinePunct w:val="0"/>
              <w:autoSpaceDE/>
              <w:autoSpaceDN/>
              <w:bidi w:val="0"/>
              <w:adjustRightInd/>
              <w:snapToGrid/>
              <w:spacing w:line="420" w:lineRule="exact"/>
              <w:ind w:left="63" w:leftChars="30" w:right="63" w:rightChars="30"/>
              <w:jc w:val="both"/>
              <w:textAlignment w:val="auto"/>
              <w:rPr>
                <w:rFonts w:hint="eastAsia" w:ascii="宋体" w:hAnsi="宋体" w:eastAsia="宋体" w:cs="宋体"/>
                <w:b w:val="0"/>
                <w:bCs w:val="0"/>
                <w:color w:val="auto"/>
                <w:spacing w:val="0"/>
                <w:kern w:val="21"/>
                <w:sz w:val="24"/>
                <w:szCs w:val="24"/>
                <w:lang w:val="en-US" w:eastAsia="zh-CN"/>
              </w:rPr>
            </w:pPr>
            <w:r>
              <w:rPr>
                <w:rFonts w:hint="eastAsia" w:ascii="宋体" w:hAnsi="宋体" w:eastAsia="宋体" w:cs="宋体"/>
                <w:b w:val="0"/>
                <w:bCs w:val="0"/>
                <w:color w:val="auto"/>
                <w:spacing w:val="0"/>
                <w:kern w:val="21"/>
                <w:sz w:val="24"/>
                <w:szCs w:val="24"/>
                <w:lang w:val="en-US" w:eastAsia="zh-CN"/>
              </w:rPr>
              <w:t>未按要求进行自我声明，使用计量保证能力合格标志持续</w:t>
            </w:r>
            <w:r>
              <w:rPr>
                <w:rFonts w:hint="default" w:cs="宋体"/>
                <w:b w:val="0"/>
                <w:bCs w:val="0"/>
                <w:color w:val="auto"/>
                <w:spacing w:val="0"/>
                <w:kern w:val="21"/>
                <w:sz w:val="24"/>
                <w:szCs w:val="24"/>
                <w:lang w:val="en" w:eastAsia="zh-CN"/>
              </w:rPr>
              <w:t>3</w:t>
            </w:r>
            <w:r>
              <w:rPr>
                <w:rFonts w:hint="eastAsia" w:ascii="宋体" w:hAnsi="宋体" w:eastAsia="宋体" w:cs="宋体"/>
                <w:b w:val="0"/>
                <w:bCs w:val="0"/>
                <w:color w:val="auto"/>
                <w:spacing w:val="0"/>
                <w:kern w:val="21"/>
                <w:sz w:val="24"/>
                <w:szCs w:val="24"/>
                <w:lang w:val="en-US" w:eastAsia="zh-CN"/>
              </w:rPr>
              <w:t>个月以上的。</w:t>
            </w:r>
          </w:p>
        </w:tc>
        <w:tc>
          <w:tcPr>
            <w:tcW w:w="3382" w:type="dxa"/>
            <w:noWrap w:val="0"/>
            <w:vAlign w:val="center"/>
          </w:tcPr>
          <w:p w14:paraId="58731102">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0"/>
                <w:kern w:val="21"/>
                <w:sz w:val="24"/>
                <w:szCs w:val="24"/>
                <w:lang w:val="en-US" w:eastAsia="zh-CN"/>
              </w:rPr>
            </w:pPr>
            <w:r>
              <w:rPr>
                <w:rFonts w:hint="eastAsia" w:ascii="宋体" w:hAnsi="宋体" w:eastAsia="宋体" w:cs="宋体"/>
                <w:b w:val="0"/>
                <w:bCs w:val="0"/>
                <w:color w:val="auto"/>
                <w:spacing w:val="0"/>
                <w:kern w:val="21"/>
                <w:sz w:val="24"/>
                <w:szCs w:val="24"/>
                <w:lang w:val="en-US" w:eastAsia="zh-CN"/>
              </w:rPr>
              <w:t>责令改正，处</w:t>
            </w:r>
            <w:r>
              <w:rPr>
                <w:rFonts w:hint="eastAsia" w:cs="宋体"/>
                <w:b w:val="0"/>
                <w:bCs w:val="0"/>
                <w:color w:val="auto"/>
                <w:spacing w:val="0"/>
                <w:kern w:val="21"/>
                <w:sz w:val="24"/>
                <w:szCs w:val="24"/>
                <w:lang w:val="en-US" w:eastAsia="zh-CN"/>
              </w:rPr>
              <w:t>3.5万</w:t>
            </w:r>
            <w:r>
              <w:rPr>
                <w:rFonts w:hint="eastAsia" w:ascii="宋体" w:hAnsi="宋体" w:eastAsia="宋体" w:cs="宋体"/>
                <w:b w:val="0"/>
                <w:bCs w:val="0"/>
                <w:color w:val="auto"/>
                <w:spacing w:val="0"/>
                <w:kern w:val="21"/>
                <w:sz w:val="24"/>
                <w:szCs w:val="24"/>
                <w:lang w:val="en-US" w:eastAsia="zh-CN"/>
              </w:rPr>
              <w:t>元以上5</w:t>
            </w:r>
            <w:r>
              <w:rPr>
                <w:rFonts w:hint="eastAsia" w:cs="宋体"/>
                <w:b w:val="0"/>
                <w:bCs w:val="0"/>
                <w:color w:val="auto"/>
                <w:spacing w:val="0"/>
                <w:kern w:val="21"/>
                <w:sz w:val="24"/>
                <w:szCs w:val="24"/>
                <w:lang w:val="en-US" w:eastAsia="zh-CN"/>
              </w:rPr>
              <w:t>万</w:t>
            </w:r>
            <w:r>
              <w:rPr>
                <w:rFonts w:hint="eastAsia" w:ascii="宋体" w:hAnsi="宋体" w:eastAsia="宋体" w:cs="宋体"/>
                <w:b w:val="0"/>
                <w:bCs w:val="0"/>
                <w:color w:val="auto"/>
                <w:spacing w:val="0"/>
                <w:kern w:val="21"/>
                <w:sz w:val="24"/>
                <w:szCs w:val="24"/>
                <w:lang w:val="en-US" w:eastAsia="zh-CN"/>
              </w:rPr>
              <w:t>元以下罚款。</w:t>
            </w:r>
          </w:p>
        </w:tc>
      </w:tr>
      <w:tr w14:paraId="17F2A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exact"/>
          <w:jc w:val="center"/>
        </w:trPr>
        <w:tc>
          <w:tcPr>
            <w:tcW w:w="640" w:type="dxa"/>
            <w:vMerge w:val="restart"/>
            <w:noWrap w:val="0"/>
            <w:vAlign w:val="center"/>
          </w:tcPr>
          <w:p w14:paraId="12788B1D">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lang w:val="en-US" w:eastAsia="zh-CN"/>
              </w:rPr>
            </w:pPr>
            <w:r>
              <w:rPr>
                <w:rFonts w:hint="eastAsia" w:ascii="宋体" w:hAnsi="宋体" w:eastAsia="宋体" w:cs="宋体"/>
                <w:b w:val="0"/>
                <w:bCs w:val="0"/>
                <w:color w:val="auto"/>
                <w:spacing w:val="6"/>
                <w:kern w:val="21"/>
                <w:sz w:val="24"/>
                <w:szCs w:val="24"/>
                <w:lang w:val="en-US" w:eastAsia="zh-CN"/>
              </w:rPr>
              <w:t>1</w:t>
            </w:r>
            <w:r>
              <w:rPr>
                <w:rFonts w:hint="eastAsia" w:cs="宋体"/>
                <w:b w:val="0"/>
                <w:bCs w:val="0"/>
                <w:color w:val="auto"/>
                <w:spacing w:val="6"/>
                <w:kern w:val="21"/>
                <w:sz w:val="24"/>
                <w:szCs w:val="24"/>
                <w:lang w:val="en-US" w:eastAsia="zh-CN"/>
              </w:rPr>
              <w:t>20</w:t>
            </w:r>
          </w:p>
        </w:tc>
        <w:tc>
          <w:tcPr>
            <w:tcW w:w="1793" w:type="dxa"/>
            <w:vMerge w:val="restart"/>
            <w:noWrap w:val="0"/>
            <w:vAlign w:val="center"/>
          </w:tcPr>
          <w:p w14:paraId="5C111391">
            <w:pPr>
              <w:pStyle w:val="17"/>
              <w:keepNext w:val="0"/>
              <w:keepLines w:val="0"/>
              <w:pageBreakBefore w:val="0"/>
              <w:widowControl w:val="0"/>
              <w:kinsoku/>
              <w:wordWrap/>
              <w:overflowPunct/>
              <w:topLinePunct w:val="0"/>
              <w:autoSpaceDE w:val="0"/>
              <w:autoSpaceDN w:val="0"/>
              <w:bidi w:val="0"/>
              <w:adjustRightInd/>
              <w:snapToGrid/>
              <w:spacing w:line="400" w:lineRule="exact"/>
              <w:ind w:left="63" w:leftChars="30" w:right="63" w:rightChars="30"/>
              <w:jc w:val="both"/>
              <w:textAlignment w:val="auto"/>
              <w:rPr>
                <w:rFonts w:hint="eastAsia" w:ascii="宋体" w:hAnsi="宋体" w:eastAsia="宋体" w:cs="宋体"/>
                <w:b w:val="0"/>
                <w:bCs w:val="0"/>
                <w:color w:val="auto"/>
                <w:spacing w:val="6"/>
                <w:kern w:val="21"/>
                <w:sz w:val="24"/>
                <w:szCs w:val="24"/>
                <w:lang w:eastAsia="zh-CN"/>
              </w:rPr>
            </w:pPr>
            <w:r>
              <w:rPr>
                <w:rFonts w:hint="eastAsia" w:ascii="宋体" w:hAnsi="宋体" w:eastAsia="宋体" w:cs="宋体"/>
                <w:b w:val="0"/>
                <w:bCs w:val="0"/>
                <w:color w:val="auto"/>
                <w:spacing w:val="6"/>
                <w:kern w:val="21"/>
                <w:sz w:val="24"/>
                <w:szCs w:val="24"/>
              </w:rPr>
              <w:t>《定量包装商品计量监督管理办法》</w:t>
            </w:r>
          </w:p>
        </w:tc>
        <w:tc>
          <w:tcPr>
            <w:tcW w:w="4193" w:type="dxa"/>
            <w:vMerge w:val="restart"/>
            <w:noWrap w:val="0"/>
            <w:vAlign w:val="center"/>
          </w:tcPr>
          <w:p w14:paraId="217D66EA">
            <w:pPr>
              <w:pStyle w:val="17"/>
              <w:keepNext w:val="0"/>
              <w:keepLines w:val="0"/>
              <w:pageBreakBefore w:val="0"/>
              <w:kinsoku/>
              <w:overflowPunct/>
              <w:topLinePunct w:val="0"/>
              <w:bidi w:val="0"/>
              <w:adjustRightInd/>
              <w:snapToGrid/>
              <w:spacing w:line="36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第十七条 生产、销售定量包装商品违反本办法第五条、第六条、第七条规定，未正确、清晰地标注净含量的，由县级以上地方市场监督管理部门责令改正；未标注净含量的，限期改正，处三万元以下罚款。</w:t>
            </w:r>
          </w:p>
        </w:tc>
        <w:tc>
          <w:tcPr>
            <w:tcW w:w="1132" w:type="dxa"/>
            <w:noWrap w:val="0"/>
            <w:vAlign w:val="center"/>
          </w:tcPr>
          <w:p w14:paraId="1FFBC562">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0DF5DE74">
            <w:pPr>
              <w:pStyle w:val="17"/>
              <w:keepNext w:val="0"/>
              <w:keepLines w:val="0"/>
              <w:pageBreakBefore w:val="0"/>
              <w:kinsoku/>
              <w:wordWrap/>
              <w:overflowPunct/>
              <w:topLinePunct w:val="0"/>
              <w:bidi w:val="0"/>
              <w:adjustRightInd/>
              <w:snapToGrid/>
              <w:spacing w:line="340" w:lineRule="exact"/>
              <w:ind w:left="63" w:leftChars="30" w:right="42" w:rightChars="2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lang w:val="en-US" w:eastAsia="zh-CN"/>
              </w:rPr>
              <w:t>涉案定量包装商品货值金额5000元以下的。</w:t>
            </w:r>
          </w:p>
        </w:tc>
        <w:tc>
          <w:tcPr>
            <w:tcW w:w="3382" w:type="dxa"/>
            <w:noWrap w:val="0"/>
            <w:vAlign w:val="center"/>
          </w:tcPr>
          <w:p w14:paraId="5DB96527">
            <w:pPr>
              <w:pStyle w:val="17"/>
              <w:keepNext w:val="0"/>
              <w:keepLines w:val="0"/>
              <w:pageBreakBefore w:val="0"/>
              <w:kinsoku/>
              <w:overflowPunct/>
              <w:topLinePunct w:val="0"/>
              <w:bidi w:val="0"/>
              <w:adjustRightInd/>
              <w:snapToGrid/>
              <w:spacing w:line="36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0"/>
                <w:kern w:val="21"/>
                <w:sz w:val="24"/>
                <w:szCs w:val="24"/>
              </w:rPr>
              <w:t>限期改正，</w:t>
            </w:r>
            <w:r>
              <w:rPr>
                <w:rFonts w:hint="eastAsia" w:ascii="宋体" w:hAnsi="宋体" w:eastAsia="宋体" w:cs="宋体"/>
                <w:b w:val="0"/>
                <w:bCs w:val="0"/>
                <w:color w:val="auto"/>
                <w:spacing w:val="0"/>
                <w:kern w:val="21"/>
                <w:sz w:val="24"/>
                <w:szCs w:val="24"/>
                <w:lang w:val="en-US" w:eastAsia="zh-CN"/>
              </w:rPr>
              <w:t>处9000元以下罚款。</w:t>
            </w:r>
          </w:p>
        </w:tc>
      </w:tr>
      <w:tr w14:paraId="11B42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exact"/>
          <w:jc w:val="center"/>
        </w:trPr>
        <w:tc>
          <w:tcPr>
            <w:tcW w:w="640" w:type="dxa"/>
            <w:vMerge w:val="continue"/>
            <w:noWrap w:val="0"/>
            <w:vAlign w:val="center"/>
          </w:tcPr>
          <w:p w14:paraId="6C55AE6D">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center"/>
          </w:tcPr>
          <w:p w14:paraId="5AA02840">
            <w:pPr>
              <w:pStyle w:val="17"/>
              <w:keepNext w:val="0"/>
              <w:keepLines w:val="0"/>
              <w:pageBreakBefore w:val="0"/>
              <w:widowControl w:val="0"/>
              <w:kinsoku/>
              <w:wordWrap/>
              <w:overflowPunct/>
              <w:topLinePunct w:val="0"/>
              <w:autoSpaceDE w:val="0"/>
              <w:autoSpaceDN w:val="0"/>
              <w:bidi w:val="0"/>
              <w:adjustRightInd/>
              <w:snapToGrid/>
              <w:spacing w:line="400" w:lineRule="exact"/>
              <w:ind w:left="63" w:leftChars="30" w:right="63" w:rightChars="30"/>
              <w:jc w:val="both"/>
              <w:textAlignment w:val="auto"/>
              <w:rPr>
                <w:rFonts w:hint="eastAsia" w:ascii="宋体" w:hAnsi="宋体" w:eastAsia="宋体" w:cs="宋体"/>
                <w:b w:val="0"/>
                <w:bCs w:val="0"/>
                <w:color w:val="auto"/>
                <w:spacing w:val="6"/>
                <w:kern w:val="21"/>
                <w:sz w:val="24"/>
                <w:szCs w:val="24"/>
                <w:lang w:eastAsia="zh-CN"/>
              </w:rPr>
            </w:pPr>
          </w:p>
        </w:tc>
        <w:tc>
          <w:tcPr>
            <w:tcW w:w="4193" w:type="dxa"/>
            <w:vMerge w:val="continue"/>
            <w:noWrap w:val="0"/>
            <w:vAlign w:val="center"/>
          </w:tcPr>
          <w:p w14:paraId="5FE31FE7">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p>
        </w:tc>
        <w:tc>
          <w:tcPr>
            <w:tcW w:w="1132" w:type="dxa"/>
            <w:noWrap w:val="0"/>
            <w:vAlign w:val="center"/>
          </w:tcPr>
          <w:p w14:paraId="45F03887">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28BF1F21">
            <w:pPr>
              <w:pStyle w:val="17"/>
              <w:keepNext w:val="0"/>
              <w:keepLines w:val="0"/>
              <w:pageBreakBefore w:val="0"/>
              <w:widowControl w:val="0"/>
              <w:kinsoku/>
              <w:wordWrap/>
              <w:overflowPunct/>
              <w:topLinePunct w:val="0"/>
              <w:autoSpaceDE/>
              <w:autoSpaceDN/>
              <w:bidi w:val="0"/>
              <w:adjustRightInd/>
              <w:snapToGrid/>
              <w:spacing w:line="340" w:lineRule="exact"/>
              <w:ind w:left="63" w:leftChars="30" w:right="42" w:rightChars="2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lang w:val="en-US" w:eastAsia="zh-CN"/>
              </w:rPr>
              <w:t>涉案定量包装商品货值金额</w:t>
            </w:r>
            <w:r>
              <w:rPr>
                <w:rFonts w:hint="eastAsia" w:ascii="宋体" w:hAnsi="宋体" w:eastAsia="宋体" w:cs="宋体"/>
                <w:b w:val="0"/>
                <w:bCs w:val="0"/>
                <w:color w:val="auto"/>
                <w:spacing w:val="0"/>
                <w:kern w:val="21"/>
                <w:sz w:val="24"/>
                <w:szCs w:val="24"/>
                <w:lang w:val="en-US" w:eastAsia="zh-CN"/>
              </w:rPr>
              <w:t>5000元以上1</w:t>
            </w:r>
            <w:r>
              <w:rPr>
                <w:rFonts w:hint="eastAsia" w:cs="宋体"/>
                <w:b w:val="0"/>
                <w:bCs w:val="0"/>
                <w:color w:val="auto"/>
                <w:spacing w:val="0"/>
                <w:kern w:val="21"/>
                <w:sz w:val="24"/>
                <w:szCs w:val="24"/>
                <w:lang w:val="en-US" w:eastAsia="zh-CN"/>
              </w:rPr>
              <w:t>万</w:t>
            </w:r>
            <w:r>
              <w:rPr>
                <w:rFonts w:hint="eastAsia" w:ascii="宋体" w:hAnsi="宋体" w:eastAsia="宋体" w:cs="宋体"/>
                <w:b w:val="0"/>
                <w:bCs w:val="0"/>
                <w:color w:val="auto"/>
                <w:spacing w:val="0"/>
                <w:kern w:val="21"/>
                <w:sz w:val="24"/>
                <w:szCs w:val="24"/>
                <w:lang w:val="en-US" w:eastAsia="zh-CN"/>
              </w:rPr>
              <w:t>元以下的。</w:t>
            </w:r>
          </w:p>
        </w:tc>
        <w:tc>
          <w:tcPr>
            <w:tcW w:w="3382" w:type="dxa"/>
            <w:noWrap w:val="0"/>
            <w:vAlign w:val="center"/>
          </w:tcPr>
          <w:p w14:paraId="667FD411">
            <w:pPr>
              <w:pStyle w:val="17"/>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限期改正，</w:t>
            </w:r>
            <w:r>
              <w:rPr>
                <w:rFonts w:hint="eastAsia" w:ascii="宋体" w:hAnsi="宋体" w:eastAsia="宋体" w:cs="宋体"/>
                <w:b w:val="0"/>
                <w:bCs w:val="0"/>
                <w:color w:val="auto"/>
                <w:spacing w:val="6"/>
                <w:kern w:val="21"/>
                <w:sz w:val="24"/>
                <w:szCs w:val="24"/>
                <w:lang w:val="en-US" w:eastAsia="zh-CN"/>
              </w:rPr>
              <w:t>处9000元以上</w:t>
            </w:r>
            <w:r>
              <w:rPr>
                <w:rFonts w:hint="eastAsia" w:cs="宋体"/>
                <w:b w:val="0"/>
                <w:bCs w:val="0"/>
                <w:color w:val="auto"/>
                <w:spacing w:val="6"/>
                <w:kern w:val="21"/>
                <w:sz w:val="24"/>
                <w:szCs w:val="24"/>
                <w:lang w:val="en-US" w:eastAsia="zh-CN"/>
              </w:rPr>
              <w:t>2.1万</w:t>
            </w:r>
            <w:r>
              <w:rPr>
                <w:rFonts w:hint="eastAsia" w:ascii="宋体" w:hAnsi="宋体" w:eastAsia="宋体" w:cs="宋体"/>
                <w:b w:val="0"/>
                <w:bCs w:val="0"/>
                <w:color w:val="auto"/>
                <w:spacing w:val="6"/>
                <w:kern w:val="21"/>
                <w:sz w:val="24"/>
                <w:szCs w:val="24"/>
                <w:lang w:val="en-US" w:eastAsia="zh-CN"/>
              </w:rPr>
              <w:t>元以下罚款。</w:t>
            </w:r>
          </w:p>
        </w:tc>
      </w:tr>
      <w:tr w14:paraId="3C6DA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exact"/>
          <w:jc w:val="center"/>
        </w:trPr>
        <w:tc>
          <w:tcPr>
            <w:tcW w:w="640" w:type="dxa"/>
            <w:vMerge w:val="continue"/>
            <w:noWrap w:val="0"/>
            <w:vAlign w:val="center"/>
          </w:tcPr>
          <w:p w14:paraId="4C0F14C5">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center"/>
          </w:tcPr>
          <w:p w14:paraId="4B39BFB0">
            <w:pPr>
              <w:pStyle w:val="17"/>
              <w:keepNext w:val="0"/>
              <w:keepLines w:val="0"/>
              <w:pageBreakBefore w:val="0"/>
              <w:widowControl w:val="0"/>
              <w:kinsoku/>
              <w:wordWrap/>
              <w:overflowPunct/>
              <w:topLinePunct w:val="0"/>
              <w:autoSpaceDE w:val="0"/>
              <w:autoSpaceDN w:val="0"/>
              <w:bidi w:val="0"/>
              <w:adjustRightInd/>
              <w:snapToGrid/>
              <w:spacing w:line="400" w:lineRule="exact"/>
              <w:ind w:left="63" w:leftChars="30" w:right="63" w:rightChars="30"/>
              <w:jc w:val="both"/>
              <w:textAlignment w:val="auto"/>
              <w:rPr>
                <w:rFonts w:hint="eastAsia" w:ascii="宋体" w:hAnsi="宋体" w:eastAsia="宋体" w:cs="宋体"/>
                <w:b w:val="0"/>
                <w:bCs w:val="0"/>
                <w:color w:val="auto"/>
                <w:spacing w:val="6"/>
                <w:kern w:val="21"/>
                <w:sz w:val="24"/>
                <w:szCs w:val="24"/>
                <w:lang w:eastAsia="zh-CN"/>
              </w:rPr>
            </w:pPr>
          </w:p>
        </w:tc>
        <w:tc>
          <w:tcPr>
            <w:tcW w:w="4193" w:type="dxa"/>
            <w:vMerge w:val="continue"/>
            <w:noWrap w:val="0"/>
            <w:vAlign w:val="center"/>
          </w:tcPr>
          <w:p w14:paraId="5A77A518">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p>
        </w:tc>
        <w:tc>
          <w:tcPr>
            <w:tcW w:w="1132" w:type="dxa"/>
            <w:noWrap w:val="0"/>
            <w:vAlign w:val="center"/>
          </w:tcPr>
          <w:p w14:paraId="66C238D2">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32FC3B95">
            <w:pPr>
              <w:pStyle w:val="17"/>
              <w:keepNext w:val="0"/>
              <w:keepLines w:val="0"/>
              <w:pageBreakBefore w:val="0"/>
              <w:widowControl w:val="0"/>
              <w:kinsoku/>
              <w:wordWrap/>
              <w:overflowPunct/>
              <w:topLinePunct w:val="0"/>
              <w:autoSpaceDE/>
              <w:autoSpaceDN/>
              <w:bidi w:val="0"/>
              <w:adjustRightInd/>
              <w:snapToGrid/>
              <w:spacing w:line="340" w:lineRule="exact"/>
              <w:ind w:left="63" w:leftChars="30" w:right="42" w:rightChars="2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lang w:val="en-US" w:eastAsia="zh-CN"/>
              </w:rPr>
              <w:t>涉案定量包装商品货值金额1</w:t>
            </w:r>
            <w:r>
              <w:rPr>
                <w:rFonts w:hint="eastAsia" w:cs="宋体"/>
                <w:b w:val="0"/>
                <w:bCs w:val="0"/>
                <w:color w:val="auto"/>
                <w:spacing w:val="6"/>
                <w:kern w:val="21"/>
                <w:sz w:val="24"/>
                <w:szCs w:val="24"/>
                <w:lang w:val="en-US" w:eastAsia="zh-CN"/>
              </w:rPr>
              <w:t>万</w:t>
            </w:r>
            <w:r>
              <w:rPr>
                <w:rFonts w:hint="eastAsia" w:ascii="宋体" w:hAnsi="宋体" w:eastAsia="宋体" w:cs="宋体"/>
                <w:b w:val="0"/>
                <w:bCs w:val="0"/>
                <w:color w:val="auto"/>
                <w:spacing w:val="6"/>
                <w:kern w:val="21"/>
                <w:sz w:val="24"/>
                <w:szCs w:val="24"/>
                <w:lang w:val="en-US" w:eastAsia="zh-CN"/>
              </w:rPr>
              <w:t>元以上的。</w:t>
            </w:r>
          </w:p>
        </w:tc>
        <w:tc>
          <w:tcPr>
            <w:tcW w:w="3382" w:type="dxa"/>
            <w:noWrap w:val="0"/>
            <w:vAlign w:val="center"/>
          </w:tcPr>
          <w:p w14:paraId="511E9940">
            <w:pPr>
              <w:pStyle w:val="17"/>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限期改正，</w:t>
            </w:r>
            <w:r>
              <w:rPr>
                <w:rFonts w:hint="eastAsia" w:ascii="宋体" w:hAnsi="宋体" w:eastAsia="宋体" w:cs="宋体"/>
                <w:b w:val="0"/>
                <w:bCs w:val="0"/>
                <w:color w:val="auto"/>
                <w:spacing w:val="6"/>
                <w:kern w:val="21"/>
                <w:sz w:val="24"/>
                <w:szCs w:val="24"/>
                <w:lang w:val="en-US" w:eastAsia="zh-CN"/>
              </w:rPr>
              <w:t>处</w:t>
            </w:r>
            <w:r>
              <w:rPr>
                <w:rFonts w:hint="eastAsia" w:cs="宋体"/>
                <w:b w:val="0"/>
                <w:bCs w:val="0"/>
                <w:color w:val="auto"/>
                <w:spacing w:val="6"/>
                <w:kern w:val="21"/>
                <w:sz w:val="24"/>
                <w:szCs w:val="24"/>
                <w:lang w:val="en-US" w:eastAsia="zh-CN"/>
              </w:rPr>
              <w:t>2.1万</w:t>
            </w:r>
            <w:r>
              <w:rPr>
                <w:rFonts w:hint="eastAsia" w:ascii="宋体" w:hAnsi="宋体" w:eastAsia="宋体" w:cs="宋体"/>
                <w:b w:val="0"/>
                <w:bCs w:val="0"/>
                <w:color w:val="auto"/>
                <w:spacing w:val="6"/>
                <w:kern w:val="21"/>
                <w:sz w:val="24"/>
                <w:szCs w:val="24"/>
                <w:lang w:val="en-US" w:eastAsia="zh-CN"/>
              </w:rPr>
              <w:t>元以上3</w:t>
            </w:r>
            <w:r>
              <w:rPr>
                <w:rFonts w:hint="eastAsia" w:cs="宋体"/>
                <w:b w:val="0"/>
                <w:bCs w:val="0"/>
                <w:color w:val="auto"/>
                <w:spacing w:val="6"/>
                <w:kern w:val="21"/>
                <w:sz w:val="24"/>
                <w:szCs w:val="24"/>
                <w:lang w:val="en-US" w:eastAsia="zh-CN"/>
              </w:rPr>
              <w:t>万</w:t>
            </w:r>
            <w:r>
              <w:rPr>
                <w:rFonts w:hint="eastAsia" w:ascii="宋体" w:hAnsi="宋体" w:eastAsia="宋体" w:cs="宋体"/>
                <w:b w:val="0"/>
                <w:bCs w:val="0"/>
                <w:color w:val="auto"/>
                <w:spacing w:val="6"/>
                <w:kern w:val="21"/>
                <w:sz w:val="24"/>
                <w:szCs w:val="24"/>
                <w:lang w:val="en-US" w:eastAsia="zh-CN"/>
              </w:rPr>
              <w:t>元以下罚款。</w:t>
            </w:r>
          </w:p>
        </w:tc>
      </w:tr>
      <w:tr w14:paraId="336D6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6" w:hRule="exact"/>
          <w:jc w:val="center"/>
        </w:trPr>
        <w:tc>
          <w:tcPr>
            <w:tcW w:w="640" w:type="dxa"/>
            <w:vMerge w:val="restart"/>
            <w:noWrap w:val="0"/>
            <w:vAlign w:val="center"/>
          </w:tcPr>
          <w:p w14:paraId="558F7055">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default" w:ascii="宋体" w:hAnsi="宋体" w:eastAsia="宋体" w:cs="宋体"/>
                <w:b w:val="0"/>
                <w:bCs w:val="0"/>
                <w:color w:val="auto"/>
                <w:spacing w:val="6"/>
                <w:kern w:val="21"/>
                <w:sz w:val="24"/>
                <w:szCs w:val="24"/>
                <w:lang w:val="en-US" w:eastAsia="zh-CN"/>
              </w:rPr>
            </w:pPr>
            <w:r>
              <w:rPr>
                <w:rFonts w:hint="eastAsia" w:ascii="宋体" w:hAnsi="宋体" w:eastAsia="宋体" w:cs="宋体"/>
                <w:b w:val="0"/>
                <w:bCs w:val="0"/>
                <w:color w:val="auto"/>
                <w:spacing w:val="6"/>
                <w:kern w:val="21"/>
                <w:sz w:val="24"/>
                <w:szCs w:val="24"/>
                <w:lang w:val="en-US" w:eastAsia="zh-CN"/>
              </w:rPr>
              <w:t>12</w:t>
            </w:r>
            <w:r>
              <w:rPr>
                <w:rFonts w:hint="eastAsia" w:cs="宋体"/>
                <w:b w:val="0"/>
                <w:bCs w:val="0"/>
                <w:color w:val="auto"/>
                <w:spacing w:val="6"/>
                <w:kern w:val="21"/>
                <w:sz w:val="24"/>
                <w:szCs w:val="24"/>
                <w:lang w:val="en-US" w:eastAsia="zh-CN"/>
              </w:rPr>
              <w:t>1</w:t>
            </w:r>
          </w:p>
        </w:tc>
        <w:tc>
          <w:tcPr>
            <w:tcW w:w="1793" w:type="dxa"/>
            <w:vMerge w:val="restart"/>
            <w:noWrap w:val="0"/>
            <w:vAlign w:val="center"/>
          </w:tcPr>
          <w:p w14:paraId="61AEAAA4">
            <w:pPr>
              <w:pStyle w:val="17"/>
              <w:keepNext w:val="0"/>
              <w:keepLines w:val="0"/>
              <w:pageBreakBefore w:val="0"/>
              <w:widowControl w:val="0"/>
              <w:kinsoku/>
              <w:wordWrap/>
              <w:overflowPunct/>
              <w:topLinePunct w:val="0"/>
              <w:autoSpaceDE w:val="0"/>
              <w:autoSpaceDN w:val="0"/>
              <w:bidi w:val="0"/>
              <w:adjustRightInd/>
              <w:snapToGrid/>
              <w:spacing w:line="400" w:lineRule="exact"/>
              <w:ind w:left="63" w:leftChars="30" w:right="63" w:rightChars="30"/>
              <w:jc w:val="both"/>
              <w:textAlignment w:val="auto"/>
              <w:rPr>
                <w:rFonts w:hint="eastAsia" w:ascii="宋体" w:hAnsi="宋体" w:eastAsia="宋体" w:cs="宋体"/>
                <w:b w:val="0"/>
                <w:bCs w:val="0"/>
                <w:color w:val="auto"/>
                <w:spacing w:val="6"/>
                <w:kern w:val="21"/>
                <w:sz w:val="24"/>
                <w:szCs w:val="24"/>
                <w:lang w:eastAsia="zh-CN"/>
              </w:rPr>
            </w:pPr>
            <w:r>
              <w:rPr>
                <w:rFonts w:hint="eastAsia" w:ascii="宋体" w:hAnsi="宋体" w:eastAsia="宋体" w:cs="宋体"/>
                <w:b w:val="0"/>
                <w:bCs w:val="0"/>
                <w:color w:val="auto"/>
                <w:spacing w:val="6"/>
                <w:kern w:val="21"/>
                <w:sz w:val="24"/>
                <w:szCs w:val="24"/>
              </w:rPr>
              <w:t>《定量包装商品计量监督管理办法》</w:t>
            </w:r>
          </w:p>
        </w:tc>
        <w:tc>
          <w:tcPr>
            <w:tcW w:w="4193" w:type="dxa"/>
            <w:vMerge w:val="restart"/>
            <w:noWrap w:val="0"/>
            <w:vAlign w:val="center"/>
          </w:tcPr>
          <w:p w14:paraId="70CF472B">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第十</w:t>
            </w:r>
            <w:r>
              <w:rPr>
                <w:rFonts w:hint="eastAsia" w:ascii="宋体" w:hAnsi="宋体" w:eastAsia="宋体" w:cs="宋体"/>
                <w:b w:val="0"/>
                <w:bCs w:val="0"/>
                <w:color w:val="auto"/>
                <w:spacing w:val="6"/>
                <w:kern w:val="21"/>
                <w:sz w:val="24"/>
                <w:szCs w:val="24"/>
                <w:lang w:eastAsia="zh-CN"/>
              </w:rPr>
              <w:t>八</w:t>
            </w:r>
            <w:r>
              <w:rPr>
                <w:rFonts w:hint="eastAsia" w:ascii="宋体" w:hAnsi="宋体" w:eastAsia="宋体" w:cs="宋体"/>
                <w:b w:val="0"/>
                <w:bCs w:val="0"/>
                <w:color w:val="auto"/>
                <w:spacing w:val="6"/>
                <w:kern w:val="21"/>
                <w:sz w:val="24"/>
                <w:szCs w:val="24"/>
              </w:rPr>
              <w:t>条 生产、销售的定量包装商品，经检验违反本办法第八条、第九条规定的，由县级以上地方市场监督管理部门责令改正，处三万元以下罚款。</w:t>
            </w:r>
          </w:p>
          <w:p w14:paraId="66E59EB6">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p>
        </w:tc>
        <w:tc>
          <w:tcPr>
            <w:tcW w:w="1132" w:type="dxa"/>
            <w:noWrap w:val="0"/>
            <w:vAlign w:val="center"/>
          </w:tcPr>
          <w:p w14:paraId="2479495B">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08762CDA">
            <w:pPr>
              <w:pStyle w:val="17"/>
              <w:keepNext w:val="0"/>
              <w:keepLines w:val="0"/>
              <w:pageBreakBefore w:val="0"/>
              <w:widowControl w:val="0"/>
              <w:kinsoku/>
              <w:wordWrap/>
              <w:overflowPunct/>
              <w:topLinePunct w:val="0"/>
              <w:autoSpaceDE/>
              <w:autoSpaceDN/>
              <w:bidi w:val="0"/>
              <w:adjustRightInd/>
              <w:snapToGrid/>
              <w:spacing w:line="340" w:lineRule="exact"/>
              <w:ind w:left="63" w:leftChars="30" w:right="42" w:rightChars="2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lang w:val="en-US" w:eastAsia="zh-CN"/>
              </w:rPr>
              <w:t>单件定量包装商品标注净含量与实际含量之差大于本办法附件3规定的允许短缺量</w:t>
            </w:r>
            <w:r>
              <w:rPr>
                <w:rFonts w:hint="default" w:cs="宋体"/>
                <w:b w:val="0"/>
                <w:bCs w:val="0"/>
                <w:color w:val="auto"/>
                <w:spacing w:val="-6"/>
                <w:kern w:val="21"/>
                <w:sz w:val="24"/>
                <w:szCs w:val="24"/>
                <w:lang w:val="en" w:eastAsia="zh-CN"/>
              </w:rPr>
              <w:t>1</w:t>
            </w:r>
            <w:r>
              <w:rPr>
                <w:rFonts w:hint="eastAsia" w:ascii="宋体" w:hAnsi="宋体" w:eastAsia="宋体" w:cs="宋体"/>
                <w:b w:val="0"/>
                <w:bCs w:val="0"/>
                <w:color w:val="auto"/>
                <w:spacing w:val="-6"/>
                <w:kern w:val="21"/>
                <w:sz w:val="24"/>
                <w:szCs w:val="24"/>
                <w:lang w:val="en-US" w:eastAsia="zh-CN"/>
              </w:rPr>
              <w:t>倍以</w:t>
            </w:r>
            <w:r>
              <w:rPr>
                <w:rFonts w:hint="eastAsia" w:cs="宋体"/>
                <w:b w:val="0"/>
                <w:bCs w:val="0"/>
                <w:color w:val="auto"/>
                <w:spacing w:val="-6"/>
                <w:kern w:val="21"/>
                <w:sz w:val="24"/>
                <w:szCs w:val="24"/>
                <w:lang w:val="en-US" w:eastAsia="zh-CN"/>
              </w:rPr>
              <w:t>下</w:t>
            </w:r>
            <w:r>
              <w:rPr>
                <w:rFonts w:hint="eastAsia" w:ascii="宋体" w:hAnsi="宋体" w:eastAsia="宋体" w:cs="宋体"/>
                <w:b w:val="0"/>
                <w:bCs w:val="0"/>
                <w:color w:val="auto"/>
                <w:spacing w:val="-6"/>
                <w:kern w:val="21"/>
                <w:sz w:val="24"/>
                <w:szCs w:val="24"/>
                <w:lang w:val="en-US" w:eastAsia="zh-CN"/>
              </w:rPr>
              <w:t>的；批量定量包装商品的平均实际含量小于其标注净含量3%以</w:t>
            </w:r>
            <w:r>
              <w:rPr>
                <w:rFonts w:hint="eastAsia" w:cs="宋体"/>
                <w:b w:val="0"/>
                <w:bCs w:val="0"/>
                <w:color w:val="auto"/>
                <w:spacing w:val="-6"/>
                <w:kern w:val="21"/>
                <w:sz w:val="24"/>
                <w:szCs w:val="24"/>
                <w:lang w:val="en-US" w:eastAsia="zh-CN"/>
              </w:rPr>
              <w:t>下</w:t>
            </w:r>
            <w:r>
              <w:rPr>
                <w:rFonts w:hint="eastAsia" w:ascii="宋体" w:hAnsi="宋体" w:eastAsia="宋体" w:cs="宋体"/>
                <w:b w:val="0"/>
                <w:bCs w:val="0"/>
                <w:color w:val="auto"/>
                <w:spacing w:val="-6"/>
                <w:kern w:val="21"/>
                <w:sz w:val="24"/>
                <w:szCs w:val="24"/>
                <w:lang w:val="en-US" w:eastAsia="zh-CN"/>
              </w:rPr>
              <w:t>的。</w:t>
            </w:r>
          </w:p>
        </w:tc>
        <w:tc>
          <w:tcPr>
            <w:tcW w:w="3382" w:type="dxa"/>
            <w:noWrap w:val="0"/>
            <w:vAlign w:val="center"/>
          </w:tcPr>
          <w:p w14:paraId="09C1A166">
            <w:pPr>
              <w:pStyle w:val="17"/>
              <w:keepNext w:val="0"/>
              <w:keepLines w:val="0"/>
              <w:pageBreakBefore w:val="0"/>
              <w:kinsoku/>
              <w:overflowPunct/>
              <w:topLinePunct w:val="0"/>
              <w:bidi w:val="0"/>
              <w:adjustRightInd/>
              <w:snapToGrid/>
              <w:spacing w:line="36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0"/>
                <w:kern w:val="21"/>
                <w:sz w:val="24"/>
                <w:szCs w:val="24"/>
              </w:rPr>
              <w:t>责令改正，</w:t>
            </w:r>
            <w:r>
              <w:rPr>
                <w:rFonts w:hint="eastAsia" w:ascii="宋体" w:hAnsi="宋体" w:eastAsia="宋体" w:cs="宋体"/>
                <w:b w:val="0"/>
                <w:bCs w:val="0"/>
                <w:color w:val="auto"/>
                <w:spacing w:val="0"/>
                <w:kern w:val="21"/>
                <w:sz w:val="24"/>
                <w:szCs w:val="24"/>
                <w:lang w:val="en-US" w:eastAsia="zh-CN"/>
              </w:rPr>
              <w:t>处9000元以下罚款。</w:t>
            </w:r>
          </w:p>
        </w:tc>
      </w:tr>
      <w:tr w14:paraId="10D77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exact"/>
          <w:jc w:val="center"/>
        </w:trPr>
        <w:tc>
          <w:tcPr>
            <w:tcW w:w="640" w:type="dxa"/>
            <w:vMerge w:val="continue"/>
            <w:noWrap w:val="0"/>
            <w:vAlign w:val="center"/>
          </w:tcPr>
          <w:p w14:paraId="621AE80E">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center"/>
          </w:tcPr>
          <w:p w14:paraId="1BAB26A4">
            <w:pPr>
              <w:pStyle w:val="17"/>
              <w:keepNext w:val="0"/>
              <w:keepLines w:val="0"/>
              <w:pageBreakBefore w:val="0"/>
              <w:widowControl w:val="0"/>
              <w:kinsoku/>
              <w:wordWrap/>
              <w:overflowPunct/>
              <w:topLinePunct w:val="0"/>
              <w:autoSpaceDE w:val="0"/>
              <w:autoSpaceDN w:val="0"/>
              <w:bidi w:val="0"/>
              <w:adjustRightInd/>
              <w:snapToGrid/>
              <w:spacing w:line="400" w:lineRule="exact"/>
              <w:ind w:left="63" w:leftChars="30" w:right="63" w:rightChars="30"/>
              <w:jc w:val="both"/>
              <w:textAlignment w:val="auto"/>
              <w:rPr>
                <w:rFonts w:hint="eastAsia" w:ascii="宋体" w:hAnsi="宋体" w:eastAsia="宋体" w:cs="宋体"/>
                <w:b w:val="0"/>
                <w:bCs w:val="0"/>
                <w:color w:val="auto"/>
                <w:spacing w:val="6"/>
                <w:kern w:val="21"/>
                <w:sz w:val="24"/>
                <w:szCs w:val="24"/>
                <w:lang w:eastAsia="zh-CN"/>
              </w:rPr>
            </w:pPr>
          </w:p>
        </w:tc>
        <w:tc>
          <w:tcPr>
            <w:tcW w:w="4193" w:type="dxa"/>
            <w:vMerge w:val="continue"/>
            <w:noWrap w:val="0"/>
            <w:vAlign w:val="center"/>
          </w:tcPr>
          <w:p w14:paraId="26DB120F">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p>
        </w:tc>
        <w:tc>
          <w:tcPr>
            <w:tcW w:w="1132" w:type="dxa"/>
            <w:noWrap w:val="0"/>
            <w:vAlign w:val="center"/>
          </w:tcPr>
          <w:p w14:paraId="2E869615">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5DC8689F">
            <w:pPr>
              <w:pStyle w:val="17"/>
              <w:keepNext w:val="0"/>
              <w:keepLines w:val="0"/>
              <w:pageBreakBefore w:val="0"/>
              <w:widowControl w:val="0"/>
              <w:kinsoku/>
              <w:wordWrap/>
              <w:overflowPunct/>
              <w:topLinePunct w:val="0"/>
              <w:autoSpaceDE/>
              <w:autoSpaceDN/>
              <w:bidi w:val="0"/>
              <w:adjustRightInd/>
              <w:snapToGrid/>
              <w:spacing w:line="340" w:lineRule="exact"/>
              <w:ind w:left="63" w:leftChars="30" w:right="42" w:rightChars="2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lang w:val="en-US" w:eastAsia="zh-CN"/>
              </w:rPr>
              <w:t>单件定量包装商品标注净含量与实际含量之差大于本办法附件3规定的允许短缺量</w:t>
            </w:r>
            <w:r>
              <w:rPr>
                <w:rFonts w:hint="default" w:cs="宋体"/>
                <w:b w:val="0"/>
                <w:bCs w:val="0"/>
                <w:color w:val="auto"/>
                <w:spacing w:val="-6"/>
                <w:kern w:val="21"/>
                <w:sz w:val="24"/>
                <w:szCs w:val="24"/>
                <w:lang w:val="en" w:eastAsia="zh-CN"/>
              </w:rPr>
              <w:t>2</w:t>
            </w:r>
            <w:r>
              <w:rPr>
                <w:rFonts w:hint="eastAsia" w:ascii="宋体" w:hAnsi="宋体" w:eastAsia="宋体" w:cs="宋体"/>
                <w:b w:val="0"/>
                <w:bCs w:val="0"/>
                <w:color w:val="auto"/>
                <w:spacing w:val="-6"/>
                <w:kern w:val="21"/>
                <w:sz w:val="24"/>
                <w:szCs w:val="24"/>
                <w:lang w:val="en-US" w:eastAsia="zh-CN"/>
              </w:rPr>
              <w:t>倍以</w:t>
            </w:r>
            <w:r>
              <w:rPr>
                <w:rFonts w:hint="eastAsia" w:cs="宋体"/>
                <w:b w:val="0"/>
                <w:bCs w:val="0"/>
                <w:color w:val="auto"/>
                <w:spacing w:val="-6"/>
                <w:kern w:val="21"/>
                <w:sz w:val="24"/>
                <w:szCs w:val="24"/>
                <w:lang w:val="en-US" w:eastAsia="zh-CN"/>
              </w:rPr>
              <w:t>下</w:t>
            </w:r>
            <w:r>
              <w:rPr>
                <w:rFonts w:hint="eastAsia" w:ascii="宋体" w:hAnsi="宋体" w:eastAsia="宋体" w:cs="宋体"/>
                <w:b w:val="0"/>
                <w:bCs w:val="0"/>
                <w:color w:val="auto"/>
                <w:spacing w:val="-6"/>
                <w:kern w:val="21"/>
                <w:sz w:val="24"/>
                <w:szCs w:val="24"/>
                <w:lang w:val="en-US" w:eastAsia="zh-CN"/>
              </w:rPr>
              <w:t>的；批量定量包装商品的平均实际含量小于其标注净含量3%</w:t>
            </w:r>
            <w:r>
              <w:rPr>
                <w:rFonts w:hint="eastAsia" w:cs="宋体"/>
                <w:b w:val="0"/>
                <w:bCs w:val="0"/>
                <w:color w:val="auto"/>
                <w:spacing w:val="-6"/>
                <w:kern w:val="21"/>
                <w:sz w:val="24"/>
                <w:szCs w:val="24"/>
                <w:lang w:val="en-US" w:eastAsia="zh-CN"/>
              </w:rPr>
              <w:t>以上</w:t>
            </w:r>
            <w:r>
              <w:rPr>
                <w:rFonts w:hint="eastAsia" w:ascii="宋体" w:hAnsi="宋体" w:eastAsia="宋体" w:cs="宋体"/>
                <w:b w:val="0"/>
                <w:bCs w:val="0"/>
                <w:color w:val="auto"/>
                <w:spacing w:val="-6"/>
                <w:kern w:val="21"/>
                <w:sz w:val="24"/>
                <w:szCs w:val="24"/>
                <w:lang w:val="en-US" w:eastAsia="zh-CN"/>
              </w:rPr>
              <w:t>5%</w:t>
            </w:r>
            <w:r>
              <w:rPr>
                <w:rFonts w:hint="eastAsia" w:cs="宋体"/>
                <w:b w:val="0"/>
                <w:bCs w:val="0"/>
                <w:color w:val="auto"/>
                <w:spacing w:val="-6"/>
                <w:kern w:val="21"/>
                <w:sz w:val="24"/>
                <w:szCs w:val="24"/>
                <w:lang w:val="en-US" w:eastAsia="zh-CN"/>
              </w:rPr>
              <w:t>以下</w:t>
            </w:r>
            <w:r>
              <w:rPr>
                <w:rFonts w:hint="eastAsia" w:ascii="宋体" w:hAnsi="宋体" w:eastAsia="宋体" w:cs="宋体"/>
                <w:b w:val="0"/>
                <w:bCs w:val="0"/>
                <w:color w:val="auto"/>
                <w:spacing w:val="-6"/>
                <w:kern w:val="21"/>
                <w:sz w:val="24"/>
                <w:szCs w:val="24"/>
                <w:lang w:val="en-US" w:eastAsia="zh-CN"/>
              </w:rPr>
              <w:t>的。</w:t>
            </w:r>
          </w:p>
        </w:tc>
        <w:tc>
          <w:tcPr>
            <w:tcW w:w="3382" w:type="dxa"/>
            <w:noWrap w:val="0"/>
            <w:vAlign w:val="center"/>
          </w:tcPr>
          <w:p w14:paraId="489C0640">
            <w:pPr>
              <w:pStyle w:val="17"/>
              <w:keepNext w:val="0"/>
              <w:keepLines w:val="0"/>
              <w:pageBreakBefore w:val="0"/>
              <w:kinsoku/>
              <w:overflowPunct/>
              <w:topLinePunct w:val="0"/>
              <w:bidi w:val="0"/>
              <w:adjustRightInd/>
              <w:snapToGrid/>
              <w:spacing w:line="36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责令改正，</w:t>
            </w:r>
            <w:r>
              <w:rPr>
                <w:rFonts w:hint="eastAsia" w:ascii="宋体" w:hAnsi="宋体" w:eastAsia="宋体" w:cs="宋体"/>
                <w:b w:val="0"/>
                <w:bCs w:val="0"/>
                <w:color w:val="auto"/>
                <w:spacing w:val="6"/>
                <w:kern w:val="21"/>
                <w:sz w:val="24"/>
                <w:szCs w:val="24"/>
                <w:lang w:val="en-US" w:eastAsia="zh-CN"/>
              </w:rPr>
              <w:t>处9000元以上</w:t>
            </w:r>
            <w:r>
              <w:rPr>
                <w:rFonts w:hint="eastAsia" w:cs="宋体"/>
                <w:b w:val="0"/>
                <w:bCs w:val="0"/>
                <w:color w:val="auto"/>
                <w:spacing w:val="6"/>
                <w:kern w:val="21"/>
                <w:sz w:val="24"/>
                <w:szCs w:val="24"/>
                <w:lang w:val="en-US" w:eastAsia="zh-CN"/>
              </w:rPr>
              <w:t>2.1万</w:t>
            </w:r>
            <w:r>
              <w:rPr>
                <w:rFonts w:hint="eastAsia" w:ascii="宋体" w:hAnsi="宋体" w:eastAsia="宋体" w:cs="宋体"/>
                <w:b w:val="0"/>
                <w:bCs w:val="0"/>
                <w:color w:val="auto"/>
                <w:spacing w:val="6"/>
                <w:kern w:val="21"/>
                <w:sz w:val="24"/>
                <w:szCs w:val="24"/>
                <w:lang w:val="en-US" w:eastAsia="zh-CN"/>
              </w:rPr>
              <w:t>元以下罚款。</w:t>
            </w:r>
          </w:p>
        </w:tc>
      </w:tr>
      <w:tr w14:paraId="01B74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4" w:hRule="exact"/>
          <w:jc w:val="center"/>
        </w:trPr>
        <w:tc>
          <w:tcPr>
            <w:tcW w:w="640" w:type="dxa"/>
            <w:vMerge w:val="continue"/>
            <w:noWrap w:val="0"/>
            <w:vAlign w:val="center"/>
          </w:tcPr>
          <w:p w14:paraId="045292B4">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center"/>
          </w:tcPr>
          <w:p w14:paraId="76B7C52A">
            <w:pPr>
              <w:pStyle w:val="17"/>
              <w:keepNext w:val="0"/>
              <w:keepLines w:val="0"/>
              <w:pageBreakBefore w:val="0"/>
              <w:widowControl w:val="0"/>
              <w:kinsoku/>
              <w:wordWrap/>
              <w:overflowPunct/>
              <w:topLinePunct w:val="0"/>
              <w:autoSpaceDE w:val="0"/>
              <w:autoSpaceDN w:val="0"/>
              <w:bidi w:val="0"/>
              <w:adjustRightInd/>
              <w:snapToGrid/>
              <w:spacing w:line="400" w:lineRule="exact"/>
              <w:ind w:left="63" w:leftChars="30" w:right="63" w:rightChars="30"/>
              <w:jc w:val="both"/>
              <w:textAlignment w:val="auto"/>
              <w:rPr>
                <w:rFonts w:hint="eastAsia" w:ascii="宋体" w:hAnsi="宋体" w:eastAsia="宋体" w:cs="宋体"/>
                <w:b w:val="0"/>
                <w:bCs w:val="0"/>
                <w:color w:val="auto"/>
                <w:spacing w:val="6"/>
                <w:kern w:val="21"/>
                <w:sz w:val="24"/>
                <w:szCs w:val="24"/>
                <w:lang w:eastAsia="zh-CN"/>
              </w:rPr>
            </w:pPr>
          </w:p>
        </w:tc>
        <w:tc>
          <w:tcPr>
            <w:tcW w:w="4193" w:type="dxa"/>
            <w:vMerge w:val="continue"/>
            <w:noWrap w:val="0"/>
            <w:vAlign w:val="center"/>
          </w:tcPr>
          <w:p w14:paraId="350C215E">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p>
        </w:tc>
        <w:tc>
          <w:tcPr>
            <w:tcW w:w="1132" w:type="dxa"/>
            <w:noWrap w:val="0"/>
            <w:vAlign w:val="center"/>
          </w:tcPr>
          <w:p w14:paraId="12524B14">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7FE4D189">
            <w:pPr>
              <w:pStyle w:val="17"/>
              <w:keepNext w:val="0"/>
              <w:keepLines w:val="0"/>
              <w:pageBreakBefore w:val="0"/>
              <w:widowControl w:val="0"/>
              <w:kinsoku/>
              <w:wordWrap/>
              <w:overflowPunct/>
              <w:topLinePunct w:val="0"/>
              <w:autoSpaceDE/>
              <w:autoSpaceDN/>
              <w:bidi w:val="0"/>
              <w:adjustRightInd/>
              <w:snapToGrid/>
              <w:spacing w:line="340" w:lineRule="exact"/>
              <w:ind w:left="63" w:leftChars="30" w:right="42" w:rightChars="2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lang w:val="en-US" w:eastAsia="zh-CN"/>
              </w:rPr>
              <w:t>单件定量包装商品标注净含量与实际含量之差大于本办法附件3规定的允许短缺量</w:t>
            </w:r>
            <w:r>
              <w:rPr>
                <w:rFonts w:hint="default" w:cs="宋体"/>
                <w:b w:val="0"/>
                <w:bCs w:val="0"/>
                <w:color w:val="auto"/>
                <w:spacing w:val="-6"/>
                <w:kern w:val="21"/>
                <w:sz w:val="24"/>
                <w:szCs w:val="24"/>
                <w:lang w:val="en" w:eastAsia="zh-CN"/>
              </w:rPr>
              <w:t>3</w:t>
            </w:r>
            <w:r>
              <w:rPr>
                <w:rFonts w:hint="eastAsia" w:ascii="宋体" w:hAnsi="宋体" w:eastAsia="宋体" w:cs="宋体"/>
                <w:b w:val="0"/>
                <w:bCs w:val="0"/>
                <w:color w:val="auto"/>
                <w:spacing w:val="-6"/>
                <w:kern w:val="21"/>
                <w:sz w:val="24"/>
                <w:szCs w:val="24"/>
                <w:lang w:val="en-US" w:eastAsia="zh-CN"/>
              </w:rPr>
              <w:t>倍以上的；批量定量包装商品的平均实际含量小于其标注净含量5%以上的。</w:t>
            </w:r>
          </w:p>
        </w:tc>
        <w:tc>
          <w:tcPr>
            <w:tcW w:w="3382" w:type="dxa"/>
            <w:noWrap w:val="0"/>
            <w:vAlign w:val="center"/>
          </w:tcPr>
          <w:p w14:paraId="2716E637">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责令改正，</w:t>
            </w:r>
            <w:r>
              <w:rPr>
                <w:rFonts w:hint="eastAsia" w:ascii="宋体" w:hAnsi="宋体" w:eastAsia="宋体" w:cs="宋体"/>
                <w:b w:val="0"/>
                <w:bCs w:val="0"/>
                <w:color w:val="auto"/>
                <w:spacing w:val="6"/>
                <w:kern w:val="21"/>
                <w:sz w:val="24"/>
                <w:szCs w:val="24"/>
                <w:lang w:val="en-US" w:eastAsia="zh-CN"/>
              </w:rPr>
              <w:t>处</w:t>
            </w:r>
            <w:r>
              <w:rPr>
                <w:rFonts w:hint="eastAsia" w:cs="宋体"/>
                <w:b w:val="0"/>
                <w:bCs w:val="0"/>
                <w:color w:val="auto"/>
                <w:spacing w:val="6"/>
                <w:kern w:val="21"/>
                <w:sz w:val="24"/>
                <w:szCs w:val="24"/>
                <w:lang w:val="en-US" w:eastAsia="zh-CN"/>
              </w:rPr>
              <w:t>2.1万</w:t>
            </w:r>
            <w:r>
              <w:rPr>
                <w:rFonts w:hint="eastAsia" w:ascii="宋体" w:hAnsi="宋体" w:eastAsia="宋体" w:cs="宋体"/>
                <w:b w:val="0"/>
                <w:bCs w:val="0"/>
                <w:color w:val="auto"/>
                <w:spacing w:val="6"/>
                <w:kern w:val="21"/>
                <w:sz w:val="24"/>
                <w:szCs w:val="24"/>
                <w:lang w:val="en-US" w:eastAsia="zh-CN"/>
              </w:rPr>
              <w:t>元以上3</w:t>
            </w:r>
            <w:r>
              <w:rPr>
                <w:rFonts w:hint="eastAsia" w:cs="宋体"/>
                <w:b w:val="0"/>
                <w:bCs w:val="0"/>
                <w:color w:val="auto"/>
                <w:spacing w:val="6"/>
                <w:kern w:val="21"/>
                <w:sz w:val="24"/>
                <w:szCs w:val="24"/>
                <w:lang w:val="en-US" w:eastAsia="zh-CN"/>
              </w:rPr>
              <w:t>万</w:t>
            </w:r>
            <w:r>
              <w:rPr>
                <w:rFonts w:hint="eastAsia" w:ascii="宋体" w:hAnsi="宋体" w:eastAsia="宋体" w:cs="宋体"/>
                <w:b w:val="0"/>
                <w:bCs w:val="0"/>
                <w:color w:val="auto"/>
                <w:spacing w:val="6"/>
                <w:kern w:val="21"/>
                <w:sz w:val="24"/>
                <w:szCs w:val="24"/>
                <w:lang w:val="en-US" w:eastAsia="zh-CN"/>
              </w:rPr>
              <w:t>元以下罚款。</w:t>
            </w:r>
          </w:p>
        </w:tc>
      </w:tr>
      <w:tr w14:paraId="4236F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4" w:hRule="exact"/>
          <w:jc w:val="center"/>
        </w:trPr>
        <w:tc>
          <w:tcPr>
            <w:tcW w:w="640" w:type="dxa"/>
            <w:vMerge w:val="restart"/>
            <w:noWrap w:val="0"/>
            <w:vAlign w:val="center"/>
          </w:tcPr>
          <w:p w14:paraId="2DC3CFD5">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lang w:val="en-US" w:eastAsia="zh-CN"/>
              </w:rPr>
            </w:pPr>
            <w:r>
              <w:rPr>
                <w:rFonts w:hint="eastAsia" w:ascii="宋体" w:hAnsi="宋体" w:eastAsia="宋体" w:cs="宋体"/>
                <w:b w:val="0"/>
                <w:bCs w:val="0"/>
                <w:color w:val="auto"/>
                <w:spacing w:val="6"/>
                <w:kern w:val="21"/>
                <w:sz w:val="24"/>
                <w:szCs w:val="24"/>
                <w:lang w:val="en-US" w:eastAsia="zh-CN"/>
              </w:rPr>
              <w:t>12</w:t>
            </w:r>
            <w:r>
              <w:rPr>
                <w:rFonts w:hint="eastAsia" w:cs="宋体"/>
                <w:b w:val="0"/>
                <w:bCs w:val="0"/>
                <w:color w:val="auto"/>
                <w:spacing w:val="6"/>
                <w:kern w:val="21"/>
                <w:sz w:val="24"/>
                <w:szCs w:val="24"/>
                <w:lang w:val="en-US" w:eastAsia="zh-CN"/>
              </w:rPr>
              <w:t>2</w:t>
            </w:r>
          </w:p>
        </w:tc>
        <w:tc>
          <w:tcPr>
            <w:tcW w:w="1793" w:type="dxa"/>
            <w:vMerge w:val="restart"/>
            <w:noWrap w:val="0"/>
            <w:vAlign w:val="center"/>
          </w:tcPr>
          <w:p w14:paraId="55A67FFE">
            <w:pPr>
              <w:pStyle w:val="17"/>
              <w:keepNext w:val="0"/>
              <w:keepLines w:val="0"/>
              <w:pageBreakBefore w:val="0"/>
              <w:widowControl w:val="0"/>
              <w:kinsoku/>
              <w:wordWrap/>
              <w:overflowPunct/>
              <w:topLinePunct w:val="0"/>
              <w:autoSpaceDE w:val="0"/>
              <w:autoSpaceDN w:val="0"/>
              <w:bidi w:val="0"/>
              <w:adjustRightInd/>
              <w:snapToGrid/>
              <w:spacing w:line="400" w:lineRule="exact"/>
              <w:ind w:left="63" w:leftChars="30" w:right="63" w:rightChars="30"/>
              <w:jc w:val="both"/>
              <w:textAlignment w:val="auto"/>
              <w:rPr>
                <w:rFonts w:hint="eastAsia" w:ascii="宋体" w:hAnsi="宋体" w:eastAsia="宋体" w:cs="宋体"/>
                <w:b w:val="0"/>
                <w:bCs w:val="0"/>
                <w:color w:val="auto"/>
                <w:spacing w:val="6"/>
                <w:kern w:val="21"/>
                <w:sz w:val="24"/>
                <w:szCs w:val="24"/>
                <w:lang w:eastAsia="zh-CN"/>
              </w:rPr>
            </w:pPr>
            <w:r>
              <w:rPr>
                <w:rFonts w:hint="eastAsia" w:ascii="宋体" w:hAnsi="宋体" w:eastAsia="宋体" w:cs="宋体"/>
                <w:b w:val="0"/>
                <w:bCs w:val="0"/>
                <w:color w:val="auto"/>
                <w:spacing w:val="6"/>
                <w:kern w:val="21"/>
                <w:sz w:val="24"/>
                <w:szCs w:val="24"/>
              </w:rPr>
              <w:t>《定量包装商品计量监督管理办法》</w:t>
            </w:r>
          </w:p>
        </w:tc>
        <w:tc>
          <w:tcPr>
            <w:tcW w:w="4193" w:type="dxa"/>
            <w:vMerge w:val="restart"/>
            <w:noWrap w:val="0"/>
            <w:vAlign w:val="center"/>
          </w:tcPr>
          <w:p w14:paraId="405B95F3">
            <w:pPr>
              <w:pStyle w:val="17"/>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both"/>
              <w:textAlignment w:val="auto"/>
              <w:rPr>
                <w:rFonts w:hint="eastAsia" w:ascii="宋体" w:hAnsi="宋体" w:eastAsia="宋体" w:cs="宋体"/>
                <w:b w:val="0"/>
                <w:bCs w:val="0"/>
                <w:color w:val="auto"/>
                <w:spacing w:val="6"/>
                <w:kern w:val="21"/>
                <w:sz w:val="24"/>
                <w:szCs w:val="24"/>
                <w:lang w:eastAsia="zh-CN"/>
              </w:rPr>
            </w:pPr>
            <w:r>
              <w:rPr>
                <w:rFonts w:hint="eastAsia" w:ascii="宋体" w:hAnsi="宋体" w:eastAsia="宋体" w:cs="宋体"/>
                <w:b w:val="0"/>
                <w:bCs w:val="0"/>
                <w:color w:val="auto"/>
                <w:spacing w:val="6"/>
                <w:kern w:val="21"/>
                <w:sz w:val="24"/>
                <w:szCs w:val="24"/>
                <w:lang w:eastAsia="zh-CN"/>
              </w:rPr>
              <w:t>第十九条 从事定量包装商品计量监督检验的机构伪造检验数据的，由县级以上地方市场监督管理部门处十万元以下罚款；有下列行为之一的，由县级以上市场监督管理部门责令改正，予以警告、通报批评：</w:t>
            </w:r>
          </w:p>
          <w:p w14:paraId="67A9CAC1">
            <w:pPr>
              <w:pStyle w:val="17"/>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both"/>
              <w:textAlignment w:val="auto"/>
              <w:rPr>
                <w:rFonts w:hint="eastAsia" w:ascii="宋体" w:hAnsi="宋体" w:eastAsia="宋体" w:cs="宋体"/>
                <w:b w:val="0"/>
                <w:bCs w:val="0"/>
                <w:color w:val="auto"/>
                <w:spacing w:val="6"/>
                <w:kern w:val="21"/>
                <w:sz w:val="24"/>
                <w:szCs w:val="24"/>
                <w:lang w:eastAsia="zh-CN"/>
              </w:rPr>
            </w:pPr>
            <w:r>
              <w:rPr>
                <w:rFonts w:hint="eastAsia" w:ascii="宋体" w:hAnsi="宋体" w:eastAsia="宋体" w:cs="宋体"/>
                <w:b w:val="0"/>
                <w:bCs w:val="0"/>
                <w:color w:val="auto"/>
                <w:spacing w:val="6"/>
                <w:kern w:val="21"/>
                <w:sz w:val="24"/>
                <w:szCs w:val="24"/>
                <w:lang w:eastAsia="zh-CN"/>
              </w:rPr>
              <w:t>（一）违反定量包装商品净含量计量检验规则等系列计量技术规范进行计量检验的；</w:t>
            </w:r>
          </w:p>
          <w:p w14:paraId="1996B877">
            <w:pPr>
              <w:pStyle w:val="17"/>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both"/>
              <w:textAlignment w:val="auto"/>
              <w:rPr>
                <w:rFonts w:hint="eastAsia" w:ascii="宋体" w:hAnsi="宋体" w:eastAsia="宋体" w:cs="宋体"/>
                <w:b w:val="0"/>
                <w:bCs w:val="0"/>
                <w:color w:val="auto"/>
                <w:spacing w:val="6"/>
                <w:kern w:val="21"/>
                <w:sz w:val="24"/>
                <w:szCs w:val="24"/>
                <w:lang w:eastAsia="zh-CN"/>
              </w:rPr>
            </w:pPr>
            <w:r>
              <w:rPr>
                <w:rFonts w:hint="eastAsia" w:ascii="宋体" w:hAnsi="宋体" w:eastAsia="宋体" w:cs="宋体"/>
                <w:b w:val="0"/>
                <w:bCs w:val="0"/>
                <w:color w:val="auto"/>
                <w:spacing w:val="6"/>
                <w:kern w:val="21"/>
                <w:sz w:val="24"/>
                <w:szCs w:val="24"/>
                <w:lang w:eastAsia="zh-CN"/>
              </w:rPr>
              <w:t>（二）使用未经检定、检定不合格或者超过检定周期的计量器具开展计量检验的；</w:t>
            </w:r>
          </w:p>
          <w:p w14:paraId="3F6FBC54">
            <w:pPr>
              <w:pStyle w:val="17"/>
              <w:keepNext w:val="0"/>
              <w:keepLines w:val="0"/>
              <w:pageBreakBefore w:val="0"/>
              <w:widowControl w:val="0"/>
              <w:kinsoku/>
              <w:wordWrap/>
              <w:overflowPunct/>
              <w:topLinePunct w:val="0"/>
              <w:autoSpaceDE/>
              <w:autoSpaceDN/>
              <w:bidi w:val="0"/>
              <w:adjustRightInd/>
              <w:snapToGrid/>
              <w:spacing w:line="360" w:lineRule="exact"/>
              <w:ind w:left="63" w:leftChars="30" w:right="63" w:rightChars="30"/>
              <w:jc w:val="both"/>
              <w:textAlignment w:val="auto"/>
              <w:rPr>
                <w:rFonts w:hint="eastAsia" w:ascii="宋体" w:hAnsi="宋体" w:eastAsia="宋体" w:cs="宋体"/>
                <w:b w:val="0"/>
                <w:bCs w:val="0"/>
                <w:color w:val="auto"/>
                <w:spacing w:val="6"/>
                <w:kern w:val="21"/>
                <w:sz w:val="24"/>
                <w:szCs w:val="24"/>
                <w:lang w:eastAsia="zh-CN"/>
              </w:rPr>
            </w:pPr>
            <w:r>
              <w:rPr>
                <w:rFonts w:hint="eastAsia" w:ascii="宋体" w:hAnsi="宋体" w:eastAsia="宋体" w:cs="宋体"/>
                <w:b w:val="0"/>
                <w:bCs w:val="0"/>
                <w:color w:val="auto"/>
                <w:spacing w:val="6"/>
                <w:kern w:val="21"/>
                <w:sz w:val="24"/>
                <w:szCs w:val="24"/>
                <w:lang w:eastAsia="zh-CN"/>
              </w:rPr>
              <w:t>（三）擅自将检验结果及有关材料对外泄露的；</w:t>
            </w:r>
          </w:p>
          <w:p w14:paraId="5096967F">
            <w:pPr>
              <w:pStyle w:val="17"/>
              <w:keepNext w:val="0"/>
              <w:keepLines w:val="0"/>
              <w:pageBreakBefore w:val="0"/>
              <w:widowControl w:val="0"/>
              <w:kinsoku/>
              <w:wordWrap/>
              <w:overflowPunct/>
              <w:topLinePunct w:val="0"/>
              <w:autoSpaceDE/>
              <w:autoSpaceDN/>
              <w:bidi w:val="0"/>
              <w:adjustRightInd/>
              <w:snapToGrid/>
              <w:spacing w:line="370" w:lineRule="exact"/>
              <w:ind w:left="63" w:leftChars="30" w:right="63" w:rightChars="30"/>
              <w:jc w:val="both"/>
              <w:textAlignment w:val="auto"/>
              <w:rPr>
                <w:rFonts w:hint="eastAsia" w:ascii="宋体" w:hAnsi="宋体" w:eastAsia="宋体" w:cs="宋体"/>
                <w:b w:val="0"/>
                <w:bCs w:val="0"/>
                <w:strike/>
                <w:dstrike w:val="0"/>
                <w:color w:val="auto"/>
                <w:spacing w:val="6"/>
                <w:kern w:val="21"/>
                <w:sz w:val="24"/>
                <w:szCs w:val="24"/>
                <w:highlight w:val="yellow"/>
              </w:rPr>
            </w:pPr>
            <w:r>
              <w:rPr>
                <w:rFonts w:hint="eastAsia" w:ascii="宋体" w:hAnsi="宋体" w:eastAsia="宋体" w:cs="宋体"/>
                <w:b w:val="0"/>
                <w:bCs w:val="0"/>
                <w:color w:val="auto"/>
                <w:spacing w:val="6"/>
                <w:kern w:val="21"/>
                <w:sz w:val="24"/>
                <w:szCs w:val="24"/>
                <w:lang w:eastAsia="zh-CN"/>
              </w:rPr>
              <w:t>（四）利用检验结果参与有偿活动的。</w:t>
            </w:r>
          </w:p>
        </w:tc>
        <w:tc>
          <w:tcPr>
            <w:tcW w:w="1132" w:type="dxa"/>
            <w:noWrap w:val="0"/>
            <w:vAlign w:val="center"/>
          </w:tcPr>
          <w:p w14:paraId="38523EE8">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0F3FE741">
            <w:pPr>
              <w:keepNext w:val="0"/>
              <w:keepLines w:val="0"/>
              <w:pageBreakBefore w:val="0"/>
              <w:widowControl/>
              <w:suppressLineNumbers w:val="0"/>
              <w:kinsoku/>
              <w:wordWrap/>
              <w:overflowPunct/>
              <w:topLinePunct w:val="0"/>
              <w:bidi w:val="0"/>
              <w:adjustRightInd/>
              <w:snapToGrid/>
              <w:spacing w:line="400" w:lineRule="exact"/>
              <w:ind w:left="105" w:leftChars="50" w:right="63" w:rightChars="30"/>
              <w:jc w:val="both"/>
              <w:textAlignment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lang w:val="en-US" w:eastAsia="zh-CN" w:bidi="zh-CN"/>
              </w:rPr>
              <w:t>从事定量包装商品计量监督检验的机构伪造检验数据</w:t>
            </w:r>
            <w:r>
              <w:rPr>
                <w:rFonts w:hint="default" w:ascii="宋体" w:hAnsi="宋体" w:cs="宋体"/>
                <w:b w:val="0"/>
                <w:bCs w:val="0"/>
                <w:color w:val="auto"/>
                <w:spacing w:val="6"/>
                <w:kern w:val="21"/>
                <w:sz w:val="24"/>
                <w:szCs w:val="24"/>
                <w:lang w:val="en" w:eastAsia="zh-CN" w:bidi="zh-CN"/>
              </w:rPr>
              <w:t>1</w:t>
            </w:r>
            <w:r>
              <w:rPr>
                <w:rFonts w:hint="eastAsia" w:ascii="宋体" w:hAnsi="宋体" w:eastAsia="宋体" w:cs="宋体"/>
                <w:b w:val="0"/>
                <w:bCs w:val="0"/>
                <w:color w:val="auto"/>
                <w:spacing w:val="6"/>
                <w:kern w:val="21"/>
                <w:sz w:val="24"/>
                <w:szCs w:val="24"/>
                <w:lang w:val="en-US" w:eastAsia="zh-CN" w:bidi="zh-CN"/>
              </w:rPr>
              <w:t>项，未造成危害后果</w:t>
            </w:r>
            <w:r>
              <w:rPr>
                <w:rFonts w:hint="eastAsia" w:ascii="宋体" w:hAnsi="宋体" w:cs="宋体"/>
                <w:b w:val="0"/>
                <w:bCs w:val="0"/>
                <w:color w:val="auto"/>
                <w:spacing w:val="6"/>
                <w:kern w:val="21"/>
                <w:sz w:val="24"/>
                <w:szCs w:val="24"/>
                <w:lang w:val="en-US" w:eastAsia="zh-CN" w:bidi="zh-CN"/>
              </w:rPr>
              <w:t>的。</w:t>
            </w:r>
          </w:p>
        </w:tc>
        <w:tc>
          <w:tcPr>
            <w:tcW w:w="3382" w:type="dxa"/>
            <w:noWrap w:val="0"/>
            <w:vAlign w:val="center"/>
          </w:tcPr>
          <w:p w14:paraId="6B81D006">
            <w:pPr>
              <w:keepNext w:val="0"/>
              <w:keepLines w:val="0"/>
              <w:pageBreakBefore w:val="0"/>
              <w:widowControl/>
              <w:suppressLineNumbers w:val="0"/>
              <w:kinsoku/>
              <w:overflowPunct/>
              <w:topLinePunct w:val="0"/>
              <w:bidi w:val="0"/>
              <w:adjustRightInd/>
              <w:snapToGrid/>
              <w:spacing w:line="400" w:lineRule="exact"/>
              <w:ind w:left="105" w:leftChars="50" w:right="63" w:rightChars="30"/>
              <w:jc w:val="both"/>
              <w:textAlignment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lang w:val="en-US" w:eastAsia="zh-CN" w:bidi="zh-CN"/>
              </w:rPr>
              <w:t>处</w:t>
            </w:r>
            <w:r>
              <w:rPr>
                <w:rFonts w:hint="eastAsia" w:ascii="宋体" w:hAnsi="宋体" w:cs="宋体"/>
                <w:b w:val="0"/>
                <w:bCs w:val="0"/>
                <w:color w:val="auto"/>
                <w:spacing w:val="6"/>
                <w:kern w:val="21"/>
                <w:sz w:val="24"/>
                <w:szCs w:val="24"/>
                <w:lang w:val="en-US" w:eastAsia="zh-CN" w:bidi="zh-CN"/>
              </w:rPr>
              <w:t>3</w:t>
            </w:r>
            <w:r>
              <w:rPr>
                <w:rFonts w:hint="eastAsia" w:ascii="宋体" w:hAnsi="宋体" w:eastAsia="宋体" w:cs="宋体"/>
                <w:b w:val="0"/>
                <w:bCs w:val="0"/>
                <w:color w:val="auto"/>
                <w:spacing w:val="6"/>
                <w:kern w:val="21"/>
                <w:sz w:val="24"/>
                <w:szCs w:val="24"/>
                <w:lang w:val="en-US" w:eastAsia="zh-CN" w:bidi="zh-CN"/>
              </w:rPr>
              <w:t>万元以下罚款。</w:t>
            </w:r>
          </w:p>
        </w:tc>
      </w:tr>
      <w:tr w14:paraId="7BF4B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0" w:hRule="exact"/>
          <w:jc w:val="center"/>
        </w:trPr>
        <w:tc>
          <w:tcPr>
            <w:tcW w:w="640" w:type="dxa"/>
            <w:vMerge w:val="continue"/>
            <w:noWrap w:val="0"/>
            <w:vAlign w:val="center"/>
          </w:tcPr>
          <w:p w14:paraId="0940FDC7">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center"/>
          </w:tcPr>
          <w:p w14:paraId="76E057AA">
            <w:pPr>
              <w:pStyle w:val="17"/>
              <w:keepNext w:val="0"/>
              <w:keepLines w:val="0"/>
              <w:pageBreakBefore w:val="0"/>
              <w:widowControl w:val="0"/>
              <w:kinsoku/>
              <w:wordWrap/>
              <w:overflowPunct/>
              <w:topLinePunct w:val="0"/>
              <w:autoSpaceDE w:val="0"/>
              <w:autoSpaceDN w:val="0"/>
              <w:bidi w:val="0"/>
              <w:adjustRightInd/>
              <w:snapToGrid/>
              <w:spacing w:line="400" w:lineRule="exact"/>
              <w:ind w:left="63" w:leftChars="30" w:right="63" w:rightChars="30"/>
              <w:jc w:val="both"/>
              <w:textAlignment w:val="auto"/>
              <w:rPr>
                <w:rFonts w:hint="eastAsia" w:ascii="宋体" w:hAnsi="宋体" w:eastAsia="宋体" w:cs="宋体"/>
                <w:b w:val="0"/>
                <w:bCs w:val="0"/>
                <w:color w:val="auto"/>
                <w:spacing w:val="6"/>
                <w:kern w:val="21"/>
                <w:sz w:val="24"/>
                <w:szCs w:val="24"/>
                <w:lang w:eastAsia="zh-CN"/>
              </w:rPr>
            </w:pPr>
          </w:p>
        </w:tc>
        <w:tc>
          <w:tcPr>
            <w:tcW w:w="4193" w:type="dxa"/>
            <w:vMerge w:val="continue"/>
            <w:noWrap w:val="0"/>
            <w:vAlign w:val="center"/>
          </w:tcPr>
          <w:p w14:paraId="370F35C9">
            <w:pPr>
              <w:pStyle w:val="17"/>
              <w:keepNext w:val="0"/>
              <w:keepLines w:val="0"/>
              <w:pageBreakBefore w:val="0"/>
              <w:kinsoku/>
              <w:overflowPunct/>
              <w:topLinePunct w:val="0"/>
              <w:bidi w:val="0"/>
              <w:adjustRightInd/>
              <w:snapToGrid/>
              <w:spacing w:line="370" w:lineRule="exact"/>
              <w:ind w:left="63" w:leftChars="30" w:right="63" w:rightChars="30"/>
              <w:jc w:val="both"/>
              <w:rPr>
                <w:rFonts w:hint="eastAsia" w:ascii="宋体" w:hAnsi="宋体" w:eastAsia="宋体" w:cs="宋体"/>
                <w:b w:val="0"/>
                <w:bCs w:val="0"/>
                <w:strike/>
                <w:dstrike w:val="0"/>
                <w:color w:val="auto"/>
                <w:spacing w:val="6"/>
                <w:kern w:val="21"/>
                <w:sz w:val="24"/>
                <w:szCs w:val="24"/>
                <w:highlight w:val="yellow"/>
              </w:rPr>
            </w:pPr>
          </w:p>
        </w:tc>
        <w:tc>
          <w:tcPr>
            <w:tcW w:w="1132" w:type="dxa"/>
            <w:noWrap w:val="0"/>
            <w:vAlign w:val="center"/>
          </w:tcPr>
          <w:p w14:paraId="3389D9F1">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415FB42B">
            <w:pPr>
              <w:keepNext w:val="0"/>
              <w:keepLines w:val="0"/>
              <w:pageBreakBefore w:val="0"/>
              <w:widowControl/>
              <w:suppressLineNumbers w:val="0"/>
              <w:kinsoku/>
              <w:wordWrap/>
              <w:overflowPunct/>
              <w:topLinePunct w:val="0"/>
              <w:bidi w:val="0"/>
              <w:adjustRightInd/>
              <w:snapToGrid/>
              <w:spacing w:line="400" w:lineRule="exact"/>
              <w:ind w:left="105" w:leftChars="50" w:right="63" w:rightChars="30"/>
              <w:jc w:val="both"/>
              <w:textAlignment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lang w:val="en-US" w:eastAsia="zh-CN" w:bidi="zh-CN"/>
              </w:rPr>
              <w:t>从事定量包装商品计量监督检验的机构伪造检验数据</w:t>
            </w:r>
            <w:r>
              <w:rPr>
                <w:rFonts w:hint="default" w:ascii="宋体" w:hAnsi="宋体" w:cs="宋体"/>
                <w:b w:val="0"/>
                <w:bCs w:val="0"/>
                <w:color w:val="auto"/>
                <w:spacing w:val="6"/>
                <w:kern w:val="21"/>
                <w:sz w:val="24"/>
                <w:szCs w:val="24"/>
                <w:lang w:val="en" w:eastAsia="zh-CN" w:bidi="zh-CN"/>
              </w:rPr>
              <w:t>1</w:t>
            </w:r>
            <w:r>
              <w:rPr>
                <w:rFonts w:hint="eastAsia" w:ascii="宋体" w:hAnsi="宋体" w:eastAsia="宋体" w:cs="宋体"/>
                <w:b w:val="0"/>
                <w:bCs w:val="0"/>
                <w:color w:val="auto"/>
                <w:spacing w:val="6"/>
                <w:kern w:val="21"/>
                <w:sz w:val="24"/>
                <w:szCs w:val="24"/>
                <w:lang w:val="en-US" w:eastAsia="zh-CN" w:bidi="zh-CN"/>
              </w:rPr>
              <w:t>项，造成危害后果的</w:t>
            </w:r>
            <w:r>
              <w:rPr>
                <w:rFonts w:hint="eastAsia" w:ascii="宋体" w:hAnsi="宋体" w:cs="宋体"/>
                <w:b w:val="0"/>
                <w:bCs w:val="0"/>
                <w:color w:val="auto"/>
                <w:spacing w:val="6"/>
                <w:kern w:val="21"/>
                <w:sz w:val="24"/>
                <w:szCs w:val="24"/>
                <w:lang w:val="en-US" w:eastAsia="zh-CN" w:bidi="zh-CN"/>
              </w:rPr>
              <w:t>。</w:t>
            </w:r>
          </w:p>
        </w:tc>
        <w:tc>
          <w:tcPr>
            <w:tcW w:w="3382" w:type="dxa"/>
            <w:noWrap w:val="0"/>
            <w:vAlign w:val="center"/>
          </w:tcPr>
          <w:p w14:paraId="7634EE19">
            <w:pPr>
              <w:keepNext w:val="0"/>
              <w:keepLines w:val="0"/>
              <w:pageBreakBefore w:val="0"/>
              <w:widowControl/>
              <w:suppressLineNumbers w:val="0"/>
              <w:kinsoku/>
              <w:overflowPunct/>
              <w:topLinePunct w:val="0"/>
              <w:bidi w:val="0"/>
              <w:adjustRightInd/>
              <w:snapToGrid/>
              <w:spacing w:line="400" w:lineRule="exact"/>
              <w:ind w:left="105" w:leftChars="50" w:right="63" w:rightChars="30"/>
              <w:jc w:val="both"/>
              <w:textAlignment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0"/>
                <w:kern w:val="21"/>
                <w:sz w:val="24"/>
                <w:szCs w:val="24"/>
                <w:lang w:val="en-US" w:eastAsia="zh-CN" w:bidi="zh-CN"/>
              </w:rPr>
              <w:t>处</w:t>
            </w:r>
            <w:r>
              <w:rPr>
                <w:rFonts w:hint="eastAsia" w:ascii="宋体" w:hAnsi="宋体" w:cs="宋体"/>
                <w:b w:val="0"/>
                <w:bCs w:val="0"/>
                <w:color w:val="auto"/>
                <w:spacing w:val="0"/>
                <w:kern w:val="21"/>
                <w:sz w:val="24"/>
                <w:szCs w:val="24"/>
                <w:lang w:val="en-US" w:eastAsia="zh-CN" w:bidi="zh-CN"/>
              </w:rPr>
              <w:t>3</w:t>
            </w:r>
            <w:r>
              <w:rPr>
                <w:rFonts w:hint="eastAsia" w:ascii="宋体" w:hAnsi="宋体" w:eastAsia="宋体" w:cs="宋体"/>
                <w:b w:val="0"/>
                <w:bCs w:val="0"/>
                <w:color w:val="auto"/>
                <w:spacing w:val="0"/>
                <w:kern w:val="21"/>
                <w:sz w:val="24"/>
                <w:szCs w:val="24"/>
                <w:lang w:val="en-US" w:eastAsia="zh-CN" w:bidi="zh-CN"/>
              </w:rPr>
              <w:t>万元以上</w:t>
            </w:r>
            <w:r>
              <w:rPr>
                <w:rFonts w:hint="eastAsia" w:ascii="宋体" w:hAnsi="宋体" w:cs="宋体"/>
                <w:b w:val="0"/>
                <w:bCs w:val="0"/>
                <w:color w:val="auto"/>
                <w:spacing w:val="0"/>
                <w:kern w:val="21"/>
                <w:sz w:val="24"/>
                <w:szCs w:val="24"/>
                <w:lang w:val="en-US" w:eastAsia="zh-CN" w:bidi="zh-CN"/>
              </w:rPr>
              <w:t>7</w:t>
            </w:r>
            <w:r>
              <w:rPr>
                <w:rFonts w:hint="eastAsia" w:ascii="宋体" w:hAnsi="宋体" w:eastAsia="宋体" w:cs="宋体"/>
                <w:b w:val="0"/>
                <w:bCs w:val="0"/>
                <w:color w:val="auto"/>
                <w:spacing w:val="0"/>
                <w:kern w:val="21"/>
                <w:sz w:val="24"/>
                <w:szCs w:val="24"/>
                <w:lang w:val="en-US" w:eastAsia="zh-CN" w:bidi="zh-CN"/>
              </w:rPr>
              <w:t>万元以下罚款。</w:t>
            </w:r>
          </w:p>
        </w:tc>
      </w:tr>
      <w:tr w14:paraId="0AEF2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3" w:hRule="exact"/>
          <w:jc w:val="center"/>
        </w:trPr>
        <w:tc>
          <w:tcPr>
            <w:tcW w:w="640" w:type="dxa"/>
            <w:vMerge w:val="continue"/>
            <w:noWrap w:val="0"/>
            <w:vAlign w:val="center"/>
          </w:tcPr>
          <w:p w14:paraId="2C3AB858">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center"/>
          </w:tcPr>
          <w:p w14:paraId="46BD2FDE">
            <w:pPr>
              <w:pStyle w:val="17"/>
              <w:keepNext w:val="0"/>
              <w:keepLines w:val="0"/>
              <w:pageBreakBefore w:val="0"/>
              <w:widowControl w:val="0"/>
              <w:kinsoku/>
              <w:wordWrap/>
              <w:overflowPunct/>
              <w:topLinePunct w:val="0"/>
              <w:autoSpaceDE w:val="0"/>
              <w:autoSpaceDN w:val="0"/>
              <w:bidi w:val="0"/>
              <w:adjustRightInd/>
              <w:snapToGrid/>
              <w:spacing w:line="400" w:lineRule="exact"/>
              <w:ind w:left="63" w:leftChars="30" w:right="63" w:rightChars="30"/>
              <w:jc w:val="both"/>
              <w:textAlignment w:val="auto"/>
              <w:rPr>
                <w:rFonts w:hint="eastAsia" w:ascii="宋体" w:hAnsi="宋体" w:eastAsia="宋体" w:cs="宋体"/>
                <w:b w:val="0"/>
                <w:bCs w:val="0"/>
                <w:color w:val="auto"/>
                <w:spacing w:val="6"/>
                <w:kern w:val="21"/>
                <w:sz w:val="24"/>
                <w:szCs w:val="24"/>
                <w:lang w:eastAsia="zh-CN"/>
              </w:rPr>
            </w:pPr>
          </w:p>
        </w:tc>
        <w:tc>
          <w:tcPr>
            <w:tcW w:w="4193" w:type="dxa"/>
            <w:vMerge w:val="continue"/>
            <w:noWrap w:val="0"/>
            <w:vAlign w:val="center"/>
          </w:tcPr>
          <w:p w14:paraId="64AF0E9F">
            <w:pPr>
              <w:pStyle w:val="17"/>
              <w:keepNext w:val="0"/>
              <w:keepLines w:val="0"/>
              <w:pageBreakBefore w:val="0"/>
              <w:kinsoku/>
              <w:overflowPunct/>
              <w:topLinePunct w:val="0"/>
              <w:bidi w:val="0"/>
              <w:adjustRightInd/>
              <w:snapToGrid/>
              <w:spacing w:line="370" w:lineRule="exact"/>
              <w:ind w:left="63" w:leftChars="30" w:right="63" w:rightChars="30"/>
              <w:jc w:val="both"/>
              <w:rPr>
                <w:rFonts w:hint="eastAsia" w:ascii="宋体" w:hAnsi="宋体" w:eastAsia="宋体" w:cs="宋体"/>
                <w:b w:val="0"/>
                <w:bCs w:val="0"/>
                <w:strike/>
                <w:dstrike w:val="0"/>
                <w:color w:val="auto"/>
                <w:spacing w:val="6"/>
                <w:kern w:val="21"/>
                <w:sz w:val="24"/>
                <w:szCs w:val="24"/>
                <w:highlight w:val="yellow"/>
              </w:rPr>
            </w:pPr>
          </w:p>
        </w:tc>
        <w:tc>
          <w:tcPr>
            <w:tcW w:w="1132" w:type="dxa"/>
            <w:noWrap w:val="0"/>
            <w:vAlign w:val="center"/>
          </w:tcPr>
          <w:p w14:paraId="4BE7ED1F">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04C9082E">
            <w:pPr>
              <w:keepNext w:val="0"/>
              <w:keepLines w:val="0"/>
              <w:pageBreakBefore w:val="0"/>
              <w:widowControl/>
              <w:suppressLineNumbers w:val="0"/>
              <w:kinsoku/>
              <w:wordWrap/>
              <w:overflowPunct/>
              <w:topLinePunct w:val="0"/>
              <w:bidi w:val="0"/>
              <w:adjustRightInd/>
              <w:snapToGrid/>
              <w:spacing w:line="400" w:lineRule="exact"/>
              <w:ind w:left="105" w:leftChars="50" w:right="63" w:rightChars="30"/>
              <w:jc w:val="both"/>
              <w:textAlignment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lang w:val="en-US" w:eastAsia="zh-CN" w:bidi="zh-CN"/>
              </w:rPr>
              <w:t>从事定量包装商品计量监督检验的机构伪造检验数据</w:t>
            </w:r>
            <w:r>
              <w:rPr>
                <w:rFonts w:hint="default" w:ascii="宋体" w:hAnsi="宋体" w:cs="宋体"/>
                <w:b w:val="0"/>
                <w:bCs w:val="0"/>
                <w:color w:val="auto"/>
                <w:spacing w:val="6"/>
                <w:kern w:val="21"/>
                <w:sz w:val="24"/>
                <w:szCs w:val="24"/>
                <w:lang w:val="en" w:eastAsia="zh-CN" w:bidi="zh-CN"/>
              </w:rPr>
              <w:t>2</w:t>
            </w:r>
            <w:r>
              <w:rPr>
                <w:rFonts w:hint="eastAsia" w:ascii="宋体" w:hAnsi="宋体" w:eastAsia="宋体" w:cs="宋体"/>
                <w:b w:val="0"/>
                <w:bCs w:val="0"/>
                <w:color w:val="auto"/>
                <w:spacing w:val="6"/>
                <w:kern w:val="21"/>
                <w:sz w:val="24"/>
                <w:szCs w:val="24"/>
                <w:lang w:val="en-US" w:eastAsia="zh-CN" w:bidi="zh-CN"/>
              </w:rPr>
              <w:t>项以上的，造成危害后果的</w:t>
            </w:r>
            <w:r>
              <w:rPr>
                <w:rFonts w:hint="eastAsia" w:ascii="宋体" w:hAnsi="宋体" w:cs="宋体"/>
                <w:b w:val="0"/>
                <w:bCs w:val="0"/>
                <w:color w:val="auto"/>
                <w:spacing w:val="6"/>
                <w:kern w:val="21"/>
                <w:sz w:val="24"/>
                <w:szCs w:val="24"/>
                <w:lang w:val="en-US" w:eastAsia="zh-CN" w:bidi="zh-CN"/>
              </w:rPr>
              <w:t>。</w:t>
            </w:r>
          </w:p>
        </w:tc>
        <w:tc>
          <w:tcPr>
            <w:tcW w:w="3382" w:type="dxa"/>
            <w:noWrap w:val="0"/>
            <w:vAlign w:val="center"/>
          </w:tcPr>
          <w:p w14:paraId="34096B6B">
            <w:pPr>
              <w:keepNext w:val="0"/>
              <w:keepLines w:val="0"/>
              <w:pageBreakBefore w:val="0"/>
              <w:widowControl/>
              <w:suppressLineNumbers w:val="0"/>
              <w:kinsoku/>
              <w:overflowPunct/>
              <w:topLinePunct w:val="0"/>
              <w:bidi w:val="0"/>
              <w:adjustRightInd/>
              <w:snapToGrid/>
              <w:spacing w:line="400" w:lineRule="exact"/>
              <w:ind w:left="105" w:leftChars="50" w:right="63" w:rightChars="30"/>
              <w:jc w:val="both"/>
              <w:textAlignment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0"/>
                <w:kern w:val="21"/>
                <w:sz w:val="24"/>
                <w:szCs w:val="24"/>
                <w:lang w:val="en-US" w:eastAsia="zh-CN" w:bidi="zh-CN"/>
              </w:rPr>
              <w:t>处</w:t>
            </w:r>
            <w:r>
              <w:rPr>
                <w:rFonts w:hint="eastAsia" w:ascii="宋体" w:hAnsi="宋体" w:cs="宋体"/>
                <w:b w:val="0"/>
                <w:bCs w:val="0"/>
                <w:color w:val="auto"/>
                <w:spacing w:val="0"/>
                <w:kern w:val="21"/>
                <w:sz w:val="24"/>
                <w:szCs w:val="24"/>
                <w:lang w:val="en-US" w:eastAsia="zh-CN" w:bidi="zh-CN"/>
              </w:rPr>
              <w:t>7</w:t>
            </w:r>
            <w:r>
              <w:rPr>
                <w:rFonts w:hint="eastAsia" w:ascii="宋体" w:hAnsi="宋体" w:eastAsia="宋体" w:cs="宋体"/>
                <w:b w:val="0"/>
                <w:bCs w:val="0"/>
                <w:color w:val="auto"/>
                <w:spacing w:val="0"/>
                <w:kern w:val="21"/>
                <w:sz w:val="24"/>
                <w:szCs w:val="24"/>
                <w:lang w:val="en-US" w:eastAsia="zh-CN" w:bidi="zh-CN"/>
              </w:rPr>
              <w:t>万元以上</w:t>
            </w:r>
            <w:r>
              <w:rPr>
                <w:rFonts w:hint="eastAsia" w:ascii="宋体" w:hAnsi="宋体" w:cs="宋体"/>
                <w:b w:val="0"/>
                <w:bCs w:val="0"/>
                <w:color w:val="auto"/>
                <w:spacing w:val="0"/>
                <w:kern w:val="21"/>
                <w:sz w:val="24"/>
                <w:szCs w:val="24"/>
                <w:lang w:val="en-US" w:eastAsia="zh-CN" w:bidi="zh-CN"/>
              </w:rPr>
              <w:t>10</w:t>
            </w:r>
            <w:r>
              <w:rPr>
                <w:rFonts w:hint="eastAsia" w:ascii="宋体" w:hAnsi="宋体" w:eastAsia="宋体" w:cs="宋体"/>
                <w:b w:val="0"/>
                <w:bCs w:val="0"/>
                <w:color w:val="auto"/>
                <w:spacing w:val="0"/>
                <w:kern w:val="21"/>
                <w:sz w:val="24"/>
                <w:szCs w:val="24"/>
                <w:lang w:val="en-US" w:eastAsia="zh-CN" w:bidi="zh-CN"/>
              </w:rPr>
              <w:t>万元以下罚款。</w:t>
            </w:r>
          </w:p>
        </w:tc>
      </w:tr>
      <w:tr w14:paraId="3DF70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exact"/>
          <w:jc w:val="center"/>
        </w:trPr>
        <w:tc>
          <w:tcPr>
            <w:tcW w:w="640" w:type="dxa"/>
            <w:vMerge w:val="restart"/>
            <w:noWrap w:val="0"/>
            <w:vAlign w:val="center"/>
          </w:tcPr>
          <w:p w14:paraId="715647CC">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lang w:val="en-US" w:eastAsia="zh-CN"/>
              </w:rPr>
            </w:pPr>
            <w:r>
              <w:rPr>
                <w:rFonts w:hint="eastAsia" w:ascii="宋体" w:hAnsi="宋体" w:eastAsia="宋体" w:cs="宋体"/>
                <w:b w:val="0"/>
                <w:bCs w:val="0"/>
                <w:color w:val="auto"/>
                <w:spacing w:val="6"/>
                <w:kern w:val="21"/>
                <w:sz w:val="24"/>
                <w:szCs w:val="24"/>
              </w:rPr>
              <w:t>1</w:t>
            </w:r>
            <w:r>
              <w:rPr>
                <w:rFonts w:hint="eastAsia" w:ascii="宋体" w:hAnsi="宋体" w:eastAsia="宋体" w:cs="宋体"/>
                <w:b w:val="0"/>
                <w:bCs w:val="0"/>
                <w:color w:val="auto"/>
                <w:spacing w:val="6"/>
                <w:kern w:val="21"/>
                <w:sz w:val="24"/>
                <w:szCs w:val="24"/>
                <w:lang w:val="en-US" w:eastAsia="zh-CN"/>
              </w:rPr>
              <w:t>2</w:t>
            </w:r>
            <w:r>
              <w:rPr>
                <w:rFonts w:hint="eastAsia" w:cs="宋体"/>
                <w:b w:val="0"/>
                <w:bCs w:val="0"/>
                <w:color w:val="auto"/>
                <w:spacing w:val="6"/>
                <w:kern w:val="21"/>
                <w:sz w:val="24"/>
                <w:szCs w:val="24"/>
                <w:lang w:val="en-US" w:eastAsia="zh-CN"/>
              </w:rPr>
              <w:t>3</w:t>
            </w:r>
          </w:p>
        </w:tc>
        <w:tc>
          <w:tcPr>
            <w:tcW w:w="1793" w:type="dxa"/>
            <w:vMerge w:val="restart"/>
            <w:noWrap w:val="0"/>
            <w:vAlign w:val="center"/>
          </w:tcPr>
          <w:p w14:paraId="4B633BC1">
            <w:pPr>
              <w:pStyle w:val="17"/>
              <w:keepNext w:val="0"/>
              <w:keepLines w:val="0"/>
              <w:pageBreakBefore w:val="0"/>
              <w:widowControl w:val="0"/>
              <w:kinsoku/>
              <w:wordWrap/>
              <w:overflowPunct/>
              <w:topLinePunct w:val="0"/>
              <w:autoSpaceDE w:val="0"/>
              <w:autoSpaceDN w:val="0"/>
              <w:bidi w:val="0"/>
              <w:adjustRightInd/>
              <w:snapToGrid/>
              <w:spacing w:line="400" w:lineRule="exact"/>
              <w:ind w:left="63" w:leftChars="30" w:right="63" w:rightChars="30"/>
              <w:jc w:val="both"/>
              <w:textAlignment w:val="auto"/>
              <w:outlineLvl w:val="2"/>
              <w:rPr>
                <w:rFonts w:hint="eastAsia" w:ascii="宋体" w:hAnsi="宋体" w:eastAsia="宋体" w:cs="宋体"/>
                <w:b w:val="0"/>
                <w:bCs w:val="0"/>
                <w:color w:val="auto"/>
                <w:spacing w:val="6"/>
                <w:kern w:val="21"/>
                <w:sz w:val="24"/>
                <w:szCs w:val="24"/>
                <w:lang w:eastAsia="zh-CN"/>
              </w:rPr>
            </w:pPr>
            <w:bookmarkStart w:id="176" w:name="_Toc23759"/>
            <w:bookmarkStart w:id="177" w:name="_Toc1866"/>
            <w:bookmarkStart w:id="178" w:name="_Toc29593"/>
            <w:bookmarkStart w:id="179" w:name="_Toc22169"/>
            <w:bookmarkStart w:id="180" w:name="_Toc26869"/>
            <w:r>
              <w:rPr>
                <w:rFonts w:hint="eastAsia" w:ascii="宋体" w:hAnsi="宋体" w:eastAsia="宋体" w:cs="宋体"/>
                <w:b w:val="0"/>
                <w:bCs w:val="0"/>
                <w:color w:val="auto"/>
                <w:spacing w:val="6"/>
                <w:kern w:val="21"/>
                <w:sz w:val="24"/>
                <w:szCs w:val="24"/>
              </w:rPr>
              <w:t>《眼镜制配计量监督管理办法》</w:t>
            </w:r>
            <w:r>
              <w:rPr>
                <w:rFonts w:hint="eastAsia" w:ascii="宋体" w:hAnsi="宋体" w:eastAsia="宋体" w:cs="宋体"/>
                <w:b w:val="0"/>
                <w:bCs w:val="0"/>
                <w:color w:val="auto"/>
                <w:spacing w:val="6"/>
                <w:kern w:val="21"/>
                <w:sz w:val="24"/>
                <w:szCs w:val="24"/>
                <w:lang w:eastAsia="zh-CN"/>
              </w:rPr>
              <w:t>（</w:t>
            </w:r>
            <w:r>
              <w:rPr>
                <w:rFonts w:hint="eastAsia" w:ascii="宋体" w:hAnsi="宋体" w:eastAsia="宋体" w:cs="宋体"/>
                <w:b w:val="0"/>
                <w:bCs w:val="0"/>
                <w:color w:val="auto"/>
                <w:spacing w:val="6"/>
                <w:kern w:val="21"/>
                <w:sz w:val="24"/>
                <w:szCs w:val="24"/>
                <w:lang w:val="en-US" w:eastAsia="zh-CN"/>
              </w:rPr>
              <w:t>2022年</w:t>
            </w:r>
            <w:r>
              <w:rPr>
                <w:rFonts w:hint="eastAsia" w:cs="宋体"/>
                <w:b w:val="0"/>
                <w:bCs w:val="0"/>
                <w:color w:val="auto"/>
                <w:spacing w:val="6"/>
                <w:kern w:val="21"/>
                <w:sz w:val="24"/>
                <w:szCs w:val="24"/>
                <w:lang w:val="en-US" w:eastAsia="zh-CN"/>
              </w:rPr>
              <w:t>11</w:t>
            </w:r>
            <w:r>
              <w:rPr>
                <w:rFonts w:hint="eastAsia" w:ascii="宋体" w:hAnsi="宋体" w:eastAsia="宋体" w:cs="宋体"/>
                <w:b w:val="0"/>
                <w:bCs w:val="0"/>
                <w:color w:val="auto"/>
                <w:spacing w:val="6"/>
                <w:kern w:val="21"/>
                <w:sz w:val="24"/>
                <w:szCs w:val="24"/>
                <w:lang w:val="en-US" w:eastAsia="zh-CN"/>
              </w:rPr>
              <w:t>月</w:t>
            </w:r>
            <w:r>
              <w:rPr>
                <w:rFonts w:hint="eastAsia" w:cs="宋体"/>
                <w:b w:val="0"/>
                <w:bCs w:val="0"/>
                <w:color w:val="auto"/>
                <w:spacing w:val="6"/>
                <w:kern w:val="21"/>
                <w:sz w:val="24"/>
                <w:szCs w:val="24"/>
                <w:lang w:val="en-US" w:eastAsia="zh-CN"/>
              </w:rPr>
              <w:t>1</w:t>
            </w:r>
            <w:r>
              <w:rPr>
                <w:rFonts w:hint="eastAsia" w:ascii="宋体" w:hAnsi="宋体" w:eastAsia="宋体" w:cs="宋体"/>
                <w:b w:val="0"/>
                <w:bCs w:val="0"/>
                <w:color w:val="auto"/>
                <w:spacing w:val="6"/>
                <w:kern w:val="21"/>
                <w:sz w:val="24"/>
                <w:szCs w:val="24"/>
                <w:lang w:val="en-US" w:eastAsia="zh-CN"/>
              </w:rPr>
              <w:t>日</w:t>
            </w:r>
            <w:r>
              <w:rPr>
                <w:rFonts w:hint="eastAsia" w:cs="宋体"/>
                <w:b w:val="0"/>
                <w:bCs w:val="0"/>
                <w:color w:val="auto"/>
                <w:spacing w:val="6"/>
                <w:kern w:val="21"/>
                <w:sz w:val="24"/>
                <w:szCs w:val="24"/>
                <w:lang w:val="en-US" w:eastAsia="zh-CN"/>
              </w:rPr>
              <w:t>起施行</w:t>
            </w:r>
            <w:r>
              <w:rPr>
                <w:rFonts w:hint="eastAsia" w:ascii="宋体" w:hAnsi="宋体" w:eastAsia="宋体" w:cs="宋体"/>
                <w:b w:val="0"/>
                <w:bCs w:val="0"/>
                <w:color w:val="auto"/>
                <w:spacing w:val="6"/>
                <w:kern w:val="21"/>
                <w:sz w:val="24"/>
                <w:szCs w:val="24"/>
                <w:lang w:eastAsia="zh-CN"/>
              </w:rPr>
              <w:t>）</w:t>
            </w:r>
            <w:bookmarkEnd w:id="176"/>
            <w:bookmarkEnd w:id="177"/>
            <w:bookmarkEnd w:id="178"/>
            <w:bookmarkEnd w:id="179"/>
            <w:bookmarkEnd w:id="180"/>
          </w:p>
        </w:tc>
        <w:tc>
          <w:tcPr>
            <w:tcW w:w="4193" w:type="dxa"/>
            <w:vMerge w:val="restart"/>
            <w:noWrap w:val="0"/>
            <w:vAlign w:val="center"/>
          </w:tcPr>
          <w:p w14:paraId="39D5A96A">
            <w:pPr>
              <w:pStyle w:val="17"/>
              <w:keepNext w:val="0"/>
              <w:keepLines w:val="0"/>
              <w:pageBreakBefore w:val="0"/>
              <w:kinsoku/>
              <w:overflowPunct/>
              <w:topLinePunct w:val="0"/>
              <w:bidi w:val="0"/>
              <w:adjustRightInd/>
              <w:snapToGrid/>
              <w:spacing w:line="370" w:lineRule="exact"/>
              <w:ind w:left="63" w:leftChars="30" w:right="63" w:rightChars="30"/>
              <w:jc w:val="both"/>
              <w:rPr>
                <w:rFonts w:hint="eastAsia" w:ascii="宋体" w:hAnsi="宋体" w:eastAsia="宋体" w:cs="宋体"/>
                <w:b w:val="0"/>
                <w:bCs w:val="0"/>
                <w:strike/>
                <w:dstrike w:val="0"/>
                <w:color w:val="auto"/>
                <w:spacing w:val="6"/>
                <w:kern w:val="21"/>
                <w:sz w:val="24"/>
                <w:szCs w:val="24"/>
                <w:highlight w:val="yellow"/>
              </w:rPr>
            </w:pPr>
            <w:r>
              <w:rPr>
                <w:rFonts w:hint="eastAsia" w:ascii="宋体" w:hAnsi="宋体" w:eastAsia="宋体" w:cs="宋体"/>
                <w:b w:val="0"/>
                <w:bCs w:val="0"/>
                <w:color w:val="auto"/>
                <w:spacing w:val="6"/>
                <w:kern w:val="21"/>
                <w:sz w:val="24"/>
                <w:szCs w:val="24"/>
              </w:rPr>
              <w:t>第十条 眼镜镜片、角膜接触镜、成品眼镜生产者违反本办法第五条有关规定，应当按照以下规定进行处罚：</w:t>
            </w:r>
            <w:r>
              <w:rPr>
                <w:rFonts w:hint="eastAsia" w:ascii="宋体" w:hAnsi="宋体" w:eastAsia="宋体" w:cs="宋体"/>
                <w:b w:val="0"/>
                <w:bCs w:val="0"/>
                <w:color w:val="auto"/>
                <w:spacing w:val="6"/>
                <w:kern w:val="21"/>
                <w:sz w:val="24"/>
                <w:szCs w:val="24"/>
                <w:lang w:eastAsia="zh-CN"/>
              </w:rPr>
              <w:t>（</w:t>
            </w:r>
            <w:r>
              <w:rPr>
                <w:rFonts w:hint="eastAsia" w:ascii="宋体" w:hAnsi="宋体" w:eastAsia="宋体" w:cs="宋体"/>
                <w:b w:val="0"/>
                <w:bCs w:val="0"/>
                <w:color w:val="auto"/>
                <w:spacing w:val="6"/>
                <w:kern w:val="21"/>
                <w:sz w:val="24"/>
                <w:szCs w:val="24"/>
                <w:lang w:val="en-US" w:eastAsia="zh-CN"/>
              </w:rPr>
              <w:t>一</w:t>
            </w:r>
            <w:r>
              <w:rPr>
                <w:rFonts w:hint="eastAsia" w:ascii="宋体" w:hAnsi="宋体" w:eastAsia="宋体" w:cs="宋体"/>
                <w:b w:val="0"/>
                <w:bCs w:val="0"/>
                <w:color w:val="auto"/>
                <w:spacing w:val="6"/>
                <w:kern w:val="21"/>
                <w:sz w:val="24"/>
                <w:szCs w:val="24"/>
                <w:lang w:eastAsia="zh-CN"/>
              </w:rPr>
              <w:t>）</w:t>
            </w:r>
            <w:r>
              <w:rPr>
                <w:rFonts w:hint="eastAsia" w:ascii="宋体" w:hAnsi="宋体" w:eastAsia="宋体" w:cs="宋体"/>
                <w:b w:val="0"/>
                <w:bCs w:val="0"/>
                <w:color w:val="auto"/>
                <w:spacing w:val="6"/>
                <w:kern w:val="21"/>
                <w:sz w:val="24"/>
                <w:szCs w:val="24"/>
                <w:lang w:val="en-US" w:eastAsia="zh-CN"/>
              </w:rPr>
              <w:t>违反本办法第五条第一项规定的，</w:t>
            </w:r>
            <w:r>
              <w:rPr>
                <w:rFonts w:hint="eastAsia" w:ascii="宋体" w:hAnsi="宋体" w:eastAsia="宋体" w:cs="宋体"/>
                <w:b w:val="0"/>
                <w:bCs w:val="0"/>
                <w:color w:val="auto"/>
                <w:spacing w:val="6"/>
                <w:kern w:val="21"/>
                <w:sz w:val="24"/>
                <w:szCs w:val="24"/>
              </w:rPr>
              <w:t>责令改正，可以并处1000元以上10000元以下罚款</w:t>
            </w:r>
            <w:r>
              <w:rPr>
                <w:rFonts w:hint="eastAsia" w:ascii="宋体" w:hAnsi="宋体" w:eastAsia="宋体" w:cs="宋体"/>
                <w:b w:val="0"/>
                <w:bCs w:val="0"/>
                <w:color w:val="auto"/>
                <w:spacing w:val="6"/>
                <w:kern w:val="21"/>
                <w:sz w:val="24"/>
                <w:szCs w:val="24"/>
                <w:lang w:eastAsia="zh-CN"/>
              </w:rPr>
              <w:t>。</w:t>
            </w:r>
          </w:p>
        </w:tc>
        <w:tc>
          <w:tcPr>
            <w:tcW w:w="1132" w:type="dxa"/>
            <w:noWrap w:val="0"/>
            <w:vAlign w:val="center"/>
          </w:tcPr>
          <w:p w14:paraId="2191B2EB">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5C59C426">
            <w:pPr>
              <w:pStyle w:val="17"/>
              <w:keepNext w:val="0"/>
              <w:keepLines w:val="0"/>
              <w:pageBreakBefore w:val="0"/>
              <w:widowControl/>
              <w:kinsoku/>
              <w:wordWrap/>
              <w:overflowPunct/>
              <w:topLinePunct w:val="0"/>
              <w:bidi w:val="0"/>
              <w:adjustRightInd/>
              <w:snapToGrid/>
              <w:spacing w:line="400" w:lineRule="exact"/>
              <w:ind w:left="105" w:leftChars="5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眼镜检测设备的配备率低</w:t>
            </w:r>
            <w:r>
              <w:rPr>
                <w:rFonts w:hint="eastAsia" w:ascii="宋体" w:hAnsi="宋体" w:eastAsia="宋体" w:cs="宋体"/>
                <w:b w:val="0"/>
                <w:bCs w:val="0"/>
                <w:color w:val="auto"/>
                <w:spacing w:val="0"/>
                <w:kern w:val="21"/>
                <w:sz w:val="24"/>
                <w:szCs w:val="24"/>
              </w:rPr>
              <w:t>于有关规定要求10%以下的。</w:t>
            </w:r>
          </w:p>
        </w:tc>
        <w:tc>
          <w:tcPr>
            <w:tcW w:w="3382" w:type="dxa"/>
            <w:noWrap w:val="0"/>
            <w:vAlign w:val="center"/>
          </w:tcPr>
          <w:p w14:paraId="17D63484">
            <w:pPr>
              <w:keepNext w:val="0"/>
              <w:keepLines w:val="0"/>
              <w:pageBreakBefore w:val="0"/>
              <w:widowControl/>
              <w:suppressLineNumbers w:val="0"/>
              <w:kinsoku/>
              <w:overflowPunct/>
              <w:topLinePunct w:val="0"/>
              <w:bidi w:val="0"/>
              <w:adjustRightInd/>
              <w:snapToGrid/>
              <w:spacing w:line="400" w:lineRule="exact"/>
              <w:ind w:left="105" w:leftChars="50" w:right="63" w:rightChars="30"/>
              <w:jc w:val="both"/>
              <w:textAlignment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0"/>
                <w:kern w:val="21"/>
                <w:sz w:val="24"/>
                <w:szCs w:val="24"/>
              </w:rPr>
              <w:t>责令改正，</w:t>
            </w:r>
            <w:r>
              <w:rPr>
                <w:rFonts w:hint="eastAsia" w:ascii="宋体" w:hAnsi="宋体" w:eastAsia="宋体" w:cs="宋体"/>
                <w:b w:val="0"/>
                <w:bCs w:val="0"/>
                <w:i w:val="0"/>
                <w:iCs w:val="0"/>
                <w:color w:val="auto"/>
                <w:spacing w:val="0"/>
                <w:kern w:val="21"/>
                <w:sz w:val="24"/>
                <w:szCs w:val="24"/>
                <w:u w:val="none"/>
                <w:lang w:val="en-US" w:eastAsia="zh-CN" w:bidi="ar"/>
              </w:rPr>
              <w:t>可以并处1000元以上3700元以下的罚款。</w:t>
            </w:r>
          </w:p>
        </w:tc>
      </w:tr>
      <w:tr w14:paraId="75CF3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8" w:hRule="exact"/>
          <w:jc w:val="center"/>
        </w:trPr>
        <w:tc>
          <w:tcPr>
            <w:tcW w:w="640" w:type="dxa"/>
            <w:vMerge w:val="continue"/>
            <w:tcBorders>
              <w:top w:val="nil"/>
            </w:tcBorders>
            <w:noWrap w:val="0"/>
            <w:vAlign w:val="top"/>
          </w:tcPr>
          <w:p w14:paraId="3367A701">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tcBorders>
              <w:top w:val="nil"/>
            </w:tcBorders>
            <w:noWrap w:val="0"/>
            <w:vAlign w:val="top"/>
          </w:tcPr>
          <w:p w14:paraId="1ECA368A">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4193" w:type="dxa"/>
            <w:vMerge w:val="continue"/>
            <w:tcBorders>
              <w:top w:val="nil"/>
            </w:tcBorders>
            <w:noWrap w:val="0"/>
            <w:vAlign w:val="top"/>
          </w:tcPr>
          <w:p w14:paraId="6698EA95">
            <w:pPr>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p>
        </w:tc>
        <w:tc>
          <w:tcPr>
            <w:tcW w:w="1132" w:type="dxa"/>
            <w:noWrap w:val="0"/>
            <w:vAlign w:val="center"/>
          </w:tcPr>
          <w:p w14:paraId="13C4FD7A">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526814D6">
            <w:pPr>
              <w:pStyle w:val="17"/>
              <w:keepNext w:val="0"/>
              <w:keepLines w:val="0"/>
              <w:pageBreakBefore w:val="0"/>
              <w:widowControl/>
              <w:kinsoku/>
              <w:wordWrap/>
              <w:overflowPunct/>
              <w:topLinePunct w:val="0"/>
              <w:bidi w:val="0"/>
              <w:adjustRightInd/>
              <w:snapToGrid/>
              <w:spacing w:line="400" w:lineRule="exact"/>
              <w:ind w:left="105" w:leftChars="5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眼镜检测设备的配备率低于有关规定要求10%以上</w:t>
            </w:r>
            <w:r>
              <w:rPr>
                <w:rFonts w:hint="eastAsia" w:ascii="宋体" w:hAnsi="宋体" w:eastAsia="宋体" w:cs="宋体"/>
                <w:b w:val="0"/>
                <w:bCs w:val="0"/>
                <w:color w:val="auto"/>
                <w:spacing w:val="6"/>
                <w:kern w:val="21"/>
                <w:sz w:val="24"/>
                <w:szCs w:val="24"/>
                <w:lang w:val="en-US" w:eastAsia="zh-CN"/>
              </w:rPr>
              <w:t>20%以下</w:t>
            </w:r>
            <w:r>
              <w:rPr>
                <w:rFonts w:hint="eastAsia" w:ascii="宋体" w:hAnsi="宋体" w:eastAsia="宋体" w:cs="宋体"/>
                <w:b w:val="0"/>
                <w:bCs w:val="0"/>
                <w:color w:val="auto"/>
                <w:spacing w:val="6"/>
                <w:kern w:val="21"/>
                <w:sz w:val="24"/>
                <w:szCs w:val="24"/>
              </w:rPr>
              <w:t>的。</w:t>
            </w:r>
          </w:p>
        </w:tc>
        <w:tc>
          <w:tcPr>
            <w:tcW w:w="3382" w:type="dxa"/>
            <w:noWrap w:val="0"/>
            <w:vAlign w:val="center"/>
          </w:tcPr>
          <w:p w14:paraId="3E804389">
            <w:pPr>
              <w:keepNext w:val="0"/>
              <w:keepLines w:val="0"/>
              <w:pageBreakBefore w:val="0"/>
              <w:widowControl/>
              <w:suppressLineNumbers w:val="0"/>
              <w:kinsoku/>
              <w:wordWrap/>
              <w:overflowPunct/>
              <w:topLinePunct w:val="0"/>
              <w:autoSpaceDE/>
              <w:autoSpaceDN/>
              <w:bidi w:val="0"/>
              <w:adjustRightInd/>
              <w:snapToGrid/>
              <w:spacing w:line="400" w:lineRule="exact"/>
              <w:ind w:left="105" w:leftChars="50" w:right="63" w:rightChars="30" w:firstLine="0" w:firstLineChars="0"/>
              <w:jc w:val="both"/>
              <w:textAlignment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责令改正，</w:t>
            </w:r>
            <w:r>
              <w:rPr>
                <w:rFonts w:hint="eastAsia" w:ascii="宋体" w:hAnsi="宋体" w:eastAsia="宋体" w:cs="宋体"/>
                <w:b w:val="0"/>
                <w:bCs w:val="0"/>
                <w:i w:val="0"/>
                <w:iCs w:val="0"/>
                <w:color w:val="auto"/>
                <w:spacing w:val="6"/>
                <w:kern w:val="21"/>
                <w:sz w:val="24"/>
                <w:szCs w:val="24"/>
                <w:u w:val="none"/>
                <w:lang w:val="en-US" w:eastAsia="zh-CN" w:bidi="ar"/>
              </w:rPr>
              <w:t>可以并处3700元以上7300以下的罚款。</w:t>
            </w:r>
          </w:p>
        </w:tc>
      </w:tr>
      <w:tr w14:paraId="47224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exact"/>
          <w:jc w:val="center"/>
        </w:trPr>
        <w:tc>
          <w:tcPr>
            <w:tcW w:w="640" w:type="dxa"/>
            <w:vMerge w:val="continue"/>
            <w:tcBorders>
              <w:top w:val="nil"/>
            </w:tcBorders>
            <w:noWrap w:val="0"/>
            <w:vAlign w:val="top"/>
          </w:tcPr>
          <w:p w14:paraId="7F3902F5">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tcBorders>
              <w:top w:val="nil"/>
            </w:tcBorders>
            <w:noWrap w:val="0"/>
            <w:vAlign w:val="top"/>
          </w:tcPr>
          <w:p w14:paraId="11AAAB7F">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4193" w:type="dxa"/>
            <w:vMerge w:val="continue"/>
            <w:tcBorders>
              <w:top w:val="nil"/>
            </w:tcBorders>
            <w:noWrap w:val="0"/>
            <w:vAlign w:val="top"/>
          </w:tcPr>
          <w:p w14:paraId="79C1CE4F">
            <w:pPr>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p>
        </w:tc>
        <w:tc>
          <w:tcPr>
            <w:tcW w:w="1132" w:type="dxa"/>
            <w:noWrap w:val="0"/>
            <w:vAlign w:val="center"/>
          </w:tcPr>
          <w:p w14:paraId="7F279B0C">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2A9D12F9">
            <w:pPr>
              <w:keepNext w:val="0"/>
              <w:keepLines w:val="0"/>
              <w:pageBreakBefore w:val="0"/>
              <w:widowControl/>
              <w:suppressLineNumbers w:val="0"/>
              <w:kinsoku/>
              <w:wordWrap/>
              <w:overflowPunct/>
              <w:topLinePunct w:val="0"/>
              <w:bidi w:val="0"/>
              <w:adjustRightInd/>
              <w:snapToGrid/>
              <w:spacing w:line="400" w:lineRule="exact"/>
              <w:ind w:left="105" w:leftChars="50" w:right="63" w:rightChars="30"/>
              <w:jc w:val="both"/>
              <w:textAlignment w:val="top"/>
              <w:rPr>
                <w:rFonts w:hint="eastAsia" w:ascii="宋体" w:hAnsi="宋体" w:eastAsia="宋体" w:cs="宋体"/>
                <w:b w:val="0"/>
                <w:bCs w:val="0"/>
                <w:i w:val="0"/>
                <w:iCs w:val="0"/>
                <w:color w:val="auto"/>
                <w:spacing w:val="6"/>
                <w:kern w:val="21"/>
                <w:sz w:val="24"/>
                <w:szCs w:val="24"/>
                <w:u w:val="none"/>
                <w:lang w:val="zh-CN" w:eastAsia="zh-CN" w:bidi="zh-CN"/>
              </w:rPr>
            </w:pPr>
            <w:r>
              <w:rPr>
                <w:rFonts w:hint="eastAsia" w:ascii="宋体" w:hAnsi="宋体" w:eastAsia="宋体" w:cs="宋体"/>
                <w:b w:val="0"/>
                <w:bCs w:val="0"/>
                <w:i w:val="0"/>
                <w:iCs w:val="0"/>
                <w:color w:val="auto"/>
                <w:spacing w:val="6"/>
                <w:kern w:val="21"/>
                <w:sz w:val="24"/>
                <w:szCs w:val="24"/>
                <w:u w:val="none"/>
                <w:lang w:val="en-US" w:eastAsia="zh-CN" w:bidi="ar"/>
              </w:rPr>
              <w:t>眼镜检测设备的配备率低</w:t>
            </w:r>
            <w:r>
              <w:rPr>
                <w:rFonts w:hint="eastAsia" w:ascii="宋体" w:hAnsi="宋体" w:eastAsia="宋体" w:cs="宋体"/>
                <w:b w:val="0"/>
                <w:bCs w:val="0"/>
                <w:i w:val="0"/>
                <w:iCs w:val="0"/>
                <w:color w:val="auto"/>
                <w:spacing w:val="0"/>
                <w:kern w:val="21"/>
                <w:sz w:val="24"/>
                <w:szCs w:val="24"/>
                <w:u w:val="none"/>
                <w:lang w:val="en-US" w:eastAsia="zh-CN" w:bidi="ar"/>
              </w:rPr>
              <w:t>于有关规定要求20%以上的。</w:t>
            </w:r>
          </w:p>
        </w:tc>
        <w:tc>
          <w:tcPr>
            <w:tcW w:w="3382" w:type="dxa"/>
            <w:noWrap w:val="0"/>
            <w:vAlign w:val="center"/>
          </w:tcPr>
          <w:p w14:paraId="21C3EFBC">
            <w:pPr>
              <w:keepNext w:val="0"/>
              <w:keepLines w:val="0"/>
              <w:pageBreakBefore w:val="0"/>
              <w:widowControl/>
              <w:suppressLineNumbers w:val="0"/>
              <w:kinsoku/>
              <w:wordWrap/>
              <w:overflowPunct/>
              <w:topLinePunct w:val="0"/>
              <w:autoSpaceDE/>
              <w:autoSpaceDN/>
              <w:bidi w:val="0"/>
              <w:adjustRightInd/>
              <w:snapToGrid/>
              <w:spacing w:line="360" w:lineRule="exact"/>
              <w:ind w:left="105" w:leftChars="50" w:right="63" w:rightChars="30"/>
              <w:jc w:val="both"/>
              <w:textAlignment w:val="center"/>
              <w:rPr>
                <w:rFonts w:hint="eastAsia" w:ascii="宋体" w:hAnsi="宋体" w:eastAsia="宋体" w:cs="宋体"/>
                <w:b w:val="0"/>
                <w:bCs w:val="0"/>
                <w:i w:val="0"/>
                <w:iCs w:val="0"/>
                <w:color w:val="auto"/>
                <w:spacing w:val="6"/>
                <w:kern w:val="21"/>
                <w:sz w:val="24"/>
                <w:szCs w:val="24"/>
                <w:u w:val="none"/>
                <w:lang w:val="en-US" w:eastAsia="zh-CN" w:bidi="ar"/>
              </w:rPr>
            </w:pPr>
            <w:r>
              <w:rPr>
                <w:rFonts w:hint="eastAsia" w:ascii="宋体" w:hAnsi="宋体" w:eastAsia="宋体" w:cs="宋体"/>
                <w:b w:val="0"/>
                <w:bCs w:val="0"/>
                <w:color w:val="auto"/>
                <w:spacing w:val="0"/>
                <w:kern w:val="21"/>
                <w:sz w:val="24"/>
                <w:szCs w:val="24"/>
              </w:rPr>
              <w:t>责令改正，</w:t>
            </w:r>
            <w:r>
              <w:rPr>
                <w:rFonts w:hint="eastAsia" w:ascii="宋体" w:hAnsi="宋体" w:eastAsia="宋体" w:cs="宋体"/>
                <w:b w:val="0"/>
                <w:bCs w:val="0"/>
                <w:i w:val="0"/>
                <w:iCs w:val="0"/>
                <w:color w:val="auto"/>
                <w:spacing w:val="0"/>
                <w:kern w:val="21"/>
                <w:sz w:val="24"/>
                <w:szCs w:val="24"/>
                <w:u w:val="none"/>
                <w:lang w:val="en-US" w:eastAsia="zh-CN" w:bidi="ar"/>
              </w:rPr>
              <w:t>可以并处7300元以上1</w:t>
            </w:r>
            <w:r>
              <w:rPr>
                <w:rFonts w:hint="eastAsia" w:ascii="宋体" w:hAnsi="宋体" w:cs="宋体"/>
                <w:b w:val="0"/>
                <w:bCs w:val="0"/>
                <w:i w:val="0"/>
                <w:iCs w:val="0"/>
                <w:color w:val="auto"/>
                <w:spacing w:val="0"/>
                <w:kern w:val="21"/>
                <w:sz w:val="24"/>
                <w:szCs w:val="24"/>
                <w:u w:val="none"/>
                <w:lang w:val="en-US" w:eastAsia="zh-CN" w:bidi="ar"/>
              </w:rPr>
              <w:t>万</w:t>
            </w:r>
            <w:r>
              <w:rPr>
                <w:rFonts w:hint="eastAsia" w:ascii="宋体" w:hAnsi="宋体" w:eastAsia="宋体" w:cs="宋体"/>
                <w:b w:val="0"/>
                <w:bCs w:val="0"/>
                <w:i w:val="0"/>
                <w:iCs w:val="0"/>
                <w:color w:val="auto"/>
                <w:spacing w:val="0"/>
                <w:kern w:val="21"/>
                <w:sz w:val="24"/>
                <w:szCs w:val="24"/>
                <w:u w:val="none"/>
                <w:lang w:val="en-US" w:eastAsia="zh-CN" w:bidi="ar"/>
              </w:rPr>
              <w:t>元以下的罚</w:t>
            </w:r>
            <w:r>
              <w:rPr>
                <w:rFonts w:hint="eastAsia" w:ascii="宋体" w:hAnsi="宋体" w:eastAsia="宋体" w:cs="宋体"/>
                <w:b w:val="0"/>
                <w:bCs w:val="0"/>
                <w:i w:val="0"/>
                <w:iCs w:val="0"/>
                <w:color w:val="auto"/>
                <w:spacing w:val="6"/>
                <w:kern w:val="21"/>
                <w:sz w:val="24"/>
                <w:szCs w:val="24"/>
                <w:u w:val="none"/>
                <w:lang w:val="en-US" w:eastAsia="zh-CN" w:bidi="ar"/>
              </w:rPr>
              <w:t>款。</w:t>
            </w:r>
          </w:p>
          <w:p w14:paraId="4326A61D">
            <w:pPr>
              <w:keepNext w:val="0"/>
              <w:keepLines w:val="0"/>
              <w:pageBreakBefore w:val="0"/>
              <w:widowControl/>
              <w:suppressLineNumbers w:val="0"/>
              <w:kinsoku/>
              <w:overflowPunct/>
              <w:topLinePunct w:val="0"/>
              <w:bidi w:val="0"/>
              <w:adjustRightInd/>
              <w:snapToGrid/>
              <w:spacing w:line="400" w:lineRule="exact"/>
              <w:ind w:left="105" w:leftChars="50" w:right="63" w:rightChars="30" w:firstLine="504" w:firstLineChars="200"/>
              <w:jc w:val="both"/>
              <w:textAlignment w:val="center"/>
              <w:rPr>
                <w:rFonts w:hint="eastAsia" w:ascii="宋体" w:hAnsi="宋体" w:eastAsia="宋体" w:cs="宋体"/>
                <w:b w:val="0"/>
                <w:bCs w:val="0"/>
                <w:i w:val="0"/>
                <w:iCs w:val="0"/>
                <w:color w:val="auto"/>
                <w:spacing w:val="6"/>
                <w:kern w:val="21"/>
                <w:sz w:val="24"/>
                <w:szCs w:val="24"/>
                <w:u w:val="none"/>
                <w:lang w:val="en-US" w:eastAsia="zh-CN" w:bidi="ar"/>
              </w:rPr>
            </w:pPr>
          </w:p>
        </w:tc>
      </w:tr>
      <w:tr w14:paraId="7FC88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jc w:val="center"/>
        </w:trPr>
        <w:tc>
          <w:tcPr>
            <w:tcW w:w="640" w:type="dxa"/>
            <w:vMerge w:val="restart"/>
            <w:noWrap w:val="0"/>
            <w:vAlign w:val="center"/>
          </w:tcPr>
          <w:p w14:paraId="6144B1E5">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lang w:val="en-US" w:eastAsia="zh-CN"/>
              </w:rPr>
            </w:pPr>
            <w:r>
              <w:rPr>
                <w:rFonts w:hint="eastAsia" w:ascii="宋体" w:hAnsi="宋体" w:eastAsia="宋体" w:cs="宋体"/>
                <w:b w:val="0"/>
                <w:bCs w:val="0"/>
                <w:color w:val="auto"/>
                <w:spacing w:val="6"/>
                <w:kern w:val="21"/>
                <w:sz w:val="24"/>
                <w:szCs w:val="24"/>
              </w:rPr>
              <w:t>1</w:t>
            </w:r>
            <w:r>
              <w:rPr>
                <w:rFonts w:hint="eastAsia" w:ascii="宋体" w:hAnsi="宋体" w:eastAsia="宋体" w:cs="宋体"/>
                <w:b w:val="0"/>
                <w:bCs w:val="0"/>
                <w:color w:val="auto"/>
                <w:spacing w:val="6"/>
                <w:kern w:val="21"/>
                <w:sz w:val="24"/>
                <w:szCs w:val="24"/>
                <w:lang w:val="en-US" w:eastAsia="zh-CN"/>
              </w:rPr>
              <w:t>2</w:t>
            </w:r>
            <w:r>
              <w:rPr>
                <w:rFonts w:hint="eastAsia" w:ascii="宋体" w:hAnsi="宋体" w:cs="宋体"/>
                <w:b w:val="0"/>
                <w:bCs w:val="0"/>
                <w:color w:val="auto"/>
                <w:spacing w:val="6"/>
                <w:kern w:val="21"/>
                <w:sz w:val="24"/>
                <w:szCs w:val="24"/>
                <w:lang w:val="en-US" w:eastAsia="zh-CN"/>
              </w:rPr>
              <w:t>4</w:t>
            </w:r>
          </w:p>
        </w:tc>
        <w:tc>
          <w:tcPr>
            <w:tcW w:w="1793" w:type="dxa"/>
            <w:vMerge w:val="restart"/>
            <w:noWrap w:val="0"/>
            <w:vAlign w:val="center"/>
          </w:tcPr>
          <w:p w14:paraId="270E1921">
            <w:pPr>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lang w:val="zh-CN" w:eastAsia="zh-CN"/>
              </w:rPr>
            </w:pPr>
            <w:r>
              <w:rPr>
                <w:rFonts w:hint="eastAsia" w:ascii="宋体" w:hAnsi="宋体" w:eastAsia="宋体" w:cs="宋体"/>
                <w:b w:val="0"/>
                <w:bCs w:val="0"/>
                <w:color w:val="auto"/>
                <w:spacing w:val="6"/>
                <w:kern w:val="21"/>
                <w:sz w:val="24"/>
                <w:szCs w:val="24"/>
                <w:lang w:val="zh-CN" w:eastAsia="zh-CN"/>
              </w:rPr>
              <w:t>《</w:t>
            </w:r>
            <w:r>
              <w:rPr>
                <w:rFonts w:hint="eastAsia" w:ascii="宋体" w:hAnsi="宋体" w:eastAsia="宋体" w:cs="宋体"/>
                <w:b w:val="0"/>
                <w:bCs w:val="0"/>
                <w:color w:val="auto"/>
                <w:spacing w:val="6"/>
                <w:kern w:val="21"/>
                <w:sz w:val="24"/>
                <w:szCs w:val="24"/>
                <w:lang w:val="en-US" w:eastAsia="zh-CN"/>
              </w:rPr>
              <w:t>眼镜制配计量监督管理办法</w:t>
            </w:r>
            <w:r>
              <w:rPr>
                <w:rFonts w:hint="eastAsia" w:ascii="宋体" w:hAnsi="宋体" w:eastAsia="宋体" w:cs="宋体"/>
                <w:b w:val="0"/>
                <w:bCs w:val="0"/>
                <w:color w:val="auto"/>
                <w:spacing w:val="6"/>
                <w:kern w:val="21"/>
                <w:sz w:val="24"/>
                <w:szCs w:val="24"/>
                <w:lang w:val="zh-CN" w:eastAsia="zh-CN"/>
              </w:rPr>
              <w:t>》</w:t>
            </w:r>
          </w:p>
        </w:tc>
        <w:tc>
          <w:tcPr>
            <w:tcW w:w="4193" w:type="dxa"/>
            <w:vMerge w:val="restart"/>
            <w:noWrap w:val="0"/>
            <w:vAlign w:val="center"/>
          </w:tcPr>
          <w:p w14:paraId="5802804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overflowPunct/>
              <w:topLinePunct w:val="0"/>
              <w:bidi w:val="0"/>
              <w:adjustRightInd/>
              <w:snapToGrid/>
              <w:spacing w:before="0" w:beforeAutospacing="0" w:after="0" w:afterAutospacing="0" w:line="400" w:lineRule="exact"/>
              <w:ind w:left="63" w:leftChars="30" w:right="63" w:rightChars="30" w:firstLine="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第十一条</w:t>
            </w:r>
            <w:r>
              <w:rPr>
                <w:rFonts w:hint="eastAsia" w:ascii="宋体" w:hAnsi="宋体" w:cs="宋体"/>
                <w:b w:val="0"/>
                <w:bCs w:val="0"/>
                <w:color w:val="auto"/>
                <w:spacing w:val="6"/>
                <w:kern w:val="21"/>
                <w:sz w:val="24"/>
                <w:szCs w:val="24"/>
                <w:lang w:val="en-US" w:eastAsia="zh-CN"/>
              </w:rPr>
              <w:t xml:space="preserve"> </w:t>
            </w:r>
            <w:r>
              <w:rPr>
                <w:rFonts w:hint="eastAsia" w:ascii="宋体" w:hAnsi="宋体" w:eastAsia="宋体" w:cs="宋体"/>
                <w:b w:val="0"/>
                <w:bCs w:val="0"/>
                <w:color w:val="auto"/>
                <w:spacing w:val="6"/>
                <w:kern w:val="21"/>
                <w:sz w:val="24"/>
                <w:szCs w:val="24"/>
              </w:rPr>
              <w:t>从事眼镜镜片、角膜接触镜、成品眼镜销售以及从事配镜验光、定配眼镜、角膜接触镜配戴经营者违反本办法第六条有关规定，应当按照以下规定进行处罚：</w:t>
            </w:r>
          </w:p>
          <w:p w14:paraId="4F6ED9F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overflowPunct/>
              <w:topLinePunct w:val="0"/>
              <w:bidi w:val="0"/>
              <w:adjustRightInd/>
              <w:snapToGrid/>
              <w:spacing w:before="0" w:beforeAutospacing="0" w:after="0" w:afterAutospacing="0" w:line="400" w:lineRule="exact"/>
              <w:ind w:left="63" w:leftChars="30" w:right="63" w:rightChars="30" w:firstLine="0"/>
              <w:jc w:val="both"/>
              <w:rPr>
                <w:rFonts w:hint="eastAsia" w:ascii="宋体" w:hAnsi="宋体" w:eastAsia="宋体" w:cs="宋体"/>
                <w:b w:val="0"/>
                <w:bCs w:val="0"/>
                <w:i w:val="0"/>
                <w:caps w:val="0"/>
                <w:color w:val="auto"/>
                <w:spacing w:val="6"/>
                <w:kern w:val="21"/>
                <w:sz w:val="24"/>
                <w:szCs w:val="24"/>
              </w:rPr>
            </w:pPr>
            <w:r>
              <w:rPr>
                <w:rFonts w:hint="eastAsia" w:ascii="宋体" w:hAnsi="宋体" w:eastAsia="宋体" w:cs="宋体"/>
                <w:b w:val="0"/>
                <w:bCs w:val="0"/>
                <w:color w:val="auto"/>
                <w:spacing w:val="6"/>
                <w:kern w:val="21"/>
                <w:sz w:val="24"/>
                <w:szCs w:val="24"/>
              </w:rPr>
              <w:t>（二）违反本办法第六条第（二）项规定的，责令改正，可以并处1000元以上10000元以下罚款</w:t>
            </w:r>
            <w:r>
              <w:rPr>
                <w:rFonts w:hint="eastAsia" w:ascii="宋体" w:hAnsi="宋体" w:eastAsia="宋体" w:cs="宋体"/>
                <w:b w:val="0"/>
                <w:bCs w:val="0"/>
                <w:color w:val="auto"/>
                <w:spacing w:val="6"/>
                <w:kern w:val="21"/>
                <w:sz w:val="24"/>
                <w:szCs w:val="24"/>
                <w:lang w:val="zh-CN" w:eastAsia="zh-CN" w:bidi="zh-CN"/>
              </w:rPr>
              <w:t>。</w:t>
            </w:r>
          </w:p>
          <w:p w14:paraId="6570B068">
            <w:pPr>
              <w:keepNext w:val="0"/>
              <w:keepLines w:val="0"/>
              <w:pageBreakBefore w:val="0"/>
              <w:tabs>
                <w:tab w:val="left" w:pos="1118"/>
              </w:tabs>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strike/>
                <w:dstrike w:val="0"/>
                <w:color w:val="auto"/>
                <w:spacing w:val="6"/>
                <w:kern w:val="21"/>
                <w:sz w:val="24"/>
                <w:szCs w:val="24"/>
                <w:lang w:val="zh-CN" w:eastAsia="zh-CN"/>
              </w:rPr>
            </w:pPr>
          </w:p>
        </w:tc>
        <w:tc>
          <w:tcPr>
            <w:tcW w:w="1132" w:type="dxa"/>
            <w:noWrap w:val="0"/>
            <w:vAlign w:val="center"/>
          </w:tcPr>
          <w:p w14:paraId="6F10E329">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68090186">
            <w:pPr>
              <w:pStyle w:val="17"/>
              <w:keepNext w:val="0"/>
              <w:keepLines w:val="0"/>
              <w:pageBreakBefore w:val="0"/>
              <w:kinsoku/>
              <w:wordWrap/>
              <w:overflowPunct/>
              <w:topLinePunct w:val="0"/>
              <w:bidi w:val="0"/>
              <w:adjustRightInd/>
              <w:snapToGrid/>
              <w:spacing w:line="400" w:lineRule="exact"/>
              <w:ind w:left="105" w:leftChars="50" w:right="63" w:rightChars="30"/>
              <w:jc w:val="both"/>
              <w:rPr>
                <w:rFonts w:hint="eastAsia" w:ascii="宋体" w:hAnsi="宋体" w:eastAsia="宋体" w:cs="宋体"/>
                <w:b w:val="0"/>
                <w:bCs w:val="0"/>
                <w:color w:val="auto"/>
                <w:spacing w:val="0"/>
                <w:kern w:val="21"/>
                <w:sz w:val="24"/>
                <w:szCs w:val="24"/>
                <w:lang w:val="zh-CN" w:eastAsia="zh-CN" w:bidi="zh-CN"/>
              </w:rPr>
            </w:pPr>
            <w:r>
              <w:rPr>
                <w:rFonts w:hint="eastAsia" w:ascii="宋体" w:hAnsi="宋体" w:eastAsia="宋体" w:cs="宋体"/>
                <w:b w:val="0"/>
                <w:bCs w:val="0"/>
                <w:color w:val="auto"/>
                <w:spacing w:val="0"/>
                <w:kern w:val="21"/>
                <w:sz w:val="24"/>
                <w:szCs w:val="24"/>
              </w:rPr>
              <w:t>眼镜检测设备的配备率低于有关规定要求10%以下的。</w:t>
            </w:r>
          </w:p>
        </w:tc>
        <w:tc>
          <w:tcPr>
            <w:tcW w:w="3382" w:type="dxa"/>
            <w:noWrap w:val="0"/>
            <w:vAlign w:val="center"/>
          </w:tcPr>
          <w:p w14:paraId="6445E03B">
            <w:pPr>
              <w:keepNext w:val="0"/>
              <w:keepLines w:val="0"/>
              <w:pageBreakBefore w:val="0"/>
              <w:widowControl/>
              <w:suppressLineNumbers w:val="0"/>
              <w:kinsoku/>
              <w:overflowPunct/>
              <w:topLinePunct w:val="0"/>
              <w:bidi w:val="0"/>
              <w:adjustRightInd/>
              <w:snapToGrid/>
              <w:spacing w:line="400" w:lineRule="exact"/>
              <w:ind w:left="105" w:leftChars="50" w:right="63" w:rightChars="30"/>
              <w:jc w:val="both"/>
              <w:textAlignment w:val="center"/>
              <w:rPr>
                <w:rFonts w:hint="eastAsia" w:ascii="宋体" w:hAnsi="宋体" w:eastAsia="宋体" w:cs="宋体"/>
                <w:b w:val="0"/>
                <w:bCs w:val="0"/>
                <w:i w:val="0"/>
                <w:iCs w:val="0"/>
                <w:color w:val="auto"/>
                <w:spacing w:val="0"/>
                <w:kern w:val="21"/>
                <w:sz w:val="24"/>
                <w:szCs w:val="24"/>
                <w:u w:val="none"/>
                <w:lang w:val="en-US" w:eastAsia="zh-CN" w:bidi="zh-CN"/>
              </w:rPr>
            </w:pPr>
            <w:r>
              <w:rPr>
                <w:rFonts w:hint="eastAsia" w:ascii="宋体" w:hAnsi="宋体" w:eastAsia="宋体" w:cs="宋体"/>
                <w:b w:val="0"/>
                <w:bCs w:val="0"/>
                <w:color w:val="auto"/>
                <w:spacing w:val="0"/>
                <w:kern w:val="21"/>
                <w:sz w:val="24"/>
                <w:szCs w:val="24"/>
              </w:rPr>
              <w:t>责令改正，</w:t>
            </w:r>
            <w:r>
              <w:rPr>
                <w:rFonts w:hint="eastAsia" w:ascii="宋体" w:hAnsi="宋体" w:eastAsia="宋体" w:cs="宋体"/>
                <w:b w:val="0"/>
                <w:bCs w:val="0"/>
                <w:i w:val="0"/>
                <w:iCs w:val="0"/>
                <w:color w:val="auto"/>
                <w:spacing w:val="0"/>
                <w:kern w:val="21"/>
                <w:sz w:val="24"/>
                <w:szCs w:val="24"/>
                <w:u w:val="none"/>
                <w:lang w:val="en-US" w:eastAsia="zh-CN" w:bidi="ar"/>
              </w:rPr>
              <w:t>可以并处1000元以上3700元以下的罚款。</w:t>
            </w:r>
          </w:p>
        </w:tc>
      </w:tr>
      <w:tr w14:paraId="210F3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2" w:hRule="atLeast"/>
          <w:jc w:val="center"/>
        </w:trPr>
        <w:tc>
          <w:tcPr>
            <w:tcW w:w="640" w:type="dxa"/>
            <w:vMerge w:val="continue"/>
            <w:noWrap w:val="0"/>
            <w:vAlign w:val="top"/>
          </w:tcPr>
          <w:p w14:paraId="02D74EAB">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top"/>
          </w:tcPr>
          <w:p w14:paraId="7646322B">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rPr>
            </w:pPr>
          </w:p>
        </w:tc>
        <w:tc>
          <w:tcPr>
            <w:tcW w:w="4193" w:type="dxa"/>
            <w:vMerge w:val="continue"/>
            <w:noWrap w:val="0"/>
            <w:vAlign w:val="top"/>
          </w:tcPr>
          <w:p w14:paraId="7092D246">
            <w:pPr>
              <w:keepNext w:val="0"/>
              <w:keepLines w:val="0"/>
              <w:pageBreakBefore w:val="0"/>
              <w:tabs>
                <w:tab w:val="left" w:pos="1118"/>
              </w:tabs>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lang w:val="zh-CN" w:eastAsia="zh-CN"/>
              </w:rPr>
            </w:pPr>
          </w:p>
        </w:tc>
        <w:tc>
          <w:tcPr>
            <w:tcW w:w="1132" w:type="dxa"/>
            <w:noWrap w:val="0"/>
            <w:vAlign w:val="center"/>
          </w:tcPr>
          <w:p w14:paraId="7B67E41E">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3FF0326D">
            <w:pPr>
              <w:pStyle w:val="17"/>
              <w:keepNext w:val="0"/>
              <w:keepLines w:val="0"/>
              <w:pageBreakBefore w:val="0"/>
              <w:kinsoku/>
              <w:wordWrap/>
              <w:overflowPunct/>
              <w:topLinePunct w:val="0"/>
              <w:bidi w:val="0"/>
              <w:adjustRightInd/>
              <w:snapToGrid/>
              <w:spacing w:line="400" w:lineRule="exact"/>
              <w:ind w:left="105" w:leftChars="50" w:right="63" w:rightChars="30"/>
              <w:jc w:val="both"/>
              <w:rPr>
                <w:rFonts w:hint="eastAsia" w:ascii="宋体" w:hAnsi="宋体" w:eastAsia="宋体" w:cs="宋体"/>
                <w:b w:val="0"/>
                <w:bCs w:val="0"/>
                <w:color w:val="auto"/>
                <w:spacing w:val="0"/>
                <w:kern w:val="21"/>
                <w:sz w:val="24"/>
                <w:szCs w:val="24"/>
                <w:lang w:val="zh-CN" w:eastAsia="zh-CN" w:bidi="zh-CN"/>
              </w:rPr>
            </w:pPr>
            <w:r>
              <w:rPr>
                <w:rFonts w:hint="eastAsia" w:ascii="宋体" w:hAnsi="宋体" w:eastAsia="宋体" w:cs="宋体"/>
                <w:b w:val="0"/>
                <w:bCs w:val="0"/>
                <w:color w:val="auto"/>
                <w:spacing w:val="0"/>
                <w:kern w:val="21"/>
                <w:sz w:val="24"/>
                <w:szCs w:val="24"/>
              </w:rPr>
              <w:t>眼镜检测设备的配备率低于规定要求10%以上</w:t>
            </w:r>
            <w:r>
              <w:rPr>
                <w:rFonts w:hint="eastAsia" w:ascii="宋体" w:hAnsi="宋体" w:eastAsia="宋体" w:cs="宋体"/>
                <w:b w:val="0"/>
                <w:bCs w:val="0"/>
                <w:color w:val="auto"/>
                <w:spacing w:val="0"/>
                <w:kern w:val="21"/>
                <w:sz w:val="24"/>
                <w:szCs w:val="24"/>
                <w:lang w:val="en-US" w:eastAsia="zh-CN"/>
              </w:rPr>
              <w:t>20%以下</w:t>
            </w:r>
            <w:r>
              <w:rPr>
                <w:rFonts w:hint="eastAsia" w:ascii="宋体" w:hAnsi="宋体" w:eastAsia="宋体" w:cs="宋体"/>
                <w:b w:val="0"/>
                <w:bCs w:val="0"/>
                <w:color w:val="auto"/>
                <w:spacing w:val="0"/>
                <w:kern w:val="21"/>
                <w:sz w:val="24"/>
                <w:szCs w:val="24"/>
              </w:rPr>
              <w:t>的。</w:t>
            </w:r>
          </w:p>
        </w:tc>
        <w:tc>
          <w:tcPr>
            <w:tcW w:w="3382" w:type="dxa"/>
            <w:noWrap w:val="0"/>
            <w:vAlign w:val="center"/>
          </w:tcPr>
          <w:p w14:paraId="507F950B">
            <w:pPr>
              <w:keepNext w:val="0"/>
              <w:keepLines w:val="0"/>
              <w:pageBreakBefore w:val="0"/>
              <w:widowControl/>
              <w:suppressLineNumbers w:val="0"/>
              <w:kinsoku/>
              <w:overflowPunct/>
              <w:topLinePunct w:val="0"/>
              <w:bidi w:val="0"/>
              <w:adjustRightInd/>
              <w:snapToGrid/>
              <w:spacing w:line="400" w:lineRule="exact"/>
              <w:ind w:left="105" w:leftChars="50" w:right="63" w:rightChars="30"/>
              <w:jc w:val="both"/>
              <w:textAlignment w:val="center"/>
              <w:rPr>
                <w:rFonts w:hint="eastAsia" w:ascii="宋体" w:hAnsi="宋体" w:eastAsia="宋体" w:cs="宋体"/>
                <w:b w:val="0"/>
                <w:bCs w:val="0"/>
                <w:i w:val="0"/>
                <w:iCs w:val="0"/>
                <w:color w:val="auto"/>
                <w:spacing w:val="0"/>
                <w:kern w:val="21"/>
                <w:sz w:val="24"/>
                <w:szCs w:val="24"/>
                <w:u w:val="none"/>
                <w:lang w:val="en-US" w:eastAsia="zh-CN" w:bidi="zh-CN"/>
              </w:rPr>
            </w:pPr>
            <w:r>
              <w:rPr>
                <w:rFonts w:hint="eastAsia" w:ascii="宋体" w:hAnsi="宋体" w:eastAsia="宋体" w:cs="宋体"/>
                <w:b w:val="0"/>
                <w:bCs w:val="0"/>
                <w:color w:val="auto"/>
                <w:spacing w:val="0"/>
                <w:kern w:val="21"/>
                <w:sz w:val="24"/>
                <w:szCs w:val="24"/>
              </w:rPr>
              <w:t>责令改正，</w:t>
            </w:r>
            <w:r>
              <w:rPr>
                <w:rFonts w:hint="eastAsia" w:ascii="宋体" w:hAnsi="宋体" w:eastAsia="宋体" w:cs="宋体"/>
                <w:b w:val="0"/>
                <w:bCs w:val="0"/>
                <w:i w:val="0"/>
                <w:iCs w:val="0"/>
                <w:color w:val="auto"/>
                <w:spacing w:val="0"/>
                <w:kern w:val="21"/>
                <w:sz w:val="24"/>
                <w:szCs w:val="24"/>
                <w:u w:val="none"/>
                <w:lang w:val="en-US" w:eastAsia="zh-CN" w:bidi="ar"/>
              </w:rPr>
              <w:t>可以并处3700元以上7300元以下的罚款。</w:t>
            </w:r>
          </w:p>
        </w:tc>
      </w:tr>
      <w:tr w14:paraId="5981D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7" w:hRule="exact"/>
          <w:jc w:val="center"/>
        </w:trPr>
        <w:tc>
          <w:tcPr>
            <w:tcW w:w="640" w:type="dxa"/>
            <w:vMerge w:val="continue"/>
            <w:noWrap w:val="0"/>
            <w:vAlign w:val="top"/>
          </w:tcPr>
          <w:p w14:paraId="15913A39">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top"/>
          </w:tcPr>
          <w:p w14:paraId="77B040BA">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rPr>
            </w:pPr>
          </w:p>
        </w:tc>
        <w:tc>
          <w:tcPr>
            <w:tcW w:w="4193" w:type="dxa"/>
            <w:vMerge w:val="continue"/>
            <w:noWrap w:val="0"/>
            <w:vAlign w:val="top"/>
          </w:tcPr>
          <w:p w14:paraId="6A0491FD">
            <w:pPr>
              <w:keepNext w:val="0"/>
              <w:keepLines w:val="0"/>
              <w:pageBreakBefore w:val="0"/>
              <w:tabs>
                <w:tab w:val="left" w:pos="1118"/>
              </w:tabs>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lang w:val="zh-CN" w:eastAsia="zh-CN"/>
              </w:rPr>
            </w:pPr>
          </w:p>
        </w:tc>
        <w:tc>
          <w:tcPr>
            <w:tcW w:w="1132" w:type="dxa"/>
            <w:noWrap w:val="0"/>
            <w:vAlign w:val="center"/>
          </w:tcPr>
          <w:p w14:paraId="7FA45681">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7A88920A">
            <w:pPr>
              <w:keepNext w:val="0"/>
              <w:keepLines w:val="0"/>
              <w:pageBreakBefore w:val="0"/>
              <w:widowControl/>
              <w:suppressLineNumbers w:val="0"/>
              <w:kinsoku/>
              <w:wordWrap/>
              <w:overflowPunct/>
              <w:topLinePunct w:val="0"/>
              <w:bidi w:val="0"/>
              <w:adjustRightInd/>
              <w:snapToGrid/>
              <w:spacing w:line="400" w:lineRule="exact"/>
              <w:ind w:left="105" w:leftChars="50" w:right="63" w:rightChars="30"/>
              <w:jc w:val="both"/>
              <w:textAlignment w:val="center"/>
              <w:rPr>
                <w:rFonts w:hint="eastAsia" w:ascii="宋体" w:hAnsi="宋体" w:eastAsia="宋体" w:cs="宋体"/>
                <w:b w:val="0"/>
                <w:bCs w:val="0"/>
                <w:i w:val="0"/>
                <w:iCs w:val="0"/>
                <w:color w:val="auto"/>
                <w:spacing w:val="0"/>
                <w:kern w:val="21"/>
                <w:sz w:val="24"/>
                <w:szCs w:val="24"/>
                <w:u w:val="none"/>
                <w:lang w:val="zh-CN" w:eastAsia="zh-CN" w:bidi="zh-CN"/>
              </w:rPr>
            </w:pPr>
            <w:r>
              <w:rPr>
                <w:rFonts w:hint="eastAsia" w:ascii="宋体" w:hAnsi="宋体" w:eastAsia="宋体" w:cs="宋体"/>
                <w:b w:val="0"/>
                <w:bCs w:val="0"/>
                <w:i w:val="0"/>
                <w:iCs w:val="0"/>
                <w:color w:val="auto"/>
                <w:spacing w:val="0"/>
                <w:kern w:val="21"/>
                <w:sz w:val="24"/>
                <w:szCs w:val="24"/>
                <w:u w:val="none"/>
                <w:lang w:val="en-US" w:eastAsia="zh-CN" w:bidi="ar"/>
              </w:rPr>
              <w:t>眼镜检测设备的配备率低于规定要求</w:t>
            </w:r>
            <w:r>
              <w:rPr>
                <w:rStyle w:val="18"/>
                <w:rFonts w:hint="eastAsia" w:ascii="宋体" w:hAnsi="宋体" w:eastAsia="宋体" w:cs="宋体"/>
                <w:b w:val="0"/>
                <w:bCs w:val="0"/>
                <w:color w:val="auto"/>
                <w:spacing w:val="0"/>
                <w:kern w:val="21"/>
                <w:sz w:val="24"/>
                <w:szCs w:val="24"/>
                <w:lang w:val="en-US" w:eastAsia="zh-CN" w:bidi="ar"/>
              </w:rPr>
              <w:t>20%</w:t>
            </w:r>
            <w:r>
              <w:rPr>
                <w:rFonts w:hint="eastAsia" w:ascii="宋体" w:hAnsi="宋体" w:eastAsia="宋体" w:cs="宋体"/>
                <w:b w:val="0"/>
                <w:bCs w:val="0"/>
                <w:i w:val="0"/>
                <w:iCs w:val="0"/>
                <w:color w:val="auto"/>
                <w:spacing w:val="0"/>
                <w:kern w:val="21"/>
                <w:sz w:val="24"/>
                <w:szCs w:val="24"/>
                <w:u w:val="none"/>
                <w:lang w:val="en-US" w:eastAsia="zh-CN" w:bidi="ar"/>
              </w:rPr>
              <w:t>以上的。</w:t>
            </w:r>
          </w:p>
        </w:tc>
        <w:tc>
          <w:tcPr>
            <w:tcW w:w="3382" w:type="dxa"/>
            <w:noWrap w:val="0"/>
            <w:vAlign w:val="center"/>
          </w:tcPr>
          <w:p w14:paraId="78371425">
            <w:pPr>
              <w:keepNext w:val="0"/>
              <w:keepLines w:val="0"/>
              <w:pageBreakBefore w:val="0"/>
              <w:widowControl/>
              <w:suppressLineNumbers w:val="0"/>
              <w:kinsoku/>
              <w:overflowPunct/>
              <w:topLinePunct w:val="0"/>
              <w:bidi w:val="0"/>
              <w:adjustRightInd/>
              <w:snapToGrid/>
              <w:spacing w:line="400" w:lineRule="exact"/>
              <w:ind w:left="105" w:leftChars="50" w:right="63" w:rightChars="30"/>
              <w:jc w:val="both"/>
              <w:textAlignment w:val="center"/>
              <w:rPr>
                <w:rFonts w:hint="eastAsia" w:ascii="宋体" w:hAnsi="宋体" w:eastAsia="宋体" w:cs="宋体"/>
                <w:b w:val="0"/>
                <w:bCs w:val="0"/>
                <w:i w:val="0"/>
                <w:iCs w:val="0"/>
                <w:color w:val="auto"/>
                <w:spacing w:val="0"/>
                <w:kern w:val="21"/>
                <w:sz w:val="24"/>
                <w:szCs w:val="24"/>
                <w:u w:val="none"/>
                <w:lang w:val="en-US" w:eastAsia="zh-CN" w:bidi="zh-CN"/>
              </w:rPr>
            </w:pPr>
            <w:r>
              <w:rPr>
                <w:rFonts w:hint="eastAsia" w:ascii="宋体" w:hAnsi="宋体" w:eastAsia="宋体" w:cs="宋体"/>
                <w:b w:val="0"/>
                <w:bCs w:val="0"/>
                <w:color w:val="auto"/>
                <w:spacing w:val="0"/>
                <w:kern w:val="21"/>
                <w:sz w:val="24"/>
                <w:szCs w:val="24"/>
              </w:rPr>
              <w:t>责令改正，</w:t>
            </w:r>
            <w:r>
              <w:rPr>
                <w:rFonts w:hint="eastAsia" w:ascii="宋体" w:hAnsi="宋体" w:eastAsia="宋体" w:cs="宋体"/>
                <w:b w:val="0"/>
                <w:bCs w:val="0"/>
                <w:i w:val="0"/>
                <w:iCs w:val="0"/>
                <w:color w:val="auto"/>
                <w:spacing w:val="0"/>
                <w:kern w:val="21"/>
                <w:sz w:val="24"/>
                <w:szCs w:val="24"/>
                <w:u w:val="none"/>
                <w:lang w:val="en-US" w:eastAsia="zh-CN" w:bidi="ar"/>
              </w:rPr>
              <w:t>可以并处7300元以上1</w:t>
            </w:r>
            <w:r>
              <w:rPr>
                <w:rFonts w:hint="eastAsia" w:ascii="宋体" w:hAnsi="宋体" w:cs="宋体"/>
                <w:b w:val="0"/>
                <w:bCs w:val="0"/>
                <w:i w:val="0"/>
                <w:iCs w:val="0"/>
                <w:color w:val="auto"/>
                <w:spacing w:val="0"/>
                <w:kern w:val="21"/>
                <w:sz w:val="24"/>
                <w:szCs w:val="24"/>
                <w:u w:val="none"/>
                <w:lang w:val="en-US" w:eastAsia="zh-CN" w:bidi="ar"/>
              </w:rPr>
              <w:t>万</w:t>
            </w:r>
            <w:r>
              <w:rPr>
                <w:rFonts w:hint="eastAsia" w:ascii="宋体" w:hAnsi="宋体" w:eastAsia="宋体" w:cs="宋体"/>
                <w:b w:val="0"/>
                <w:bCs w:val="0"/>
                <w:i w:val="0"/>
                <w:iCs w:val="0"/>
                <w:color w:val="auto"/>
                <w:spacing w:val="0"/>
                <w:kern w:val="21"/>
                <w:sz w:val="24"/>
                <w:szCs w:val="24"/>
                <w:u w:val="none"/>
                <w:lang w:val="en-US" w:eastAsia="zh-CN" w:bidi="ar"/>
              </w:rPr>
              <w:t>元以下的罚款。</w:t>
            </w:r>
          </w:p>
        </w:tc>
      </w:tr>
      <w:tr w14:paraId="0270E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5" w:hRule="atLeast"/>
          <w:jc w:val="center"/>
        </w:trPr>
        <w:tc>
          <w:tcPr>
            <w:tcW w:w="640" w:type="dxa"/>
            <w:vMerge w:val="restart"/>
            <w:noWrap w:val="0"/>
            <w:vAlign w:val="center"/>
          </w:tcPr>
          <w:p w14:paraId="68A3BE14">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lang w:val="en-US" w:eastAsia="zh-CN"/>
              </w:rPr>
            </w:pPr>
            <w:r>
              <w:rPr>
                <w:rFonts w:hint="eastAsia" w:ascii="宋体" w:hAnsi="宋体" w:eastAsia="宋体" w:cs="宋体"/>
                <w:b w:val="0"/>
                <w:bCs w:val="0"/>
                <w:color w:val="auto"/>
                <w:spacing w:val="6"/>
                <w:kern w:val="21"/>
                <w:sz w:val="24"/>
                <w:szCs w:val="24"/>
                <w:lang w:val="en-US" w:eastAsia="zh-CN"/>
              </w:rPr>
              <w:t>12</w:t>
            </w:r>
            <w:r>
              <w:rPr>
                <w:rFonts w:hint="eastAsia" w:cs="宋体"/>
                <w:b w:val="0"/>
                <w:bCs w:val="0"/>
                <w:color w:val="auto"/>
                <w:spacing w:val="6"/>
                <w:kern w:val="21"/>
                <w:sz w:val="24"/>
                <w:szCs w:val="24"/>
                <w:lang w:val="en-US" w:eastAsia="zh-CN"/>
              </w:rPr>
              <w:t>5</w:t>
            </w:r>
          </w:p>
        </w:tc>
        <w:tc>
          <w:tcPr>
            <w:tcW w:w="1793" w:type="dxa"/>
            <w:vMerge w:val="restart"/>
            <w:noWrap w:val="0"/>
            <w:vAlign w:val="center"/>
          </w:tcPr>
          <w:p w14:paraId="319DB486">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《眼镜制配计量监督管理办法》</w:t>
            </w:r>
          </w:p>
        </w:tc>
        <w:tc>
          <w:tcPr>
            <w:tcW w:w="4193" w:type="dxa"/>
            <w:vMerge w:val="restart"/>
            <w:noWrap w:val="0"/>
            <w:vAlign w:val="center"/>
          </w:tcPr>
          <w:p w14:paraId="3FF4555F">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lang w:val="en-US" w:eastAsia="zh-CN"/>
              </w:rPr>
            </w:pPr>
            <w:r>
              <w:rPr>
                <w:rFonts w:hint="eastAsia" w:ascii="宋体" w:hAnsi="宋体" w:eastAsia="宋体" w:cs="宋体"/>
                <w:b w:val="0"/>
                <w:bCs w:val="0"/>
                <w:color w:val="auto"/>
                <w:spacing w:val="6"/>
                <w:kern w:val="21"/>
                <w:sz w:val="24"/>
                <w:szCs w:val="24"/>
              </w:rPr>
              <w:t>第十二条 眼镜制配者违反本办法规定，拒不提供眼镜制配账目，使违法所得难以计算的，可根据违法行为的情节轻重处以最高不超过30000元的罚款</w:t>
            </w:r>
            <w:r>
              <w:rPr>
                <w:rFonts w:hint="eastAsia" w:ascii="宋体" w:hAnsi="宋体" w:eastAsia="宋体" w:cs="宋体"/>
                <w:b w:val="0"/>
                <w:bCs w:val="0"/>
                <w:color w:val="auto"/>
                <w:spacing w:val="6"/>
                <w:kern w:val="21"/>
                <w:sz w:val="24"/>
                <w:szCs w:val="24"/>
                <w:lang w:eastAsia="zh-CN"/>
              </w:rPr>
              <w:t>。</w:t>
            </w:r>
          </w:p>
        </w:tc>
        <w:tc>
          <w:tcPr>
            <w:tcW w:w="1132" w:type="dxa"/>
            <w:noWrap w:val="0"/>
            <w:vAlign w:val="center"/>
          </w:tcPr>
          <w:p w14:paraId="689B17FC">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70995A1D">
            <w:pPr>
              <w:pStyle w:val="17"/>
              <w:keepNext w:val="0"/>
              <w:keepLines w:val="0"/>
              <w:pageBreakBefore w:val="0"/>
              <w:kinsoku/>
              <w:wordWrap/>
              <w:overflowPunct/>
              <w:topLinePunct w:val="0"/>
              <w:bidi w:val="0"/>
              <w:adjustRightInd/>
              <w:snapToGrid/>
              <w:spacing w:line="400" w:lineRule="exact"/>
              <w:ind w:left="105" w:leftChars="50" w:right="63" w:rightChars="30"/>
              <w:jc w:val="both"/>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color w:val="auto"/>
                <w:spacing w:val="0"/>
                <w:kern w:val="21"/>
                <w:sz w:val="24"/>
                <w:szCs w:val="24"/>
              </w:rPr>
              <w:t>违法行为涉及货值金额1万元以下的。</w:t>
            </w:r>
          </w:p>
        </w:tc>
        <w:tc>
          <w:tcPr>
            <w:tcW w:w="3382" w:type="dxa"/>
            <w:noWrap w:val="0"/>
            <w:vAlign w:val="center"/>
          </w:tcPr>
          <w:p w14:paraId="097E56ED">
            <w:pPr>
              <w:pStyle w:val="17"/>
              <w:keepNext w:val="0"/>
              <w:keepLines w:val="0"/>
              <w:pageBreakBefore w:val="0"/>
              <w:kinsoku/>
              <w:overflowPunct/>
              <w:topLinePunct w:val="0"/>
              <w:bidi w:val="0"/>
              <w:adjustRightInd/>
              <w:snapToGrid/>
              <w:spacing w:line="400" w:lineRule="exact"/>
              <w:ind w:left="105" w:leftChars="50" w:right="63" w:rightChars="30"/>
              <w:jc w:val="both"/>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color w:val="auto"/>
                <w:spacing w:val="0"/>
                <w:kern w:val="21"/>
                <w:sz w:val="24"/>
                <w:szCs w:val="24"/>
              </w:rPr>
              <w:t>处以</w:t>
            </w:r>
            <w:r>
              <w:rPr>
                <w:rFonts w:hint="eastAsia" w:ascii="宋体" w:hAnsi="宋体" w:eastAsia="宋体" w:cs="宋体"/>
                <w:b w:val="0"/>
                <w:bCs w:val="0"/>
                <w:color w:val="auto"/>
                <w:spacing w:val="0"/>
                <w:kern w:val="21"/>
                <w:sz w:val="24"/>
                <w:szCs w:val="24"/>
                <w:lang w:val="en-US" w:eastAsia="zh-CN"/>
              </w:rPr>
              <w:t>9</w:t>
            </w:r>
            <w:r>
              <w:rPr>
                <w:rFonts w:hint="eastAsia" w:ascii="宋体" w:hAnsi="宋体" w:eastAsia="宋体" w:cs="宋体"/>
                <w:b w:val="0"/>
                <w:bCs w:val="0"/>
                <w:color w:val="auto"/>
                <w:spacing w:val="0"/>
                <w:kern w:val="21"/>
                <w:sz w:val="24"/>
                <w:szCs w:val="24"/>
              </w:rPr>
              <w:t>000元以下罚款。</w:t>
            </w:r>
          </w:p>
        </w:tc>
      </w:tr>
      <w:tr w14:paraId="21312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0" w:hRule="atLeast"/>
          <w:jc w:val="center"/>
        </w:trPr>
        <w:tc>
          <w:tcPr>
            <w:tcW w:w="640" w:type="dxa"/>
            <w:vMerge w:val="continue"/>
            <w:tcBorders>
              <w:top w:val="nil"/>
            </w:tcBorders>
            <w:noWrap w:val="0"/>
            <w:vAlign w:val="top"/>
          </w:tcPr>
          <w:p w14:paraId="3A5DD3EE">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tcBorders>
              <w:top w:val="nil"/>
            </w:tcBorders>
            <w:noWrap w:val="0"/>
            <w:vAlign w:val="top"/>
          </w:tcPr>
          <w:p w14:paraId="2280916D">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4193" w:type="dxa"/>
            <w:vMerge w:val="continue"/>
            <w:tcBorders>
              <w:top w:val="nil"/>
            </w:tcBorders>
            <w:noWrap w:val="0"/>
            <w:vAlign w:val="top"/>
          </w:tcPr>
          <w:p w14:paraId="60B5C069">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52304D95">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07D96375">
            <w:pPr>
              <w:pStyle w:val="17"/>
              <w:keepNext w:val="0"/>
              <w:keepLines w:val="0"/>
              <w:pageBreakBefore w:val="0"/>
              <w:kinsoku/>
              <w:wordWrap/>
              <w:overflowPunct/>
              <w:topLinePunct w:val="0"/>
              <w:bidi w:val="0"/>
              <w:adjustRightInd/>
              <w:snapToGrid/>
              <w:spacing w:line="400" w:lineRule="exact"/>
              <w:ind w:left="105" w:leftChars="50" w:right="63" w:rightChars="30"/>
              <w:jc w:val="both"/>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color w:val="auto"/>
                <w:spacing w:val="0"/>
                <w:kern w:val="21"/>
                <w:sz w:val="24"/>
                <w:szCs w:val="24"/>
              </w:rPr>
              <w:t>违法行为涉及货值金额1万元以上2万元以下的。</w:t>
            </w:r>
          </w:p>
        </w:tc>
        <w:tc>
          <w:tcPr>
            <w:tcW w:w="3382" w:type="dxa"/>
            <w:noWrap w:val="0"/>
            <w:vAlign w:val="center"/>
          </w:tcPr>
          <w:p w14:paraId="3B1CDB90">
            <w:pPr>
              <w:pStyle w:val="17"/>
              <w:keepNext w:val="0"/>
              <w:keepLines w:val="0"/>
              <w:pageBreakBefore w:val="0"/>
              <w:kinsoku/>
              <w:overflowPunct/>
              <w:topLinePunct w:val="0"/>
              <w:bidi w:val="0"/>
              <w:adjustRightInd/>
              <w:snapToGrid/>
              <w:spacing w:line="400" w:lineRule="exact"/>
              <w:ind w:left="105" w:leftChars="50" w:right="63" w:rightChars="30"/>
              <w:jc w:val="both"/>
              <w:rPr>
                <w:rFonts w:hint="eastAsia" w:ascii="宋体" w:hAnsi="宋体" w:eastAsia="宋体" w:cs="宋体"/>
                <w:b w:val="0"/>
                <w:bCs w:val="0"/>
                <w:color w:val="auto"/>
                <w:spacing w:val="0"/>
                <w:kern w:val="21"/>
                <w:sz w:val="24"/>
                <w:szCs w:val="24"/>
                <w:lang w:eastAsia="zh-CN"/>
              </w:rPr>
            </w:pPr>
            <w:r>
              <w:rPr>
                <w:rFonts w:hint="eastAsia" w:ascii="宋体" w:hAnsi="宋体" w:eastAsia="宋体" w:cs="宋体"/>
                <w:b w:val="0"/>
                <w:bCs w:val="0"/>
                <w:color w:val="auto"/>
                <w:spacing w:val="0"/>
                <w:kern w:val="21"/>
                <w:sz w:val="24"/>
                <w:szCs w:val="24"/>
              </w:rPr>
              <w:t>处以</w:t>
            </w:r>
            <w:r>
              <w:rPr>
                <w:rFonts w:hint="eastAsia" w:ascii="宋体" w:hAnsi="宋体" w:eastAsia="宋体" w:cs="宋体"/>
                <w:b w:val="0"/>
                <w:bCs w:val="0"/>
                <w:color w:val="auto"/>
                <w:spacing w:val="0"/>
                <w:kern w:val="21"/>
                <w:sz w:val="24"/>
                <w:szCs w:val="24"/>
                <w:lang w:val="en-US" w:eastAsia="zh-CN"/>
              </w:rPr>
              <w:t>9</w:t>
            </w:r>
            <w:r>
              <w:rPr>
                <w:rFonts w:hint="eastAsia" w:ascii="宋体" w:hAnsi="宋体" w:eastAsia="宋体" w:cs="宋体"/>
                <w:b w:val="0"/>
                <w:bCs w:val="0"/>
                <w:color w:val="auto"/>
                <w:spacing w:val="0"/>
                <w:kern w:val="21"/>
                <w:sz w:val="24"/>
                <w:szCs w:val="24"/>
              </w:rPr>
              <w:t>000元以上</w:t>
            </w:r>
            <w:r>
              <w:rPr>
                <w:rFonts w:hint="eastAsia" w:cs="宋体"/>
                <w:b w:val="0"/>
                <w:bCs w:val="0"/>
                <w:color w:val="auto"/>
                <w:spacing w:val="0"/>
                <w:kern w:val="21"/>
                <w:sz w:val="24"/>
                <w:szCs w:val="24"/>
                <w:lang w:val="en-US" w:eastAsia="zh-CN"/>
              </w:rPr>
              <w:t>2.1万</w:t>
            </w:r>
            <w:r>
              <w:rPr>
                <w:rFonts w:hint="eastAsia" w:ascii="宋体" w:hAnsi="宋体" w:eastAsia="宋体" w:cs="宋体"/>
                <w:b w:val="0"/>
                <w:bCs w:val="0"/>
                <w:color w:val="auto"/>
                <w:spacing w:val="0"/>
                <w:kern w:val="21"/>
                <w:sz w:val="24"/>
                <w:szCs w:val="24"/>
              </w:rPr>
              <w:t>元以下罚款</w:t>
            </w:r>
            <w:r>
              <w:rPr>
                <w:rFonts w:hint="eastAsia" w:ascii="宋体" w:hAnsi="宋体" w:eastAsia="宋体" w:cs="宋体"/>
                <w:b w:val="0"/>
                <w:bCs w:val="0"/>
                <w:color w:val="auto"/>
                <w:spacing w:val="0"/>
                <w:kern w:val="21"/>
                <w:sz w:val="24"/>
                <w:szCs w:val="24"/>
                <w:lang w:eastAsia="zh-CN"/>
              </w:rPr>
              <w:t>。</w:t>
            </w:r>
          </w:p>
        </w:tc>
      </w:tr>
      <w:tr w14:paraId="145B4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jc w:val="center"/>
        </w:trPr>
        <w:tc>
          <w:tcPr>
            <w:tcW w:w="640" w:type="dxa"/>
            <w:vMerge w:val="continue"/>
            <w:tcBorders>
              <w:top w:val="nil"/>
            </w:tcBorders>
            <w:noWrap w:val="0"/>
            <w:vAlign w:val="top"/>
          </w:tcPr>
          <w:p w14:paraId="3E6739C5">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tcBorders>
              <w:top w:val="nil"/>
            </w:tcBorders>
            <w:noWrap w:val="0"/>
            <w:vAlign w:val="top"/>
          </w:tcPr>
          <w:p w14:paraId="309E0234">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4193" w:type="dxa"/>
            <w:vMerge w:val="continue"/>
            <w:tcBorders>
              <w:top w:val="nil"/>
            </w:tcBorders>
            <w:noWrap w:val="0"/>
            <w:vAlign w:val="top"/>
          </w:tcPr>
          <w:p w14:paraId="4029DF34">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5C0ABB90">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7BBCD840">
            <w:pPr>
              <w:pStyle w:val="17"/>
              <w:keepNext w:val="0"/>
              <w:keepLines w:val="0"/>
              <w:pageBreakBefore w:val="0"/>
              <w:kinsoku/>
              <w:wordWrap/>
              <w:overflowPunct/>
              <w:topLinePunct w:val="0"/>
              <w:bidi w:val="0"/>
              <w:adjustRightInd/>
              <w:snapToGrid/>
              <w:spacing w:line="400" w:lineRule="exact"/>
              <w:ind w:left="105" w:leftChars="50" w:right="63" w:rightChars="30"/>
              <w:jc w:val="both"/>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color w:val="auto"/>
                <w:spacing w:val="0"/>
                <w:kern w:val="21"/>
                <w:sz w:val="24"/>
                <w:szCs w:val="24"/>
              </w:rPr>
              <w:t>违法行为涉及货值金额2万元以上的。</w:t>
            </w:r>
          </w:p>
        </w:tc>
        <w:tc>
          <w:tcPr>
            <w:tcW w:w="3382" w:type="dxa"/>
            <w:noWrap w:val="0"/>
            <w:vAlign w:val="center"/>
          </w:tcPr>
          <w:p w14:paraId="0C606547">
            <w:pPr>
              <w:pStyle w:val="17"/>
              <w:keepNext w:val="0"/>
              <w:keepLines w:val="0"/>
              <w:pageBreakBefore w:val="0"/>
              <w:kinsoku/>
              <w:overflowPunct/>
              <w:topLinePunct w:val="0"/>
              <w:bidi w:val="0"/>
              <w:adjustRightInd/>
              <w:snapToGrid/>
              <w:spacing w:line="400" w:lineRule="exact"/>
              <w:ind w:left="105" w:leftChars="50" w:right="63" w:rightChars="30"/>
              <w:jc w:val="both"/>
              <w:rPr>
                <w:rFonts w:hint="eastAsia" w:ascii="宋体" w:hAnsi="宋体" w:eastAsia="宋体" w:cs="宋体"/>
                <w:b w:val="0"/>
                <w:bCs w:val="0"/>
                <w:color w:val="auto"/>
                <w:spacing w:val="0"/>
                <w:kern w:val="21"/>
                <w:sz w:val="24"/>
                <w:szCs w:val="24"/>
                <w:lang w:eastAsia="zh-CN"/>
              </w:rPr>
            </w:pPr>
            <w:r>
              <w:rPr>
                <w:rFonts w:hint="eastAsia" w:ascii="宋体" w:hAnsi="宋体" w:eastAsia="宋体" w:cs="宋体"/>
                <w:b w:val="0"/>
                <w:bCs w:val="0"/>
                <w:color w:val="auto"/>
                <w:spacing w:val="0"/>
                <w:kern w:val="21"/>
                <w:sz w:val="24"/>
                <w:szCs w:val="24"/>
              </w:rPr>
              <w:t>处以</w:t>
            </w:r>
            <w:r>
              <w:rPr>
                <w:rFonts w:hint="eastAsia" w:cs="宋体"/>
                <w:b w:val="0"/>
                <w:bCs w:val="0"/>
                <w:color w:val="auto"/>
                <w:spacing w:val="0"/>
                <w:kern w:val="21"/>
                <w:sz w:val="24"/>
                <w:szCs w:val="24"/>
                <w:lang w:val="en-US" w:eastAsia="zh-CN"/>
              </w:rPr>
              <w:t>2.1万</w:t>
            </w:r>
            <w:r>
              <w:rPr>
                <w:rFonts w:hint="eastAsia" w:ascii="宋体" w:hAnsi="宋体" w:eastAsia="宋体" w:cs="宋体"/>
                <w:b w:val="0"/>
                <w:bCs w:val="0"/>
                <w:color w:val="auto"/>
                <w:spacing w:val="0"/>
                <w:kern w:val="21"/>
                <w:sz w:val="24"/>
                <w:szCs w:val="24"/>
              </w:rPr>
              <w:t>元以上3</w:t>
            </w:r>
            <w:r>
              <w:rPr>
                <w:rFonts w:hint="eastAsia" w:cs="宋体"/>
                <w:b w:val="0"/>
                <w:bCs w:val="0"/>
                <w:color w:val="auto"/>
                <w:spacing w:val="0"/>
                <w:kern w:val="21"/>
                <w:sz w:val="24"/>
                <w:szCs w:val="24"/>
                <w:lang w:val="en-US" w:eastAsia="zh-CN"/>
              </w:rPr>
              <w:t>万</w:t>
            </w:r>
            <w:r>
              <w:rPr>
                <w:rFonts w:hint="eastAsia" w:ascii="宋体" w:hAnsi="宋体" w:eastAsia="宋体" w:cs="宋体"/>
                <w:b w:val="0"/>
                <w:bCs w:val="0"/>
                <w:color w:val="auto"/>
                <w:spacing w:val="0"/>
                <w:kern w:val="21"/>
                <w:sz w:val="24"/>
                <w:szCs w:val="24"/>
              </w:rPr>
              <w:t>元以下罚款</w:t>
            </w:r>
            <w:r>
              <w:rPr>
                <w:rFonts w:hint="eastAsia" w:ascii="宋体" w:hAnsi="宋体" w:eastAsia="宋体" w:cs="宋体"/>
                <w:b w:val="0"/>
                <w:bCs w:val="0"/>
                <w:color w:val="auto"/>
                <w:spacing w:val="0"/>
                <w:kern w:val="21"/>
                <w:sz w:val="24"/>
                <w:szCs w:val="24"/>
                <w:lang w:eastAsia="zh-CN"/>
              </w:rPr>
              <w:t>。</w:t>
            </w:r>
          </w:p>
        </w:tc>
      </w:tr>
      <w:tr w14:paraId="7EAAB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3" w:hRule="exact"/>
          <w:jc w:val="center"/>
        </w:trPr>
        <w:tc>
          <w:tcPr>
            <w:tcW w:w="640" w:type="dxa"/>
            <w:vMerge w:val="restart"/>
            <w:noWrap w:val="0"/>
            <w:vAlign w:val="center"/>
          </w:tcPr>
          <w:p w14:paraId="04950443">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p w14:paraId="515A0247">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lang w:val="en-US" w:eastAsia="zh-CN"/>
              </w:rPr>
            </w:pPr>
            <w:r>
              <w:rPr>
                <w:rFonts w:hint="eastAsia" w:ascii="宋体" w:hAnsi="宋体" w:eastAsia="宋体" w:cs="宋体"/>
                <w:b w:val="0"/>
                <w:bCs w:val="0"/>
                <w:color w:val="auto"/>
                <w:spacing w:val="6"/>
                <w:kern w:val="21"/>
                <w:sz w:val="24"/>
                <w:szCs w:val="24"/>
              </w:rPr>
              <w:t>1</w:t>
            </w:r>
            <w:r>
              <w:rPr>
                <w:rFonts w:hint="eastAsia" w:ascii="宋体" w:hAnsi="宋体" w:eastAsia="宋体" w:cs="宋体"/>
                <w:b w:val="0"/>
                <w:bCs w:val="0"/>
                <w:color w:val="auto"/>
                <w:spacing w:val="6"/>
                <w:kern w:val="21"/>
                <w:sz w:val="24"/>
                <w:szCs w:val="24"/>
                <w:lang w:val="en-US" w:eastAsia="zh-CN"/>
              </w:rPr>
              <w:t>2</w:t>
            </w:r>
            <w:r>
              <w:rPr>
                <w:rFonts w:hint="eastAsia" w:cs="宋体"/>
                <w:b w:val="0"/>
                <w:bCs w:val="0"/>
                <w:color w:val="auto"/>
                <w:spacing w:val="6"/>
                <w:kern w:val="21"/>
                <w:sz w:val="24"/>
                <w:szCs w:val="24"/>
                <w:lang w:val="en-US" w:eastAsia="zh-CN"/>
              </w:rPr>
              <w:t>6</w:t>
            </w:r>
          </w:p>
        </w:tc>
        <w:tc>
          <w:tcPr>
            <w:tcW w:w="1793" w:type="dxa"/>
            <w:vMerge w:val="restart"/>
            <w:noWrap w:val="0"/>
            <w:vAlign w:val="center"/>
          </w:tcPr>
          <w:p w14:paraId="208E2028">
            <w:pPr>
              <w:pStyle w:val="17"/>
              <w:keepNext w:val="0"/>
              <w:keepLines w:val="0"/>
              <w:pageBreakBefore w:val="0"/>
              <w:widowControl w:val="0"/>
              <w:kinsoku/>
              <w:wordWrap/>
              <w:overflowPunct/>
              <w:topLinePunct w:val="0"/>
              <w:autoSpaceDE/>
              <w:autoSpaceDN/>
              <w:bidi w:val="0"/>
              <w:adjustRightInd/>
              <w:snapToGrid/>
              <w:spacing w:line="400" w:lineRule="exact"/>
              <w:ind w:left="63" w:leftChars="30" w:right="63" w:rightChars="30"/>
              <w:jc w:val="both"/>
              <w:textAlignment w:val="auto"/>
              <w:outlineLvl w:val="2"/>
              <w:rPr>
                <w:rFonts w:hint="eastAsia" w:ascii="宋体" w:hAnsi="宋体" w:eastAsia="宋体" w:cs="宋体"/>
                <w:b w:val="0"/>
                <w:bCs w:val="0"/>
                <w:color w:val="auto"/>
                <w:spacing w:val="6"/>
                <w:kern w:val="21"/>
                <w:sz w:val="24"/>
                <w:szCs w:val="24"/>
              </w:rPr>
            </w:pPr>
            <w:bookmarkStart w:id="181" w:name="_Toc6703"/>
            <w:bookmarkStart w:id="182" w:name="_Toc17545"/>
            <w:bookmarkStart w:id="183" w:name="_Toc20808"/>
            <w:bookmarkStart w:id="184" w:name="_Toc26155"/>
            <w:bookmarkStart w:id="185" w:name="_Toc24450"/>
            <w:r>
              <w:rPr>
                <w:rFonts w:hint="eastAsia" w:ascii="宋体" w:hAnsi="宋体" w:eastAsia="宋体" w:cs="宋体"/>
                <w:b w:val="0"/>
                <w:bCs w:val="0"/>
                <w:color w:val="auto"/>
                <w:spacing w:val="6"/>
                <w:kern w:val="21"/>
                <w:sz w:val="24"/>
                <w:szCs w:val="24"/>
              </w:rPr>
              <w:t>《加油站计量监督管理办法》</w:t>
            </w:r>
            <w:bookmarkEnd w:id="181"/>
            <w:bookmarkEnd w:id="182"/>
            <w:bookmarkEnd w:id="183"/>
            <w:bookmarkEnd w:id="184"/>
            <w:bookmarkEnd w:id="185"/>
          </w:p>
          <w:p w14:paraId="023EED84">
            <w:pPr>
              <w:keepNext w:val="0"/>
              <w:keepLines w:val="0"/>
              <w:pageBreakBefore w:val="0"/>
              <w:widowControl w:val="0"/>
              <w:kinsoku/>
              <w:wordWrap/>
              <w:overflowPunct/>
              <w:topLinePunct w:val="0"/>
              <w:autoSpaceDE/>
              <w:autoSpaceDN/>
              <w:bidi w:val="0"/>
              <w:adjustRightInd/>
              <w:snapToGrid/>
              <w:spacing w:line="400" w:lineRule="exact"/>
              <w:ind w:left="63" w:leftChars="30" w:right="63" w:rightChars="30"/>
              <w:jc w:val="both"/>
              <w:textAlignment w:val="auto"/>
              <w:outlineLvl w:val="2"/>
              <w:rPr>
                <w:rFonts w:hint="eastAsia" w:ascii="宋体" w:hAnsi="宋体" w:eastAsia="宋体" w:cs="宋体"/>
                <w:b w:val="0"/>
                <w:bCs w:val="0"/>
                <w:color w:val="auto"/>
                <w:spacing w:val="6"/>
                <w:kern w:val="21"/>
                <w:sz w:val="24"/>
                <w:szCs w:val="24"/>
              </w:rPr>
            </w:pPr>
            <w:bookmarkStart w:id="186" w:name="_Toc4323"/>
            <w:bookmarkStart w:id="187" w:name="_Toc26381"/>
            <w:bookmarkStart w:id="188" w:name="_Toc22110"/>
            <w:bookmarkStart w:id="189" w:name="_Toc18310"/>
            <w:r>
              <w:rPr>
                <w:rFonts w:hint="eastAsia" w:ascii="宋体" w:hAnsi="宋体" w:eastAsia="宋体" w:cs="宋体"/>
                <w:b w:val="0"/>
                <w:bCs w:val="0"/>
                <w:color w:val="auto"/>
                <w:spacing w:val="6"/>
                <w:kern w:val="21"/>
                <w:sz w:val="24"/>
                <w:szCs w:val="24"/>
                <w:lang w:val="en-US" w:eastAsia="zh-CN"/>
              </w:rPr>
              <w:t>（2020年10月23日</w:t>
            </w:r>
            <w:r>
              <w:rPr>
                <w:rFonts w:hint="eastAsia" w:ascii="宋体" w:hAnsi="宋体" w:cs="宋体"/>
                <w:b w:val="0"/>
                <w:bCs w:val="0"/>
                <w:color w:val="auto"/>
                <w:spacing w:val="6"/>
                <w:kern w:val="21"/>
                <w:sz w:val="24"/>
                <w:szCs w:val="24"/>
                <w:lang w:val="en-US" w:eastAsia="zh-CN"/>
              </w:rPr>
              <w:t>起施行</w:t>
            </w:r>
            <w:r>
              <w:rPr>
                <w:rFonts w:hint="eastAsia" w:ascii="宋体" w:hAnsi="宋体" w:eastAsia="宋体" w:cs="宋体"/>
                <w:b w:val="0"/>
                <w:bCs w:val="0"/>
                <w:color w:val="auto"/>
                <w:spacing w:val="6"/>
                <w:kern w:val="21"/>
                <w:sz w:val="24"/>
                <w:szCs w:val="24"/>
                <w:lang w:val="en-US" w:eastAsia="zh-CN"/>
              </w:rPr>
              <w:t>）</w:t>
            </w:r>
            <w:bookmarkEnd w:id="186"/>
            <w:bookmarkEnd w:id="187"/>
            <w:bookmarkEnd w:id="188"/>
            <w:bookmarkEnd w:id="189"/>
          </w:p>
        </w:tc>
        <w:tc>
          <w:tcPr>
            <w:tcW w:w="4193" w:type="dxa"/>
            <w:vMerge w:val="restart"/>
            <w:noWrap w:val="0"/>
            <w:vAlign w:val="center"/>
          </w:tcPr>
          <w:p w14:paraId="4E67F3C6">
            <w:pPr>
              <w:pStyle w:val="17"/>
              <w:keepNext w:val="0"/>
              <w:keepLines w:val="0"/>
              <w:pageBreakBefore w:val="0"/>
              <w:kinsoku/>
              <w:overflowPunct/>
              <w:topLinePunct w:val="0"/>
              <w:bidi w:val="0"/>
              <w:adjustRightInd/>
              <w:snapToGrid/>
              <w:spacing w:line="400" w:lineRule="exact"/>
              <w:ind w:left="0" w:leftChars="0" w:right="63" w:rightChars="30" w:firstLine="0" w:firstLineChars="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第九条</w:t>
            </w:r>
            <w:r>
              <w:rPr>
                <w:rFonts w:hint="eastAsia" w:cs="宋体"/>
                <w:b w:val="0"/>
                <w:bCs w:val="0"/>
                <w:color w:val="auto"/>
                <w:spacing w:val="6"/>
                <w:kern w:val="21"/>
                <w:sz w:val="24"/>
                <w:szCs w:val="24"/>
                <w:lang w:val="en-US" w:eastAsia="zh-CN"/>
              </w:rPr>
              <w:t xml:space="preserve"> </w:t>
            </w:r>
            <w:r>
              <w:rPr>
                <w:rFonts w:hint="eastAsia" w:ascii="宋体" w:hAnsi="宋体" w:eastAsia="宋体" w:cs="宋体"/>
                <w:b w:val="0"/>
                <w:bCs w:val="0"/>
                <w:color w:val="auto"/>
                <w:spacing w:val="6"/>
                <w:kern w:val="21"/>
                <w:sz w:val="24"/>
                <w:szCs w:val="24"/>
              </w:rPr>
              <w:t>加油站经营者违反本办法有关规定，应当按以下规定进行处罚：</w:t>
            </w:r>
          </w:p>
          <w:p w14:paraId="36693272">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（一）</w:t>
            </w:r>
            <w:r>
              <w:rPr>
                <w:rFonts w:hint="eastAsia" w:ascii="宋体" w:hAnsi="宋体" w:eastAsia="宋体" w:cs="宋体"/>
                <w:b w:val="0"/>
                <w:bCs w:val="0"/>
                <w:color w:val="auto"/>
                <w:spacing w:val="6"/>
                <w:kern w:val="21"/>
                <w:sz w:val="24"/>
                <w:szCs w:val="24"/>
                <w:lang w:eastAsia="zh-CN"/>
              </w:rPr>
              <w:t>……</w:t>
            </w:r>
            <w:r>
              <w:rPr>
                <w:rFonts w:hint="eastAsia" w:ascii="宋体" w:hAnsi="宋体" w:eastAsia="宋体" w:cs="宋体"/>
                <w:b w:val="0"/>
                <w:bCs w:val="0"/>
                <w:color w:val="auto"/>
                <w:spacing w:val="6"/>
                <w:kern w:val="21"/>
                <w:sz w:val="24"/>
                <w:szCs w:val="24"/>
              </w:rPr>
              <w:t>燃油加油机安装后未报经</w:t>
            </w:r>
            <w:r>
              <w:rPr>
                <w:rFonts w:hint="eastAsia" w:ascii="宋体" w:hAnsi="宋体" w:eastAsia="宋体" w:cs="宋体"/>
                <w:b w:val="0"/>
                <w:bCs w:val="0"/>
                <w:color w:val="auto"/>
                <w:spacing w:val="6"/>
                <w:kern w:val="21"/>
                <w:sz w:val="24"/>
                <w:szCs w:val="24"/>
                <w:lang w:val="en-US" w:eastAsia="zh-CN"/>
              </w:rPr>
              <w:t>市场监督管理部门</w:t>
            </w:r>
            <w:r>
              <w:rPr>
                <w:rFonts w:hint="eastAsia" w:ascii="宋体" w:hAnsi="宋体" w:eastAsia="宋体" w:cs="宋体"/>
                <w:b w:val="0"/>
                <w:bCs w:val="0"/>
                <w:color w:val="auto"/>
                <w:spacing w:val="6"/>
                <w:kern w:val="21"/>
                <w:sz w:val="24"/>
                <w:szCs w:val="24"/>
              </w:rPr>
              <w:t>授权的法定计量检定机构强制检定合格即投入使用的，责令其停止使用，可并处5000元以下罚款；给国家和消费者造成损失的，责令其赔偿损失，可并处5000元以上30000元以下罚款。</w:t>
            </w:r>
          </w:p>
        </w:tc>
        <w:tc>
          <w:tcPr>
            <w:tcW w:w="1132" w:type="dxa"/>
            <w:noWrap w:val="0"/>
            <w:vAlign w:val="center"/>
          </w:tcPr>
          <w:p w14:paraId="7C8BC5D3">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7E8A5D55">
            <w:pPr>
              <w:keepNext w:val="0"/>
              <w:keepLines w:val="0"/>
              <w:pageBreakBefore w:val="0"/>
              <w:widowControl/>
              <w:numPr>
                <w:ilvl w:val="0"/>
                <w:numId w:val="0"/>
              </w:numPr>
              <w:suppressLineNumbers w:val="0"/>
              <w:kinsoku/>
              <w:wordWrap/>
              <w:overflowPunct/>
              <w:topLinePunct w:val="0"/>
              <w:autoSpaceDE w:val="0"/>
              <w:autoSpaceDN w:val="0"/>
              <w:bidi w:val="0"/>
              <w:adjustRightInd/>
              <w:snapToGrid/>
              <w:spacing w:line="400" w:lineRule="exact"/>
              <w:ind w:left="105" w:leftChars="50" w:right="63" w:rightChars="30"/>
              <w:jc w:val="both"/>
              <w:textAlignment w:val="center"/>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i w:val="0"/>
                <w:iCs w:val="0"/>
                <w:color w:val="auto"/>
                <w:spacing w:val="0"/>
                <w:kern w:val="21"/>
                <w:sz w:val="24"/>
                <w:szCs w:val="24"/>
                <w:u w:val="none"/>
                <w:lang w:val="en-US" w:eastAsia="zh-CN" w:bidi="ar"/>
              </w:rPr>
              <w:t>未给国家和消费者造成损失</w:t>
            </w:r>
            <w:r>
              <w:rPr>
                <w:rFonts w:hint="eastAsia" w:ascii="宋体" w:hAnsi="宋体" w:eastAsia="宋体" w:cs="宋体"/>
                <w:b w:val="0"/>
                <w:bCs w:val="0"/>
                <w:strike w:val="0"/>
                <w:dstrike w:val="0"/>
                <w:color w:val="auto"/>
                <w:spacing w:val="0"/>
                <w:kern w:val="21"/>
                <w:sz w:val="24"/>
                <w:szCs w:val="24"/>
              </w:rPr>
              <w:t>的。</w:t>
            </w:r>
          </w:p>
        </w:tc>
        <w:tc>
          <w:tcPr>
            <w:tcW w:w="3382" w:type="dxa"/>
            <w:noWrap w:val="0"/>
            <w:vAlign w:val="center"/>
          </w:tcPr>
          <w:p w14:paraId="2B70171A">
            <w:pPr>
              <w:keepNext w:val="0"/>
              <w:keepLines w:val="0"/>
              <w:pageBreakBefore w:val="0"/>
              <w:widowControl/>
              <w:suppressLineNumbers w:val="0"/>
              <w:kinsoku/>
              <w:wordWrap/>
              <w:overflowPunct/>
              <w:topLinePunct w:val="0"/>
              <w:autoSpaceDE w:val="0"/>
              <w:autoSpaceDN w:val="0"/>
              <w:bidi w:val="0"/>
              <w:adjustRightInd/>
              <w:snapToGrid/>
              <w:spacing w:line="400" w:lineRule="exact"/>
              <w:ind w:left="105" w:leftChars="50" w:right="63" w:rightChars="30"/>
              <w:jc w:val="both"/>
              <w:textAlignment w:val="center"/>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i w:val="0"/>
                <w:iCs w:val="0"/>
                <w:color w:val="auto"/>
                <w:spacing w:val="0"/>
                <w:kern w:val="21"/>
                <w:sz w:val="24"/>
                <w:szCs w:val="24"/>
                <w:u w:val="none"/>
                <w:lang w:val="en-US" w:eastAsia="zh-CN" w:bidi="ar"/>
              </w:rPr>
              <w:t>责令其停止使用，可并处5000元以下罚款。</w:t>
            </w:r>
          </w:p>
        </w:tc>
      </w:tr>
      <w:tr w14:paraId="0E875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5" w:hRule="exact"/>
          <w:jc w:val="center"/>
        </w:trPr>
        <w:tc>
          <w:tcPr>
            <w:tcW w:w="640" w:type="dxa"/>
            <w:vMerge w:val="continue"/>
            <w:noWrap w:val="0"/>
            <w:vAlign w:val="top"/>
          </w:tcPr>
          <w:p w14:paraId="7FA86C84">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top"/>
          </w:tcPr>
          <w:p w14:paraId="07BF8BDD">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4193" w:type="dxa"/>
            <w:vMerge w:val="continue"/>
            <w:noWrap w:val="0"/>
            <w:vAlign w:val="top"/>
          </w:tcPr>
          <w:p w14:paraId="5CD947A9">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tcBorders>
              <w:bottom w:val="single" w:color="auto" w:sz="4" w:space="0"/>
            </w:tcBorders>
            <w:noWrap w:val="0"/>
            <w:vAlign w:val="center"/>
          </w:tcPr>
          <w:p w14:paraId="669D4308">
            <w:pPr>
              <w:pStyle w:val="17"/>
              <w:keepNext w:val="0"/>
              <w:keepLines w:val="0"/>
              <w:pageBreakBefore w:val="0"/>
              <w:kinsoku/>
              <w:wordWrap w:val="0"/>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en-US" w:eastAsia="zh-CN"/>
              </w:rPr>
            </w:pPr>
            <w:r>
              <w:rPr>
                <w:rFonts w:hint="eastAsia" w:ascii="宋体" w:hAnsi="宋体" w:eastAsia="宋体" w:cs="宋体"/>
                <w:b w:val="0"/>
                <w:bCs w:val="0"/>
                <w:color w:val="auto"/>
                <w:spacing w:val="6"/>
                <w:kern w:val="21"/>
                <w:sz w:val="24"/>
                <w:szCs w:val="24"/>
                <w:lang w:val="en-US" w:eastAsia="zh-CN"/>
              </w:rPr>
              <w:t>一般</w:t>
            </w:r>
          </w:p>
          <w:p w14:paraId="1D4C9306">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p w14:paraId="1EB4C3E1">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3165" w:type="dxa"/>
            <w:tcBorders>
              <w:bottom w:val="single" w:color="auto" w:sz="4" w:space="0"/>
            </w:tcBorders>
            <w:noWrap w:val="0"/>
            <w:vAlign w:val="center"/>
          </w:tcPr>
          <w:p w14:paraId="6086D865">
            <w:pPr>
              <w:keepNext w:val="0"/>
              <w:keepLines w:val="0"/>
              <w:pageBreakBefore w:val="0"/>
              <w:widowControl/>
              <w:suppressLineNumbers w:val="0"/>
              <w:kinsoku/>
              <w:wordWrap/>
              <w:overflowPunct/>
              <w:topLinePunct w:val="0"/>
              <w:autoSpaceDE w:val="0"/>
              <w:autoSpaceDN w:val="0"/>
              <w:bidi w:val="0"/>
              <w:adjustRightInd/>
              <w:snapToGrid/>
              <w:spacing w:line="400" w:lineRule="exact"/>
              <w:ind w:left="105" w:leftChars="50" w:right="63" w:rightChars="30"/>
              <w:jc w:val="both"/>
              <w:textAlignment w:val="center"/>
              <w:rPr>
                <w:rFonts w:hint="eastAsia" w:ascii="宋体" w:hAnsi="宋体" w:eastAsia="宋体" w:cs="宋体"/>
                <w:b w:val="0"/>
                <w:bCs w:val="0"/>
                <w:strike/>
                <w:dstrike w:val="0"/>
                <w:color w:val="auto"/>
                <w:spacing w:val="0"/>
                <w:kern w:val="21"/>
                <w:sz w:val="24"/>
                <w:szCs w:val="24"/>
              </w:rPr>
            </w:pPr>
            <w:r>
              <w:rPr>
                <w:rFonts w:hint="eastAsia" w:ascii="宋体" w:hAnsi="宋体" w:eastAsia="宋体" w:cs="宋体"/>
                <w:b w:val="0"/>
                <w:bCs w:val="0"/>
                <w:i w:val="0"/>
                <w:iCs w:val="0"/>
                <w:color w:val="auto"/>
                <w:spacing w:val="0"/>
                <w:kern w:val="21"/>
                <w:sz w:val="24"/>
                <w:szCs w:val="24"/>
                <w:u w:val="none"/>
                <w:lang w:val="en-US" w:eastAsia="zh-CN" w:bidi="ar"/>
              </w:rPr>
              <w:t>未报经市场监督管理部门授权的法定计量检定机构强制检定合格即投入使用的燃油加油机3台以下，给国家和消费者造成损失的。</w:t>
            </w:r>
          </w:p>
        </w:tc>
        <w:tc>
          <w:tcPr>
            <w:tcW w:w="3382" w:type="dxa"/>
            <w:noWrap w:val="0"/>
            <w:vAlign w:val="center"/>
          </w:tcPr>
          <w:p w14:paraId="040B3F64">
            <w:pPr>
              <w:pStyle w:val="17"/>
              <w:keepNext w:val="0"/>
              <w:keepLines w:val="0"/>
              <w:pageBreakBefore w:val="0"/>
              <w:kinsoku/>
              <w:wordWrap/>
              <w:overflowPunct/>
              <w:topLinePunct w:val="0"/>
              <w:autoSpaceDE w:val="0"/>
              <w:autoSpaceDN w:val="0"/>
              <w:bidi w:val="0"/>
              <w:adjustRightInd/>
              <w:snapToGrid/>
              <w:spacing w:line="400" w:lineRule="exact"/>
              <w:ind w:left="105" w:leftChars="50" w:right="63" w:rightChars="30"/>
              <w:jc w:val="both"/>
              <w:rPr>
                <w:rFonts w:hint="eastAsia" w:ascii="宋体" w:hAnsi="宋体" w:eastAsia="宋体" w:cs="宋体"/>
                <w:b w:val="0"/>
                <w:bCs w:val="0"/>
                <w:strike/>
                <w:dstrike w:val="0"/>
                <w:color w:val="auto"/>
                <w:spacing w:val="0"/>
                <w:kern w:val="21"/>
                <w:sz w:val="24"/>
                <w:szCs w:val="24"/>
              </w:rPr>
            </w:pPr>
            <w:r>
              <w:rPr>
                <w:rFonts w:hint="eastAsia" w:ascii="宋体" w:hAnsi="宋体" w:eastAsia="宋体" w:cs="宋体"/>
                <w:b w:val="0"/>
                <w:bCs w:val="0"/>
                <w:strike w:val="0"/>
                <w:dstrike w:val="0"/>
                <w:color w:val="auto"/>
                <w:spacing w:val="0"/>
                <w:kern w:val="21"/>
                <w:sz w:val="24"/>
                <w:szCs w:val="24"/>
              </w:rPr>
              <w:t>责令其赔偿损失，可并处</w:t>
            </w:r>
            <w:r>
              <w:rPr>
                <w:rFonts w:hint="eastAsia" w:ascii="宋体" w:hAnsi="宋体" w:eastAsia="宋体" w:cs="宋体"/>
                <w:b w:val="0"/>
                <w:bCs w:val="0"/>
                <w:strike w:val="0"/>
                <w:dstrike w:val="0"/>
                <w:color w:val="auto"/>
                <w:spacing w:val="0"/>
                <w:kern w:val="21"/>
                <w:sz w:val="24"/>
                <w:szCs w:val="24"/>
                <w:lang w:val="en-US" w:eastAsia="zh-CN"/>
              </w:rPr>
              <w:t>5000</w:t>
            </w:r>
            <w:r>
              <w:rPr>
                <w:rFonts w:hint="eastAsia" w:ascii="宋体" w:hAnsi="宋体" w:eastAsia="宋体" w:cs="宋体"/>
                <w:b w:val="0"/>
                <w:bCs w:val="0"/>
                <w:strike w:val="0"/>
                <w:dstrike w:val="0"/>
                <w:color w:val="auto"/>
                <w:spacing w:val="0"/>
                <w:kern w:val="21"/>
                <w:sz w:val="24"/>
                <w:szCs w:val="24"/>
              </w:rPr>
              <w:t>元以上</w:t>
            </w:r>
            <w:r>
              <w:rPr>
                <w:rFonts w:hint="eastAsia" w:cs="宋体"/>
                <w:b w:val="0"/>
                <w:bCs w:val="0"/>
                <w:strike w:val="0"/>
                <w:dstrike w:val="0"/>
                <w:color w:val="auto"/>
                <w:spacing w:val="0"/>
                <w:kern w:val="21"/>
                <w:sz w:val="24"/>
                <w:szCs w:val="24"/>
                <w:lang w:val="en-US" w:eastAsia="zh-CN"/>
              </w:rPr>
              <w:t>1.25万</w:t>
            </w:r>
            <w:r>
              <w:rPr>
                <w:rFonts w:hint="eastAsia" w:ascii="宋体" w:hAnsi="宋体" w:eastAsia="宋体" w:cs="宋体"/>
                <w:b w:val="0"/>
                <w:bCs w:val="0"/>
                <w:strike w:val="0"/>
                <w:dstrike w:val="0"/>
                <w:color w:val="auto"/>
                <w:spacing w:val="0"/>
                <w:kern w:val="21"/>
                <w:sz w:val="24"/>
                <w:szCs w:val="24"/>
              </w:rPr>
              <w:t>元以下罚款。</w:t>
            </w:r>
          </w:p>
        </w:tc>
      </w:tr>
      <w:tr w14:paraId="18864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4" w:hRule="exact"/>
          <w:jc w:val="center"/>
        </w:trPr>
        <w:tc>
          <w:tcPr>
            <w:tcW w:w="640" w:type="dxa"/>
            <w:vMerge w:val="continue"/>
            <w:noWrap w:val="0"/>
            <w:vAlign w:val="top"/>
          </w:tcPr>
          <w:p w14:paraId="2161979D">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top"/>
          </w:tcPr>
          <w:p w14:paraId="26809404">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4193" w:type="dxa"/>
            <w:vMerge w:val="continue"/>
            <w:noWrap w:val="0"/>
            <w:vAlign w:val="top"/>
          </w:tcPr>
          <w:p w14:paraId="6520453F">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tcBorders>
              <w:top w:val="single" w:color="auto" w:sz="4" w:space="0"/>
            </w:tcBorders>
            <w:noWrap w:val="0"/>
            <w:vAlign w:val="center"/>
          </w:tcPr>
          <w:p w14:paraId="4B21D384">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en-US" w:eastAsia="zh-CN"/>
              </w:rPr>
            </w:pPr>
            <w:r>
              <w:rPr>
                <w:rFonts w:hint="eastAsia" w:ascii="宋体" w:hAnsi="宋体" w:eastAsia="宋体" w:cs="宋体"/>
                <w:b w:val="0"/>
                <w:bCs w:val="0"/>
                <w:color w:val="auto"/>
                <w:spacing w:val="6"/>
                <w:kern w:val="21"/>
                <w:sz w:val="24"/>
                <w:szCs w:val="24"/>
                <w:lang w:val="en-US" w:eastAsia="zh-CN"/>
              </w:rPr>
              <w:t>较重</w:t>
            </w:r>
          </w:p>
        </w:tc>
        <w:tc>
          <w:tcPr>
            <w:tcW w:w="3165" w:type="dxa"/>
            <w:tcBorders>
              <w:top w:val="single" w:color="auto" w:sz="4" w:space="0"/>
            </w:tcBorders>
            <w:noWrap w:val="0"/>
            <w:vAlign w:val="center"/>
          </w:tcPr>
          <w:p w14:paraId="51CF0445">
            <w:pPr>
              <w:keepNext w:val="0"/>
              <w:keepLines w:val="0"/>
              <w:pageBreakBefore w:val="0"/>
              <w:widowControl/>
              <w:suppressLineNumbers w:val="0"/>
              <w:kinsoku/>
              <w:wordWrap/>
              <w:overflowPunct/>
              <w:topLinePunct w:val="0"/>
              <w:autoSpaceDE w:val="0"/>
              <w:autoSpaceDN w:val="0"/>
              <w:bidi w:val="0"/>
              <w:adjustRightInd/>
              <w:snapToGrid/>
              <w:spacing w:line="400" w:lineRule="exact"/>
              <w:ind w:left="105" w:leftChars="50" w:right="63" w:rightChars="30"/>
              <w:jc w:val="both"/>
              <w:textAlignment w:val="center"/>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i w:val="0"/>
                <w:iCs w:val="0"/>
                <w:color w:val="auto"/>
                <w:spacing w:val="0"/>
                <w:kern w:val="21"/>
                <w:sz w:val="24"/>
                <w:szCs w:val="24"/>
                <w:u w:val="none"/>
                <w:lang w:val="en-US" w:eastAsia="zh-CN" w:bidi="ar"/>
              </w:rPr>
              <w:t>未报经市场监督管理部门授权的法定计量检定机构强制检定合格即投入使用的燃油加油机3台以上6台以下，给国家和消费者造成损失的。</w:t>
            </w:r>
          </w:p>
        </w:tc>
        <w:tc>
          <w:tcPr>
            <w:tcW w:w="3382" w:type="dxa"/>
            <w:noWrap w:val="0"/>
            <w:vAlign w:val="center"/>
          </w:tcPr>
          <w:p w14:paraId="7EED8A0F">
            <w:pPr>
              <w:pStyle w:val="17"/>
              <w:keepNext w:val="0"/>
              <w:keepLines w:val="0"/>
              <w:pageBreakBefore w:val="0"/>
              <w:kinsoku/>
              <w:wordWrap/>
              <w:overflowPunct/>
              <w:topLinePunct w:val="0"/>
              <w:autoSpaceDE w:val="0"/>
              <w:autoSpaceDN w:val="0"/>
              <w:bidi w:val="0"/>
              <w:adjustRightInd/>
              <w:snapToGrid/>
              <w:spacing w:line="400" w:lineRule="exact"/>
              <w:ind w:left="105" w:leftChars="50" w:right="63" w:rightChars="30"/>
              <w:jc w:val="both"/>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strike w:val="0"/>
                <w:dstrike w:val="0"/>
                <w:color w:val="auto"/>
                <w:spacing w:val="0"/>
                <w:kern w:val="21"/>
                <w:sz w:val="24"/>
                <w:szCs w:val="24"/>
              </w:rPr>
              <w:t>责令其赔偿损失，可并处</w:t>
            </w:r>
            <w:r>
              <w:rPr>
                <w:rFonts w:hint="eastAsia" w:cs="宋体"/>
                <w:b w:val="0"/>
                <w:bCs w:val="0"/>
                <w:strike w:val="0"/>
                <w:dstrike w:val="0"/>
                <w:color w:val="auto"/>
                <w:spacing w:val="0"/>
                <w:kern w:val="21"/>
                <w:sz w:val="24"/>
                <w:szCs w:val="24"/>
                <w:lang w:val="en-US" w:eastAsia="zh-CN"/>
              </w:rPr>
              <w:t>1.25万</w:t>
            </w:r>
            <w:r>
              <w:rPr>
                <w:rFonts w:hint="eastAsia" w:ascii="宋体" w:hAnsi="宋体" w:eastAsia="宋体" w:cs="宋体"/>
                <w:b w:val="0"/>
                <w:bCs w:val="0"/>
                <w:strike w:val="0"/>
                <w:dstrike w:val="0"/>
                <w:color w:val="auto"/>
                <w:spacing w:val="0"/>
                <w:kern w:val="21"/>
                <w:sz w:val="24"/>
                <w:szCs w:val="24"/>
              </w:rPr>
              <w:t>元以上</w:t>
            </w:r>
            <w:r>
              <w:rPr>
                <w:rFonts w:hint="eastAsia" w:cs="宋体"/>
                <w:b w:val="0"/>
                <w:bCs w:val="0"/>
                <w:strike w:val="0"/>
                <w:dstrike w:val="0"/>
                <w:color w:val="auto"/>
                <w:spacing w:val="0"/>
                <w:kern w:val="21"/>
                <w:sz w:val="24"/>
                <w:szCs w:val="24"/>
                <w:lang w:val="en-US" w:eastAsia="zh-CN"/>
              </w:rPr>
              <w:t>2.25万</w:t>
            </w:r>
            <w:r>
              <w:rPr>
                <w:rFonts w:hint="eastAsia" w:ascii="宋体" w:hAnsi="宋体" w:eastAsia="宋体" w:cs="宋体"/>
                <w:b w:val="0"/>
                <w:bCs w:val="0"/>
                <w:strike w:val="0"/>
                <w:dstrike w:val="0"/>
                <w:color w:val="auto"/>
                <w:spacing w:val="0"/>
                <w:kern w:val="21"/>
                <w:sz w:val="24"/>
                <w:szCs w:val="24"/>
              </w:rPr>
              <w:t>元以下罚款。</w:t>
            </w:r>
          </w:p>
        </w:tc>
      </w:tr>
      <w:tr w14:paraId="06A2A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8" w:hRule="exact"/>
          <w:jc w:val="center"/>
        </w:trPr>
        <w:tc>
          <w:tcPr>
            <w:tcW w:w="640" w:type="dxa"/>
            <w:vMerge w:val="continue"/>
            <w:noWrap w:val="0"/>
            <w:vAlign w:val="top"/>
          </w:tcPr>
          <w:p w14:paraId="31F13A40">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top"/>
          </w:tcPr>
          <w:p w14:paraId="2ABF253B">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4193" w:type="dxa"/>
            <w:vMerge w:val="continue"/>
            <w:noWrap w:val="0"/>
            <w:vAlign w:val="top"/>
          </w:tcPr>
          <w:p w14:paraId="72E9B837">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0F8D0B46">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lang w:val="en-US" w:eastAsia="zh-CN"/>
              </w:rPr>
              <w:t>严</w:t>
            </w:r>
            <w:r>
              <w:rPr>
                <w:rFonts w:hint="eastAsia" w:ascii="宋体" w:hAnsi="宋体" w:eastAsia="宋体" w:cs="宋体"/>
                <w:b w:val="0"/>
                <w:bCs w:val="0"/>
                <w:color w:val="auto"/>
                <w:spacing w:val="6"/>
                <w:kern w:val="21"/>
                <w:sz w:val="24"/>
                <w:szCs w:val="24"/>
              </w:rPr>
              <w:t>重</w:t>
            </w:r>
          </w:p>
        </w:tc>
        <w:tc>
          <w:tcPr>
            <w:tcW w:w="3165" w:type="dxa"/>
            <w:noWrap w:val="0"/>
            <w:vAlign w:val="center"/>
          </w:tcPr>
          <w:p w14:paraId="41CF915B">
            <w:pPr>
              <w:keepNext w:val="0"/>
              <w:keepLines w:val="0"/>
              <w:pageBreakBefore w:val="0"/>
              <w:widowControl/>
              <w:suppressLineNumbers w:val="0"/>
              <w:kinsoku/>
              <w:wordWrap/>
              <w:overflowPunct/>
              <w:topLinePunct w:val="0"/>
              <w:autoSpaceDE w:val="0"/>
              <w:autoSpaceDN w:val="0"/>
              <w:bidi w:val="0"/>
              <w:adjustRightInd/>
              <w:snapToGrid/>
              <w:spacing w:line="400" w:lineRule="exact"/>
              <w:ind w:left="105" w:leftChars="50" w:right="63" w:rightChars="30"/>
              <w:jc w:val="both"/>
              <w:textAlignment w:val="center"/>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i w:val="0"/>
                <w:iCs w:val="0"/>
                <w:color w:val="auto"/>
                <w:spacing w:val="0"/>
                <w:kern w:val="21"/>
                <w:sz w:val="24"/>
                <w:szCs w:val="24"/>
                <w:u w:val="none"/>
                <w:lang w:val="en-US" w:eastAsia="zh-CN" w:bidi="ar"/>
              </w:rPr>
              <w:t>未报经市场监督管理部门授权的法定计量检定机构强制检定合格即投入使用的燃油加油机6台以上，给国家和消费者造成损失的。</w:t>
            </w:r>
          </w:p>
        </w:tc>
        <w:tc>
          <w:tcPr>
            <w:tcW w:w="3382" w:type="dxa"/>
            <w:noWrap w:val="0"/>
            <w:vAlign w:val="center"/>
          </w:tcPr>
          <w:p w14:paraId="548B6991">
            <w:pPr>
              <w:keepNext w:val="0"/>
              <w:keepLines w:val="0"/>
              <w:pageBreakBefore w:val="0"/>
              <w:widowControl/>
              <w:suppressLineNumbers w:val="0"/>
              <w:kinsoku/>
              <w:wordWrap/>
              <w:overflowPunct/>
              <w:topLinePunct w:val="0"/>
              <w:autoSpaceDE w:val="0"/>
              <w:autoSpaceDN w:val="0"/>
              <w:bidi w:val="0"/>
              <w:adjustRightInd/>
              <w:snapToGrid/>
              <w:spacing w:line="400" w:lineRule="exact"/>
              <w:ind w:left="105" w:leftChars="50" w:right="63" w:rightChars="30"/>
              <w:jc w:val="both"/>
              <w:textAlignment w:val="center"/>
              <w:rPr>
                <w:rFonts w:hint="eastAsia" w:ascii="宋体" w:hAnsi="宋体" w:eastAsia="宋体" w:cs="宋体"/>
                <w:b w:val="0"/>
                <w:bCs w:val="0"/>
                <w:color w:val="auto"/>
                <w:spacing w:val="0"/>
                <w:kern w:val="21"/>
                <w:sz w:val="24"/>
                <w:szCs w:val="24"/>
              </w:rPr>
            </w:pPr>
            <w:r>
              <w:rPr>
                <w:rFonts w:hint="eastAsia" w:ascii="宋体" w:hAnsi="宋体" w:eastAsia="宋体" w:cs="宋体"/>
                <w:b w:val="0"/>
                <w:bCs w:val="0"/>
                <w:i w:val="0"/>
                <w:iCs w:val="0"/>
                <w:color w:val="auto"/>
                <w:spacing w:val="0"/>
                <w:kern w:val="21"/>
                <w:sz w:val="24"/>
                <w:szCs w:val="24"/>
                <w:u w:val="none"/>
                <w:lang w:val="en-US" w:eastAsia="zh-CN" w:bidi="ar"/>
              </w:rPr>
              <w:t>责令其赔偿损失，可并处</w:t>
            </w:r>
            <w:r>
              <w:rPr>
                <w:rFonts w:hint="eastAsia" w:ascii="宋体" w:hAnsi="宋体" w:cs="宋体"/>
                <w:b w:val="0"/>
                <w:bCs w:val="0"/>
                <w:i w:val="0"/>
                <w:iCs w:val="0"/>
                <w:color w:val="auto"/>
                <w:spacing w:val="0"/>
                <w:kern w:val="21"/>
                <w:sz w:val="24"/>
                <w:szCs w:val="24"/>
                <w:u w:val="none"/>
                <w:lang w:val="en-US" w:eastAsia="zh-CN" w:bidi="ar"/>
              </w:rPr>
              <w:t>2.25万</w:t>
            </w:r>
            <w:r>
              <w:rPr>
                <w:rFonts w:hint="eastAsia" w:ascii="宋体" w:hAnsi="宋体" w:eastAsia="宋体" w:cs="宋体"/>
                <w:b w:val="0"/>
                <w:bCs w:val="0"/>
                <w:i w:val="0"/>
                <w:iCs w:val="0"/>
                <w:color w:val="auto"/>
                <w:spacing w:val="0"/>
                <w:kern w:val="21"/>
                <w:sz w:val="24"/>
                <w:szCs w:val="24"/>
                <w:u w:val="none"/>
                <w:lang w:val="en-US" w:eastAsia="zh-CN" w:bidi="ar"/>
              </w:rPr>
              <w:t>元以上3</w:t>
            </w:r>
            <w:r>
              <w:rPr>
                <w:rFonts w:hint="eastAsia" w:ascii="宋体" w:hAnsi="宋体" w:cs="宋体"/>
                <w:b w:val="0"/>
                <w:bCs w:val="0"/>
                <w:i w:val="0"/>
                <w:iCs w:val="0"/>
                <w:color w:val="auto"/>
                <w:spacing w:val="0"/>
                <w:kern w:val="21"/>
                <w:sz w:val="24"/>
                <w:szCs w:val="24"/>
                <w:u w:val="none"/>
                <w:lang w:val="en-US" w:eastAsia="zh-CN" w:bidi="ar"/>
              </w:rPr>
              <w:t>万</w:t>
            </w:r>
            <w:r>
              <w:rPr>
                <w:rFonts w:hint="eastAsia" w:ascii="宋体" w:hAnsi="宋体" w:eastAsia="宋体" w:cs="宋体"/>
                <w:b w:val="0"/>
                <w:bCs w:val="0"/>
                <w:i w:val="0"/>
                <w:iCs w:val="0"/>
                <w:color w:val="auto"/>
                <w:spacing w:val="0"/>
                <w:kern w:val="21"/>
                <w:sz w:val="24"/>
                <w:szCs w:val="24"/>
                <w:u w:val="none"/>
                <w:lang w:val="en-US" w:eastAsia="zh-CN" w:bidi="ar"/>
              </w:rPr>
              <w:t>元以下罚款。</w:t>
            </w:r>
          </w:p>
        </w:tc>
      </w:tr>
      <w:tr w14:paraId="5FE9A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1" w:hRule="exact"/>
          <w:jc w:val="center"/>
        </w:trPr>
        <w:tc>
          <w:tcPr>
            <w:tcW w:w="640" w:type="dxa"/>
            <w:vMerge w:val="restart"/>
            <w:noWrap w:val="0"/>
            <w:vAlign w:val="center"/>
          </w:tcPr>
          <w:p w14:paraId="263CF9DC">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lang w:eastAsia="zh-CN"/>
              </w:rPr>
            </w:pPr>
            <w:r>
              <w:rPr>
                <w:rFonts w:hint="eastAsia" w:ascii="宋体" w:hAnsi="宋体" w:eastAsia="宋体" w:cs="宋体"/>
                <w:b w:val="0"/>
                <w:bCs w:val="0"/>
                <w:color w:val="auto"/>
                <w:spacing w:val="6"/>
                <w:kern w:val="21"/>
                <w:sz w:val="24"/>
                <w:szCs w:val="24"/>
                <w:lang w:val="en-US" w:eastAsia="zh-CN"/>
              </w:rPr>
              <w:t>1</w:t>
            </w:r>
            <w:r>
              <w:rPr>
                <w:rFonts w:hint="eastAsia" w:ascii="宋体" w:hAnsi="宋体" w:eastAsia="宋体" w:cs="宋体"/>
                <w:b w:val="0"/>
                <w:bCs w:val="0"/>
                <w:color w:val="auto"/>
                <w:spacing w:val="6"/>
                <w:kern w:val="21"/>
                <w:sz w:val="24"/>
                <w:szCs w:val="24"/>
              </w:rPr>
              <w:t>2</w:t>
            </w:r>
            <w:r>
              <w:rPr>
                <w:rFonts w:hint="eastAsia" w:cs="宋体"/>
                <w:b w:val="0"/>
                <w:bCs w:val="0"/>
                <w:color w:val="auto"/>
                <w:spacing w:val="6"/>
                <w:kern w:val="21"/>
                <w:sz w:val="24"/>
                <w:szCs w:val="24"/>
                <w:lang w:val="en-US" w:eastAsia="zh-CN"/>
              </w:rPr>
              <w:t>7</w:t>
            </w:r>
          </w:p>
        </w:tc>
        <w:tc>
          <w:tcPr>
            <w:tcW w:w="1793" w:type="dxa"/>
            <w:vMerge w:val="restart"/>
            <w:noWrap w:val="0"/>
            <w:vAlign w:val="center"/>
          </w:tcPr>
          <w:p w14:paraId="799DFC9F">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《加油站计量监督管理办法》</w:t>
            </w:r>
          </w:p>
        </w:tc>
        <w:tc>
          <w:tcPr>
            <w:tcW w:w="4193" w:type="dxa"/>
            <w:vMerge w:val="restart"/>
            <w:noWrap w:val="0"/>
            <w:vAlign w:val="center"/>
          </w:tcPr>
          <w:p w14:paraId="1A85F563">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第九条</w:t>
            </w:r>
            <w:r>
              <w:rPr>
                <w:rFonts w:hint="eastAsia" w:cs="宋体"/>
                <w:b w:val="0"/>
                <w:bCs w:val="0"/>
                <w:color w:val="auto"/>
                <w:spacing w:val="6"/>
                <w:kern w:val="21"/>
                <w:sz w:val="24"/>
                <w:szCs w:val="24"/>
                <w:lang w:val="en-US" w:eastAsia="zh-CN"/>
              </w:rPr>
              <w:t xml:space="preserve"> </w:t>
            </w:r>
            <w:r>
              <w:rPr>
                <w:rFonts w:hint="eastAsia" w:ascii="宋体" w:hAnsi="宋体" w:eastAsia="宋体" w:cs="宋体"/>
                <w:b w:val="0"/>
                <w:bCs w:val="0"/>
                <w:color w:val="auto"/>
                <w:spacing w:val="6"/>
                <w:kern w:val="21"/>
                <w:sz w:val="24"/>
                <w:szCs w:val="24"/>
              </w:rPr>
              <w:t>加油站经营者违反本办法有关规定，应当按以下规定进行处罚：</w:t>
            </w:r>
          </w:p>
          <w:p w14:paraId="5F1141BB">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（二）违反本办法第五条第(五)项规定的，责令改正和停止使用，可并处5000元以下罚款；给消费者造成损失的，责令其赔偿损失，可并处5000元以上30000元以下罚款。</w:t>
            </w:r>
          </w:p>
        </w:tc>
        <w:tc>
          <w:tcPr>
            <w:tcW w:w="1132" w:type="dxa"/>
            <w:noWrap w:val="0"/>
            <w:vAlign w:val="center"/>
          </w:tcPr>
          <w:p w14:paraId="7A4C79F1">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en-US" w:eastAsia="zh-CN"/>
              </w:rPr>
            </w:pPr>
            <w:r>
              <w:rPr>
                <w:rFonts w:hint="eastAsia" w:ascii="宋体" w:hAnsi="宋体" w:eastAsia="宋体" w:cs="宋体"/>
                <w:b w:val="0"/>
                <w:bCs w:val="0"/>
                <w:color w:val="auto"/>
                <w:spacing w:val="6"/>
                <w:kern w:val="21"/>
                <w:sz w:val="24"/>
                <w:szCs w:val="24"/>
                <w:lang w:val="en-US" w:eastAsia="zh-CN"/>
              </w:rPr>
              <w:t>较轻</w:t>
            </w:r>
          </w:p>
        </w:tc>
        <w:tc>
          <w:tcPr>
            <w:tcW w:w="3165" w:type="dxa"/>
            <w:noWrap w:val="0"/>
            <w:vAlign w:val="center"/>
          </w:tcPr>
          <w:p w14:paraId="15496234">
            <w:pPr>
              <w:pStyle w:val="17"/>
              <w:keepNext w:val="0"/>
              <w:keepLines w:val="0"/>
              <w:pageBreakBefore w:val="0"/>
              <w:kinsoku/>
              <w:wordWrap/>
              <w:overflowPunct/>
              <w:topLinePunct w:val="0"/>
              <w:bidi w:val="0"/>
              <w:adjustRightInd/>
              <w:snapToGrid/>
              <w:spacing w:line="400" w:lineRule="exact"/>
              <w:ind w:left="105" w:leftChars="5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未给消费者造成损失的。</w:t>
            </w:r>
          </w:p>
        </w:tc>
        <w:tc>
          <w:tcPr>
            <w:tcW w:w="3382" w:type="dxa"/>
            <w:noWrap w:val="0"/>
            <w:vAlign w:val="center"/>
          </w:tcPr>
          <w:p w14:paraId="4BCEFCB6">
            <w:pPr>
              <w:pStyle w:val="17"/>
              <w:keepNext w:val="0"/>
              <w:keepLines w:val="0"/>
              <w:pageBreakBefore w:val="0"/>
              <w:widowControl w:val="0"/>
              <w:kinsoku/>
              <w:wordWrap/>
              <w:overflowPunct/>
              <w:topLinePunct w:val="0"/>
              <w:autoSpaceDE w:val="0"/>
              <w:autoSpaceDN w:val="0"/>
              <w:bidi w:val="0"/>
              <w:adjustRightInd/>
              <w:snapToGrid/>
              <w:spacing w:line="400" w:lineRule="exact"/>
              <w:ind w:left="105" w:leftChars="50" w:right="63" w:rightChars="3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责令改正和停止使用，可并处5000元以下罚款。</w:t>
            </w:r>
          </w:p>
        </w:tc>
      </w:tr>
      <w:tr w14:paraId="316C3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4" w:hRule="exact"/>
          <w:jc w:val="center"/>
        </w:trPr>
        <w:tc>
          <w:tcPr>
            <w:tcW w:w="640" w:type="dxa"/>
            <w:vMerge w:val="continue"/>
            <w:noWrap w:val="0"/>
            <w:vAlign w:val="top"/>
          </w:tcPr>
          <w:p w14:paraId="0200C50D">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top"/>
          </w:tcPr>
          <w:p w14:paraId="215E410A">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4193" w:type="dxa"/>
            <w:vMerge w:val="continue"/>
            <w:noWrap w:val="0"/>
            <w:vAlign w:val="top"/>
          </w:tcPr>
          <w:p w14:paraId="229D7ED3">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11D2909E">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5E045C68">
            <w:pPr>
              <w:pStyle w:val="17"/>
              <w:keepNext w:val="0"/>
              <w:keepLines w:val="0"/>
              <w:pageBreakBefore w:val="0"/>
              <w:kinsoku/>
              <w:wordWrap/>
              <w:overflowPunct/>
              <w:topLinePunct w:val="0"/>
              <w:bidi w:val="0"/>
              <w:adjustRightInd/>
              <w:snapToGrid/>
              <w:spacing w:line="400" w:lineRule="exact"/>
              <w:ind w:left="105" w:leftChars="50" w:right="63" w:rightChars="30"/>
              <w:jc w:val="both"/>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计量偏差超过有关规定值2 倍以下的，且给消费者造成损失的。</w:t>
            </w:r>
          </w:p>
        </w:tc>
        <w:tc>
          <w:tcPr>
            <w:tcW w:w="3382" w:type="dxa"/>
            <w:noWrap w:val="0"/>
            <w:vAlign w:val="center"/>
          </w:tcPr>
          <w:p w14:paraId="79B5DCE3">
            <w:pPr>
              <w:pStyle w:val="17"/>
              <w:keepNext w:val="0"/>
              <w:keepLines w:val="0"/>
              <w:pageBreakBefore w:val="0"/>
              <w:widowControl w:val="0"/>
              <w:kinsoku/>
              <w:wordWrap/>
              <w:overflowPunct/>
              <w:topLinePunct w:val="0"/>
              <w:autoSpaceDE w:val="0"/>
              <w:autoSpaceDN w:val="0"/>
              <w:bidi w:val="0"/>
              <w:adjustRightInd/>
              <w:snapToGrid/>
              <w:spacing w:line="400" w:lineRule="exact"/>
              <w:ind w:left="105" w:leftChars="50" w:right="63" w:rightChars="30"/>
              <w:jc w:val="both"/>
              <w:textAlignment w:val="auto"/>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责令其赔偿损失，可并处5000元以上</w:t>
            </w:r>
            <w:r>
              <w:rPr>
                <w:rFonts w:hint="eastAsia" w:cs="宋体"/>
                <w:b w:val="0"/>
                <w:bCs w:val="0"/>
                <w:color w:val="auto"/>
                <w:spacing w:val="6"/>
                <w:kern w:val="21"/>
                <w:sz w:val="24"/>
                <w:szCs w:val="24"/>
                <w:lang w:val="en-US" w:eastAsia="zh-CN"/>
              </w:rPr>
              <w:t>1.25万</w:t>
            </w:r>
            <w:r>
              <w:rPr>
                <w:rFonts w:hint="eastAsia" w:ascii="宋体" w:hAnsi="宋体" w:eastAsia="宋体" w:cs="宋体"/>
                <w:b w:val="0"/>
                <w:bCs w:val="0"/>
                <w:color w:val="auto"/>
                <w:spacing w:val="6"/>
                <w:kern w:val="21"/>
                <w:sz w:val="24"/>
                <w:szCs w:val="24"/>
              </w:rPr>
              <w:t>元以下罚款。</w:t>
            </w:r>
          </w:p>
        </w:tc>
      </w:tr>
      <w:tr w14:paraId="172DE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6" w:hRule="exact"/>
          <w:jc w:val="center"/>
        </w:trPr>
        <w:tc>
          <w:tcPr>
            <w:tcW w:w="640" w:type="dxa"/>
            <w:vMerge w:val="continue"/>
            <w:noWrap w:val="0"/>
            <w:vAlign w:val="top"/>
          </w:tcPr>
          <w:p w14:paraId="2285FA7F">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top"/>
          </w:tcPr>
          <w:p w14:paraId="49A8B69A">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4193" w:type="dxa"/>
            <w:vMerge w:val="continue"/>
            <w:noWrap w:val="0"/>
            <w:vAlign w:val="top"/>
          </w:tcPr>
          <w:p w14:paraId="2ACB0DF2">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0092FCE6">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18A7DB43">
            <w:pPr>
              <w:pStyle w:val="17"/>
              <w:keepNext w:val="0"/>
              <w:keepLines w:val="0"/>
              <w:pageBreakBefore w:val="0"/>
              <w:kinsoku/>
              <w:wordWrap/>
              <w:overflowPunct/>
              <w:topLinePunct w:val="0"/>
              <w:bidi w:val="0"/>
              <w:adjustRightInd/>
              <w:snapToGrid/>
              <w:spacing w:line="400" w:lineRule="exact"/>
              <w:ind w:left="105" w:leftChars="50" w:right="63" w:rightChars="30"/>
              <w:jc w:val="both"/>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计量偏差超过有关规定值2倍以上3倍以下的，且给消费者造成损失的。</w:t>
            </w:r>
          </w:p>
        </w:tc>
        <w:tc>
          <w:tcPr>
            <w:tcW w:w="3382" w:type="dxa"/>
            <w:noWrap w:val="0"/>
            <w:vAlign w:val="center"/>
          </w:tcPr>
          <w:p w14:paraId="0782C896">
            <w:pPr>
              <w:pStyle w:val="17"/>
              <w:keepNext w:val="0"/>
              <w:keepLines w:val="0"/>
              <w:pageBreakBefore w:val="0"/>
              <w:widowControl w:val="0"/>
              <w:kinsoku/>
              <w:wordWrap/>
              <w:overflowPunct/>
              <w:topLinePunct w:val="0"/>
              <w:autoSpaceDE w:val="0"/>
              <w:autoSpaceDN w:val="0"/>
              <w:bidi w:val="0"/>
              <w:adjustRightInd/>
              <w:snapToGrid/>
              <w:spacing w:line="400" w:lineRule="exact"/>
              <w:ind w:left="105" w:leftChars="50" w:right="63" w:rightChars="30"/>
              <w:jc w:val="both"/>
              <w:textAlignment w:val="auto"/>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责令改正和停止使用；责令其赔偿损失，可并处</w:t>
            </w:r>
            <w:r>
              <w:rPr>
                <w:rFonts w:hint="eastAsia" w:cs="宋体"/>
                <w:b w:val="0"/>
                <w:bCs w:val="0"/>
                <w:color w:val="auto"/>
                <w:spacing w:val="6"/>
                <w:kern w:val="21"/>
                <w:sz w:val="24"/>
                <w:szCs w:val="24"/>
                <w:lang w:val="en-US" w:eastAsia="zh-CN"/>
              </w:rPr>
              <w:t>1.25万</w:t>
            </w:r>
            <w:r>
              <w:rPr>
                <w:rFonts w:hint="eastAsia" w:ascii="宋体" w:hAnsi="宋体" w:eastAsia="宋体" w:cs="宋体"/>
                <w:b w:val="0"/>
                <w:bCs w:val="0"/>
                <w:color w:val="auto"/>
                <w:spacing w:val="6"/>
                <w:kern w:val="21"/>
                <w:sz w:val="24"/>
                <w:szCs w:val="24"/>
              </w:rPr>
              <w:t>元以上</w:t>
            </w:r>
            <w:r>
              <w:rPr>
                <w:rFonts w:hint="eastAsia" w:cs="宋体"/>
                <w:b w:val="0"/>
                <w:bCs w:val="0"/>
                <w:color w:val="auto"/>
                <w:spacing w:val="6"/>
                <w:kern w:val="21"/>
                <w:sz w:val="24"/>
                <w:szCs w:val="24"/>
                <w:lang w:val="en-US" w:eastAsia="zh-CN"/>
              </w:rPr>
              <w:t>2.25万</w:t>
            </w:r>
            <w:r>
              <w:rPr>
                <w:rFonts w:hint="eastAsia" w:ascii="宋体" w:hAnsi="宋体" w:eastAsia="宋体" w:cs="宋体"/>
                <w:b w:val="0"/>
                <w:bCs w:val="0"/>
                <w:color w:val="auto"/>
                <w:spacing w:val="6"/>
                <w:kern w:val="21"/>
                <w:sz w:val="24"/>
                <w:szCs w:val="24"/>
              </w:rPr>
              <w:t>元以下罚款。</w:t>
            </w:r>
          </w:p>
        </w:tc>
      </w:tr>
      <w:tr w14:paraId="662A7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3" w:hRule="exact"/>
          <w:jc w:val="center"/>
        </w:trPr>
        <w:tc>
          <w:tcPr>
            <w:tcW w:w="640" w:type="dxa"/>
            <w:vMerge w:val="continue"/>
            <w:noWrap w:val="0"/>
            <w:vAlign w:val="top"/>
          </w:tcPr>
          <w:p w14:paraId="36C3F1CA">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top"/>
          </w:tcPr>
          <w:p w14:paraId="32D08D17">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4193" w:type="dxa"/>
            <w:vMerge w:val="continue"/>
            <w:noWrap w:val="0"/>
            <w:vAlign w:val="top"/>
          </w:tcPr>
          <w:p w14:paraId="54576F00">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4AF334AB">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严重</w:t>
            </w:r>
          </w:p>
        </w:tc>
        <w:tc>
          <w:tcPr>
            <w:tcW w:w="3165" w:type="dxa"/>
            <w:noWrap w:val="0"/>
            <w:vAlign w:val="center"/>
          </w:tcPr>
          <w:p w14:paraId="04E3028B">
            <w:pPr>
              <w:pStyle w:val="17"/>
              <w:keepNext w:val="0"/>
              <w:keepLines w:val="0"/>
              <w:pageBreakBefore w:val="0"/>
              <w:kinsoku/>
              <w:wordWrap/>
              <w:overflowPunct/>
              <w:topLinePunct w:val="0"/>
              <w:bidi w:val="0"/>
              <w:adjustRightInd/>
              <w:snapToGrid/>
              <w:spacing w:line="400" w:lineRule="exact"/>
              <w:ind w:left="105" w:leftChars="5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计量偏差超过有关规定值3倍以上的，且给消费者造成损失的。</w:t>
            </w:r>
          </w:p>
        </w:tc>
        <w:tc>
          <w:tcPr>
            <w:tcW w:w="3382" w:type="dxa"/>
            <w:noWrap w:val="0"/>
            <w:vAlign w:val="center"/>
          </w:tcPr>
          <w:p w14:paraId="527B8AAC">
            <w:pPr>
              <w:pStyle w:val="17"/>
              <w:keepNext w:val="0"/>
              <w:keepLines w:val="0"/>
              <w:pageBreakBefore w:val="0"/>
              <w:widowControl w:val="0"/>
              <w:kinsoku/>
              <w:wordWrap/>
              <w:overflowPunct/>
              <w:topLinePunct w:val="0"/>
              <w:autoSpaceDE w:val="0"/>
              <w:autoSpaceDN w:val="0"/>
              <w:bidi w:val="0"/>
              <w:adjustRightInd/>
              <w:snapToGrid/>
              <w:spacing w:line="400" w:lineRule="exact"/>
              <w:ind w:left="105" w:leftChars="50" w:right="63" w:rightChars="3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0"/>
                <w:kern w:val="21"/>
                <w:sz w:val="24"/>
                <w:szCs w:val="24"/>
              </w:rPr>
              <w:t>责令改正和停止使用；责令其赔偿损失，可并处</w:t>
            </w:r>
            <w:r>
              <w:rPr>
                <w:rFonts w:hint="eastAsia" w:cs="宋体"/>
                <w:b w:val="0"/>
                <w:bCs w:val="0"/>
                <w:color w:val="auto"/>
                <w:spacing w:val="0"/>
                <w:kern w:val="21"/>
                <w:sz w:val="24"/>
                <w:szCs w:val="24"/>
                <w:lang w:val="en-US" w:eastAsia="zh-CN"/>
              </w:rPr>
              <w:t>2.25万</w:t>
            </w:r>
            <w:r>
              <w:rPr>
                <w:rFonts w:hint="eastAsia" w:ascii="宋体" w:hAnsi="宋体" w:eastAsia="宋体" w:cs="宋体"/>
                <w:b w:val="0"/>
                <w:bCs w:val="0"/>
                <w:color w:val="auto"/>
                <w:spacing w:val="0"/>
                <w:kern w:val="21"/>
                <w:sz w:val="24"/>
                <w:szCs w:val="24"/>
              </w:rPr>
              <w:t>元以上</w:t>
            </w:r>
            <w:r>
              <w:rPr>
                <w:rFonts w:hint="eastAsia" w:cs="宋体"/>
                <w:b w:val="0"/>
                <w:bCs w:val="0"/>
                <w:color w:val="auto"/>
                <w:spacing w:val="0"/>
                <w:kern w:val="21"/>
                <w:sz w:val="24"/>
                <w:szCs w:val="24"/>
                <w:lang w:val="en-US" w:eastAsia="zh-CN"/>
              </w:rPr>
              <w:t>3万</w:t>
            </w:r>
            <w:r>
              <w:rPr>
                <w:rFonts w:hint="eastAsia" w:ascii="宋体" w:hAnsi="宋体" w:eastAsia="宋体" w:cs="宋体"/>
                <w:b w:val="0"/>
                <w:bCs w:val="0"/>
                <w:color w:val="auto"/>
                <w:spacing w:val="0"/>
                <w:kern w:val="21"/>
                <w:sz w:val="24"/>
                <w:szCs w:val="24"/>
              </w:rPr>
              <w:t>元以下罚款</w:t>
            </w:r>
            <w:r>
              <w:rPr>
                <w:rFonts w:hint="eastAsia" w:ascii="宋体" w:hAnsi="宋体" w:eastAsia="宋体" w:cs="宋体"/>
                <w:b w:val="0"/>
                <w:bCs w:val="0"/>
                <w:color w:val="auto"/>
                <w:spacing w:val="6"/>
                <w:kern w:val="21"/>
                <w:sz w:val="24"/>
                <w:szCs w:val="24"/>
              </w:rPr>
              <w:t>。</w:t>
            </w:r>
          </w:p>
        </w:tc>
      </w:tr>
      <w:tr w14:paraId="4DABA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7" w:hRule="atLeast"/>
          <w:jc w:val="center"/>
        </w:trPr>
        <w:tc>
          <w:tcPr>
            <w:tcW w:w="640" w:type="dxa"/>
            <w:vMerge w:val="restart"/>
            <w:noWrap w:val="0"/>
            <w:vAlign w:val="center"/>
          </w:tcPr>
          <w:p w14:paraId="2ABCE078">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lang w:eastAsia="zh-CN"/>
              </w:rPr>
            </w:pPr>
            <w:r>
              <w:rPr>
                <w:rFonts w:hint="eastAsia" w:ascii="宋体" w:hAnsi="宋体" w:eastAsia="宋体" w:cs="宋体"/>
                <w:b w:val="0"/>
                <w:bCs w:val="0"/>
                <w:color w:val="auto"/>
                <w:spacing w:val="6"/>
                <w:kern w:val="21"/>
                <w:sz w:val="24"/>
                <w:szCs w:val="24"/>
              </w:rPr>
              <w:t>12</w:t>
            </w:r>
            <w:r>
              <w:rPr>
                <w:rFonts w:hint="eastAsia" w:cs="宋体"/>
                <w:b w:val="0"/>
                <w:bCs w:val="0"/>
                <w:color w:val="auto"/>
                <w:spacing w:val="6"/>
                <w:kern w:val="21"/>
                <w:sz w:val="24"/>
                <w:szCs w:val="24"/>
                <w:lang w:val="en-US" w:eastAsia="zh-CN"/>
              </w:rPr>
              <w:t>8</w:t>
            </w:r>
          </w:p>
        </w:tc>
        <w:tc>
          <w:tcPr>
            <w:tcW w:w="1793" w:type="dxa"/>
            <w:vMerge w:val="restart"/>
            <w:noWrap w:val="0"/>
            <w:vAlign w:val="center"/>
          </w:tcPr>
          <w:p w14:paraId="313A5A91">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p w14:paraId="7F67F9B7">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p w14:paraId="72907003">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《加油站计量监督管理办法》</w:t>
            </w:r>
          </w:p>
        </w:tc>
        <w:tc>
          <w:tcPr>
            <w:tcW w:w="4193" w:type="dxa"/>
            <w:vMerge w:val="restart"/>
            <w:noWrap w:val="0"/>
            <w:vAlign w:val="center"/>
          </w:tcPr>
          <w:p w14:paraId="1A2CBFB2">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第九条 加油站经营者违反本办法有关规定，应当按以下规定进行处罚：</w:t>
            </w:r>
          </w:p>
          <w:p w14:paraId="01B3FA41">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w:t>
            </w:r>
            <w:r>
              <w:rPr>
                <w:rFonts w:hint="eastAsia" w:ascii="宋体" w:hAnsi="宋体" w:eastAsia="宋体" w:cs="宋体"/>
                <w:b w:val="0"/>
                <w:bCs w:val="0"/>
                <w:color w:val="auto"/>
                <w:spacing w:val="6"/>
                <w:kern w:val="21"/>
                <w:sz w:val="24"/>
                <w:szCs w:val="24"/>
                <w:lang w:val="en-US" w:eastAsia="zh-CN"/>
              </w:rPr>
              <w:t>四</w:t>
            </w:r>
            <w:r>
              <w:rPr>
                <w:rFonts w:hint="eastAsia" w:ascii="宋体" w:hAnsi="宋体" w:eastAsia="宋体" w:cs="宋体"/>
                <w:b w:val="0"/>
                <w:bCs w:val="0"/>
                <w:color w:val="auto"/>
                <w:spacing w:val="6"/>
                <w:kern w:val="21"/>
                <w:sz w:val="24"/>
                <w:szCs w:val="24"/>
              </w:rPr>
              <w:t>）违反本办法第五条第(八)项规定，未使用计量器具的，限期改正，逾期不改的，处1000元以上10000元以下罚款；成品油零售量的结算值与实际值之差超过国家规定允许误差的，责令改正，给消费者造成损失的，责令其赔偿损失，并处以违法所得3倍以下、最高不超过30000元的罚款。</w:t>
            </w:r>
          </w:p>
        </w:tc>
        <w:tc>
          <w:tcPr>
            <w:tcW w:w="1132" w:type="dxa"/>
            <w:vMerge w:val="restart"/>
            <w:noWrap w:val="0"/>
            <w:vAlign w:val="center"/>
          </w:tcPr>
          <w:p w14:paraId="0DA890FA">
            <w:pPr>
              <w:pStyle w:val="17"/>
              <w:keepNext w:val="0"/>
              <w:keepLines w:val="0"/>
              <w:pageBreakBefore w:val="0"/>
              <w:kinsoku/>
              <w:wordWrap/>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071737DC">
            <w:pPr>
              <w:pStyle w:val="17"/>
              <w:keepNext w:val="0"/>
              <w:keepLines w:val="0"/>
              <w:pageBreakBefore w:val="0"/>
              <w:widowControl w:val="0"/>
              <w:kinsoku/>
              <w:wordWrap/>
              <w:overflowPunct/>
              <w:topLinePunct w:val="0"/>
              <w:autoSpaceDE w:val="0"/>
              <w:autoSpaceDN w:val="0"/>
              <w:bidi w:val="0"/>
              <w:adjustRightInd/>
              <w:snapToGrid/>
              <w:spacing w:line="400" w:lineRule="exact"/>
              <w:ind w:left="105" w:leftChars="50" w:right="63" w:rightChars="3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未使用计量器具，限期改正，逾期不改，销售额在</w:t>
            </w:r>
            <w:r>
              <w:rPr>
                <w:rFonts w:hint="eastAsia" w:ascii="宋体" w:hAnsi="宋体" w:eastAsia="宋体" w:cs="宋体"/>
                <w:b w:val="0"/>
                <w:bCs w:val="0"/>
                <w:color w:val="auto"/>
                <w:spacing w:val="6"/>
                <w:kern w:val="21"/>
                <w:sz w:val="24"/>
                <w:szCs w:val="24"/>
                <w:lang w:val="en-US" w:eastAsia="zh-CN"/>
              </w:rPr>
              <w:t>1</w:t>
            </w:r>
            <w:r>
              <w:rPr>
                <w:rFonts w:hint="eastAsia" w:ascii="宋体" w:hAnsi="宋体" w:eastAsia="宋体" w:cs="宋体"/>
                <w:b w:val="0"/>
                <w:bCs w:val="0"/>
                <w:color w:val="auto"/>
                <w:spacing w:val="6"/>
                <w:kern w:val="21"/>
                <w:sz w:val="24"/>
                <w:szCs w:val="24"/>
              </w:rPr>
              <w:t>万元以下的。</w:t>
            </w:r>
          </w:p>
        </w:tc>
        <w:tc>
          <w:tcPr>
            <w:tcW w:w="3382" w:type="dxa"/>
            <w:noWrap w:val="0"/>
            <w:vAlign w:val="center"/>
          </w:tcPr>
          <w:p w14:paraId="0BAD4FBE">
            <w:pPr>
              <w:pStyle w:val="17"/>
              <w:keepNext w:val="0"/>
              <w:keepLines w:val="0"/>
              <w:pageBreakBefore w:val="0"/>
              <w:widowControl w:val="0"/>
              <w:kinsoku/>
              <w:wordWrap/>
              <w:overflowPunct/>
              <w:topLinePunct w:val="0"/>
              <w:autoSpaceDE w:val="0"/>
              <w:autoSpaceDN w:val="0"/>
              <w:bidi w:val="0"/>
              <w:adjustRightInd/>
              <w:snapToGrid/>
              <w:spacing w:line="400" w:lineRule="exact"/>
              <w:ind w:left="105" w:leftChars="50" w:right="63" w:rightChars="3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0"/>
                <w:w w:val="100"/>
                <w:kern w:val="21"/>
                <w:sz w:val="24"/>
                <w:szCs w:val="24"/>
                <w:lang w:eastAsia="zh-CN"/>
              </w:rPr>
              <w:t>处</w:t>
            </w:r>
            <w:r>
              <w:rPr>
                <w:rFonts w:hint="eastAsia" w:ascii="宋体" w:hAnsi="宋体" w:eastAsia="宋体" w:cs="宋体"/>
                <w:b w:val="0"/>
                <w:bCs w:val="0"/>
                <w:color w:val="auto"/>
                <w:spacing w:val="0"/>
                <w:w w:val="100"/>
                <w:kern w:val="21"/>
                <w:sz w:val="24"/>
                <w:szCs w:val="24"/>
              </w:rPr>
              <w:t>1000元以上5000元以下罚款。</w:t>
            </w:r>
          </w:p>
        </w:tc>
      </w:tr>
      <w:tr w14:paraId="6B710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0" w:hRule="atLeast"/>
          <w:jc w:val="center"/>
        </w:trPr>
        <w:tc>
          <w:tcPr>
            <w:tcW w:w="640" w:type="dxa"/>
            <w:vMerge w:val="continue"/>
            <w:tcBorders>
              <w:top w:val="nil"/>
            </w:tcBorders>
            <w:noWrap w:val="0"/>
            <w:vAlign w:val="top"/>
          </w:tcPr>
          <w:p w14:paraId="664DBCA4">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top"/>
          </w:tcPr>
          <w:p w14:paraId="6C9128A4">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center"/>
          </w:tcPr>
          <w:p w14:paraId="4785EB5E">
            <w:pPr>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p>
        </w:tc>
        <w:tc>
          <w:tcPr>
            <w:tcW w:w="1132" w:type="dxa"/>
            <w:vMerge w:val="continue"/>
            <w:tcBorders>
              <w:top w:val="nil"/>
            </w:tcBorders>
            <w:noWrap w:val="0"/>
            <w:vAlign w:val="center"/>
          </w:tcPr>
          <w:p w14:paraId="4D73D7E3">
            <w:pPr>
              <w:keepNext w:val="0"/>
              <w:keepLines w:val="0"/>
              <w:pageBreakBefore w:val="0"/>
              <w:kinsoku/>
              <w:wordWrap/>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3165" w:type="dxa"/>
            <w:noWrap w:val="0"/>
            <w:vAlign w:val="center"/>
          </w:tcPr>
          <w:p w14:paraId="5F46A192">
            <w:pPr>
              <w:pStyle w:val="17"/>
              <w:keepNext w:val="0"/>
              <w:keepLines w:val="0"/>
              <w:pageBreakBefore w:val="0"/>
              <w:widowControl w:val="0"/>
              <w:kinsoku/>
              <w:wordWrap/>
              <w:overflowPunct/>
              <w:topLinePunct w:val="0"/>
              <w:autoSpaceDE w:val="0"/>
              <w:autoSpaceDN w:val="0"/>
              <w:bidi w:val="0"/>
              <w:adjustRightInd/>
              <w:snapToGrid/>
              <w:spacing w:line="400" w:lineRule="exact"/>
              <w:ind w:left="105" w:leftChars="50" w:right="63" w:rightChars="3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成品油零售量的结算值与实际值之差超过国家规定允许误差，超过计量允许误差2倍以下的，且给消费者造成损失的。</w:t>
            </w:r>
          </w:p>
        </w:tc>
        <w:tc>
          <w:tcPr>
            <w:tcW w:w="3382" w:type="dxa"/>
            <w:noWrap w:val="0"/>
            <w:vAlign w:val="center"/>
          </w:tcPr>
          <w:p w14:paraId="27B7EEBF">
            <w:pPr>
              <w:pStyle w:val="17"/>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left="105" w:leftChars="50" w:right="63" w:rightChars="3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责令其赔偿损失，并处以违法所得1倍以下，最高不超过</w:t>
            </w:r>
            <w:r>
              <w:rPr>
                <w:rFonts w:hint="eastAsia" w:ascii="宋体" w:hAnsi="宋体" w:eastAsia="宋体" w:cs="宋体"/>
                <w:b w:val="0"/>
                <w:bCs w:val="0"/>
                <w:color w:val="auto"/>
                <w:spacing w:val="6"/>
                <w:kern w:val="21"/>
                <w:sz w:val="24"/>
                <w:szCs w:val="24"/>
                <w:lang w:val="en-US" w:eastAsia="zh-CN"/>
              </w:rPr>
              <w:t>9000</w:t>
            </w:r>
            <w:r>
              <w:rPr>
                <w:rFonts w:hint="eastAsia" w:ascii="宋体" w:hAnsi="宋体" w:eastAsia="宋体" w:cs="宋体"/>
                <w:b w:val="0"/>
                <w:bCs w:val="0"/>
                <w:color w:val="auto"/>
                <w:spacing w:val="6"/>
                <w:kern w:val="21"/>
                <w:sz w:val="24"/>
                <w:szCs w:val="24"/>
              </w:rPr>
              <w:t>元的罚款。</w:t>
            </w:r>
          </w:p>
        </w:tc>
      </w:tr>
      <w:tr w14:paraId="44083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jc w:val="center"/>
        </w:trPr>
        <w:tc>
          <w:tcPr>
            <w:tcW w:w="640" w:type="dxa"/>
            <w:vMerge w:val="continue"/>
            <w:tcBorders>
              <w:top w:val="nil"/>
            </w:tcBorders>
            <w:noWrap w:val="0"/>
            <w:vAlign w:val="top"/>
          </w:tcPr>
          <w:p w14:paraId="50319A5A">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top"/>
          </w:tcPr>
          <w:p w14:paraId="4B1F0563">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center"/>
          </w:tcPr>
          <w:p w14:paraId="2C83E276">
            <w:pPr>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p>
        </w:tc>
        <w:tc>
          <w:tcPr>
            <w:tcW w:w="1132" w:type="dxa"/>
            <w:vMerge w:val="restart"/>
            <w:noWrap w:val="0"/>
            <w:vAlign w:val="center"/>
          </w:tcPr>
          <w:p w14:paraId="1C2F373A">
            <w:pPr>
              <w:pStyle w:val="17"/>
              <w:keepNext w:val="0"/>
              <w:keepLines w:val="0"/>
              <w:pageBreakBefore w:val="0"/>
              <w:kinsoku/>
              <w:wordWrap/>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53088DE8">
            <w:pPr>
              <w:pStyle w:val="17"/>
              <w:keepNext w:val="0"/>
              <w:keepLines w:val="0"/>
              <w:pageBreakBefore w:val="0"/>
              <w:widowControl w:val="0"/>
              <w:kinsoku/>
              <w:wordWrap/>
              <w:overflowPunct/>
              <w:topLinePunct w:val="0"/>
              <w:autoSpaceDE w:val="0"/>
              <w:autoSpaceDN w:val="0"/>
              <w:bidi w:val="0"/>
              <w:adjustRightInd/>
              <w:snapToGrid/>
              <w:spacing w:line="400" w:lineRule="exact"/>
              <w:ind w:left="105" w:leftChars="50" w:right="63" w:rightChars="3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未使用计量器具，限期改正，逾期不改，销售额在</w:t>
            </w:r>
            <w:r>
              <w:rPr>
                <w:rFonts w:hint="eastAsia" w:ascii="宋体" w:hAnsi="宋体" w:eastAsia="宋体" w:cs="宋体"/>
                <w:b w:val="0"/>
                <w:bCs w:val="0"/>
                <w:color w:val="auto"/>
                <w:spacing w:val="6"/>
                <w:kern w:val="21"/>
                <w:sz w:val="24"/>
                <w:szCs w:val="24"/>
                <w:lang w:val="en-US" w:eastAsia="zh-CN"/>
              </w:rPr>
              <w:t>1</w:t>
            </w:r>
            <w:r>
              <w:rPr>
                <w:rFonts w:hint="eastAsia" w:ascii="宋体" w:hAnsi="宋体" w:eastAsia="宋体" w:cs="宋体"/>
                <w:b w:val="0"/>
                <w:bCs w:val="0"/>
                <w:color w:val="auto"/>
                <w:spacing w:val="6"/>
                <w:kern w:val="21"/>
                <w:sz w:val="24"/>
                <w:szCs w:val="24"/>
              </w:rPr>
              <w:t>万元以上的。</w:t>
            </w:r>
          </w:p>
        </w:tc>
        <w:tc>
          <w:tcPr>
            <w:tcW w:w="3382" w:type="dxa"/>
            <w:noWrap w:val="0"/>
            <w:vAlign w:val="center"/>
          </w:tcPr>
          <w:p w14:paraId="13D3D3A7">
            <w:pPr>
              <w:pStyle w:val="17"/>
              <w:keepNext w:val="0"/>
              <w:keepLines w:val="0"/>
              <w:pageBreakBefore w:val="0"/>
              <w:widowControl w:val="0"/>
              <w:kinsoku/>
              <w:wordWrap/>
              <w:overflowPunct/>
              <w:topLinePunct w:val="0"/>
              <w:autoSpaceDE w:val="0"/>
              <w:autoSpaceDN w:val="0"/>
              <w:bidi w:val="0"/>
              <w:adjustRightInd/>
              <w:snapToGrid/>
              <w:spacing w:line="400" w:lineRule="exact"/>
              <w:ind w:left="105" w:leftChars="50" w:right="63" w:rightChars="30"/>
              <w:jc w:val="left"/>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0"/>
                <w:kern w:val="21"/>
                <w:sz w:val="24"/>
                <w:szCs w:val="24"/>
              </w:rPr>
              <w:t>处5000元以上1</w:t>
            </w:r>
            <w:r>
              <w:rPr>
                <w:rFonts w:hint="eastAsia" w:cs="宋体"/>
                <w:b w:val="0"/>
                <w:bCs w:val="0"/>
                <w:color w:val="auto"/>
                <w:spacing w:val="0"/>
                <w:kern w:val="21"/>
                <w:sz w:val="24"/>
                <w:szCs w:val="24"/>
                <w:lang w:val="en-US" w:eastAsia="zh-CN"/>
              </w:rPr>
              <w:t>万</w:t>
            </w:r>
            <w:r>
              <w:rPr>
                <w:rFonts w:hint="eastAsia" w:ascii="宋体" w:hAnsi="宋体" w:eastAsia="宋体" w:cs="宋体"/>
                <w:b w:val="0"/>
                <w:bCs w:val="0"/>
                <w:color w:val="auto"/>
                <w:spacing w:val="6"/>
                <w:kern w:val="21"/>
                <w:sz w:val="24"/>
                <w:szCs w:val="24"/>
              </w:rPr>
              <w:t>元以下罚款。</w:t>
            </w:r>
          </w:p>
        </w:tc>
      </w:tr>
      <w:tr w14:paraId="3D49D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9" w:hRule="atLeast"/>
          <w:jc w:val="center"/>
        </w:trPr>
        <w:tc>
          <w:tcPr>
            <w:tcW w:w="640" w:type="dxa"/>
            <w:vMerge w:val="continue"/>
            <w:tcBorders>
              <w:top w:val="nil"/>
            </w:tcBorders>
            <w:noWrap w:val="0"/>
            <w:vAlign w:val="top"/>
          </w:tcPr>
          <w:p w14:paraId="1E8C8147">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top"/>
          </w:tcPr>
          <w:p w14:paraId="1CB3C24B">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center"/>
          </w:tcPr>
          <w:p w14:paraId="5F6BE5C9">
            <w:pPr>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p>
        </w:tc>
        <w:tc>
          <w:tcPr>
            <w:tcW w:w="1132" w:type="dxa"/>
            <w:vMerge w:val="continue"/>
            <w:tcBorders>
              <w:top w:val="nil"/>
            </w:tcBorders>
            <w:noWrap w:val="0"/>
            <w:vAlign w:val="center"/>
          </w:tcPr>
          <w:p w14:paraId="6906FA6A">
            <w:pPr>
              <w:keepNext w:val="0"/>
              <w:keepLines w:val="0"/>
              <w:pageBreakBefore w:val="0"/>
              <w:kinsoku/>
              <w:wordWrap/>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3165" w:type="dxa"/>
            <w:noWrap w:val="0"/>
            <w:vAlign w:val="center"/>
          </w:tcPr>
          <w:p w14:paraId="33CEA32B">
            <w:pPr>
              <w:pStyle w:val="17"/>
              <w:keepNext w:val="0"/>
              <w:keepLines w:val="0"/>
              <w:pageBreakBefore w:val="0"/>
              <w:widowControl w:val="0"/>
              <w:kinsoku/>
              <w:wordWrap/>
              <w:overflowPunct/>
              <w:topLinePunct w:val="0"/>
              <w:autoSpaceDE w:val="0"/>
              <w:autoSpaceDN w:val="0"/>
              <w:bidi w:val="0"/>
              <w:adjustRightInd/>
              <w:snapToGrid/>
              <w:spacing w:line="400" w:lineRule="exact"/>
              <w:ind w:left="105" w:leftChars="50" w:right="63" w:rightChars="3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成品油零售量的结算值与实际值之差超过国家规定允许误差，超过计量允许误差2倍以上3倍以下的，且给消费者造成损失的。</w:t>
            </w:r>
          </w:p>
        </w:tc>
        <w:tc>
          <w:tcPr>
            <w:tcW w:w="3382" w:type="dxa"/>
            <w:noWrap w:val="0"/>
            <w:vAlign w:val="center"/>
          </w:tcPr>
          <w:p w14:paraId="31EACEA3">
            <w:pPr>
              <w:pStyle w:val="17"/>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left="105" w:leftChars="50" w:right="63" w:rightChars="3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责令其赔偿损失，并处以违法所得1倍以上2倍以下，最高不超过</w:t>
            </w:r>
            <w:r>
              <w:rPr>
                <w:rFonts w:hint="eastAsia" w:cs="宋体"/>
                <w:b w:val="0"/>
                <w:bCs w:val="0"/>
                <w:color w:val="auto"/>
                <w:spacing w:val="6"/>
                <w:kern w:val="21"/>
                <w:sz w:val="24"/>
                <w:szCs w:val="24"/>
                <w:lang w:val="en-US" w:eastAsia="zh-CN"/>
              </w:rPr>
              <w:t>2.1万</w:t>
            </w:r>
            <w:r>
              <w:rPr>
                <w:rFonts w:hint="eastAsia" w:ascii="宋体" w:hAnsi="宋体" w:eastAsia="宋体" w:cs="宋体"/>
                <w:b w:val="0"/>
                <w:bCs w:val="0"/>
                <w:color w:val="auto"/>
                <w:spacing w:val="6"/>
                <w:kern w:val="21"/>
                <w:sz w:val="24"/>
                <w:szCs w:val="24"/>
              </w:rPr>
              <w:t>元的罚款。</w:t>
            </w:r>
          </w:p>
        </w:tc>
      </w:tr>
      <w:tr w14:paraId="43B12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2" w:hRule="atLeast"/>
          <w:jc w:val="center"/>
        </w:trPr>
        <w:tc>
          <w:tcPr>
            <w:tcW w:w="640" w:type="dxa"/>
            <w:vMerge w:val="continue"/>
            <w:tcBorders>
              <w:top w:val="nil"/>
            </w:tcBorders>
            <w:noWrap w:val="0"/>
            <w:vAlign w:val="top"/>
          </w:tcPr>
          <w:p w14:paraId="42F12D23">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top"/>
          </w:tcPr>
          <w:p w14:paraId="5A4395B8">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center"/>
          </w:tcPr>
          <w:p w14:paraId="3795A7AB">
            <w:pPr>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p>
        </w:tc>
        <w:tc>
          <w:tcPr>
            <w:tcW w:w="1132" w:type="dxa"/>
            <w:noWrap w:val="0"/>
            <w:vAlign w:val="center"/>
          </w:tcPr>
          <w:p w14:paraId="1F4F26B6">
            <w:pPr>
              <w:pStyle w:val="17"/>
              <w:keepNext w:val="0"/>
              <w:keepLines w:val="0"/>
              <w:pageBreakBefore w:val="0"/>
              <w:kinsoku/>
              <w:wordWrap/>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4AF7BF6F">
            <w:pPr>
              <w:pStyle w:val="17"/>
              <w:keepNext w:val="0"/>
              <w:keepLines w:val="0"/>
              <w:pageBreakBefore w:val="0"/>
              <w:widowControl w:val="0"/>
              <w:kinsoku/>
              <w:wordWrap/>
              <w:overflowPunct/>
              <w:topLinePunct w:val="0"/>
              <w:autoSpaceDE w:val="0"/>
              <w:autoSpaceDN w:val="0"/>
              <w:bidi w:val="0"/>
              <w:adjustRightInd/>
              <w:snapToGrid/>
              <w:spacing w:line="400" w:lineRule="exact"/>
              <w:ind w:left="105" w:leftChars="50" w:right="63" w:rightChars="3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成品油零售量的结算值与实际值之差超过国家规定允许误差，超过计量允许误差3倍以上的，且给消费者造成损失的。</w:t>
            </w:r>
          </w:p>
        </w:tc>
        <w:tc>
          <w:tcPr>
            <w:tcW w:w="3382" w:type="dxa"/>
            <w:noWrap w:val="0"/>
            <w:vAlign w:val="center"/>
          </w:tcPr>
          <w:p w14:paraId="6432039E">
            <w:pPr>
              <w:pStyle w:val="17"/>
              <w:keepNext w:val="0"/>
              <w:keepLines w:val="0"/>
              <w:pageBreakBefore w:val="0"/>
              <w:widowControl w:val="0"/>
              <w:kinsoku/>
              <w:wordWrap/>
              <w:overflowPunct/>
              <w:topLinePunct w:val="0"/>
              <w:autoSpaceDE w:val="0"/>
              <w:autoSpaceDN w:val="0"/>
              <w:bidi w:val="0"/>
              <w:adjustRightInd/>
              <w:snapToGrid/>
              <w:spacing w:line="400" w:lineRule="exact"/>
              <w:ind w:left="105" w:leftChars="50" w:right="63" w:rightChars="3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责令其赔偿损失，并处以违法所得2倍以上3倍以下，最高不超过</w:t>
            </w:r>
            <w:r>
              <w:rPr>
                <w:rFonts w:hint="eastAsia" w:cs="宋体"/>
                <w:b w:val="0"/>
                <w:bCs w:val="0"/>
                <w:color w:val="auto"/>
                <w:spacing w:val="6"/>
                <w:kern w:val="21"/>
                <w:sz w:val="24"/>
                <w:szCs w:val="24"/>
                <w:lang w:val="en-US" w:eastAsia="zh-CN"/>
              </w:rPr>
              <w:t>3万</w:t>
            </w:r>
            <w:r>
              <w:rPr>
                <w:rFonts w:hint="eastAsia" w:ascii="宋体" w:hAnsi="宋体" w:eastAsia="宋体" w:cs="宋体"/>
                <w:b w:val="0"/>
                <w:bCs w:val="0"/>
                <w:color w:val="auto"/>
                <w:spacing w:val="6"/>
                <w:kern w:val="21"/>
                <w:sz w:val="24"/>
                <w:szCs w:val="24"/>
              </w:rPr>
              <w:t>元的罚款。</w:t>
            </w:r>
          </w:p>
        </w:tc>
      </w:tr>
      <w:tr w14:paraId="37F45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7" w:hRule="exact"/>
          <w:jc w:val="center"/>
        </w:trPr>
        <w:tc>
          <w:tcPr>
            <w:tcW w:w="640" w:type="dxa"/>
            <w:vMerge w:val="restart"/>
            <w:noWrap w:val="0"/>
            <w:vAlign w:val="center"/>
          </w:tcPr>
          <w:p w14:paraId="30638EE6">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default" w:ascii="宋体" w:hAnsi="宋体" w:eastAsia="宋体" w:cs="宋体"/>
                <w:b w:val="0"/>
                <w:bCs w:val="0"/>
                <w:color w:val="auto"/>
                <w:spacing w:val="6"/>
                <w:kern w:val="21"/>
                <w:sz w:val="24"/>
                <w:szCs w:val="24"/>
                <w:lang w:val="en-US" w:eastAsia="zh-CN"/>
              </w:rPr>
            </w:pPr>
            <w:r>
              <w:rPr>
                <w:rFonts w:hint="eastAsia" w:ascii="宋体" w:hAnsi="宋体" w:eastAsia="宋体" w:cs="宋体"/>
                <w:b w:val="0"/>
                <w:bCs w:val="0"/>
                <w:color w:val="auto"/>
                <w:spacing w:val="6"/>
                <w:kern w:val="21"/>
                <w:sz w:val="24"/>
                <w:szCs w:val="24"/>
              </w:rPr>
              <w:t>1</w:t>
            </w:r>
            <w:r>
              <w:rPr>
                <w:rFonts w:hint="eastAsia" w:cs="宋体"/>
                <w:b w:val="0"/>
                <w:bCs w:val="0"/>
                <w:color w:val="auto"/>
                <w:spacing w:val="6"/>
                <w:kern w:val="21"/>
                <w:sz w:val="24"/>
                <w:szCs w:val="24"/>
                <w:lang w:val="en-US" w:eastAsia="zh-CN"/>
              </w:rPr>
              <w:t>29</w:t>
            </w:r>
          </w:p>
        </w:tc>
        <w:tc>
          <w:tcPr>
            <w:tcW w:w="1793" w:type="dxa"/>
            <w:vMerge w:val="restart"/>
            <w:noWrap w:val="0"/>
            <w:vAlign w:val="center"/>
          </w:tcPr>
          <w:p w14:paraId="14B86F46">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《加油站计量监督管理办法》</w:t>
            </w:r>
          </w:p>
        </w:tc>
        <w:tc>
          <w:tcPr>
            <w:tcW w:w="4193" w:type="dxa"/>
            <w:vMerge w:val="restart"/>
            <w:noWrap w:val="0"/>
            <w:vAlign w:val="center"/>
          </w:tcPr>
          <w:p w14:paraId="0090AF03">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第十条 加油站经营者违反本办法规定，拒不提供成品油零售账目或者提供不真实账目，使违法所得难以计算的，可根据违法行为的情节轻重处以最高不超过30000元的罚款。</w:t>
            </w:r>
          </w:p>
        </w:tc>
        <w:tc>
          <w:tcPr>
            <w:tcW w:w="1132" w:type="dxa"/>
            <w:noWrap w:val="0"/>
            <w:vAlign w:val="center"/>
          </w:tcPr>
          <w:p w14:paraId="2E6C3DE1">
            <w:pPr>
              <w:pStyle w:val="17"/>
              <w:keepNext w:val="0"/>
              <w:keepLines w:val="0"/>
              <w:pageBreakBefore w:val="0"/>
              <w:kinsoku/>
              <w:wordWrap/>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3DA86874">
            <w:pPr>
              <w:pStyle w:val="17"/>
              <w:keepNext w:val="0"/>
              <w:keepLines w:val="0"/>
              <w:pageBreakBefore w:val="0"/>
              <w:widowControl w:val="0"/>
              <w:kinsoku/>
              <w:wordWrap/>
              <w:overflowPunct/>
              <w:topLinePunct w:val="0"/>
              <w:autoSpaceDE w:val="0"/>
              <w:autoSpaceDN w:val="0"/>
              <w:bidi w:val="0"/>
              <w:adjustRightInd/>
              <w:snapToGrid/>
              <w:spacing w:line="400" w:lineRule="exact"/>
              <w:ind w:left="63" w:leftChars="30" w:right="63" w:rightChars="3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违法行为涉及货值金额1万元以下的。</w:t>
            </w:r>
          </w:p>
        </w:tc>
        <w:tc>
          <w:tcPr>
            <w:tcW w:w="3382" w:type="dxa"/>
            <w:noWrap w:val="0"/>
            <w:vAlign w:val="center"/>
          </w:tcPr>
          <w:p w14:paraId="305C1EC2">
            <w:pPr>
              <w:pStyle w:val="17"/>
              <w:keepNext w:val="0"/>
              <w:keepLines w:val="0"/>
              <w:pageBreakBefore w:val="0"/>
              <w:widowControl w:val="0"/>
              <w:kinsoku/>
              <w:wordWrap/>
              <w:overflowPunct/>
              <w:topLinePunct w:val="0"/>
              <w:autoSpaceDE w:val="0"/>
              <w:autoSpaceDN w:val="0"/>
              <w:bidi w:val="0"/>
              <w:adjustRightInd/>
              <w:snapToGrid/>
              <w:spacing w:line="400" w:lineRule="exact"/>
              <w:ind w:left="105" w:leftChars="50" w:right="63" w:rightChars="30"/>
              <w:jc w:val="both"/>
              <w:textAlignment w:val="auto"/>
              <w:rPr>
                <w:rFonts w:hint="eastAsia" w:ascii="宋体" w:hAnsi="宋体" w:eastAsia="宋体" w:cs="宋体"/>
                <w:b w:val="0"/>
                <w:bCs w:val="0"/>
                <w:color w:val="auto"/>
                <w:spacing w:val="6"/>
                <w:kern w:val="21"/>
                <w:sz w:val="24"/>
                <w:szCs w:val="24"/>
                <w:lang w:val="en-US" w:eastAsia="zh-CN"/>
              </w:rPr>
            </w:pPr>
            <w:r>
              <w:rPr>
                <w:rFonts w:hint="eastAsia" w:ascii="宋体" w:hAnsi="宋体" w:eastAsia="宋体" w:cs="宋体"/>
                <w:b w:val="0"/>
                <w:bCs w:val="0"/>
                <w:color w:val="auto"/>
                <w:spacing w:val="6"/>
                <w:kern w:val="21"/>
                <w:sz w:val="24"/>
                <w:szCs w:val="24"/>
              </w:rPr>
              <w:t>处以</w:t>
            </w:r>
            <w:r>
              <w:rPr>
                <w:rFonts w:hint="eastAsia" w:ascii="宋体" w:hAnsi="宋体" w:eastAsia="宋体" w:cs="宋体"/>
                <w:b w:val="0"/>
                <w:bCs w:val="0"/>
                <w:color w:val="auto"/>
                <w:spacing w:val="6"/>
                <w:kern w:val="21"/>
                <w:sz w:val="24"/>
                <w:szCs w:val="24"/>
                <w:lang w:val="en-US" w:eastAsia="zh-CN"/>
              </w:rPr>
              <w:t>9000</w:t>
            </w:r>
            <w:r>
              <w:rPr>
                <w:rFonts w:hint="eastAsia" w:ascii="宋体" w:hAnsi="宋体" w:eastAsia="宋体" w:cs="宋体"/>
                <w:b w:val="0"/>
                <w:bCs w:val="0"/>
                <w:color w:val="auto"/>
                <w:spacing w:val="6"/>
                <w:kern w:val="21"/>
                <w:sz w:val="24"/>
                <w:szCs w:val="24"/>
              </w:rPr>
              <w:t>元以下罚款</w:t>
            </w:r>
            <w:r>
              <w:rPr>
                <w:rFonts w:hint="eastAsia" w:ascii="宋体" w:hAnsi="宋体" w:eastAsia="宋体" w:cs="宋体"/>
                <w:b w:val="0"/>
                <w:bCs w:val="0"/>
                <w:color w:val="auto"/>
                <w:spacing w:val="6"/>
                <w:kern w:val="21"/>
                <w:sz w:val="24"/>
                <w:szCs w:val="24"/>
                <w:lang w:eastAsia="zh-CN"/>
              </w:rPr>
              <w:t>。</w:t>
            </w:r>
          </w:p>
        </w:tc>
      </w:tr>
      <w:tr w14:paraId="2307F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7" w:hRule="exact"/>
          <w:jc w:val="center"/>
        </w:trPr>
        <w:tc>
          <w:tcPr>
            <w:tcW w:w="640" w:type="dxa"/>
            <w:vMerge w:val="continue"/>
            <w:noWrap w:val="0"/>
            <w:vAlign w:val="top"/>
          </w:tcPr>
          <w:p w14:paraId="0FCEF1C1">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top"/>
          </w:tcPr>
          <w:p w14:paraId="0FE8808D">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top"/>
          </w:tcPr>
          <w:p w14:paraId="02F09D2C">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3CABB081">
            <w:pPr>
              <w:pStyle w:val="17"/>
              <w:keepNext w:val="0"/>
              <w:keepLines w:val="0"/>
              <w:pageBreakBefore w:val="0"/>
              <w:kinsoku/>
              <w:wordWrap/>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00C00AFA">
            <w:pPr>
              <w:pStyle w:val="17"/>
              <w:keepNext w:val="0"/>
              <w:keepLines w:val="0"/>
              <w:pageBreakBefore w:val="0"/>
              <w:widowControl w:val="0"/>
              <w:kinsoku/>
              <w:wordWrap/>
              <w:overflowPunct/>
              <w:topLinePunct w:val="0"/>
              <w:autoSpaceDE w:val="0"/>
              <w:autoSpaceDN w:val="0"/>
              <w:bidi w:val="0"/>
              <w:adjustRightInd/>
              <w:snapToGrid/>
              <w:spacing w:line="400" w:lineRule="exact"/>
              <w:ind w:left="63" w:leftChars="30" w:right="63" w:rightChars="3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违法行为涉及货值金额1万元以上2万元以下的。</w:t>
            </w:r>
          </w:p>
        </w:tc>
        <w:tc>
          <w:tcPr>
            <w:tcW w:w="3382" w:type="dxa"/>
            <w:noWrap w:val="0"/>
            <w:vAlign w:val="center"/>
          </w:tcPr>
          <w:p w14:paraId="09102523">
            <w:pPr>
              <w:pStyle w:val="17"/>
              <w:keepNext w:val="0"/>
              <w:keepLines w:val="0"/>
              <w:pageBreakBefore w:val="0"/>
              <w:widowControl w:val="0"/>
              <w:kinsoku/>
              <w:wordWrap/>
              <w:overflowPunct/>
              <w:topLinePunct w:val="0"/>
              <w:autoSpaceDE w:val="0"/>
              <w:autoSpaceDN w:val="0"/>
              <w:bidi w:val="0"/>
              <w:adjustRightInd/>
              <w:snapToGrid/>
              <w:spacing w:line="400" w:lineRule="exact"/>
              <w:ind w:left="105" w:leftChars="50" w:right="63" w:rightChars="3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处以</w:t>
            </w:r>
            <w:r>
              <w:rPr>
                <w:rFonts w:hint="eastAsia" w:ascii="宋体" w:hAnsi="宋体" w:eastAsia="宋体" w:cs="宋体"/>
                <w:b w:val="0"/>
                <w:bCs w:val="0"/>
                <w:color w:val="auto"/>
                <w:spacing w:val="6"/>
                <w:kern w:val="21"/>
                <w:sz w:val="24"/>
                <w:szCs w:val="24"/>
                <w:lang w:val="en-US" w:eastAsia="zh-CN"/>
              </w:rPr>
              <w:t>9000</w:t>
            </w:r>
            <w:r>
              <w:rPr>
                <w:rFonts w:hint="eastAsia" w:ascii="宋体" w:hAnsi="宋体" w:eastAsia="宋体" w:cs="宋体"/>
                <w:b w:val="0"/>
                <w:bCs w:val="0"/>
                <w:color w:val="auto"/>
                <w:spacing w:val="6"/>
                <w:kern w:val="21"/>
                <w:sz w:val="24"/>
                <w:szCs w:val="24"/>
              </w:rPr>
              <w:t>元以上</w:t>
            </w:r>
            <w:r>
              <w:rPr>
                <w:rFonts w:hint="eastAsia" w:cs="宋体"/>
                <w:b w:val="0"/>
                <w:bCs w:val="0"/>
                <w:color w:val="auto"/>
                <w:spacing w:val="6"/>
                <w:kern w:val="21"/>
                <w:sz w:val="24"/>
                <w:szCs w:val="24"/>
                <w:lang w:val="en-US" w:eastAsia="zh-CN"/>
              </w:rPr>
              <w:t>2.1万</w:t>
            </w:r>
            <w:r>
              <w:rPr>
                <w:rFonts w:hint="eastAsia" w:ascii="宋体" w:hAnsi="宋体" w:eastAsia="宋体" w:cs="宋体"/>
                <w:b w:val="0"/>
                <w:bCs w:val="0"/>
                <w:color w:val="auto"/>
                <w:spacing w:val="6"/>
                <w:kern w:val="21"/>
                <w:sz w:val="24"/>
                <w:szCs w:val="24"/>
              </w:rPr>
              <w:t>元以下罚款。</w:t>
            </w:r>
          </w:p>
        </w:tc>
      </w:tr>
      <w:tr w14:paraId="223A4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7" w:hRule="exact"/>
          <w:jc w:val="center"/>
        </w:trPr>
        <w:tc>
          <w:tcPr>
            <w:tcW w:w="640" w:type="dxa"/>
            <w:vMerge w:val="continue"/>
            <w:noWrap w:val="0"/>
            <w:vAlign w:val="top"/>
          </w:tcPr>
          <w:p w14:paraId="1087947F">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top"/>
          </w:tcPr>
          <w:p w14:paraId="56331204">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top"/>
          </w:tcPr>
          <w:p w14:paraId="68564017">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642E0383">
            <w:pPr>
              <w:pStyle w:val="17"/>
              <w:keepNext w:val="0"/>
              <w:keepLines w:val="0"/>
              <w:pageBreakBefore w:val="0"/>
              <w:kinsoku/>
              <w:wordWrap/>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4BF84670">
            <w:pPr>
              <w:pStyle w:val="17"/>
              <w:keepNext w:val="0"/>
              <w:keepLines w:val="0"/>
              <w:pageBreakBefore w:val="0"/>
              <w:widowControl w:val="0"/>
              <w:kinsoku/>
              <w:wordWrap/>
              <w:overflowPunct/>
              <w:topLinePunct w:val="0"/>
              <w:autoSpaceDE w:val="0"/>
              <w:autoSpaceDN w:val="0"/>
              <w:bidi w:val="0"/>
              <w:adjustRightInd/>
              <w:snapToGrid/>
              <w:spacing w:line="400" w:lineRule="exact"/>
              <w:ind w:left="63" w:leftChars="30" w:right="63" w:rightChars="3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违法行为涉及货值金额2万元以上的。</w:t>
            </w:r>
          </w:p>
        </w:tc>
        <w:tc>
          <w:tcPr>
            <w:tcW w:w="3382" w:type="dxa"/>
            <w:noWrap w:val="0"/>
            <w:vAlign w:val="center"/>
          </w:tcPr>
          <w:p w14:paraId="1C11DC76">
            <w:pPr>
              <w:pStyle w:val="17"/>
              <w:keepNext w:val="0"/>
              <w:keepLines w:val="0"/>
              <w:pageBreakBefore w:val="0"/>
              <w:widowControl w:val="0"/>
              <w:kinsoku/>
              <w:wordWrap/>
              <w:overflowPunct/>
              <w:topLinePunct w:val="0"/>
              <w:autoSpaceDE w:val="0"/>
              <w:autoSpaceDN w:val="0"/>
              <w:bidi w:val="0"/>
              <w:adjustRightInd/>
              <w:snapToGrid/>
              <w:spacing w:line="400" w:lineRule="exact"/>
              <w:ind w:left="105" w:leftChars="50" w:right="63" w:rightChars="30"/>
              <w:jc w:val="both"/>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处以</w:t>
            </w:r>
            <w:r>
              <w:rPr>
                <w:rFonts w:hint="eastAsia" w:cs="宋体"/>
                <w:b w:val="0"/>
                <w:bCs w:val="0"/>
                <w:color w:val="auto"/>
                <w:spacing w:val="6"/>
                <w:kern w:val="21"/>
                <w:sz w:val="24"/>
                <w:szCs w:val="24"/>
                <w:lang w:val="en-US" w:eastAsia="zh-CN"/>
              </w:rPr>
              <w:t>2.1万</w:t>
            </w:r>
            <w:r>
              <w:rPr>
                <w:rFonts w:hint="eastAsia" w:ascii="宋体" w:hAnsi="宋体" w:eastAsia="宋体" w:cs="宋体"/>
                <w:b w:val="0"/>
                <w:bCs w:val="0"/>
                <w:color w:val="auto"/>
                <w:spacing w:val="6"/>
                <w:kern w:val="21"/>
                <w:sz w:val="24"/>
                <w:szCs w:val="24"/>
              </w:rPr>
              <w:t>元以上3</w:t>
            </w:r>
            <w:r>
              <w:rPr>
                <w:rFonts w:hint="eastAsia" w:cs="宋体"/>
                <w:b w:val="0"/>
                <w:bCs w:val="0"/>
                <w:color w:val="auto"/>
                <w:spacing w:val="6"/>
                <w:kern w:val="21"/>
                <w:sz w:val="24"/>
                <w:szCs w:val="24"/>
                <w:lang w:val="en-US" w:eastAsia="zh-CN"/>
              </w:rPr>
              <w:t>万</w:t>
            </w:r>
            <w:r>
              <w:rPr>
                <w:rFonts w:hint="eastAsia" w:ascii="宋体" w:hAnsi="宋体" w:eastAsia="宋体" w:cs="宋体"/>
                <w:b w:val="0"/>
                <w:bCs w:val="0"/>
                <w:color w:val="auto"/>
                <w:spacing w:val="6"/>
                <w:kern w:val="21"/>
                <w:sz w:val="24"/>
                <w:szCs w:val="24"/>
              </w:rPr>
              <w:t>元以下罚款。</w:t>
            </w:r>
          </w:p>
        </w:tc>
      </w:tr>
      <w:tr w14:paraId="28721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7" w:hRule="exact"/>
          <w:jc w:val="center"/>
        </w:trPr>
        <w:tc>
          <w:tcPr>
            <w:tcW w:w="640" w:type="dxa"/>
            <w:vMerge w:val="restart"/>
            <w:noWrap w:val="0"/>
            <w:vAlign w:val="center"/>
          </w:tcPr>
          <w:p w14:paraId="05431179">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lang w:val="en-US" w:eastAsia="zh-CN"/>
              </w:rPr>
            </w:pPr>
            <w:r>
              <w:rPr>
                <w:rFonts w:hint="eastAsia" w:ascii="宋体" w:hAnsi="宋体" w:eastAsia="宋体" w:cs="宋体"/>
                <w:b w:val="0"/>
                <w:bCs w:val="0"/>
                <w:color w:val="auto"/>
                <w:spacing w:val="6"/>
                <w:kern w:val="21"/>
                <w:sz w:val="24"/>
                <w:szCs w:val="24"/>
                <w:lang w:val="en-US" w:eastAsia="zh-CN"/>
              </w:rPr>
              <w:t>1</w:t>
            </w:r>
            <w:r>
              <w:rPr>
                <w:rFonts w:hint="eastAsia" w:ascii="宋体" w:hAnsi="宋体" w:cs="宋体"/>
                <w:b w:val="0"/>
                <w:bCs w:val="0"/>
                <w:color w:val="auto"/>
                <w:spacing w:val="6"/>
                <w:kern w:val="21"/>
                <w:sz w:val="24"/>
                <w:szCs w:val="24"/>
                <w:lang w:val="en-US" w:eastAsia="zh-CN"/>
              </w:rPr>
              <w:t>30</w:t>
            </w:r>
          </w:p>
        </w:tc>
        <w:tc>
          <w:tcPr>
            <w:tcW w:w="1793" w:type="dxa"/>
            <w:vMerge w:val="restart"/>
            <w:noWrap w:val="0"/>
            <w:vAlign w:val="center"/>
          </w:tcPr>
          <w:p w14:paraId="7A7F98FB">
            <w:pPr>
              <w:keepNext w:val="0"/>
              <w:keepLines w:val="0"/>
              <w:pageBreakBefore w:val="0"/>
              <w:widowControl w:val="0"/>
              <w:kinsoku/>
              <w:wordWrap/>
              <w:overflowPunct/>
              <w:topLinePunct w:val="0"/>
              <w:autoSpaceDE/>
              <w:autoSpaceDN/>
              <w:bidi w:val="0"/>
              <w:adjustRightInd/>
              <w:snapToGrid/>
              <w:spacing w:line="400" w:lineRule="exact"/>
              <w:ind w:left="63" w:leftChars="30" w:right="63" w:rightChars="30"/>
              <w:jc w:val="left"/>
              <w:textAlignment w:val="auto"/>
              <w:outlineLvl w:val="2"/>
              <w:rPr>
                <w:rFonts w:hint="eastAsia" w:ascii="宋体" w:hAnsi="宋体" w:eastAsia="宋体" w:cs="宋体"/>
                <w:b w:val="0"/>
                <w:bCs w:val="0"/>
                <w:i w:val="0"/>
                <w:iCs w:val="0"/>
                <w:color w:val="auto"/>
                <w:spacing w:val="6"/>
                <w:kern w:val="21"/>
                <w:sz w:val="24"/>
                <w:szCs w:val="24"/>
                <w:u w:val="none"/>
                <w:lang w:val="en-US" w:eastAsia="zh-CN" w:bidi="ar"/>
              </w:rPr>
            </w:pPr>
            <w:bookmarkStart w:id="190" w:name="_Toc19616"/>
            <w:bookmarkStart w:id="191" w:name="_Toc24288"/>
            <w:bookmarkStart w:id="192" w:name="_Toc26373"/>
            <w:bookmarkStart w:id="193" w:name="_Toc22879"/>
            <w:bookmarkStart w:id="194" w:name="_Toc29186"/>
            <w:r>
              <w:rPr>
                <w:rFonts w:hint="eastAsia" w:ascii="宋体" w:hAnsi="宋体" w:eastAsia="宋体" w:cs="宋体"/>
                <w:b w:val="0"/>
                <w:bCs w:val="0"/>
                <w:i w:val="0"/>
                <w:iCs w:val="0"/>
                <w:color w:val="auto"/>
                <w:spacing w:val="6"/>
                <w:kern w:val="21"/>
                <w:sz w:val="24"/>
                <w:szCs w:val="24"/>
                <w:u w:val="none"/>
                <w:lang w:val="en-US" w:eastAsia="zh-CN" w:bidi="ar"/>
              </w:rPr>
              <w:t>《计量违法行为处罚细则》</w:t>
            </w:r>
            <w:bookmarkEnd w:id="190"/>
            <w:bookmarkEnd w:id="191"/>
            <w:bookmarkEnd w:id="192"/>
            <w:bookmarkEnd w:id="193"/>
            <w:bookmarkEnd w:id="194"/>
          </w:p>
          <w:p w14:paraId="64291D3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beforeAutospacing="0" w:after="0" w:afterAutospacing="0" w:line="400" w:lineRule="exact"/>
              <w:ind w:left="63" w:leftChars="30" w:right="63" w:rightChars="30"/>
              <w:jc w:val="left"/>
              <w:textAlignment w:val="auto"/>
              <w:outlineLvl w:val="2"/>
              <w:rPr>
                <w:rFonts w:hint="eastAsia" w:ascii="宋体" w:hAnsi="宋体" w:eastAsia="宋体" w:cs="宋体"/>
                <w:b w:val="0"/>
                <w:bCs w:val="0"/>
                <w:color w:val="auto"/>
                <w:spacing w:val="6"/>
                <w:kern w:val="21"/>
                <w:sz w:val="24"/>
                <w:szCs w:val="24"/>
              </w:rPr>
            </w:pPr>
            <w:bookmarkStart w:id="195" w:name="_Toc4665"/>
            <w:r>
              <w:rPr>
                <w:rFonts w:hint="eastAsia" w:ascii="宋体" w:hAnsi="宋体" w:eastAsia="宋体" w:cs="宋体"/>
                <w:b w:val="0"/>
                <w:bCs w:val="0"/>
                <w:i w:val="0"/>
                <w:caps w:val="0"/>
                <w:color w:val="auto"/>
                <w:spacing w:val="6"/>
                <w:kern w:val="21"/>
                <w:sz w:val="24"/>
                <w:szCs w:val="24"/>
                <w:shd w:val="clear" w:color="auto" w:fill="FFFFFF"/>
              </w:rPr>
              <w:t>（2022年</w:t>
            </w:r>
            <w:r>
              <w:rPr>
                <w:rFonts w:hint="eastAsia" w:ascii="宋体" w:hAnsi="宋体" w:cs="宋体"/>
                <w:b w:val="0"/>
                <w:bCs w:val="0"/>
                <w:i w:val="0"/>
                <w:caps w:val="0"/>
                <w:color w:val="auto"/>
                <w:spacing w:val="6"/>
                <w:kern w:val="21"/>
                <w:sz w:val="24"/>
                <w:szCs w:val="24"/>
                <w:shd w:val="clear" w:color="auto" w:fill="FFFFFF"/>
                <w:lang w:val="en-US" w:eastAsia="zh-CN"/>
              </w:rPr>
              <w:t>11</w:t>
            </w:r>
            <w:r>
              <w:rPr>
                <w:rFonts w:hint="eastAsia" w:ascii="宋体" w:hAnsi="宋体" w:eastAsia="宋体" w:cs="宋体"/>
                <w:b w:val="0"/>
                <w:bCs w:val="0"/>
                <w:i w:val="0"/>
                <w:caps w:val="0"/>
                <w:color w:val="auto"/>
                <w:spacing w:val="6"/>
                <w:kern w:val="21"/>
                <w:sz w:val="24"/>
                <w:szCs w:val="24"/>
                <w:shd w:val="clear" w:color="auto" w:fill="FFFFFF"/>
              </w:rPr>
              <w:t>月</w:t>
            </w:r>
            <w:r>
              <w:rPr>
                <w:rFonts w:hint="eastAsia" w:ascii="宋体" w:hAnsi="宋体" w:cs="宋体"/>
                <w:b w:val="0"/>
                <w:bCs w:val="0"/>
                <w:i w:val="0"/>
                <w:caps w:val="0"/>
                <w:color w:val="auto"/>
                <w:spacing w:val="6"/>
                <w:kern w:val="21"/>
                <w:sz w:val="24"/>
                <w:szCs w:val="24"/>
                <w:shd w:val="clear" w:color="auto" w:fill="FFFFFF"/>
                <w:lang w:val="en-US" w:eastAsia="zh-CN"/>
              </w:rPr>
              <w:t>1</w:t>
            </w:r>
            <w:r>
              <w:rPr>
                <w:rFonts w:hint="eastAsia" w:ascii="宋体" w:hAnsi="宋体" w:eastAsia="宋体" w:cs="宋体"/>
                <w:b w:val="0"/>
                <w:bCs w:val="0"/>
                <w:i w:val="0"/>
                <w:caps w:val="0"/>
                <w:color w:val="auto"/>
                <w:spacing w:val="6"/>
                <w:kern w:val="21"/>
                <w:sz w:val="24"/>
                <w:szCs w:val="24"/>
                <w:shd w:val="clear" w:color="auto" w:fill="FFFFFF"/>
              </w:rPr>
              <w:t>日</w:t>
            </w:r>
            <w:r>
              <w:rPr>
                <w:rFonts w:hint="eastAsia" w:ascii="宋体" w:hAnsi="宋体" w:cs="宋体"/>
                <w:b w:val="0"/>
                <w:bCs w:val="0"/>
                <w:i w:val="0"/>
                <w:caps w:val="0"/>
                <w:color w:val="auto"/>
                <w:spacing w:val="6"/>
                <w:kern w:val="21"/>
                <w:sz w:val="24"/>
                <w:szCs w:val="24"/>
                <w:shd w:val="clear" w:color="auto" w:fill="FFFFFF"/>
                <w:lang w:val="en-US" w:eastAsia="zh-CN"/>
              </w:rPr>
              <w:t>起施行</w:t>
            </w:r>
            <w:r>
              <w:rPr>
                <w:rFonts w:hint="eastAsia" w:ascii="宋体" w:hAnsi="宋体" w:eastAsia="宋体" w:cs="宋体"/>
                <w:b w:val="0"/>
                <w:bCs w:val="0"/>
                <w:i w:val="0"/>
                <w:caps w:val="0"/>
                <w:color w:val="auto"/>
                <w:spacing w:val="6"/>
                <w:kern w:val="21"/>
                <w:sz w:val="24"/>
                <w:szCs w:val="24"/>
                <w:shd w:val="clear" w:color="auto" w:fill="FFFFFF"/>
              </w:rPr>
              <w:t>）</w:t>
            </w:r>
            <w:bookmarkEnd w:id="195"/>
          </w:p>
          <w:p w14:paraId="46767BC4">
            <w:pPr>
              <w:keepNext w:val="0"/>
              <w:keepLines w:val="0"/>
              <w:pageBreakBefore w:val="0"/>
              <w:kinsoku/>
              <w:wordWrap/>
              <w:overflowPunct/>
              <w:topLinePunct w:val="0"/>
              <w:bidi w:val="0"/>
              <w:adjustRightInd/>
              <w:snapToGrid/>
              <w:spacing w:line="400" w:lineRule="exact"/>
              <w:ind w:left="63" w:leftChars="30" w:right="63" w:rightChars="30"/>
              <w:jc w:val="both"/>
              <w:textAlignment w:val="auto"/>
              <w:rPr>
                <w:rFonts w:hint="eastAsia" w:ascii="宋体" w:hAnsi="宋体" w:eastAsia="宋体" w:cs="宋体"/>
                <w:b w:val="0"/>
                <w:bCs w:val="0"/>
                <w:i w:val="0"/>
                <w:iCs w:val="0"/>
                <w:color w:val="auto"/>
                <w:spacing w:val="6"/>
                <w:kern w:val="21"/>
                <w:sz w:val="24"/>
                <w:szCs w:val="24"/>
                <w:u w:val="none"/>
                <w:lang w:val="en-US" w:eastAsia="zh-CN" w:bidi="ar"/>
              </w:rPr>
            </w:pPr>
          </w:p>
        </w:tc>
        <w:tc>
          <w:tcPr>
            <w:tcW w:w="4193" w:type="dxa"/>
            <w:vMerge w:val="restart"/>
            <w:noWrap w:val="0"/>
            <w:vAlign w:val="center"/>
          </w:tcPr>
          <w:p w14:paraId="38DB7557">
            <w:pPr>
              <w:keepNext w:val="0"/>
              <w:keepLines w:val="0"/>
              <w:pageBreakBefore w:val="0"/>
              <w:widowControl/>
              <w:suppressLineNumbers w:val="0"/>
              <w:kinsoku/>
              <w:overflowPunct/>
              <w:topLinePunct w:val="0"/>
              <w:bidi w:val="0"/>
              <w:adjustRightInd/>
              <w:snapToGrid/>
              <w:spacing w:line="400" w:lineRule="exact"/>
              <w:ind w:left="63" w:leftChars="30" w:right="63" w:rightChars="30"/>
              <w:jc w:val="both"/>
              <w:textAlignment w:val="center"/>
              <w:rPr>
                <w:rFonts w:hint="eastAsia" w:ascii="宋体" w:hAnsi="宋体" w:eastAsia="宋体" w:cs="宋体"/>
                <w:b w:val="0"/>
                <w:bCs w:val="0"/>
                <w:i w:val="0"/>
                <w:iCs w:val="0"/>
                <w:color w:val="auto"/>
                <w:spacing w:val="6"/>
                <w:kern w:val="21"/>
                <w:sz w:val="24"/>
                <w:szCs w:val="24"/>
                <w:u w:val="none"/>
                <w:lang w:val="en-US" w:eastAsia="zh-CN" w:bidi="ar"/>
              </w:rPr>
            </w:pPr>
            <w:r>
              <w:rPr>
                <w:rFonts w:hint="eastAsia" w:ascii="宋体" w:hAnsi="宋体" w:eastAsia="宋体" w:cs="宋体"/>
                <w:b w:val="0"/>
                <w:bCs w:val="0"/>
                <w:i w:val="0"/>
                <w:iCs w:val="0"/>
                <w:color w:val="auto"/>
                <w:spacing w:val="6"/>
                <w:kern w:val="21"/>
                <w:sz w:val="24"/>
                <w:szCs w:val="24"/>
                <w:u w:val="none"/>
                <w:lang w:val="en-US" w:eastAsia="zh-CN" w:bidi="ar"/>
              </w:rPr>
              <w:t>第十五条 销售超过有效期的标准物质的，责令改正；逾期不改正的，处三万元以下罚款。</w:t>
            </w:r>
          </w:p>
          <w:p w14:paraId="1507516B">
            <w:pPr>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p>
        </w:tc>
        <w:tc>
          <w:tcPr>
            <w:tcW w:w="1132" w:type="dxa"/>
            <w:noWrap w:val="0"/>
            <w:vAlign w:val="center"/>
          </w:tcPr>
          <w:p w14:paraId="34D51DF5">
            <w:pPr>
              <w:keepNext w:val="0"/>
              <w:keepLines w:val="0"/>
              <w:pageBreakBefore w:val="0"/>
              <w:widowControl/>
              <w:suppressLineNumbers w:val="0"/>
              <w:kinsoku/>
              <w:wordWrap/>
              <w:overflowPunct/>
              <w:topLinePunct w:val="0"/>
              <w:bidi w:val="0"/>
              <w:adjustRightInd/>
              <w:snapToGrid/>
              <w:spacing w:line="400" w:lineRule="exact"/>
              <w:ind w:left="63" w:leftChars="30" w:right="63" w:rightChars="30"/>
              <w:jc w:val="center"/>
              <w:textAlignment w:val="center"/>
              <w:rPr>
                <w:rFonts w:hint="eastAsia" w:ascii="宋体" w:hAnsi="宋体" w:eastAsia="宋体" w:cs="宋体"/>
                <w:b w:val="0"/>
                <w:bCs w:val="0"/>
                <w:i w:val="0"/>
                <w:iCs w:val="0"/>
                <w:color w:val="auto"/>
                <w:spacing w:val="6"/>
                <w:kern w:val="21"/>
                <w:sz w:val="24"/>
                <w:szCs w:val="24"/>
                <w:u w:val="none"/>
                <w:lang w:val="en-US" w:eastAsia="zh-CN" w:bidi="ar"/>
              </w:rPr>
            </w:pPr>
            <w:r>
              <w:rPr>
                <w:rFonts w:hint="eastAsia" w:ascii="宋体" w:hAnsi="宋体" w:eastAsia="宋体" w:cs="宋体"/>
                <w:b w:val="0"/>
                <w:bCs w:val="0"/>
                <w:i w:val="0"/>
                <w:iCs w:val="0"/>
                <w:color w:val="auto"/>
                <w:spacing w:val="6"/>
                <w:kern w:val="21"/>
                <w:sz w:val="24"/>
                <w:szCs w:val="24"/>
                <w:u w:val="none"/>
                <w:lang w:val="en-US" w:eastAsia="zh-CN" w:bidi="ar"/>
              </w:rPr>
              <w:t>较轻</w:t>
            </w:r>
          </w:p>
        </w:tc>
        <w:tc>
          <w:tcPr>
            <w:tcW w:w="3165" w:type="dxa"/>
            <w:noWrap w:val="0"/>
            <w:vAlign w:val="center"/>
          </w:tcPr>
          <w:p w14:paraId="75B1610C">
            <w:pPr>
              <w:keepNext w:val="0"/>
              <w:keepLines w:val="0"/>
              <w:pageBreakBefore w:val="0"/>
              <w:widowControl/>
              <w:suppressLineNumbers w:val="0"/>
              <w:kinsoku/>
              <w:overflowPunct/>
              <w:topLinePunct w:val="0"/>
              <w:bidi w:val="0"/>
              <w:adjustRightInd/>
              <w:snapToGrid/>
              <w:spacing w:line="400" w:lineRule="exact"/>
              <w:ind w:left="63" w:leftChars="30" w:right="63" w:rightChars="30"/>
              <w:jc w:val="both"/>
              <w:textAlignment w:val="center"/>
              <w:rPr>
                <w:rFonts w:hint="eastAsia" w:ascii="宋体" w:hAnsi="宋体" w:eastAsia="宋体" w:cs="宋体"/>
                <w:b w:val="0"/>
                <w:bCs w:val="0"/>
                <w:i w:val="0"/>
                <w:iCs w:val="0"/>
                <w:color w:val="auto"/>
                <w:spacing w:val="6"/>
                <w:kern w:val="21"/>
                <w:sz w:val="24"/>
                <w:szCs w:val="24"/>
                <w:u w:val="none"/>
                <w:lang w:val="en-US" w:eastAsia="zh-CN" w:bidi="ar"/>
              </w:rPr>
            </w:pPr>
            <w:r>
              <w:rPr>
                <w:rFonts w:hint="eastAsia" w:ascii="宋体" w:hAnsi="宋体" w:eastAsia="宋体" w:cs="宋体"/>
                <w:b w:val="0"/>
                <w:bCs w:val="0"/>
                <w:i w:val="0"/>
                <w:iCs w:val="0"/>
                <w:color w:val="auto"/>
                <w:spacing w:val="6"/>
                <w:kern w:val="21"/>
                <w:sz w:val="24"/>
                <w:szCs w:val="24"/>
                <w:u w:val="none"/>
                <w:lang w:val="en-US" w:eastAsia="zh-CN" w:bidi="ar"/>
              </w:rPr>
              <w:t>违法行为逾期10日以下未改正的。</w:t>
            </w:r>
          </w:p>
        </w:tc>
        <w:tc>
          <w:tcPr>
            <w:tcW w:w="3382" w:type="dxa"/>
            <w:noWrap w:val="0"/>
            <w:vAlign w:val="center"/>
          </w:tcPr>
          <w:p w14:paraId="0C5ED387">
            <w:pPr>
              <w:keepNext w:val="0"/>
              <w:keepLines w:val="0"/>
              <w:pageBreakBefore w:val="0"/>
              <w:widowControl/>
              <w:suppressLineNumbers w:val="0"/>
              <w:kinsoku/>
              <w:overflowPunct/>
              <w:topLinePunct w:val="0"/>
              <w:bidi w:val="0"/>
              <w:adjustRightInd/>
              <w:snapToGrid/>
              <w:spacing w:line="400" w:lineRule="exact"/>
              <w:ind w:left="105" w:leftChars="50" w:right="63" w:rightChars="30"/>
              <w:jc w:val="both"/>
              <w:textAlignment w:val="center"/>
              <w:rPr>
                <w:rFonts w:hint="eastAsia" w:ascii="宋体" w:hAnsi="宋体" w:eastAsia="宋体" w:cs="宋体"/>
                <w:b w:val="0"/>
                <w:bCs w:val="0"/>
                <w:i w:val="0"/>
                <w:iCs w:val="0"/>
                <w:color w:val="auto"/>
                <w:spacing w:val="6"/>
                <w:kern w:val="21"/>
                <w:sz w:val="24"/>
                <w:szCs w:val="24"/>
                <w:u w:val="none"/>
                <w:lang w:val="en-US" w:eastAsia="zh-CN" w:bidi="ar"/>
              </w:rPr>
            </w:pPr>
            <w:r>
              <w:rPr>
                <w:rFonts w:hint="eastAsia" w:ascii="宋体" w:hAnsi="宋体" w:eastAsia="宋体" w:cs="宋体"/>
                <w:b w:val="0"/>
                <w:bCs w:val="0"/>
                <w:i w:val="0"/>
                <w:iCs w:val="0"/>
                <w:color w:val="auto"/>
                <w:spacing w:val="6"/>
                <w:kern w:val="21"/>
                <w:sz w:val="24"/>
                <w:szCs w:val="24"/>
                <w:u w:val="none"/>
                <w:lang w:val="en-US" w:eastAsia="zh-CN" w:bidi="ar"/>
              </w:rPr>
              <w:t>处9000元以下罚款。</w:t>
            </w:r>
          </w:p>
          <w:p w14:paraId="67064A1E">
            <w:pPr>
              <w:keepNext w:val="0"/>
              <w:keepLines w:val="0"/>
              <w:pageBreakBefore w:val="0"/>
              <w:widowControl/>
              <w:suppressLineNumbers w:val="0"/>
              <w:kinsoku/>
              <w:overflowPunct/>
              <w:topLinePunct w:val="0"/>
              <w:bidi w:val="0"/>
              <w:adjustRightInd/>
              <w:snapToGrid/>
              <w:spacing w:line="400" w:lineRule="exact"/>
              <w:ind w:left="105" w:leftChars="50" w:right="63" w:rightChars="30" w:firstLine="504" w:firstLineChars="200"/>
              <w:jc w:val="both"/>
              <w:textAlignment w:val="center"/>
              <w:rPr>
                <w:rFonts w:hint="eastAsia" w:ascii="宋体" w:hAnsi="宋体" w:eastAsia="宋体" w:cs="宋体"/>
                <w:b w:val="0"/>
                <w:bCs w:val="0"/>
                <w:i w:val="0"/>
                <w:iCs w:val="0"/>
                <w:color w:val="auto"/>
                <w:spacing w:val="6"/>
                <w:kern w:val="21"/>
                <w:sz w:val="24"/>
                <w:szCs w:val="24"/>
                <w:u w:val="none"/>
                <w:lang w:val="en-US" w:eastAsia="zh-CN" w:bidi="ar"/>
              </w:rPr>
            </w:pPr>
          </w:p>
        </w:tc>
      </w:tr>
      <w:tr w14:paraId="08A90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7" w:hRule="exact"/>
          <w:jc w:val="center"/>
        </w:trPr>
        <w:tc>
          <w:tcPr>
            <w:tcW w:w="640" w:type="dxa"/>
            <w:vMerge w:val="continue"/>
            <w:noWrap w:val="0"/>
            <w:vAlign w:val="center"/>
          </w:tcPr>
          <w:p w14:paraId="3E61DE62">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center"/>
          </w:tcPr>
          <w:p w14:paraId="790C9B83">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center"/>
          </w:tcPr>
          <w:p w14:paraId="7406F254">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0CE5AE9C">
            <w:pPr>
              <w:keepNext w:val="0"/>
              <w:keepLines w:val="0"/>
              <w:pageBreakBefore w:val="0"/>
              <w:widowControl/>
              <w:suppressLineNumbers w:val="0"/>
              <w:kinsoku/>
              <w:wordWrap/>
              <w:overflowPunct/>
              <w:topLinePunct w:val="0"/>
              <w:bidi w:val="0"/>
              <w:adjustRightInd/>
              <w:snapToGrid/>
              <w:spacing w:line="400" w:lineRule="exact"/>
              <w:ind w:left="63" w:leftChars="30" w:right="63" w:rightChars="30"/>
              <w:jc w:val="center"/>
              <w:textAlignment w:val="center"/>
              <w:rPr>
                <w:rFonts w:hint="eastAsia" w:ascii="宋体" w:hAnsi="宋体" w:eastAsia="宋体" w:cs="宋体"/>
                <w:b w:val="0"/>
                <w:bCs w:val="0"/>
                <w:i w:val="0"/>
                <w:iCs w:val="0"/>
                <w:color w:val="auto"/>
                <w:spacing w:val="6"/>
                <w:kern w:val="21"/>
                <w:sz w:val="24"/>
                <w:szCs w:val="24"/>
                <w:u w:val="none"/>
                <w:lang w:val="en-US" w:eastAsia="zh-CN" w:bidi="ar"/>
              </w:rPr>
            </w:pPr>
            <w:r>
              <w:rPr>
                <w:rFonts w:hint="eastAsia" w:ascii="宋体" w:hAnsi="宋体" w:eastAsia="宋体" w:cs="宋体"/>
                <w:b w:val="0"/>
                <w:bCs w:val="0"/>
                <w:i w:val="0"/>
                <w:iCs w:val="0"/>
                <w:color w:val="auto"/>
                <w:spacing w:val="6"/>
                <w:kern w:val="21"/>
                <w:sz w:val="24"/>
                <w:szCs w:val="24"/>
                <w:u w:val="none"/>
                <w:lang w:val="en-US" w:eastAsia="zh-CN" w:bidi="ar"/>
              </w:rPr>
              <w:t>一般</w:t>
            </w:r>
          </w:p>
        </w:tc>
        <w:tc>
          <w:tcPr>
            <w:tcW w:w="3165" w:type="dxa"/>
            <w:noWrap w:val="0"/>
            <w:vAlign w:val="center"/>
          </w:tcPr>
          <w:p w14:paraId="6D8A0D1C">
            <w:pPr>
              <w:keepNext w:val="0"/>
              <w:keepLines w:val="0"/>
              <w:pageBreakBefore w:val="0"/>
              <w:widowControl/>
              <w:suppressLineNumbers w:val="0"/>
              <w:kinsoku/>
              <w:overflowPunct/>
              <w:topLinePunct w:val="0"/>
              <w:bidi w:val="0"/>
              <w:adjustRightInd/>
              <w:snapToGrid/>
              <w:spacing w:line="400" w:lineRule="exact"/>
              <w:ind w:left="63" w:leftChars="30" w:right="63" w:rightChars="30"/>
              <w:jc w:val="both"/>
              <w:textAlignment w:val="center"/>
              <w:rPr>
                <w:rFonts w:hint="eastAsia" w:ascii="宋体" w:hAnsi="宋体" w:eastAsia="宋体" w:cs="宋体"/>
                <w:b w:val="0"/>
                <w:bCs w:val="0"/>
                <w:i w:val="0"/>
                <w:iCs w:val="0"/>
                <w:color w:val="auto"/>
                <w:spacing w:val="6"/>
                <w:kern w:val="21"/>
                <w:sz w:val="24"/>
                <w:szCs w:val="24"/>
                <w:u w:val="none"/>
                <w:lang w:val="en-US" w:eastAsia="zh-CN" w:bidi="ar"/>
              </w:rPr>
            </w:pPr>
            <w:r>
              <w:rPr>
                <w:rFonts w:hint="eastAsia" w:ascii="宋体" w:hAnsi="宋体" w:eastAsia="宋体" w:cs="宋体"/>
                <w:b w:val="0"/>
                <w:bCs w:val="0"/>
                <w:i w:val="0"/>
                <w:iCs w:val="0"/>
                <w:color w:val="auto"/>
                <w:spacing w:val="6"/>
                <w:kern w:val="21"/>
                <w:sz w:val="24"/>
                <w:szCs w:val="24"/>
                <w:u w:val="none"/>
                <w:lang w:val="en-US" w:eastAsia="zh-CN" w:bidi="ar"/>
              </w:rPr>
              <w:t>违法行为逾期10日以上30日以下未改正的。</w:t>
            </w:r>
          </w:p>
        </w:tc>
        <w:tc>
          <w:tcPr>
            <w:tcW w:w="3382" w:type="dxa"/>
            <w:noWrap w:val="0"/>
            <w:vAlign w:val="center"/>
          </w:tcPr>
          <w:p w14:paraId="635560DD">
            <w:pPr>
              <w:keepNext w:val="0"/>
              <w:keepLines w:val="0"/>
              <w:pageBreakBefore w:val="0"/>
              <w:widowControl/>
              <w:suppressLineNumbers w:val="0"/>
              <w:kinsoku/>
              <w:overflowPunct/>
              <w:topLinePunct w:val="0"/>
              <w:bidi w:val="0"/>
              <w:adjustRightInd/>
              <w:snapToGrid/>
              <w:spacing w:line="400" w:lineRule="exact"/>
              <w:ind w:left="105" w:leftChars="50" w:right="63" w:rightChars="30"/>
              <w:jc w:val="both"/>
              <w:textAlignment w:val="center"/>
              <w:rPr>
                <w:rFonts w:hint="eastAsia" w:ascii="宋体" w:hAnsi="宋体" w:eastAsia="宋体" w:cs="宋体"/>
                <w:b w:val="0"/>
                <w:bCs w:val="0"/>
                <w:i w:val="0"/>
                <w:iCs w:val="0"/>
                <w:color w:val="auto"/>
                <w:spacing w:val="6"/>
                <w:kern w:val="21"/>
                <w:sz w:val="24"/>
                <w:szCs w:val="24"/>
                <w:u w:val="none"/>
                <w:lang w:val="en-US" w:eastAsia="zh-CN" w:bidi="ar"/>
              </w:rPr>
            </w:pPr>
            <w:r>
              <w:rPr>
                <w:rFonts w:hint="eastAsia" w:ascii="宋体" w:hAnsi="宋体" w:eastAsia="宋体" w:cs="宋体"/>
                <w:b w:val="0"/>
                <w:bCs w:val="0"/>
                <w:i w:val="0"/>
                <w:iCs w:val="0"/>
                <w:color w:val="auto"/>
                <w:spacing w:val="6"/>
                <w:kern w:val="21"/>
                <w:sz w:val="24"/>
                <w:szCs w:val="24"/>
                <w:u w:val="none"/>
                <w:lang w:val="en-US" w:eastAsia="zh-CN" w:bidi="ar"/>
              </w:rPr>
              <w:t>处9000元以上2</w:t>
            </w:r>
            <w:r>
              <w:rPr>
                <w:rFonts w:hint="eastAsia" w:ascii="宋体" w:hAnsi="宋体" w:cs="宋体"/>
                <w:b w:val="0"/>
                <w:bCs w:val="0"/>
                <w:i w:val="0"/>
                <w:iCs w:val="0"/>
                <w:color w:val="auto"/>
                <w:spacing w:val="6"/>
                <w:kern w:val="21"/>
                <w:sz w:val="24"/>
                <w:szCs w:val="24"/>
                <w:u w:val="none"/>
                <w:lang w:val="en-US" w:eastAsia="zh-CN" w:bidi="ar"/>
              </w:rPr>
              <w:t>.1万</w:t>
            </w:r>
            <w:r>
              <w:rPr>
                <w:rFonts w:hint="eastAsia" w:ascii="宋体" w:hAnsi="宋体" w:eastAsia="宋体" w:cs="宋体"/>
                <w:b w:val="0"/>
                <w:bCs w:val="0"/>
                <w:i w:val="0"/>
                <w:iCs w:val="0"/>
                <w:color w:val="auto"/>
                <w:spacing w:val="6"/>
                <w:kern w:val="21"/>
                <w:sz w:val="24"/>
                <w:szCs w:val="24"/>
                <w:u w:val="none"/>
                <w:lang w:val="en-US" w:eastAsia="zh-CN" w:bidi="ar"/>
              </w:rPr>
              <w:t>元以下罚款。</w:t>
            </w:r>
          </w:p>
        </w:tc>
      </w:tr>
      <w:tr w14:paraId="3640C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7" w:hRule="exact"/>
          <w:jc w:val="center"/>
        </w:trPr>
        <w:tc>
          <w:tcPr>
            <w:tcW w:w="640" w:type="dxa"/>
            <w:vMerge w:val="continue"/>
            <w:noWrap w:val="0"/>
            <w:vAlign w:val="center"/>
          </w:tcPr>
          <w:p w14:paraId="5EAA5D86">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center"/>
          </w:tcPr>
          <w:p w14:paraId="4E21B2FB">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center"/>
          </w:tcPr>
          <w:p w14:paraId="4E7E4C2B">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3B842598">
            <w:pPr>
              <w:keepNext w:val="0"/>
              <w:keepLines w:val="0"/>
              <w:pageBreakBefore w:val="0"/>
              <w:widowControl/>
              <w:suppressLineNumbers w:val="0"/>
              <w:kinsoku/>
              <w:wordWrap/>
              <w:overflowPunct/>
              <w:topLinePunct w:val="0"/>
              <w:bidi w:val="0"/>
              <w:adjustRightInd/>
              <w:snapToGrid/>
              <w:spacing w:line="400" w:lineRule="exact"/>
              <w:ind w:left="63" w:leftChars="30" w:right="63" w:rightChars="30"/>
              <w:jc w:val="center"/>
              <w:textAlignment w:val="center"/>
              <w:rPr>
                <w:rFonts w:hint="eastAsia" w:ascii="宋体" w:hAnsi="宋体" w:eastAsia="宋体" w:cs="宋体"/>
                <w:b w:val="0"/>
                <w:bCs w:val="0"/>
                <w:i w:val="0"/>
                <w:iCs w:val="0"/>
                <w:color w:val="auto"/>
                <w:spacing w:val="6"/>
                <w:kern w:val="21"/>
                <w:sz w:val="24"/>
                <w:szCs w:val="24"/>
                <w:u w:val="none"/>
                <w:lang w:val="en-US" w:eastAsia="zh-CN" w:bidi="ar"/>
              </w:rPr>
            </w:pPr>
            <w:r>
              <w:rPr>
                <w:rFonts w:hint="eastAsia" w:ascii="宋体" w:hAnsi="宋体" w:eastAsia="宋体" w:cs="宋体"/>
                <w:b w:val="0"/>
                <w:bCs w:val="0"/>
                <w:i w:val="0"/>
                <w:iCs w:val="0"/>
                <w:color w:val="auto"/>
                <w:spacing w:val="6"/>
                <w:kern w:val="21"/>
                <w:sz w:val="24"/>
                <w:szCs w:val="24"/>
                <w:u w:val="none"/>
                <w:lang w:val="en-US" w:eastAsia="zh-CN" w:bidi="ar"/>
              </w:rPr>
              <w:t>较重</w:t>
            </w:r>
          </w:p>
        </w:tc>
        <w:tc>
          <w:tcPr>
            <w:tcW w:w="3165" w:type="dxa"/>
            <w:noWrap w:val="0"/>
            <w:vAlign w:val="center"/>
          </w:tcPr>
          <w:p w14:paraId="1FF01015">
            <w:pPr>
              <w:keepNext w:val="0"/>
              <w:keepLines w:val="0"/>
              <w:pageBreakBefore w:val="0"/>
              <w:widowControl/>
              <w:suppressLineNumbers w:val="0"/>
              <w:kinsoku/>
              <w:overflowPunct/>
              <w:topLinePunct w:val="0"/>
              <w:bidi w:val="0"/>
              <w:adjustRightInd/>
              <w:snapToGrid/>
              <w:spacing w:line="400" w:lineRule="exact"/>
              <w:ind w:left="63" w:leftChars="30" w:right="63" w:rightChars="30"/>
              <w:jc w:val="both"/>
              <w:textAlignment w:val="center"/>
              <w:rPr>
                <w:rFonts w:hint="eastAsia" w:ascii="宋体" w:hAnsi="宋体" w:eastAsia="宋体" w:cs="宋体"/>
                <w:b w:val="0"/>
                <w:bCs w:val="0"/>
                <w:i w:val="0"/>
                <w:iCs w:val="0"/>
                <w:color w:val="auto"/>
                <w:spacing w:val="6"/>
                <w:kern w:val="21"/>
                <w:sz w:val="24"/>
                <w:szCs w:val="24"/>
                <w:u w:val="none"/>
                <w:lang w:val="en-US" w:eastAsia="zh-CN" w:bidi="ar"/>
              </w:rPr>
            </w:pPr>
            <w:r>
              <w:rPr>
                <w:rFonts w:hint="eastAsia" w:ascii="宋体" w:hAnsi="宋体" w:eastAsia="宋体" w:cs="宋体"/>
                <w:b w:val="0"/>
                <w:bCs w:val="0"/>
                <w:i w:val="0"/>
                <w:iCs w:val="0"/>
                <w:color w:val="auto"/>
                <w:spacing w:val="6"/>
                <w:kern w:val="21"/>
                <w:sz w:val="24"/>
                <w:szCs w:val="24"/>
                <w:u w:val="none"/>
                <w:lang w:val="en-US" w:eastAsia="zh-CN" w:bidi="ar"/>
              </w:rPr>
              <w:t>违法行为逾期30日以上未改正的。</w:t>
            </w:r>
          </w:p>
        </w:tc>
        <w:tc>
          <w:tcPr>
            <w:tcW w:w="3382" w:type="dxa"/>
            <w:noWrap w:val="0"/>
            <w:vAlign w:val="center"/>
          </w:tcPr>
          <w:p w14:paraId="358C3119">
            <w:pPr>
              <w:keepNext w:val="0"/>
              <w:keepLines w:val="0"/>
              <w:pageBreakBefore w:val="0"/>
              <w:widowControl/>
              <w:suppressLineNumbers w:val="0"/>
              <w:kinsoku/>
              <w:overflowPunct/>
              <w:topLinePunct w:val="0"/>
              <w:bidi w:val="0"/>
              <w:adjustRightInd/>
              <w:snapToGrid/>
              <w:spacing w:line="400" w:lineRule="exact"/>
              <w:ind w:left="105" w:leftChars="50" w:right="63" w:rightChars="30"/>
              <w:jc w:val="both"/>
              <w:textAlignment w:val="center"/>
              <w:rPr>
                <w:rFonts w:hint="eastAsia" w:ascii="宋体" w:hAnsi="宋体" w:eastAsia="宋体" w:cs="宋体"/>
                <w:b w:val="0"/>
                <w:bCs w:val="0"/>
                <w:i w:val="0"/>
                <w:iCs w:val="0"/>
                <w:color w:val="auto"/>
                <w:spacing w:val="6"/>
                <w:kern w:val="21"/>
                <w:sz w:val="24"/>
                <w:szCs w:val="24"/>
                <w:u w:val="none"/>
                <w:lang w:val="en-US" w:eastAsia="zh-CN" w:bidi="ar"/>
              </w:rPr>
            </w:pPr>
            <w:r>
              <w:rPr>
                <w:rFonts w:hint="eastAsia" w:ascii="宋体" w:hAnsi="宋体" w:eastAsia="宋体" w:cs="宋体"/>
                <w:b w:val="0"/>
                <w:bCs w:val="0"/>
                <w:i w:val="0"/>
                <w:iCs w:val="0"/>
                <w:color w:val="auto"/>
                <w:spacing w:val="6"/>
                <w:kern w:val="21"/>
                <w:sz w:val="24"/>
                <w:szCs w:val="24"/>
                <w:u w:val="none"/>
                <w:lang w:val="en-US" w:eastAsia="zh-CN" w:bidi="ar"/>
              </w:rPr>
              <w:t>处</w:t>
            </w:r>
            <w:r>
              <w:rPr>
                <w:rFonts w:hint="eastAsia" w:ascii="宋体" w:hAnsi="宋体" w:cs="宋体"/>
                <w:b w:val="0"/>
                <w:bCs w:val="0"/>
                <w:i w:val="0"/>
                <w:iCs w:val="0"/>
                <w:color w:val="auto"/>
                <w:spacing w:val="6"/>
                <w:kern w:val="21"/>
                <w:sz w:val="24"/>
                <w:szCs w:val="24"/>
                <w:u w:val="none"/>
                <w:lang w:val="en-US" w:eastAsia="zh-CN" w:bidi="ar"/>
              </w:rPr>
              <w:t>2.1万</w:t>
            </w:r>
            <w:r>
              <w:rPr>
                <w:rFonts w:hint="eastAsia" w:ascii="宋体" w:hAnsi="宋体" w:eastAsia="宋体" w:cs="宋体"/>
                <w:b w:val="0"/>
                <w:bCs w:val="0"/>
                <w:i w:val="0"/>
                <w:iCs w:val="0"/>
                <w:color w:val="auto"/>
                <w:spacing w:val="6"/>
                <w:kern w:val="21"/>
                <w:sz w:val="24"/>
                <w:szCs w:val="24"/>
                <w:u w:val="none"/>
                <w:lang w:val="en-US" w:eastAsia="zh-CN" w:bidi="ar"/>
              </w:rPr>
              <w:t>元以上3</w:t>
            </w:r>
            <w:r>
              <w:rPr>
                <w:rFonts w:hint="eastAsia" w:ascii="宋体" w:hAnsi="宋体" w:cs="宋体"/>
                <w:b w:val="0"/>
                <w:bCs w:val="0"/>
                <w:i w:val="0"/>
                <w:iCs w:val="0"/>
                <w:color w:val="auto"/>
                <w:spacing w:val="6"/>
                <w:kern w:val="21"/>
                <w:sz w:val="24"/>
                <w:szCs w:val="24"/>
                <w:u w:val="none"/>
                <w:lang w:val="en-US" w:eastAsia="zh-CN" w:bidi="ar"/>
              </w:rPr>
              <w:t>万</w:t>
            </w:r>
            <w:r>
              <w:rPr>
                <w:rFonts w:hint="eastAsia" w:ascii="宋体" w:hAnsi="宋体" w:eastAsia="宋体" w:cs="宋体"/>
                <w:b w:val="0"/>
                <w:bCs w:val="0"/>
                <w:i w:val="0"/>
                <w:iCs w:val="0"/>
                <w:color w:val="auto"/>
                <w:spacing w:val="6"/>
                <w:kern w:val="21"/>
                <w:sz w:val="24"/>
                <w:szCs w:val="24"/>
                <w:u w:val="none"/>
                <w:lang w:val="en-US" w:eastAsia="zh-CN" w:bidi="ar"/>
              </w:rPr>
              <w:t>元以下罚款。</w:t>
            </w:r>
          </w:p>
        </w:tc>
      </w:tr>
      <w:tr w14:paraId="34692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exact"/>
          <w:jc w:val="center"/>
        </w:trPr>
        <w:tc>
          <w:tcPr>
            <w:tcW w:w="640" w:type="dxa"/>
            <w:vMerge w:val="restart"/>
            <w:noWrap w:val="0"/>
            <w:vAlign w:val="center"/>
          </w:tcPr>
          <w:p w14:paraId="7C509892">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default" w:ascii="宋体" w:hAnsi="宋体" w:eastAsia="宋体" w:cs="宋体"/>
                <w:b w:val="0"/>
                <w:bCs w:val="0"/>
                <w:color w:val="auto"/>
                <w:spacing w:val="6"/>
                <w:kern w:val="21"/>
                <w:sz w:val="24"/>
                <w:szCs w:val="24"/>
                <w:lang w:val="en-US" w:eastAsia="zh-CN"/>
              </w:rPr>
            </w:pPr>
            <w:r>
              <w:rPr>
                <w:rFonts w:hint="eastAsia" w:ascii="宋体" w:hAnsi="宋体" w:cs="宋体"/>
                <w:b w:val="0"/>
                <w:bCs w:val="0"/>
                <w:color w:val="auto"/>
                <w:spacing w:val="6"/>
                <w:kern w:val="21"/>
                <w:sz w:val="24"/>
                <w:szCs w:val="24"/>
                <w:lang w:val="en-US" w:eastAsia="zh-CN"/>
              </w:rPr>
              <w:t>131</w:t>
            </w:r>
          </w:p>
        </w:tc>
        <w:tc>
          <w:tcPr>
            <w:tcW w:w="1793" w:type="dxa"/>
            <w:vMerge w:val="restart"/>
            <w:noWrap w:val="0"/>
            <w:vAlign w:val="center"/>
          </w:tcPr>
          <w:p w14:paraId="76A8E18E">
            <w:pPr>
              <w:keepNext w:val="0"/>
              <w:keepLines w:val="0"/>
              <w:widowControl/>
              <w:suppressLineNumbers w:val="0"/>
              <w:spacing w:line="400" w:lineRule="exact"/>
              <w:ind w:left="63" w:leftChars="30" w:right="63" w:rightChars="30"/>
              <w:jc w:val="both"/>
              <w:textAlignment w:val="center"/>
              <w:rPr>
                <w:rFonts w:hint="eastAsia" w:ascii="宋体" w:hAnsi="宋体" w:cs="宋体"/>
                <w:color w:val="auto"/>
                <w:spacing w:val="6"/>
                <w:kern w:val="21"/>
                <w:sz w:val="24"/>
                <w:lang w:bidi="ar"/>
              </w:rPr>
            </w:pPr>
            <w:r>
              <w:rPr>
                <w:rFonts w:hint="eastAsia" w:ascii="宋体" w:hAnsi="宋体" w:eastAsia="宋体" w:cs="宋体"/>
                <w:color w:val="auto"/>
                <w:spacing w:val="6"/>
                <w:kern w:val="21"/>
                <w:sz w:val="24"/>
                <w:szCs w:val="24"/>
                <w:lang w:val="en-US" w:eastAsia="zh-CN" w:bidi="ar"/>
              </w:rPr>
              <w:t>《计量器具新产品管理办法》</w:t>
            </w:r>
          </w:p>
          <w:p w14:paraId="2BD866F8">
            <w:pPr>
              <w:keepNext w:val="0"/>
              <w:keepLines w:val="0"/>
              <w:widowControl/>
              <w:suppressLineNumbers w:val="0"/>
              <w:spacing w:line="400" w:lineRule="exact"/>
              <w:ind w:left="63" w:leftChars="30" w:right="63" w:rightChars="30"/>
              <w:jc w:val="both"/>
              <w:textAlignment w:val="center"/>
              <w:rPr>
                <w:rFonts w:hint="eastAsia" w:ascii="宋体" w:hAnsi="宋体" w:cs="宋体"/>
                <w:color w:val="auto"/>
                <w:spacing w:val="6"/>
                <w:kern w:val="21"/>
                <w:sz w:val="24"/>
                <w:lang w:bidi="ar"/>
              </w:rPr>
            </w:pPr>
            <w:r>
              <w:rPr>
                <w:rFonts w:hint="eastAsia" w:ascii="宋体" w:hAnsi="宋体" w:eastAsia="宋体" w:cs="宋体"/>
                <w:color w:val="auto"/>
                <w:spacing w:val="6"/>
                <w:kern w:val="21"/>
                <w:sz w:val="24"/>
                <w:szCs w:val="24"/>
                <w:lang w:val="en-US" w:eastAsia="zh-CN" w:bidi="ar"/>
              </w:rPr>
              <w:t>（2023年6月1日</w:t>
            </w:r>
            <w:r>
              <w:rPr>
                <w:rFonts w:hint="eastAsia" w:ascii="宋体" w:hAnsi="宋体" w:cs="宋体"/>
                <w:color w:val="auto"/>
                <w:spacing w:val="6"/>
                <w:kern w:val="21"/>
                <w:sz w:val="24"/>
                <w:szCs w:val="24"/>
                <w:lang w:val="en-US" w:eastAsia="zh-CN" w:bidi="ar"/>
              </w:rPr>
              <w:t>起施行</w:t>
            </w:r>
            <w:r>
              <w:rPr>
                <w:rFonts w:hint="eastAsia" w:ascii="宋体" w:hAnsi="宋体" w:eastAsia="宋体" w:cs="宋体"/>
                <w:color w:val="auto"/>
                <w:spacing w:val="6"/>
                <w:kern w:val="21"/>
                <w:sz w:val="24"/>
                <w:szCs w:val="24"/>
                <w:lang w:val="en-US" w:eastAsia="zh-CN" w:bidi="ar"/>
              </w:rPr>
              <w:t>）</w:t>
            </w:r>
          </w:p>
          <w:p w14:paraId="0BF1FCD6">
            <w:pPr>
              <w:keepNext w:val="0"/>
              <w:keepLines w:val="0"/>
              <w:pageBreakBefore w:val="0"/>
              <w:widowControl/>
              <w:kinsoku/>
              <w:wordWrap/>
              <w:overflowPunct/>
              <w:topLinePunct w:val="0"/>
              <w:bidi w:val="0"/>
              <w:adjustRightInd/>
              <w:snapToGrid/>
              <w:spacing w:line="400" w:lineRule="exact"/>
              <w:ind w:left="63" w:leftChars="30" w:right="63" w:rightChars="30"/>
              <w:jc w:val="both"/>
              <w:textAlignment w:val="center"/>
              <w:rPr>
                <w:rFonts w:hint="eastAsia" w:ascii="宋体" w:hAnsi="宋体" w:eastAsia="宋体" w:cs="宋体"/>
                <w:b w:val="0"/>
                <w:bCs w:val="0"/>
                <w:color w:val="auto"/>
                <w:spacing w:val="6"/>
                <w:kern w:val="21"/>
                <w:sz w:val="24"/>
                <w:szCs w:val="24"/>
                <w:lang w:bidi="ar"/>
              </w:rPr>
            </w:pPr>
          </w:p>
        </w:tc>
        <w:tc>
          <w:tcPr>
            <w:tcW w:w="4193" w:type="dxa"/>
            <w:vMerge w:val="restart"/>
            <w:noWrap w:val="0"/>
            <w:vAlign w:val="center"/>
          </w:tcPr>
          <w:p w14:paraId="4A90B10D">
            <w:pPr>
              <w:keepNext w:val="0"/>
              <w:keepLines w:val="0"/>
              <w:widowControl/>
              <w:suppressLineNumbers w:val="0"/>
              <w:spacing w:line="400" w:lineRule="exact"/>
              <w:ind w:left="63" w:leftChars="30" w:right="63" w:rightChars="30"/>
              <w:jc w:val="both"/>
              <w:textAlignment w:val="center"/>
              <w:rPr>
                <w:rFonts w:hint="eastAsia" w:ascii="宋体" w:hAnsi="宋体" w:cs="宋体"/>
                <w:color w:val="auto"/>
                <w:spacing w:val="6"/>
                <w:kern w:val="21"/>
                <w:sz w:val="24"/>
                <w:lang w:bidi="ar"/>
              </w:rPr>
            </w:pPr>
            <w:r>
              <w:rPr>
                <w:rFonts w:hint="eastAsia" w:ascii="宋体" w:hAnsi="宋体" w:eastAsia="宋体" w:cs="宋体"/>
                <w:color w:val="auto"/>
                <w:spacing w:val="6"/>
                <w:kern w:val="21"/>
                <w:sz w:val="24"/>
                <w:szCs w:val="24"/>
                <w:lang w:val="en-US" w:eastAsia="zh-CN" w:bidi="ar"/>
              </w:rPr>
              <w:t>第二十一条 未按规定标注型式批准标志和编号的，由县级以上市场监督管理部门责令改正，处三万元以下罚款。</w:t>
            </w:r>
          </w:p>
          <w:p w14:paraId="1783039C">
            <w:pPr>
              <w:keepNext w:val="0"/>
              <w:keepLines w:val="0"/>
              <w:pageBreakBefore w:val="0"/>
              <w:widowControl/>
              <w:kinsoku/>
              <w:overflowPunct/>
              <w:topLinePunct w:val="0"/>
              <w:bidi w:val="0"/>
              <w:adjustRightInd/>
              <w:snapToGrid/>
              <w:spacing w:line="400" w:lineRule="exact"/>
              <w:ind w:left="63" w:leftChars="30" w:right="63" w:rightChars="30"/>
              <w:jc w:val="both"/>
              <w:textAlignment w:val="center"/>
              <w:rPr>
                <w:rFonts w:hint="eastAsia" w:ascii="宋体" w:hAnsi="宋体" w:eastAsia="宋体" w:cs="宋体"/>
                <w:b w:val="0"/>
                <w:bCs w:val="0"/>
                <w:color w:val="auto"/>
                <w:spacing w:val="6"/>
                <w:kern w:val="21"/>
                <w:sz w:val="24"/>
                <w:szCs w:val="24"/>
                <w:lang w:bidi="ar"/>
              </w:rPr>
            </w:pPr>
          </w:p>
        </w:tc>
        <w:tc>
          <w:tcPr>
            <w:tcW w:w="1132" w:type="dxa"/>
            <w:noWrap w:val="0"/>
            <w:vAlign w:val="center"/>
          </w:tcPr>
          <w:p w14:paraId="15C721EE">
            <w:pPr>
              <w:pStyle w:val="17"/>
              <w:keepNext w:val="0"/>
              <w:keepLines w:val="0"/>
              <w:pageBreakBefore w:val="0"/>
              <w:kinsoku/>
              <w:wordWrap/>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en-US" w:eastAsia="zh-CN" w:bidi="zh-CN"/>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44D0EE79">
            <w:pPr>
              <w:pStyle w:val="17"/>
              <w:keepNext w:val="0"/>
              <w:keepLines w:val="0"/>
              <w:pageBreakBefore w:val="0"/>
              <w:widowControl w:val="0"/>
              <w:kinsoku/>
              <w:wordWrap/>
              <w:overflowPunct/>
              <w:topLinePunct w:val="0"/>
              <w:autoSpaceDE w:val="0"/>
              <w:autoSpaceDN w:val="0"/>
              <w:bidi w:val="0"/>
              <w:adjustRightInd/>
              <w:snapToGrid/>
              <w:spacing w:line="320" w:lineRule="exact"/>
              <w:ind w:left="63" w:leftChars="30" w:right="63" w:rightChars="30"/>
              <w:jc w:val="both"/>
              <w:textAlignment w:val="auto"/>
              <w:rPr>
                <w:rFonts w:hint="eastAsia" w:ascii="宋体" w:hAnsi="宋体" w:eastAsia="宋体" w:cs="宋体"/>
                <w:b w:val="0"/>
                <w:bCs w:val="0"/>
                <w:color w:val="auto"/>
                <w:spacing w:val="6"/>
                <w:kern w:val="21"/>
                <w:sz w:val="24"/>
                <w:szCs w:val="24"/>
                <w:lang w:val="en-US" w:eastAsia="zh-CN" w:bidi="zh-CN"/>
              </w:rPr>
            </w:pPr>
            <w:r>
              <w:rPr>
                <w:rFonts w:hint="eastAsia" w:ascii="宋体" w:hAnsi="宋体" w:eastAsia="宋体" w:cs="宋体"/>
                <w:b w:val="0"/>
                <w:bCs w:val="0"/>
                <w:color w:val="auto"/>
                <w:spacing w:val="6"/>
                <w:kern w:val="21"/>
                <w:sz w:val="24"/>
                <w:szCs w:val="24"/>
              </w:rPr>
              <w:t>违法行为涉及货值金额</w:t>
            </w:r>
            <w:r>
              <w:rPr>
                <w:rFonts w:hint="eastAsia" w:cs="宋体"/>
                <w:b w:val="0"/>
                <w:bCs w:val="0"/>
                <w:color w:val="auto"/>
                <w:spacing w:val="6"/>
                <w:kern w:val="21"/>
                <w:sz w:val="24"/>
                <w:szCs w:val="24"/>
                <w:lang w:val="en-US" w:eastAsia="zh-CN"/>
              </w:rPr>
              <w:t>3</w:t>
            </w:r>
            <w:r>
              <w:rPr>
                <w:rFonts w:hint="eastAsia" w:ascii="宋体" w:hAnsi="宋体" w:eastAsia="宋体" w:cs="宋体"/>
                <w:b w:val="0"/>
                <w:bCs w:val="0"/>
                <w:color w:val="auto"/>
                <w:spacing w:val="6"/>
                <w:kern w:val="21"/>
                <w:sz w:val="24"/>
                <w:szCs w:val="24"/>
              </w:rPr>
              <w:t>万元以下的。</w:t>
            </w:r>
          </w:p>
        </w:tc>
        <w:tc>
          <w:tcPr>
            <w:tcW w:w="3382" w:type="dxa"/>
            <w:noWrap w:val="0"/>
            <w:vAlign w:val="center"/>
          </w:tcPr>
          <w:p w14:paraId="108AF248">
            <w:pPr>
              <w:pStyle w:val="17"/>
              <w:keepNext w:val="0"/>
              <w:keepLines w:val="0"/>
              <w:pageBreakBefore w:val="0"/>
              <w:widowControl w:val="0"/>
              <w:kinsoku/>
              <w:wordWrap/>
              <w:overflowPunct/>
              <w:topLinePunct w:val="0"/>
              <w:autoSpaceDE w:val="0"/>
              <w:autoSpaceDN w:val="0"/>
              <w:bidi w:val="0"/>
              <w:adjustRightInd/>
              <w:snapToGrid/>
              <w:spacing w:line="320" w:lineRule="exact"/>
              <w:ind w:left="63" w:leftChars="30" w:right="63" w:rightChars="30"/>
              <w:jc w:val="both"/>
              <w:textAlignment w:val="auto"/>
              <w:rPr>
                <w:rFonts w:hint="eastAsia" w:ascii="宋体" w:hAnsi="宋体" w:eastAsia="宋体" w:cs="宋体"/>
                <w:b w:val="0"/>
                <w:bCs w:val="0"/>
                <w:color w:val="auto"/>
                <w:spacing w:val="6"/>
                <w:kern w:val="21"/>
                <w:sz w:val="24"/>
                <w:szCs w:val="24"/>
                <w:lang w:val="en-US" w:eastAsia="zh-CN" w:bidi="zh-CN"/>
              </w:rPr>
            </w:pPr>
            <w:r>
              <w:rPr>
                <w:rFonts w:hint="eastAsia" w:ascii="宋体" w:hAnsi="宋体" w:eastAsia="宋体" w:cs="宋体"/>
                <w:b w:val="0"/>
                <w:bCs w:val="0"/>
                <w:color w:val="auto"/>
                <w:spacing w:val="6"/>
                <w:kern w:val="21"/>
                <w:sz w:val="24"/>
                <w:szCs w:val="24"/>
              </w:rPr>
              <w:t>处</w:t>
            </w:r>
            <w:r>
              <w:rPr>
                <w:rFonts w:hint="eastAsia" w:ascii="宋体" w:hAnsi="宋体" w:eastAsia="宋体" w:cs="宋体"/>
                <w:b w:val="0"/>
                <w:bCs w:val="0"/>
                <w:color w:val="auto"/>
                <w:spacing w:val="6"/>
                <w:kern w:val="21"/>
                <w:sz w:val="24"/>
                <w:szCs w:val="24"/>
                <w:lang w:val="en-US" w:eastAsia="zh-CN"/>
              </w:rPr>
              <w:t>9000</w:t>
            </w:r>
            <w:r>
              <w:rPr>
                <w:rFonts w:hint="eastAsia" w:ascii="宋体" w:hAnsi="宋体" w:eastAsia="宋体" w:cs="宋体"/>
                <w:b w:val="0"/>
                <w:bCs w:val="0"/>
                <w:color w:val="auto"/>
                <w:spacing w:val="6"/>
                <w:kern w:val="21"/>
                <w:sz w:val="24"/>
                <w:szCs w:val="24"/>
              </w:rPr>
              <w:t>元以下罚款</w:t>
            </w:r>
            <w:r>
              <w:rPr>
                <w:rFonts w:hint="eastAsia" w:ascii="宋体" w:hAnsi="宋体" w:eastAsia="宋体" w:cs="宋体"/>
                <w:b w:val="0"/>
                <w:bCs w:val="0"/>
                <w:color w:val="auto"/>
                <w:spacing w:val="6"/>
                <w:kern w:val="21"/>
                <w:sz w:val="24"/>
                <w:szCs w:val="24"/>
                <w:lang w:eastAsia="zh-CN"/>
              </w:rPr>
              <w:t>。</w:t>
            </w:r>
          </w:p>
        </w:tc>
      </w:tr>
      <w:tr w14:paraId="24F45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exact"/>
          <w:jc w:val="center"/>
        </w:trPr>
        <w:tc>
          <w:tcPr>
            <w:tcW w:w="640" w:type="dxa"/>
            <w:vMerge w:val="continue"/>
            <w:noWrap w:val="0"/>
            <w:vAlign w:val="center"/>
          </w:tcPr>
          <w:p w14:paraId="27E97514">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center"/>
          </w:tcPr>
          <w:p w14:paraId="7DD2AAAE">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center"/>
          </w:tcPr>
          <w:p w14:paraId="6D3AA02C">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536C8808">
            <w:pPr>
              <w:pStyle w:val="17"/>
              <w:keepNext w:val="0"/>
              <w:keepLines w:val="0"/>
              <w:pageBreakBefore w:val="0"/>
              <w:kinsoku/>
              <w:wordWrap/>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en-US" w:eastAsia="zh-CN" w:bidi="zh-CN"/>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6785E6BC">
            <w:pPr>
              <w:pStyle w:val="17"/>
              <w:keepNext w:val="0"/>
              <w:keepLines w:val="0"/>
              <w:pageBreakBefore w:val="0"/>
              <w:widowControl w:val="0"/>
              <w:kinsoku/>
              <w:wordWrap/>
              <w:overflowPunct/>
              <w:topLinePunct w:val="0"/>
              <w:autoSpaceDE w:val="0"/>
              <w:autoSpaceDN w:val="0"/>
              <w:bidi w:val="0"/>
              <w:adjustRightInd/>
              <w:snapToGrid/>
              <w:spacing w:line="320" w:lineRule="exact"/>
              <w:ind w:left="63" w:leftChars="30" w:right="63" w:rightChars="30"/>
              <w:jc w:val="both"/>
              <w:textAlignment w:val="auto"/>
              <w:rPr>
                <w:rFonts w:hint="eastAsia" w:ascii="宋体" w:hAnsi="宋体" w:eastAsia="宋体" w:cs="宋体"/>
                <w:b w:val="0"/>
                <w:bCs w:val="0"/>
                <w:color w:val="auto"/>
                <w:spacing w:val="6"/>
                <w:kern w:val="21"/>
                <w:sz w:val="24"/>
                <w:szCs w:val="24"/>
                <w:lang w:val="en-US" w:eastAsia="zh-CN" w:bidi="zh-CN"/>
              </w:rPr>
            </w:pPr>
            <w:r>
              <w:rPr>
                <w:rFonts w:hint="eastAsia" w:ascii="宋体" w:hAnsi="宋体" w:eastAsia="宋体" w:cs="宋体"/>
                <w:b w:val="0"/>
                <w:bCs w:val="0"/>
                <w:color w:val="auto"/>
                <w:spacing w:val="6"/>
                <w:kern w:val="21"/>
                <w:sz w:val="24"/>
                <w:szCs w:val="24"/>
              </w:rPr>
              <w:t>违法行为涉及货值金额</w:t>
            </w:r>
            <w:r>
              <w:rPr>
                <w:rFonts w:hint="eastAsia" w:cs="宋体"/>
                <w:b w:val="0"/>
                <w:bCs w:val="0"/>
                <w:color w:val="auto"/>
                <w:spacing w:val="6"/>
                <w:kern w:val="21"/>
                <w:sz w:val="24"/>
                <w:szCs w:val="24"/>
                <w:lang w:val="en-US" w:eastAsia="zh-CN"/>
              </w:rPr>
              <w:t>3</w:t>
            </w:r>
            <w:r>
              <w:rPr>
                <w:rFonts w:hint="eastAsia" w:ascii="宋体" w:hAnsi="宋体" w:eastAsia="宋体" w:cs="宋体"/>
                <w:b w:val="0"/>
                <w:bCs w:val="0"/>
                <w:color w:val="auto"/>
                <w:spacing w:val="6"/>
                <w:kern w:val="21"/>
                <w:sz w:val="24"/>
                <w:szCs w:val="24"/>
              </w:rPr>
              <w:t>万元以上</w:t>
            </w:r>
            <w:r>
              <w:rPr>
                <w:rFonts w:hint="eastAsia" w:cs="宋体"/>
                <w:b w:val="0"/>
                <w:bCs w:val="0"/>
                <w:color w:val="auto"/>
                <w:spacing w:val="6"/>
                <w:kern w:val="21"/>
                <w:sz w:val="24"/>
                <w:szCs w:val="24"/>
                <w:lang w:val="en-US" w:eastAsia="zh-CN"/>
              </w:rPr>
              <w:t>10</w:t>
            </w:r>
            <w:r>
              <w:rPr>
                <w:rFonts w:hint="eastAsia" w:ascii="宋体" w:hAnsi="宋体" w:eastAsia="宋体" w:cs="宋体"/>
                <w:b w:val="0"/>
                <w:bCs w:val="0"/>
                <w:color w:val="auto"/>
                <w:spacing w:val="6"/>
                <w:kern w:val="21"/>
                <w:sz w:val="24"/>
                <w:szCs w:val="24"/>
              </w:rPr>
              <w:t>万元以下的。</w:t>
            </w:r>
          </w:p>
        </w:tc>
        <w:tc>
          <w:tcPr>
            <w:tcW w:w="3382" w:type="dxa"/>
            <w:noWrap w:val="0"/>
            <w:vAlign w:val="center"/>
          </w:tcPr>
          <w:p w14:paraId="4E2FD7D5">
            <w:pPr>
              <w:pStyle w:val="17"/>
              <w:keepNext w:val="0"/>
              <w:keepLines w:val="0"/>
              <w:pageBreakBefore w:val="0"/>
              <w:widowControl w:val="0"/>
              <w:kinsoku/>
              <w:wordWrap/>
              <w:overflowPunct/>
              <w:topLinePunct w:val="0"/>
              <w:autoSpaceDE w:val="0"/>
              <w:autoSpaceDN w:val="0"/>
              <w:bidi w:val="0"/>
              <w:adjustRightInd/>
              <w:snapToGrid/>
              <w:spacing w:line="320" w:lineRule="exact"/>
              <w:ind w:left="63" w:leftChars="30" w:right="63" w:rightChars="30"/>
              <w:jc w:val="both"/>
              <w:textAlignment w:val="auto"/>
              <w:rPr>
                <w:rFonts w:hint="eastAsia" w:ascii="宋体" w:hAnsi="宋体" w:eastAsia="宋体" w:cs="宋体"/>
                <w:b w:val="0"/>
                <w:bCs w:val="0"/>
                <w:color w:val="auto"/>
                <w:spacing w:val="0"/>
                <w:kern w:val="21"/>
                <w:sz w:val="24"/>
                <w:szCs w:val="24"/>
                <w:lang w:val="en-US" w:eastAsia="zh-CN" w:bidi="zh-CN"/>
              </w:rPr>
            </w:pPr>
            <w:r>
              <w:rPr>
                <w:rFonts w:hint="eastAsia" w:ascii="宋体" w:hAnsi="宋体" w:eastAsia="宋体" w:cs="宋体"/>
                <w:b w:val="0"/>
                <w:bCs w:val="0"/>
                <w:color w:val="auto"/>
                <w:spacing w:val="0"/>
                <w:kern w:val="21"/>
                <w:sz w:val="24"/>
                <w:szCs w:val="24"/>
              </w:rPr>
              <w:t>处</w:t>
            </w:r>
            <w:r>
              <w:rPr>
                <w:rFonts w:hint="eastAsia" w:ascii="宋体" w:hAnsi="宋体" w:eastAsia="宋体" w:cs="宋体"/>
                <w:b w:val="0"/>
                <w:bCs w:val="0"/>
                <w:color w:val="auto"/>
                <w:spacing w:val="0"/>
                <w:kern w:val="21"/>
                <w:sz w:val="24"/>
                <w:szCs w:val="24"/>
                <w:lang w:val="en-US" w:eastAsia="zh-CN"/>
              </w:rPr>
              <w:t>9000</w:t>
            </w:r>
            <w:r>
              <w:rPr>
                <w:rFonts w:hint="eastAsia" w:ascii="宋体" w:hAnsi="宋体" w:eastAsia="宋体" w:cs="宋体"/>
                <w:b w:val="0"/>
                <w:bCs w:val="0"/>
                <w:color w:val="auto"/>
                <w:spacing w:val="0"/>
                <w:kern w:val="21"/>
                <w:sz w:val="24"/>
                <w:szCs w:val="24"/>
              </w:rPr>
              <w:t>元以上</w:t>
            </w:r>
            <w:r>
              <w:rPr>
                <w:rFonts w:hint="eastAsia" w:cs="宋体"/>
                <w:b w:val="0"/>
                <w:bCs w:val="0"/>
                <w:color w:val="auto"/>
                <w:spacing w:val="0"/>
                <w:kern w:val="21"/>
                <w:sz w:val="24"/>
                <w:szCs w:val="24"/>
                <w:lang w:val="en-US" w:eastAsia="zh-CN"/>
              </w:rPr>
              <w:t>2.1万</w:t>
            </w:r>
            <w:r>
              <w:rPr>
                <w:rFonts w:hint="eastAsia" w:ascii="宋体" w:hAnsi="宋体" w:eastAsia="宋体" w:cs="宋体"/>
                <w:b w:val="0"/>
                <w:bCs w:val="0"/>
                <w:color w:val="auto"/>
                <w:spacing w:val="0"/>
                <w:kern w:val="21"/>
                <w:sz w:val="24"/>
                <w:szCs w:val="24"/>
              </w:rPr>
              <w:t>元以下罚款。</w:t>
            </w:r>
          </w:p>
        </w:tc>
      </w:tr>
      <w:tr w14:paraId="5947F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exact"/>
          <w:jc w:val="center"/>
        </w:trPr>
        <w:tc>
          <w:tcPr>
            <w:tcW w:w="640" w:type="dxa"/>
            <w:vMerge w:val="continue"/>
            <w:noWrap w:val="0"/>
            <w:vAlign w:val="center"/>
          </w:tcPr>
          <w:p w14:paraId="00170BEC">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1793" w:type="dxa"/>
            <w:vMerge w:val="continue"/>
            <w:noWrap w:val="0"/>
            <w:vAlign w:val="center"/>
          </w:tcPr>
          <w:p w14:paraId="49106075">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center"/>
          </w:tcPr>
          <w:p w14:paraId="4D491C2E">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353C3E13">
            <w:pPr>
              <w:pStyle w:val="17"/>
              <w:keepNext w:val="0"/>
              <w:keepLines w:val="0"/>
              <w:pageBreakBefore w:val="0"/>
              <w:kinsoku/>
              <w:wordWrap/>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en-US" w:eastAsia="zh-CN" w:bidi="zh-CN"/>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1ADC4C79">
            <w:pPr>
              <w:pStyle w:val="17"/>
              <w:keepNext w:val="0"/>
              <w:keepLines w:val="0"/>
              <w:pageBreakBefore w:val="0"/>
              <w:widowControl w:val="0"/>
              <w:kinsoku/>
              <w:wordWrap/>
              <w:overflowPunct/>
              <w:topLinePunct w:val="0"/>
              <w:autoSpaceDE w:val="0"/>
              <w:autoSpaceDN w:val="0"/>
              <w:bidi w:val="0"/>
              <w:adjustRightInd/>
              <w:snapToGrid/>
              <w:spacing w:line="320" w:lineRule="exact"/>
              <w:ind w:left="63" w:leftChars="30" w:right="63" w:rightChars="30"/>
              <w:jc w:val="both"/>
              <w:textAlignment w:val="auto"/>
              <w:rPr>
                <w:rFonts w:hint="eastAsia" w:ascii="宋体" w:hAnsi="宋体" w:eastAsia="宋体" w:cs="宋体"/>
                <w:b w:val="0"/>
                <w:bCs w:val="0"/>
                <w:color w:val="auto"/>
                <w:spacing w:val="6"/>
                <w:kern w:val="21"/>
                <w:sz w:val="24"/>
                <w:szCs w:val="24"/>
                <w:lang w:val="en-US" w:eastAsia="zh-CN" w:bidi="zh-CN"/>
              </w:rPr>
            </w:pPr>
            <w:r>
              <w:rPr>
                <w:rFonts w:hint="eastAsia" w:ascii="宋体" w:hAnsi="宋体" w:eastAsia="宋体" w:cs="宋体"/>
                <w:b w:val="0"/>
                <w:bCs w:val="0"/>
                <w:color w:val="auto"/>
                <w:spacing w:val="6"/>
                <w:kern w:val="21"/>
                <w:sz w:val="24"/>
                <w:szCs w:val="24"/>
              </w:rPr>
              <w:t>违法行为涉及货值金额</w:t>
            </w:r>
            <w:r>
              <w:rPr>
                <w:rFonts w:hint="eastAsia" w:cs="宋体"/>
                <w:b w:val="0"/>
                <w:bCs w:val="0"/>
                <w:color w:val="auto"/>
                <w:spacing w:val="6"/>
                <w:kern w:val="21"/>
                <w:sz w:val="24"/>
                <w:szCs w:val="24"/>
                <w:lang w:val="en-US" w:eastAsia="zh-CN"/>
              </w:rPr>
              <w:t>10</w:t>
            </w:r>
            <w:r>
              <w:rPr>
                <w:rFonts w:hint="eastAsia" w:ascii="宋体" w:hAnsi="宋体" w:eastAsia="宋体" w:cs="宋体"/>
                <w:b w:val="0"/>
                <w:bCs w:val="0"/>
                <w:color w:val="auto"/>
                <w:spacing w:val="6"/>
                <w:kern w:val="21"/>
                <w:sz w:val="24"/>
                <w:szCs w:val="24"/>
              </w:rPr>
              <w:t>万元以上的。</w:t>
            </w:r>
          </w:p>
        </w:tc>
        <w:tc>
          <w:tcPr>
            <w:tcW w:w="3382" w:type="dxa"/>
            <w:noWrap w:val="0"/>
            <w:vAlign w:val="center"/>
          </w:tcPr>
          <w:p w14:paraId="125FBFBD">
            <w:pPr>
              <w:pStyle w:val="17"/>
              <w:keepNext w:val="0"/>
              <w:keepLines w:val="0"/>
              <w:pageBreakBefore w:val="0"/>
              <w:widowControl w:val="0"/>
              <w:kinsoku/>
              <w:wordWrap/>
              <w:overflowPunct/>
              <w:topLinePunct w:val="0"/>
              <w:autoSpaceDE w:val="0"/>
              <w:autoSpaceDN w:val="0"/>
              <w:bidi w:val="0"/>
              <w:adjustRightInd/>
              <w:snapToGrid/>
              <w:spacing w:line="320" w:lineRule="exact"/>
              <w:ind w:left="63" w:leftChars="30" w:right="63" w:rightChars="30"/>
              <w:jc w:val="both"/>
              <w:textAlignment w:val="auto"/>
              <w:rPr>
                <w:rFonts w:hint="eastAsia" w:ascii="宋体" w:hAnsi="宋体" w:eastAsia="宋体" w:cs="宋体"/>
                <w:b w:val="0"/>
                <w:bCs w:val="0"/>
                <w:color w:val="auto"/>
                <w:spacing w:val="0"/>
                <w:kern w:val="21"/>
                <w:sz w:val="24"/>
                <w:szCs w:val="24"/>
                <w:lang w:val="en-US" w:eastAsia="zh-CN" w:bidi="zh-CN"/>
              </w:rPr>
            </w:pPr>
            <w:r>
              <w:rPr>
                <w:rFonts w:hint="eastAsia" w:ascii="宋体" w:hAnsi="宋体" w:eastAsia="宋体" w:cs="宋体"/>
                <w:b w:val="0"/>
                <w:bCs w:val="0"/>
                <w:color w:val="auto"/>
                <w:spacing w:val="0"/>
                <w:kern w:val="21"/>
                <w:sz w:val="24"/>
                <w:szCs w:val="24"/>
              </w:rPr>
              <w:t>处</w:t>
            </w:r>
            <w:r>
              <w:rPr>
                <w:rFonts w:hint="eastAsia" w:ascii="宋体" w:hAnsi="宋体" w:eastAsia="宋体" w:cs="宋体"/>
                <w:b w:val="0"/>
                <w:bCs w:val="0"/>
                <w:color w:val="auto"/>
                <w:spacing w:val="0"/>
                <w:kern w:val="21"/>
                <w:sz w:val="24"/>
                <w:szCs w:val="24"/>
                <w:lang w:val="en-US" w:eastAsia="zh-CN"/>
              </w:rPr>
              <w:t>2</w:t>
            </w:r>
            <w:r>
              <w:rPr>
                <w:rFonts w:hint="eastAsia" w:cs="宋体"/>
                <w:b w:val="0"/>
                <w:bCs w:val="0"/>
                <w:color w:val="auto"/>
                <w:spacing w:val="0"/>
                <w:kern w:val="21"/>
                <w:sz w:val="24"/>
                <w:szCs w:val="24"/>
                <w:lang w:val="en-US" w:eastAsia="zh-CN"/>
              </w:rPr>
              <w:t>.1万</w:t>
            </w:r>
            <w:r>
              <w:rPr>
                <w:rFonts w:hint="eastAsia" w:ascii="宋体" w:hAnsi="宋体" w:eastAsia="宋体" w:cs="宋体"/>
                <w:b w:val="0"/>
                <w:bCs w:val="0"/>
                <w:color w:val="auto"/>
                <w:spacing w:val="0"/>
                <w:kern w:val="21"/>
                <w:sz w:val="24"/>
                <w:szCs w:val="24"/>
              </w:rPr>
              <w:t>元以上3</w:t>
            </w:r>
            <w:r>
              <w:rPr>
                <w:rFonts w:hint="eastAsia" w:cs="宋体"/>
                <w:b w:val="0"/>
                <w:bCs w:val="0"/>
                <w:color w:val="auto"/>
                <w:spacing w:val="0"/>
                <w:kern w:val="21"/>
                <w:sz w:val="24"/>
                <w:szCs w:val="24"/>
                <w:lang w:val="en-US" w:eastAsia="zh-CN"/>
              </w:rPr>
              <w:t>万</w:t>
            </w:r>
            <w:r>
              <w:rPr>
                <w:rFonts w:hint="eastAsia" w:ascii="宋体" w:hAnsi="宋体" w:eastAsia="宋体" w:cs="宋体"/>
                <w:b w:val="0"/>
                <w:bCs w:val="0"/>
                <w:color w:val="auto"/>
                <w:spacing w:val="0"/>
                <w:kern w:val="21"/>
                <w:sz w:val="24"/>
                <w:szCs w:val="24"/>
              </w:rPr>
              <w:t>元以下罚款。</w:t>
            </w:r>
          </w:p>
        </w:tc>
      </w:tr>
      <w:tr w14:paraId="61088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exact"/>
          <w:jc w:val="center"/>
        </w:trPr>
        <w:tc>
          <w:tcPr>
            <w:tcW w:w="640" w:type="dxa"/>
            <w:vMerge w:val="restart"/>
            <w:noWrap w:val="0"/>
            <w:vAlign w:val="center"/>
          </w:tcPr>
          <w:p w14:paraId="184A568A">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default" w:ascii="宋体" w:hAnsi="宋体" w:eastAsia="宋体" w:cs="宋体"/>
                <w:b w:val="0"/>
                <w:bCs w:val="0"/>
                <w:color w:val="auto"/>
                <w:spacing w:val="6"/>
                <w:kern w:val="21"/>
                <w:sz w:val="24"/>
                <w:szCs w:val="24"/>
                <w:lang w:val="en-US" w:eastAsia="zh-CN"/>
              </w:rPr>
            </w:pPr>
            <w:r>
              <w:rPr>
                <w:rFonts w:hint="eastAsia" w:ascii="宋体" w:hAnsi="宋体" w:cs="宋体"/>
                <w:b w:val="0"/>
                <w:bCs w:val="0"/>
                <w:color w:val="auto"/>
                <w:spacing w:val="6"/>
                <w:kern w:val="21"/>
                <w:sz w:val="24"/>
                <w:szCs w:val="24"/>
                <w:lang w:val="en-US" w:eastAsia="zh-CN"/>
              </w:rPr>
              <w:t>132</w:t>
            </w:r>
          </w:p>
        </w:tc>
        <w:tc>
          <w:tcPr>
            <w:tcW w:w="1793" w:type="dxa"/>
            <w:vMerge w:val="restart"/>
            <w:noWrap w:val="0"/>
            <w:vAlign w:val="center"/>
          </w:tcPr>
          <w:p w14:paraId="30C63B4F">
            <w:pPr>
              <w:keepNext w:val="0"/>
              <w:keepLines w:val="0"/>
              <w:pageBreakBefore w:val="0"/>
              <w:widowControl/>
              <w:suppressLineNumbers w:val="0"/>
              <w:kinsoku/>
              <w:wordWrap/>
              <w:overflowPunct/>
              <w:topLinePunct w:val="0"/>
              <w:bidi w:val="0"/>
              <w:adjustRightInd/>
              <w:snapToGrid/>
              <w:spacing w:line="400" w:lineRule="exact"/>
              <w:ind w:left="63" w:leftChars="30" w:right="63" w:rightChars="30"/>
              <w:jc w:val="both"/>
              <w:textAlignment w:val="center"/>
              <w:rPr>
                <w:rFonts w:hint="eastAsia" w:ascii="宋体" w:hAnsi="宋体" w:eastAsia="宋体" w:cs="宋体"/>
                <w:color w:val="auto"/>
                <w:spacing w:val="6"/>
                <w:kern w:val="21"/>
                <w:sz w:val="24"/>
                <w:szCs w:val="24"/>
                <w:lang w:val="en-US" w:eastAsia="zh-CN" w:bidi="ar"/>
              </w:rPr>
            </w:pPr>
            <w:r>
              <w:rPr>
                <w:rFonts w:hint="eastAsia" w:ascii="宋体" w:hAnsi="宋体" w:eastAsia="宋体" w:cs="宋体"/>
                <w:color w:val="auto"/>
                <w:spacing w:val="6"/>
                <w:kern w:val="21"/>
                <w:sz w:val="24"/>
                <w:szCs w:val="24"/>
                <w:lang w:val="en-US" w:eastAsia="zh-CN" w:bidi="ar"/>
              </w:rPr>
              <w:t>《计量器具新产品管理办法》</w:t>
            </w:r>
          </w:p>
          <w:p w14:paraId="234D4E73">
            <w:pPr>
              <w:keepNext w:val="0"/>
              <w:keepLines w:val="0"/>
              <w:widowControl/>
              <w:suppressLineNumbers w:val="0"/>
              <w:spacing w:line="400" w:lineRule="exact"/>
              <w:ind w:left="63" w:leftChars="30" w:right="63" w:rightChars="30"/>
              <w:jc w:val="both"/>
              <w:textAlignment w:val="center"/>
              <w:rPr>
                <w:rFonts w:hint="eastAsia" w:ascii="宋体" w:hAnsi="宋体" w:eastAsia="宋体" w:cs="宋体"/>
                <w:b w:val="0"/>
                <w:bCs w:val="0"/>
                <w:color w:val="auto"/>
                <w:spacing w:val="6"/>
                <w:kern w:val="21"/>
                <w:sz w:val="24"/>
                <w:szCs w:val="24"/>
                <w:lang w:bidi="ar"/>
              </w:rPr>
            </w:pPr>
          </w:p>
        </w:tc>
        <w:tc>
          <w:tcPr>
            <w:tcW w:w="4193" w:type="dxa"/>
            <w:vMerge w:val="restart"/>
            <w:noWrap w:val="0"/>
            <w:vAlign w:val="center"/>
          </w:tcPr>
          <w:p w14:paraId="6C4DB595">
            <w:pPr>
              <w:keepNext w:val="0"/>
              <w:keepLines w:val="0"/>
              <w:widowControl/>
              <w:suppressLineNumbers w:val="0"/>
              <w:spacing w:line="400" w:lineRule="exact"/>
              <w:ind w:left="63" w:leftChars="30" w:right="63" w:rightChars="30"/>
              <w:jc w:val="both"/>
              <w:textAlignment w:val="center"/>
              <w:rPr>
                <w:rFonts w:hint="eastAsia" w:ascii="宋体" w:hAnsi="宋体" w:cs="宋体"/>
                <w:color w:val="auto"/>
                <w:spacing w:val="6"/>
                <w:kern w:val="21"/>
                <w:sz w:val="24"/>
                <w:lang w:bidi="ar"/>
              </w:rPr>
            </w:pPr>
            <w:r>
              <w:rPr>
                <w:rFonts w:hint="eastAsia" w:ascii="宋体" w:hAnsi="宋体" w:eastAsia="宋体" w:cs="宋体"/>
                <w:color w:val="auto"/>
                <w:spacing w:val="6"/>
                <w:kern w:val="21"/>
                <w:sz w:val="24"/>
                <w:szCs w:val="24"/>
                <w:lang w:val="en-US" w:eastAsia="zh-CN" w:bidi="ar"/>
              </w:rPr>
              <w:t>第二十二条 制造、销售的计量器具与批准的型式不一致的，由县级以上市场监督管理部门责令改正，处五万元以下罚款。</w:t>
            </w:r>
          </w:p>
          <w:p w14:paraId="1E9CB096">
            <w:pPr>
              <w:keepNext w:val="0"/>
              <w:keepLines w:val="0"/>
              <w:pageBreakBefore w:val="0"/>
              <w:widowControl/>
              <w:kinsoku/>
              <w:overflowPunct/>
              <w:topLinePunct w:val="0"/>
              <w:bidi w:val="0"/>
              <w:adjustRightInd/>
              <w:snapToGrid/>
              <w:ind w:left="63" w:leftChars="30" w:right="63" w:rightChars="30"/>
              <w:jc w:val="both"/>
              <w:textAlignment w:val="center"/>
              <w:rPr>
                <w:rFonts w:hint="eastAsia" w:ascii="宋体" w:hAnsi="宋体" w:eastAsia="宋体" w:cs="宋体"/>
                <w:b w:val="0"/>
                <w:bCs w:val="0"/>
                <w:color w:val="auto"/>
                <w:spacing w:val="6"/>
                <w:kern w:val="21"/>
                <w:sz w:val="24"/>
                <w:szCs w:val="24"/>
                <w:lang w:bidi="ar"/>
              </w:rPr>
            </w:pPr>
          </w:p>
        </w:tc>
        <w:tc>
          <w:tcPr>
            <w:tcW w:w="1132" w:type="dxa"/>
            <w:noWrap w:val="0"/>
            <w:vAlign w:val="center"/>
          </w:tcPr>
          <w:p w14:paraId="006CF72E">
            <w:pPr>
              <w:pStyle w:val="17"/>
              <w:keepNext w:val="0"/>
              <w:keepLines w:val="0"/>
              <w:pageBreakBefore w:val="0"/>
              <w:kinsoku/>
              <w:wordWrap/>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6A6B0495">
            <w:pPr>
              <w:pStyle w:val="17"/>
              <w:keepNext w:val="0"/>
              <w:keepLines w:val="0"/>
              <w:pageBreakBefore w:val="0"/>
              <w:widowControl w:val="0"/>
              <w:kinsoku/>
              <w:wordWrap/>
              <w:overflowPunct/>
              <w:topLinePunct w:val="0"/>
              <w:autoSpaceDE w:val="0"/>
              <w:autoSpaceDN w:val="0"/>
              <w:bidi w:val="0"/>
              <w:adjustRightInd/>
              <w:snapToGrid/>
              <w:spacing w:line="320" w:lineRule="exact"/>
              <w:ind w:left="63" w:leftChars="30" w:right="63" w:rightChars="30"/>
              <w:jc w:val="both"/>
              <w:textAlignment w:val="auto"/>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违法行为涉及货值金额</w:t>
            </w:r>
            <w:r>
              <w:rPr>
                <w:rFonts w:hint="eastAsia" w:cs="宋体"/>
                <w:b w:val="0"/>
                <w:bCs w:val="0"/>
                <w:color w:val="auto"/>
                <w:spacing w:val="6"/>
                <w:kern w:val="21"/>
                <w:sz w:val="24"/>
                <w:szCs w:val="24"/>
                <w:lang w:val="en-US" w:eastAsia="zh-CN"/>
              </w:rPr>
              <w:t>3</w:t>
            </w:r>
            <w:r>
              <w:rPr>
                <w:rFonts w:hint="eastAsia" w:ascii="宋体" w:hAnsi="宋体" w:eastAsia="宋体" w:cs="宋体"/>
                <w:b w:val="0"/>
                <w:bCs w:val="0"/>
                <w:color w:val="auto"/>
                <w:spacing w:val="6"/>
                <w:kern w:val="21"/>
                <w:sz w:val="24"/>
                <w:szCs w:val="24"/>
              </w:rPr>
              <w:t>万元以下的。</w:t>
            </w:r>
          </w:p>
        </w:tc>
        <w:tc>
          <w:tcPr>
            <w:tcW w:w="3382" w:type="dxa"/>
            <w:noWrap w:val="0"/>
            <w:vAlign w:val="center"/>
          </w:tcPr>
          <w:p w14:paraId="682D0C75">
            <w:pPr>
              <w:pStyle w:val="17"/>
              <w:keepNext w:val="0"/>
              <w:keepLines w:val="0"/>
              <w:pageBreakBefore w:val="0"/>
              <w:widowControl w:val="0"/>
              <w:kinsoku/>
              <w:wordWrap/>
              <w:overflowPunct/>
              <w:topLinePunct w:val="0"/>
              <w:autoSpaceDE w:val="0"/>
              <w:autoSpaceDN w:val="0"/>
              <w:bidi w:val="0"/>
              <w:adjustRightInd/>
              <w:snapToGrid/>
              <w:spacing w:line="320" w:lineRule="exact"/>
              <w:ind w:left="63" w:leftChars="30" w:right="63" w:rightChars="30"/>
              <w:jc w:val="both"/>
              <w:textAlignment w:val="auto"/>
              <w:rPr>
                <w:rFonts w:hint="eastAsia" w:ascii="宋体" w:hAnsi="宋体" w:eastAsia="宋体" w:cs="宋体"/>
                <w:b w:val="0"/>
                <w:bCs w:val="0"/>
                <w:color w:val="auto"/>
                <w:spacing w:val="0"/>
                <w:kern w:val="21"/>
                <w:sz w:val="24"/>
                <w:szCs w:val="24"/>
                <w:lang w:val="zh-CN" w:eastAsia="zh-CN" w:bidi="zh-CN"/>
              </w:rPr>
            </w:pPr>
            <w:r>
              <w:rPr>
                <w:rFonts w:hint="eastAsia" w:ascii="宋体" w:hAnsi="宋体" w:eastAsia="宋体" w:cs="宋体"/>
                <w:b w:val="0"/>
                <w:bCs w:val="0"/>
                <w:color w:val="auto"/>
                <w:spacing w:val="0"/>
                <w:kern w:val="21"/>
                <w:sz w:val="24"/>
                <w:szCs w:val="24"/>
              </w:rPr>
              <w:t>处</w:t>
            </w:r>
            <w:r>
              <w:rPr>
                <w:rFonts w:hint="eastAsia" w:cs="宋体"/>
                <w:b w:val="0"/>
                <w:bCs w:val="0"/>
                <w:color w:val="auto"/>
                <w:spacing w:val="0"/>
                <w:kern w:val="21"/>
                <w:sz w:val="24"/>
                <w:szCs w:val="24"/>
                <w:lang w:val="en-US" w:eastAsia="zh-CN"/>
              </w:rPr>
              <w:t>1.5万</w:t>
            </w:r>
            <w:r>
              <w:rPr>
                <w:rFonts w:hint="eastAsia" w:ascii="宋体" w:hAnsi="宋体" w:eastAsia="宋体" w:cs="宋体"/>
                <w:b w:val="0"/>
                <w:bCs w:val="0"/>
                <w:color w:val="auto"/>
                <w:spacing w:val="0"/>
                <w:kern w:val="21"/>
                <w:sz w:val="24"/>
                <w:szCs w:val="24"/>
              </w:rPr>
              <w:t>元以下罚款</w:t>
            </w:r>
            <w:r>
              <w:rPr>
                <w:rFonts w:hint="eastAsia" w:ascii="宋体" w:hAnsi="宋体" w:eastAsia="宋体" w:cs="宋体"/>
                <w:b w:val="0"/>
                <w:bCs w:val="0"/>
                <w:color w:val="auto"/>
                <w:spacing w:val="0"/>
                <w:kern w:val="21"/>
                <w:sz w:val="24"/>
                <w:szCs w:val="24"/>
                <w:lang w:eastAsia="zh-CN"/>
              </w:rPr>
              <w:t>。</w:t>
            </w:r>
          </w:p>
        </w:tc>
      </w:tr>
      <w:tr w14:paraId="0BDB8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exact"/>
          <w:jc w:val="center"/>
        </w:trPr>
        <w:tc>
          <w:tcPr>
            <w:tcW w:w="640" w:type="dxa"/>
            <w:vMerge w:val="continue"/>
            <w:noWrap w:val="0"/>
            <w:vAlign w:val="center"/>
          </w:tcPr>
          <w:p w14:paraId="5400391A">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bCs/>
                <w:color w:val="FF0000"/>
                <w:spacing w:val="6"/>
                <w:kern w:val="21"/>
                <w:sz w:val="24"/>
                <w:szCs w:val="24"/>
              </w:rPr>
            </w:pPr>
          </w:p>
        </w:tc>
        <w:tc>
          <w:tcPr>
            <w:tcW w:w="1793" w:type="dxa"/>
            <w:vMerge w:val="continue"/>
            <w:noWrap w:val="0"/>
            <w:vAlign w:val="center"/>
          </w:tcPr>
          <w:p w14:paraId="353F1EB3">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center"/>
          </w:tcPr>
          <w:p w14:paraId="7384D496">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0F3572EB">
            <w:pPr>
              <w:pStyle w:val="17"/>
              <w:keepNext w:val="0"/>
              <w:keepLines w:val="0"/>
              <w:pageBreakBefore w:val="0"/>
              <w:kinsoku/>
              <w:wordWrap/>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4099E3C8">
            <w:pPr>
              <w:pStyle w:val="17"/>
              <w:keepNext w:val="0"/>
              <w:keepLines w:val="0"/>
              <w:pageBreakBefore w:val="0"/>
              <w:widowControl w:val="0"/>
              <w:kinsoku/>
              <w:wordWrap/>
              <w:overflowPunct/>
              <w:topLinePunct w:val="0"/>
              <w:autoSpaceDE w:val="0"/>
              <w:autoSpaceDN w:val="0"/>
              <w:bidi w:val="0"/>
              <w:adjustRightInd/>
              <w:snapToGrid/>
              <w:spacing w:line="320" w:lineRule="exact"/>
              <w:ind w:left="63" w:leftChars="30" w:right="63" w:rightChars="30"/>
              <w:jc w:val="both"/>
              <w:textAlignment w:val="auto"/>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违法行为涉及货值金额</w:t>
            </w:r>
            <w:r>
              <w:rPr>
                <w:rFonts w:hint="eastAsia" w:cs="宋体"/>
                <w:b w:val="0"/>
                <w:bCs w:val="0"/>
                <w:color w:val="auto"/>
                <w:spacing w:val="6"/>
                <w:kern w:val="21"/>
                <w:sz w:val="24"/>
                <w:szCs w:val="24"/>
                <w:lang w:val="en-US" w:eastAsia="zh-CN"/>
              </w:rPr>
              <w:t>3</w:t>
            </w:r>
            <w:r>
              <w:rPr>
                <w:rFonts w:hint="eastAsia" w:ascii="宋体" w:hAnsi="宋体" w:eastAsia="宋体" w:cs="宋体"/>
                <w:b w:val="0"/>
                <w:bCs w:val="0"/>
                <w:color w:val="auto"/>
                <w:spacing w:val="6"/>
                <w:kern w:val="21"/>
                <w:sz w:val="24"/>
                <w:szCs w:val="24"/>
              </w:rPr>
              <w:t>万元以上</w:t>
            </w:r>
            <w:r>
              <w:rPr>
                <w:rFonts w:hint="eastAsia" w:cs="宋体"/>
                <w:b w:val="0"/>
                <w:bCs w:val="0"/>
                <w:color w:val="auto"/>
                <w:spacing w:val="6"/>
                <w:kern w:val="21"/>
                <w:sz w:val="24"/>
                <w:szCs w:val="24"/>
                <w:lang w:val="en-US" w:eastAsia="zh-CN"/>
              </w:rPr>
              <w:t>10</w:t>
            </w:r>
            <w:r>
              <w:rPr>
                <w:rFonts w:hint="eastAsia" w:ascii="宋体" w:hAnsi="宋体" w:eastAsia="宋体" w:cs="宋体"/>
                <w:b w:val="0"/>
                <w:bCs w:val="0"/>
                <w:color w:val="auto"/>
                <w:spacing w:val="6"/>
                <w:kern w:val="21"/>
                <w:sz w:val="24"/>
                <w:szCs w:val="24"/>
              </w:rPr>
              <w:t>万元以下的。</w:t>
            </w:r>
          </w:p>
        </w:tc>
        <w:tc>
          <w:tcPr>
            <w:tcW w:w="3382" w:type="dxa"/>
            <w:noWrap w:val="0"/>
            <w:vAlign w:val="center"/>
          </w:tcPr>
          <w:p w14:paraId="000624A7">
            <w:pPr>
              <w:pStyle w:val="17"/>
              <w:keepNext w:val="0"/>
              <w:keepLines w:val="0"/>
              <w:pageBreakBefore w:val="0"/>
              <w:widowControl w:val="0"/>
              <w:kinsoku/>
              <w:wordWrap/>
              <w:overflowPunct/>
              <w:topLinePunct w:val="0"/>
              <w:autoSpaceDE w:val="0"/>
              <w:autoSpaceDN w:val="0"/>
              <w:bidi w:val="0"/>
              <w:adjustRightInd/>
              <w:snapToGrid/>
              <w:spacing w:line="320" w:lineRule="exact"/>
              <w:ind w:left="63" w:leftChars="30" w:right="63" w:rightChars="30"/>
              <w:jc w:val="both"/>
              <w:textAlignment w:val="auto"/>
              <w:rPr>
                <w:rFonts w:hint="eastAsia" w:ascii="宋体" w:hAnsi="宋体" w:eastAsia="宋体" w:cs="宋体"/>
                <w:b w:val="0"/>
                <w:bCs w:val="0"/>
                <w:color w:val="auto"/>
                <w:spacing w:val="0"/>
                <w:kern w:val="21"/>
                <w:sz w:val="24"/>
                <w:szCs w:val="24"/>
                <w:lang w:val="zh-CN" w:eastAsia="zh-CN" w:bidi="zh-CN"/>
              </w:rPr>
            </w:pPr>
            <w:r>
              <w:rPr>
                <w:rFonts w:hint="eastAsia" w:ascii="宋体" w:hAnsi="宋体" w:eastAsia="宋体" w:cs="宋体"/>
                <w:b w:val="0"/>
                <w:bCs w:val="0"/>
                <w:color w:val="auto"/>
                <w:spacing w:val="0"/>
                <w:kern w:val="21"/>
                <w:sz w:val="24"/>
                <w:szCs w:val="24"/>
              </w:rPr>
              <w:t>处</w:t>
            </w:r>
            <w:r>
              <w:rPr>
                <w:rFonts w:hint="eastAsia" w:cs="宋体"/>
                <w:b w:val="0"/>
                <w:bCs w:val="0"/>
                <w:color w:val="auto"/>
                <w:spacing w:val="0"/>
                <w:kern w:val="21"/>
                <w:sz w:val="24"/>
                <w:szCs w:val="24"/>
                <w:lang w:val="en-US" w:eastAsia="zh-CN"/>
              </w:rPr>
              <w:t>1.5</w:t>
            </w:r>
            <w:r>
              <w:rPr>
                <w:rFonts w:hint="eastAsia" w:ascii="宋体" w:hAnsi="宋体" w:eastAsia="宋体" w:cs="宋体"/>
                <w:b w:val="0"/>
                <w:bCs w:val="0"/>
                <w:color w:val="auto"/>
                <w:spacing w:val="0"/>
                <w:kern w:val="21"/>
                <w:sz w:val="24"/>
                <w:szCs w:val="24"/>
              </w:rPr>
              <w:t>元以上</w:t>
            </w:r>
            <w:r>
              <w:rPr>
                <w:rFonts w:hint="eastAsia" w:cs="宋体"/>
                <w:b w:val="0"/>
                <w:bCs w:val="0"/>
                <w:color w:val="auto"/>
                <w:spacing w:val="0"/>
                <w:kern w:val="21"/>
                <w:sz w:val="24"/>
                <w:szCs w:val="24"/>
                <w:lang w:val="en-US" w:eastAsia="zh-CN"/>
              </w:rPr>
              <w:t>3.5万</w:t>
            </w:r>
            <w:r>
              <w:rPr>
                <w:rFonts w:hint="eastAsia" w:ascii="宋体" w:hAnsi="宋体" w:eastAsia="宋体" w:cs="宋体"/>
                <w:b w:val="0"/>
                <w:bCs w:val="0"/>
                <w:color w:val="auto"/>
                <w:spacing w:val="0"/>
                <w:kern w:val="21"/>
                <w:sz w:val="24"/>
                <w:szCs w:val="24"/>
              </w:rPr>
              <w:t>元以下罚款。</w:t>
            </w:r>
          </w:p>
        </w:tc>
      </w:tr>
      <w:tr w14:paraId="45843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exact"/>
          <w:jc w:val="center"/>
        </w:trPr>
        <w:tc>
          <w:tcPr>
            <w:tcW w:w="640" w:type="dxa"/>
            <w:vMerge w:val="continue"/>
            <w:noWrap w:val="0"/>
            <w:vAlign w:val="center"/>
          </w:tcPr>
          <w:p w14:paraId="22550AF4">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bCs/>
                <w:color w:val="FF0000"/>
                <w:spacing w:val="6"/>
                <w:kern w:val="21"/>
                <w:sz w:val="24"/>
                <w:szCs w:val="24"/>
              </w:rPr>
            </w:pPr>
          </w:p>
        </w:tc>
        <w:tc>
          <w:tcPr>
            <w:tcW w:w="1793" w:type="dxa"/>
            <w:vMerge w:val="continue"/>
            <w:noWrap w:val="0"/>
            <w:vAlign w:val="center"/>
          </w:tcPr>
          <w:p w14:paraId="2F33ABB1">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center"/>
          </w:tcPr>
          <w:p w14:paraId="1B556DFC">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0ED9DDED">
            <w:pPr>
              <w:pStyle w:val="17"/>
              <w:keepNext w:val="0"/>
              <w:keepLines w:val="0"/>
              <w:pageBreakBefore w:val="0"/>
              <w:kinsoku/>
              <w:wordWrap/>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4B1AA47A">
            <w:pPr>
              <w:pStyle w:val="17"/>
              <w:keepNext w:val="0"/>
              <w:keepLines w:val="0"/>
              <w:pageBreakBefore w:val="0"/>
              <w:widowControl w:val="0"/>
              <w:kinsoku/>
              <w:wordWrap/>
              <w:overflowPunct/>
              <w:topLinePunct w:val="0"/>
              <w:autoSpaceDE w:val="0"/>
              <w:autoSpaceDN w:val="0"/>
              <w:bidi w:val="0"/>
              <w:adjustRightInd/>
              <w:snapToGrid/>
              <w:spacing w:line="320" w:lineRule="exact"/>
              <w:ind w:left="63" w:leftChars="30" w:right="63" w:rightChars="30"/>
              <w:jc w:val="both"/>
              <w:textAlignment w:val="auto"/>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违法行为涉及货值金额</w:t>
            </w:r>
            <w:r>
              <w:rPr>
                <w:rFonts w:hint="eastAsia" w:cs="宋体"/>
                <w:b w:val="0"/>
                <w:bCs w:val="0"/>
                <w:color w:val="auto"/>
                <w:spacing w:val="6"/>
                <w:kern w:val="21"/>
                <w:sz w:val="24"/>
                <w:szCs w:val="24"/>
                <w:lang w:val="en-US" w:eastAsia="zh-CN"/>
              </w:rPr>
              <w:t>10</w:t>
            </w:r>
            <w:r>
              <w:rPr>
                <w:rFonts w:hint="eastAsia" w:ascii="宋体" w:hAnsi="宋体" w:eastAsia="宋体" w:cs="宋体"/>
                <w:b w:val="0"/>
                <w:bCs w:val="0"/>
                <w:color w:val="auto"/>
                <w:spacing w:val="6"/>
                <w:kern w:val="21"/>
                <w:sz w:val="24"/>
                <w:szCs w:val="24"/>
              </w:rPr>
              <w:t>万元以上的。</w:t>
            </w:r>
          </w:p>
        </w:tc>
        <w:tc>
          <w:tcPr>
            <w:tcW w:w="3382" w:type="dxa"/>
            <w:noWrap w:val="0"/>
            <w:vAlign w:val="center"/>
          </w:tcPr>
          <w:p w14:paraId="59E63C49">
            <w:pPr>
              <w:pStyle w:val="17"/>
              <w:keepNext w:val="0"/>
              <w:keepLines w:val="0"/>
              <w:pageBreakBefore w:val="0"/>
              <w:widowControl w:val="0"/>
              <w:kinsoku/>
              <w:wordWrap/>
              <w:overflowPunct/>
              <w:topLinePunct w:val="0"/>
              <w:autoSpaceDE w:val="0"/>
              <w:autoSpaceDN w:val="0"/>
              <w:bidi w:val="0"/>
              <w:adjustRightInd/>
              <w:snapToGrid/>
              <w:spacing w:line="320" w:lineRule="exact"/>
              <w:ind w:left="63" w:leftChars="30" w:right="63" w:rightChars="30"/>
              <w:jc w:val="both"/>
              <w:textAlignment w:val="auto"/>
              <w:rPr>
                <w:rFonts w:hint="eastAsia" w:ascii="宋体" w:hAnsi="宋体" w:eastAsia="宋体" w:cs="宋体"/>
                <w:b w:val="0"/>
                <w:bCs w:val="0"/>
                <w:color w:val="auto"/>
                <w:spacing w:val="0"/>
                <w:kern w:val="21"/>
                <w:sz w:val="24"/>
                <w:szCs w:val="24"/>
                <w:lang w:val="zh-CN" w:eastAsia="zh-CN" w:bidi="zh-CN"/>
              </w:rPr>
            </w:pPr>
            <w:r>
              <w:rPr>
                <w:rFonts w:hint="eastAsia" w:ascii="宋体" w:hAnsi="宋体" w:eastAsia="宋体" w:cs="宋体"/>
                <w:b w:val="0"/>
                <w:bCs w:val="0"/>
                <w:color w:val="auto"/>
                <w:spacing w:val="0"/>
                <w:kern w:val="21"/>
                <w:sz w:val="24"/>
                <w:szCs w:val="24"/>
              </w:rPr>
              <w:t>处</w:t>
            </w:r>
            <w:r>
              <w:rPr>
                <w:rFonts w:hint="eastAsia" w:cs="宋体"/>
                <w:b w:val="0"/>
                <w:bCs w:val="0"/>
                <w:color w:val="auto"/>
                <w:spacing w:val="0"/>
                <w:kern w:val="21"/>
                <w:sz w:val="24"/>
                <w:szCs w:val="24"/>
                <w:lang w:val="en-US" w:eastAsia="zh-CN"/>
              </w:rPr>
              <w:t>3.5万</w:t>
            </w:r>
            <w:r>
              <w:rPr>
                <w:rFonts w:hint="eastAsia" w:ascii="宋体" w:hAnsi="宋体" w:eastAsia="宋体" w:cs="宋体"/>
                <w:b w:val="0"/>
                <w:bCs w:val="0"/>
                <w:color w:val="auto"/>
                <w:spacing w:val="0"/>
                <w:kern w:val="21"/>
                <w:sz w:val="24"/>
                <w:szCs w:val="24"/>
              </w:rPr>
              <w:t>元以上</w:t>
            </w:r>
            <w:r>
              <w:rPr>
                <w:rFonts w:hint="eastAsia" w:cs="宋体"/>
                <w:b w:val="0"/>
                <w:bCs w:val="0"/>
                <w:color w:val="auto"/>
                <w:spacing w:val="0"/>
                <w:kern w:val="21"/>
                <w:sz w:val="24"/>
                <w:szCs w:val="24"/>
                <w:lang w:val="en-US" w:eastAsia="zh-CN"/>
              </w:rPr>
              <w:t>5万</w:t>
            </w:r>
            <w:r>
              <w:rPr>
                <w:rFonts w:hint="eastAsia" w:ascii="宋体" w:hAnsi="宋体" w:eastAsia="宋体" w:cs="宋体"/>
                <w:b w:val="0"/>
                <w:bCs w:val="0"/>
                <w:color w:val="auto"/>
                <w:spacing w:val="0"/>
                <w:kern w:val="21"/>
                <w:sz w:val="24"/>
                <w:szCs w:val="24"/>
              </w:rPr>
              <w:t>元以下罚款。</w:t>
            </w:r>
          </w:p>
        </w:tc>
      </w:tr>
      <w:tr w14:paraId="5F4AF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640" w:type="dxa"/>
            <w:vMerge w:val="restart"/>
            <w:noWrap w:val="0"/>
            <w:vAlign w:val="center"/>
          </w:tcPr>
          <w:p w14:paraId="623916AE">
            <w:pPr>
              <w:keepNext w:val="0"/>
              <w:keepLines w:val="0"/>
              <w:pageBreakBefore w:val="0"/>
              <w:widowControl/>
              <w:kinsoku/>
              <w:wordWrap/>
              <w:overflowPunct/>
              <w:topLinePunct w:val="0"/>
              <w:bidi w:val="0"/>
              <w:adjustRightInd/>
              <w:snapToGrid/>
              <w:spacing w:line="400" w:lineRule="exact"/>
              <w:ind w:left="63" w:leftChars="30" w:right="63" w:rightChars="30"/>
              <w:jc w:val="center"/>
              <w:textAlignment w:val="center"/>
              <w:rPr>
                <w:rFonts w:hint="eastAsia" w:ascii="宋体" w:hAnsi="宋体" w:eastAsia="宋体" w:cs="宋体"/>
                <w:b w:val="0"/>
                <w:bCs w:val="0"/>
                <w:color w:val="auto"/>
                <w:spacing w:val="6"/>
                <w:kern w:val="21"/>
                <w:sz w:val="24"/>
                <w:szCs w:val="24"/>
                <w:lang w:val="en-US" w:eastAsia="zh-CN" w:bidi="ar"/>
              </w:rPr>
            </w:pPr>
            <w:r>
              <w:rPr>
                <w:rFonts w:hint="eastAsia" w:ascii="宋体" w:hAnsi="宋体" w:cs="宋体"/>
                <w:b w:val="0"/>
                <w:bCs w:val="0"/>
                <w:color w:val="auto"/>
                <w:spacing w:val="6"/>
                <w:kern w:val="21"/>
                <w:sz w:val="24"/>
                <w:szCs w:val="24"/>
                <w:lang w:val="en-US" w:eastAsia="zh-CN" w:bidi="ar"/>
              </w:rPr>
              <w:t>133</w:t>
            </w:r>
          </w:p>
        </w:tc>
        <w:tc>
          <w:tcPr>
            <w:tcW w:w="1793" w:type="dxa"/>
            <w:vMerge w:val="restart"/>
            <w:noWrap w:val="0"/>
            <w:vAlign w:val="center"/>
          </w:tcPr>
          <w:p w14:paraId="1B970EC1">
            <w:pPr>
              <w:keepNext w:val="0"/>
              <w:keepLines w:val="0"/>
              <w:pageBreakBefore w:val="0"/>
              <w:widowControl/>
              <w:suppressLineNumbers w:val="0"/>
              <w:kinsoku/>
              <w:wordWrap/>
              <w:overflowPunct/>
              <w:topLinePunct w:val="0"/>
              <w:bidi w:val="0"/>
              <w:adjustRightInd/>
              <w:snapToGrid/>
              <w:spacing w:line="400" w:lineRule="exact"/>
              <w:ind w:left="63" w:leftChars="30" w:right="63" w:rightChars="30"/>
              <w:jc w:val="both"/>
              <w:textAlignment w:val="center"/>
              <w:rPr>
                <w:rFonts w:hint="eastAsia" w:ascii="宋体" w:hAnsi="宋体" w:eastAsia="宋体" w:cs="宋体"/>
                <w:b w:val="0"/>
                <w:bCs w:val="0"/>
                <w:color w:val="auto"/>
                <w:spacing w:val="6"/>
                <w:kern w:val="21"/>
                <w:sz w:val="24"/>
                <w:szCs w:val="24"/>
                <w:lang w:val="en-US" w:eastAsia="zh-CN" w:bidi="ar"/>
              </w:rPr>
            </w:pPr>
            <w:r>
              <w:rPr>
                <w:rFonts w:hint="eastAsia" w:ascii="宋体" w:hAnsi="宋体" w:eastAsia="宋体" w:cs="宋体"/>
                <w:color w:val="auto"/>
                <w:spacing w:val="6"/>
                <w:kern w:val="21"/>
                <w:sz w:val="24"/>
                <w:szCs w:val="24"/>
                <w:lang w:val="en-US" w:eastAsia="zh-CN" w:bidi="ar"/>
              </w:rPr>
              <w:t>《计量器具新产品管理办法》</w:t>
            </w:r>
          </w:p>
        </w:tc>
        <w:tc>
          <w:tcPr>
            <w:tcW w:w="4193" w:type="dxa"/>
            <w:vMerge w:val="restart"/>
            <w:noWrap w:val="0"/>
            <w:vAlign w:val="center"/>
          </w:tcPr>
          <w:p w14:paraId="231348BC">
            <w:pPr>
              <w:keepNext w:val="0"/>
              <w:keepLines w:val="0"/>
              <w:widowControl/>
              <w:suppressLineNumbers w:val="0"/>
              <w:spacing w:line="400" w:lineRule="exact"/>
              <w:ind w:left="63" w:leftChars="30" w:right="63" w:rightChars="30"/>
              <w:jc w:val="both"/>
              <w:textAlignment w:val="center"/>
              <w:rPr>
                <w:rFonts w:hint="eastAsia" w:ascii="宋体" w:hAnsi="宋体" w:cs="宋体"/>
                <w:color w:val="auto"/>
                <w:spacing w:val="6"/>
                <w:kern w:val="21"/>
                <w:sz w:val="24"/>
                <w:lang w:bidi="ar"/>
              </w:rPr>
            </w:pPr>
            <w:r>
              <w:rPr>
                <w:rFonts w:hint="eastAsia" w:ascii="宋体" w:hAnsi="宋体" w:eastAsia="宋体" w:cs="宋体"/>
                <w:color w:val="auto"/>
                <w:spacing w:val="6"/>
                <w:kern w:val="21"/>
                <w:sz w:val="24"/>
                <w:szCs w:val="24"/>
                <w:lang w:val="en-US" w:eastAsia="zh-CN" w:bidi="ar"/>
              </w:rPr>
              <w:t>第二十三条 未持续符合型式批准条件，不再具有与所制造的计量器具相适应的设施、人员和检定仪器设备的，由县级以上市场监督管理部门责令改正；逾期未改正的，处三万元以下罚款。</w:t>
            </w:r>
          </w:p>
          <w:p w14:paraId="4FFC33D3">
            <w:pPr>
              <w:keepNext w:val="0"/>
              <w:keepLines w:val="0"/>
              <w:pageBreakBefore w:val="0"/>
              <w:widowControl/>
              <w:kinsoku/>
              <w:overflowPunct/>
              <w:topLinePunct w:val="0"/>
              <w:bidi w:val="0"/>
              <w:adjustRightInd/>
              <w:snapToGrid/>
              <w:ind w:left="63" w:leftChars="30" w:right="63" w:rightChars="30"/>
              <w:jc w:val="both"/>
              <w:textAlignment w:val="center"/>
              <w:rPr>
                <w:rFonts w:hint="eastAsia" w:ascii="宋体" w:hAnsi="宋体" w:eastAsia="宋体" w:cs="宋体"/>
                <w:b w:val="0"/>
                <w:bCs w:val="0"/>
                <w:color w:val="auto"/>
                <w:spacing w:val="6"/>
                <w:kern w:val="21"/>
                <w:sz w:val="24"/>
                <w:szCs w:val="24"/>
                <w:lang w:val="en-US" w:eastAsia="zh-CN" w:bidi="ar"/>
              </w:rPr>
            </w:pPr>
          </w:p>
        </w:tc>
        <w:tc>
          <w:tcPr>
            <w:tcW w:w="1132" w:type="dxa"/>
            <w:noWrap w:val="0"/>
            <w:vAlign w:val="center"/>
          </w:tcPr>
          <w:p w14:paraId="05438F78">
            <w:pPr>
              <w:pStyle w:val="17"/>
              <w:keepNext w:val="0"/>
              <w:keepLines w:val="0"/>
              <w:pageBreakBefore w:val="0"/>
              <w:kinsoku/>
              <w:wordWrap/>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5D18D0AD">
            <w:pPr>
              <w:pStyle w:val="17"/>
              <w:keepNext w:val="0"/>
              <w:keepLines w:val="0"/>
              <w:pageBreakBefore w:val="0"/>
              <w:widowControl w:val="0"/>
              <w:kinsoku/>
              <w:wordWrap/>
              <w:overflowPunct/>
              <w:topLinePunct w:val="0"/>
              <w:autoSpaceDE w:val="0"/>
              <w:autoSpaceDN w:val="0"/>
              <w:bidi w:val="0"/>
              <w:adjustRightInd/>
              <w:snapToGrid/>
              <w:spacing w:line="320" w:lineRule="exact"/>
              <w:ind w:left="63" w:leftChars="30" w:right="63" w:rightChars="30"/>
              <w:jc w:val="both"/>
              <w:textAlignment w:val="auto"/>
              <w:rPr>
                <w:rFonts w:hint="eastAsia" w:ascii="宋体" w:hAnsi="宋体" w:eastAsia="宋体" w:cs="宋体"/>
                <w:b w:val="0"/>
                <w:bCs w:val="0"/>
                <w:color w:val="auto"/>
                <w:spacing w:val="6"/>
                <w:kern w:val="21"/>
                <w:sz w:val="24"/>
                <w:szCs w:val="24"/>
                <w:lang w:val="zh-CN" w:eastAsia="zh-CN" w:bidi="zh-CN"/>
              </w:rPr>
            </w:pPr>
            <w:r>
              <w:rPr>
                <w:rFonts w:hint="eastAsia" w:cs="宋体"/>
                <w:color w:val="auto"/>
                <w:kern w:val="0"/>
                <w:sz w:val="24"/>
                <w:szCs w:val="24"/>
                <w:lang w:val="en-US" w:eastAsia="zh-CN" w:bidi="ar"/>
              </w:rPr>
              <w:t>仅有一个条件</w:t>
            </w:r>
            <w:r>
              <w:rPr>
                <w:rFonts w:ascii="宋体" w:hAnsi="宋体" w:eastAsia="宋体" w:cs="宋体"/>
                <w:color w:val="auto"/>
                <w:kern w:val="0"/>
                <w:sz w:val="24"/>
                <w:szCs w:val="24"/>
                <w:lang w:val="en-US" w:eastAsia="zh-CN" w:bidi="ar"/>
              </w:rPr>
              <w:t>未持续符合型式批准条件</w:t>
            </w:r>
            <w:r>
              <w:rPr>
                <w:rFonts w:hint="eastAsia" w:cs="宋体"/>
                <w:color w:val="auto"/>
                <w:kern w:val="0"/>
                <w:sz w:val="24"/>
                <w:szCs w:val="24"/>
                <w:lang w:val="en-US" w:eastAsia="zh-CN" w:bidi="ar"/>
              </w:rPr>
              <w:t>的。</w:t>
            </w:r>
          </w:p>
        </w:tc>
        <w:tc>
          <w:tcPr>
            <w:tcW w:w="3382" w:type="dxa"/>
            <w:noWrap w:val="0"/>
            <w:vAlign w:val="center"/>
          </w:tcPr>
          <w:p w14:paraId="12819700">
            <w:pPr>
              <w:pStyle w:val="17"/>
              <w:keepNext w:val="0"/>
              <w:keepLines w:val="0"/>
              <w:pageBreakBefore w:val="0"/>
              <w:widowControl w:val="0"/>
              <w:kinsoku/>
              <w:wordWrap/>
              <w:overflowPunct/>
              <w:topLinePunct w:val="0"/>
              <w:autoSpaceDE w:val="0"/>
              <w:autoSpaceDN w:val="0"/>
              <w:bidi w:val="0"/>
              <w:adjustRightInd/>
              <w:snapToGrid/>
              <w:spacing w:line="320" w:lineRule="exact"/>
              <w:ind w:left="63" w:leftChars="30" w:right="63" w:rightChars="30"/>
              <w:jc w:val="both"/>
              <w:textAlignment w:val="auto"/>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处</w:t>
            </w:r>
            <w:r>
              <w:rPr>
                <w:rFonts w:hint="eastAsia" w:ascii="宋体" w:hAnsi="宋体" w:eastAsia="宋体" w:cs="宋体"/>
                <w:b w:val="0"/>
                <w:bCs w:val="0"/>
                <w:color w:val="auto"/>
                <w:spacing w:val="6"/>
                <w:kern w:val="21"/>
                <w:sz w:val="24"/>
                <w:szCs w:val="24"/>
                <w:lang w:val="en-US" w:eastAsia="zh-CN"/>
              </w:rPr>
              <w:t>9000</w:t>
            </w:r>
            <w:r>
              <w:rPr>
                <w:rFonts w:hint="eastAsia" w:ascii="宋体" w:hAnsi="宋体" w:eastAsia="宋体" w:cs="宋体"/>
                <w:b w:val="0"/>
                <w:bCs w:val="0"/>
                <w:color w:val="auto"/>
                <w:spacing w:val="6"/>
                <w:kern w:val="21"/>
                <w:sz w:val="24"/>
                <w:szCs w:val="24"/>
              </w:rPr>
              <w:t>元以下罚款</w:t>
            </w:r>
            <w:r>
              <w:rPr>
                <w:rFonts w:hint="eastAsia" w:ascii="宋体" w:hAnsi="宋体" w:eastAsia="宋体" w:cs="宋体"/>
                <w:b w:val="0"/>
                <w:bCs w:val="0"/>
                <w:color w:val="auto"/>
                <w:spacing w:val="6"/>
                <w:kern w:val="21"/>
                <w:sz w:val="24"/>
                <w:szCs w:val="24"/>
                <w:lang w:eastAsia="zh-CN"/>
              </w:rPr>
              <w:t>。</w:t>
            </w:r>
          </w:p>
        </w:tc>
      </w:tr>
      <w:tr w14:paraId="7C317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640" w:type="dxa"/>
            <w:vMerge w:val="continue"/>
            <w:noWrap w:val="0"/>
            <w:vAlign w:val="center"/>
          </w:tcPr>
          <w:p w14:paraId="6CD141BD">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FF0000"/>
                <w:spacing w:val="6"/>
                <w:kern w:val="21"/>
                <w:sz w:val="24"/>
                <w:szCs w:val="24"/>
              </w:rPr>
            </w:pPr>
          </w:p>
        </w:tc>
        <w:tc>
          <w:tcPr>
            <w:tcW w:w="1793" w:type="dxa"/>
            <w:vMerge w:val="continue"/>
            <w:noWrap w:val="0"/>
            <w:vAlign w:val="center"/>
          </w:tcPr>
          <w:p w14:paraId="218F95AF">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center"/>
          </w:tcPr>
          <w:p w14:paraId="01833D69">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01207184">
            <w:pPr>
              <w:pStyle w:val="17"/>
              <w:keepNext w:val="0"/>
              <w:keepLines w:val="0"/>
              <w:pageBreakBefore w:val="0"/>
              <w:kinsoku/>
              <w:wordWrap/>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1342A452">
            <w:pPr>
              <w:keepNext w:val="0"/>
              <w:keepLines w:val="0"/>
              <w:pageBreakBefore w:val="0"/>
              <w:widowControl w:val="0"/>
              <w:kinsoku/>
              <w:wordWrap/>
              <w:overflowPunct/>
              <w:topLinePunct w:val="0"/>
              <w:autoSpaceDE w:val="0"/>
              <w:autoSpaceDN w:val="0"/>
              <w:bidi w:val="0"/>
              <w:adjustRightInd/>
              <w:snapToGrid/>
              <w:spacing w:line="320" w:lineRule="exact"/>
              <w:ind w:left="63" w:leftChars="30" w:right="63" w:rightChars="30"/>
              <w:jc w:val="both"/>
              <w:textAlignment w:val="auto"/>
              <w:rPr>
                <w:rFonts w:hint="eastAsia" w:ascii="宋体" w:hAnsi="宋体" w:eastAsia="宋体" w:cs="宋体"/>
                <w:b w:val="0"/>
                <w:bCs w:val="0"/>
                <w:color w:val="auto"/>
                <w:spacing w:val="6"/>
                <w:kern w:val="21"/>
                <w:sz w:val="24"/>
                <w:szCs w:val="24"/>
                <w:lang w:val="en-US" w:eastAsia="zh-CN" w:bidi="ar-SA"/>
              </w:rPr>
            </w:pPr>
            <w:r>
              <w:rPr>
                <w:rFonts w:hint="eastAsia" w:cs="宋体"/>
                <w:color w:val="auto"/>
                <w:kern w:val="0"/>
                <w:sz w:val="24"/>
                <w:szCs w:val="24"/>
                <w:lang w:val="en-US" w:eastAsia="zh-CN" w:bidi="ar"/>
              </w:rPr>
              <w:t>有两个条件</w:t>
            </w:r>
            <w:r>
              <w:rPr>
                <w:rFonts w:ascii="宋体" w:hAnsi="宋体" w:eastAsia="宋体" w:cs="宋体"/>
                <w:color w:val="auto"/>
                <w:kern w:val="0"/>
                <w:sz w:val="24"/>
                <w:szCs w:val="24"/>
                <w:lang w:val="en-US" w:eastAsia="zh-CN" w:bidi="ar"/>
              </w:rPr>
              <w:t>未持续符合型式批准条件</w:t>
            </w:r>
            <w:r>
              <w:rPr>
                <w:rFonts w:hint="eastAsia" w:cs="宋体"/>
                <w:color w:val="auto"/>
                <w:kern w:val="0"/>
                <w:sz w:val="24"/>
                <w:szCs w:val="24"/>
                <w:lang w:val="en-US" w:eastAsia="zh-CN" w:bidi="ar"/>
              </w:rPr>
              <w:t>的。</w:t>
            </w:r>
          </w:p>
        </w:tc>
        <w:tc>
          <w:tcPr>
            <w:tcW w:w="3382" w:type="dxa"/>
            <w:noWrap w:val="0"/>
            <w:vAlign w:val="center"/>
          </w:tcPr>
          <w:p w14:paraId="26EAC5C9">
            <w:pPr>
              <w:pStyle w:val="17"/>
              <w:keepNext w:val="0"/>
              <w:keepLines w:val="0"/>
              <w:pageBreakBefore w:val="0"/>
              <w:widowControl w:val="0"/>
              <w:kinsoku/>
              <w:wordWrap/>
              <w:overflowPunct/>
              <w:topLinePunct w:val="0"/>
              <w:autoSpaceDE w:val="0"/>
              <w:autoSpaceDN w:val="0"/>
              <w:bidi w:val="0"/>
              <w:adjustRightInd/>
              <w:snapToGrid/>
              <w:spacing w:line="320" w:lineRule="exact"/>
              <w:ind w:left="63" w:leftChars="30" w:right="63" w:rightChars="30"/>
              <w:jc w:val="both"/>
              <w:textAlignment w:val="auto"/>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处</w:t>
            </w:r>
            <w:r>
              <w:rPr>
                <w:rFonts w:hint="eastAsia" w:ascii="宋体" w:hAnsi="宋体" w:eastAsia="宋体" w:cs="宋体"/>
                <w:b w:val="0"/>
                <w:bCs w:val="0"/>
                <w:color w:val="auto"/>
                <w:spacing w:val="6"/>
                <w:kern w:val="21"/>
                <w:sz w:val="24"/>
                <w:szCs w:val="24"/>
                <w:lang w:val="en-US" w:eastAsia="zh-CN"/>
              </w:rPr>
              <w:t>9000</w:t>
            </w:r>
            <w:r>
              <w:rPr>
                <w:rFonts w:hint="eastAsia" w:ascii="宋体" w:hAnsi="宋体" w:eastAsia="宋体" w:cs="宋体"/>
                <w:b w:val="0"/>
                <w:bCs w:val="0"/>
                <w:color w:val="auto"/>
                <w:spacing w:val="6"/>
                <w:kern w:val="21"/>
                <w:sz w:val="24"/>
                <w:szCs w:val="24"/>
              </w:rPr>
              <w:t>元以上</w:t>
            </w:r>
            <w:r>
              <w:rPr>
                <w:rFonts w:hint="eastAsia" w:cs="宋体"/>
                <w:b w:val="0"/>
                <w:bCs w:val="0"/>
                <w:color w:val="auto"/>
                <w:spacing w:val="6"/>
                <w:kern w:val="21"/>
                <w:sz w:val="24"/>
                <w:szCs w:val="24"/>
                <w:lang w:val="en-US" w:eastAsia="zh-CN"/>
              </w:rPr>
              <w:t>2.1万</w:t>
            </w:r>
            <w:r>
              <w:rPr>
                <w:rFonts w:hint="eastAsia" w:ascii="宋体" w:hAnsi="宋体" w:eastAsia="宋体" w:cs="宋体"/>
                <w:b w:val="0"/>
                <w:bCs w:val="0"/>
                <w:color w:val="auto"/>
                <w:spacing w:val="6"/>
                <w:kern w:val="21"/>
                <w:sz w:val="24"/>
                <w:szCs w:val="24"/>
              </w:rPr>
              <w:t>元以下罚款。</w:t>
            </w:r>
          </w:p>
        </w:tc>
      </w:tr>
      <w:tr w14:paraId="6C97D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exact"/>
          <w:jc w:val="center"/>
        </w:trPr>
        <w:tc>
          <w:tcPr>
            <w:tcW w:w="640" w:type="dxa"/>
            <w:vMerge w:val="continue"/>
            <w:noWrap w:val="0"/>
            <w:vAlign w:val="center"/>
          </w:tcPr>
          <w:p w14:paraId="047DC4BF">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FF0000"/>
                <w:spacing w:val="6"/>
                <w:kern w:val="21"/>
                <w:sz w:val="24"/>
                <w:szCs w:val="24"/>
              </w:rPr>
            </w:pPr>
          </w:p>
        </w:tc>
        <w:tc>
          <w:tcPr>
            <w:tcW w:w="1793" w:type="dxa"/>
            <w:vMerge w:val="continue"/>
            <w:noWrap w:val="0"/>
            <w:vAlign w:val="center"/>
          </w:tcPr>
          <w:p w14:paraId="1A223D7C">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center"/>
          </w:tcPr>
          <w:p w14:paraId="4FB41F66">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1D82AC4E">
            <w:pPr>
              <w:pStyle w:val="17"/>
              <w:keepNext w:val="0"/>
              <w:keepLines w:val="0"/>
              <w:pageBreakBefore w:val="0"/>
              <w:kinsoku/>
              <w:wordWrap/>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57465C2F">
            <w:pPr>
              <w:keepNext w:val="0"/>
              <w:keepLines w:val="0"/>
              <w:pageBreakBefore w:val="0"/>
              <w:widowControl w:val="0"/>
              <w:kinsoku/>
              <w:wordWrap/>
              <w:overflowPunct/>
              <w:topLinePunct w:val="0"/>
              <w:autoSpaceDE w:val="0"/>
              <w:autoSpaceDN w:val="0"/>
              <w:bidi w:val="0"/>
              <w:adjustRightInd/>
              <w:snapToGrid/>
              <w:spacing w:line="320" w:lineRule="exact"/>
              <w:ind w:left="63" w:leftChars="30" w:right="63" w:rightChars="30"/>
              <w:jc w:val="both"/>
              <w:textAlignment w:val="auto"/>
              <w:rPr>
                <w:rFonts w:hint="eastAsia" w:ascii="宋体" w:hAnsi="宋体" w:eastAsia="宋体" w:cs="宋体"/>
                <w:b w:val="0"/>
                <w:bCs w:val="0"/>
                <w:color w:val="auto"/>
                <w:spacing w:val="6"/>
                <w:kern w:val="21"/>
                <w:sz w:val="24"/>
                <w:szCs w:val="24"/>
                <w:lang w:val="en-US" w:eastAsia="zh-CN" w:bidi="ar-SA"/>
              </w:rPr>
            </w:pPr>
            <w:r>
              <w:rPr>
                <w:rFonts w:hint="eastAsia" w:cs="宋体"/>
                <w:color w:val="auto"/>
                <w:kern w:val="0"/>
                <w:sz w:val="24"/>
                <w:szCs w:val="24"/>
                <w:lang w:val="en-US" w:eastAsia="zh-CN" w:bidi="ar"/>
              </w:rPr>
              <w:t>有三个及以上条件</w:t>
            </w:r>
            <w:r>
              <w:rPr>
                <w:rFonts w:ascii="宋体" w:hAnsi="宋体" w:eastAsia="宋体" w:cs="宋体"/>
                <w:color w:val="auto"/>
                <w:kern w:val="0"/>
                <w:sz w:val="24"/>
                <w:szCs w:val="24"/>
                <w:lang w:val="en-US" w:eastAsia="zh-CN" w:bidi="ar"/>
              </w:rPr>
              <w:t>未持续符合型式批准条件</w:t>
            </w:r>
            <w:r>
              <w:rPr>
                <w:rFonts w:hint="eastAsia" w:cs="宋体"/>
                <w:color w:val="auto"/>
                <w:kern w:val="0"/>
                <w:sz w:val="24"/>
                <w:szCs w:val="24"/>
                <w:lang w:val="en-US" w:eastAsia="zh-CN" w:bidi="ar"/>
              </w:rPr>
              <w:t>的。</w:t>
            </w:r>
          </w:p>
        </w:tc>
        <w:tc>
          <w:tcPr>
            <w:tcW w:w="3382" w:type="dxa"/>
            <w:noWrap w:val="0"/>
            <w:vAlign w:val="center"/>
          </w:tcPr>
          <w:p w14:paraId="3836C508">
            <w:pPr>
              <w:pStyle w:val="17"/>
              <w:keepNext w:val="0"/>
              <w:keepLines w:val="0"/>
              <w:pageBreakBefore w:val="0"/>
              <w:widowControl w:val="0"/>
              <w:kinsoku/>
              <w:wordWrap/>
              <w:overflowPunct/>
              <w:topLinePunct w:val="0"/>
              <w:autoSpaceDE w:val="0"/>
              <w:autoSpaceDN w:val="0"/>
              <w:bidi w:val="0"/>
              <w:adjustRightInd/>
              <w:snapToGrid/>
              <w:spacing w:line="320" w:lineRule="exact"/>
              <w:ind w:left="63" w:leftChars="30" w:right="63" w:rightChars="30"/>
              <w:jc w:val="both"/>
              <w:textAlignment w:val="auto"/>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处</w:t>
            </w:r>
            <w:r>
              <w:rPr>
                <w:rFonts w:hint="eastAsia" w:cs="宋体"/>
                <w:b w:val="0"/>
                <w:bCs w:val="0"/>
                <w:color w:val="auto"/>
                <w:spacing w:val="6"/>
                <w:kern w:val="21"/>
                <w:sz w:val="24"/>
                <w:szCs w:val="24"/>
                <w:lang w:val="en-US" w:eastAsia="zh-CN"/>
              </w:rPr>
              <w:t>2.1万</w:t>
            </w:r>
            <w:r>
              <w:rPr>
                <w:rFonts w:hint="eastAsia" w:ascii="宋体" w:hAnsi="宋体" w:eastAsia="宋体" w:cs="宋体"/>
                <w:b w:val="0"/>
                <w:bCs w:val="0"/>
                <w:color w:val="auto"/>
                <w:spacing w:val="6"/>
                <w:kern w:val="21"/>
                <w:sz w:val="24"/>
                <w:szCs w:val="24"/>
              </w:rPr>
              <w:t>元以上3</w:t>
            </w:r>
            <w:r>
              <w:rPr>
                <w:rFonts w:hint="eastAsia" w:cs="宋体"/>
                <w:b w:val="0"/>
                <w:bCs w:val="0"/>
                <w:color w:val="auto"/>
                <w:spacing w:val="6"/>
                <w:kern w:val="21"/>
                <w:sz w:val="24"/>
                <w:szCs w:val="24"/>
                <w:lang w:val="en-US" w:eastAsia="zh-CN"/>
              </w:rPr>
              <w:t>万</w:t>
            </w:r>
            <w:r>
              <w:rPr>
                <w:rFonts w:hint="eastAsia" w:ascii="宋体" w:hAnsi="宋体" w:eastAsia="宋体" w:cs="宋体"/>
                <w:b w:val="0"/>
                <w:bCs w:val="0"/>
                <w:color w:val="auto"/>
                <w:spacing w:val="6"/>
                <w:kern w:val="21"/>
                <w:sz w:val="24"/>
                <w:szCs w:val="24"/>
              </w:rPr>
              <w:t>元以下罚款。</w:t>
            </w:r>
          </w:p>
        </w:tc>
      </w:tr>
      <w:tr w14:paraId="6C003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2" w:hRule="exact"/>
          <w:jc w:val="center"/>
        </w:trPr>
        <w:tc>
          <w:tcPr>
            <w:tcW w:w="640" w:type="dxa"/>
            <w:vMerge w:val="restart"/>
            <w:noWrap w:val="0"/>
            <w:vAlign w:val="center"/>
          </w:tcPr>
          <w:p w14:paraId="708C05B7">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default" w:ascii="宋体" w:hAnsi="宋体" w:eastAsia="宋体" w:cs="宋体"/>
                <w:b w:val="0"/>
                <w:bCs w:val="0"/>
                <w:color w:val="auto"/>
                <w:spacing w:val="6"/>
                <w:kern w:val="21"/>
                <w:sz w:val="24"/>
                <w:szCs w:val="24"/>
                <w:lang w:val="en-US" w:eastAsia="zh-CN" w:bidi="zh-CN"/>
              </w:rPr>
            </w:pPr>
            <w:r>
              <w:rPr>
                <w:rFonts w:hint="eastAsia" w:cs="宋体"/>
                <w:b w:val="0"/>
                <w:bCs w:val="0"/>
                <w:color w:val="auto"/>
                <w:spacing w:val="6"/>
                <w:kern w:val="21"/>
                <w:sz w:val="24"/>
                <w:szCs w:val="24"/>
                <w:lang w:val="en-US" w:eastAsia="zh-CN" w:bidi="zh-CN"/>
              </w:rPr>
              <w:t>134</w:t>
            </w:r>
          </w:p>
        </w:tc>
        <w:tc>
          <w:tcPr>
            <w:tcW w:w="1793" w:type="dxa"/>
            <w:vMerge w:val="restart"/>
            <w:noWrap w:val="0"/>
            <w:vAlign w:val="center"/>
          </w:tcPr>
          <w:p w14:paraId="25B1114C">
            <w:pPr>
              <w:keepNext w:val="0"/>
              <w:keepLines w:val="0"/>
              <w:pageBreakBefore w:val="0"/>
              <w:widowControl/>
              <w:kinsoku/>
              <w:overflowPunct/>
              <w:topLinePunct w:val="0"/>
              <w:bidi w:val="0"/>
              <w:adjustRightInd/>
              <w:snapToGrid/>
              <w:ind w:left="63" w:leftChars="30" w:right="63" w:rightChars="30"/>
              <w:jc w:val="both"/>
              <w:textAlignment w:val="center"/>
              <w:rPr>
                <w:rFonts w:hint="eastAsia" w:ascii="宋体" w:hAnsi="宋体" w:eastAsia="宋体" w:cs="宋体"/>
                <w:b w:val="0"/>
                <w:bCs w:val="0"/>
                <w:color w:val="auto"/>
                <w:spacing w:val="6"/>
                <w:kern w:val="21"/>
                <w:sz w:val="24"/>
                <w:szCs w:val="24"/>
                <w:lang w:bidi="ar"/>
              </w:rPr>
            </w:pPr>
          </w:p>
          <w:p w14:paraId="5109B5C7">
            <w:pPr>
              <w:keepNext w:val="0"/>
              <w:keepLines w:val="0"/>
              <w:pageBreakBefore w:val="0"/>
              <w:widowControl/>
              <w:kinsoku/>
              <w:wordWrap/>
              <w:overflowPunct/>
              <w:topLinePunct w:val="0"/>
              <w:autoSpaceDE w:val="0"/>
              <w:autoSpaceDN w:val="0"/>
              <w:bidi w:val="0"/>
              <w:adjustRightInd/>
              <w:snapToGrid/>
              <w:ind w:left="63" w:leftChars="30" w:right="63" w:rightChars="30"/>
              <w:jc w:val="both"/>
              <w:textAlignment w:val="center"/>
              <w:outlineLvl w:val="2"/>
              <w:rPr>
                <w:rFonts w:hint="eastAsia" w:ascii="宋体" w:hAnsi="宋体" w:eastAsia="宋体" w:cs="宋体"/>
                <w:b w:val="0"/>
                <w:bCs w:val="0"/>
                <w:color w:val="auto"/>
                <w:spacing w:val="6"/>
                <w:kern w:val="21"/>
                <w:sz w:val="24"/>
                <w:szCs w:val="24"/>
                <w:lang w:val="en-US" w:eastAsia="zh-CN" w:bidi="ar"/>
              </w:rPr>
            </w:pPr>
            <w:bookmarkStart w:id="196" w:name="_Toc4478"/>
            <w:bookmarkStart w:id="197" w:name="_Toc743"/>
            <w:bookmarkStart w:id="198" w:name="_Toc29380"/>
            <w:bookmarkStart w:id="199" w:name="_Toc26435"/>
            <w:r>
              <w:rPr>
                <w:rFonts w:hint="eastAsia" w:ascii="宋体" w:hAnsi="宋体" w:eastAsia="宋体" w:cs="宋体"/>
                <w:b w:val="0"/>
                <w:bCs w:val="0"/>
                <w:color w:val="auto"/>
                <w:spacing w:val="6"/>
                <w:kern w:val="21"/>
                <w:sz w:val="24"/>
                <w:szCs w:val="24"/>
                <w:lang w:bidi="ar"/>
              </w:rPr>
              <w:t>《吉林省贸易计量监督条例》</w:t>
            </w:r>
            <w:r>
              <w:rPr>
                <w:rFonts w:hint="eastAsia" w:ascii="宋体" w:hAnsi="宋体" w:eastAsia="宋体" w:cs="宋体"/>
                <w:b w:val="0"/>
                <w:bCs w:val="0"/>
                <w:color w:val="auto"/>
                <w:spacing w:val="6"/>
                <w:kern w:val="21"/>
                <w:sz w:val="24"/>
                <w:szCs w:val="24"/>
                <w:lang w:eastAsia="zh-CN" w:bidi="ar"/>
              </w:rPr>
              <w:t>（</w:t>
            </w:r>
            <w:r>
              <w:rPr>
                <w:rFonts w:hint="eastAsia" w:ascii="宋体" w:hAnsi="宋体" w:cs="宋体"/>
                <w:b w:val="0"/>
                <w:bCs w:val="0"/>
                <w:color w:val="auto"/>
                <w:spacing w:val="6"/>
                <w:kern w:val="21"/>
                <w:sz w:val="24"/>
                <w:szCs w:val="24"/>
                <w:lang w:val="en-US" w:eastAsia="zh-CN" w:bidi="ar"/>
              </w:rPr>
              <w:t>2022年11月30日起施行</w:t>
            </w:r>
            <w:r>
              <w:rPr>
                <w:rFonts w:hint="eastAsia" w:ascii="宋体" w:hAnsi="宋体" w:eastAsia="宋体" w:cs="宋体"/>
                <w:b w:val="0"/>
                <w:bCs w:val="0"/>
                <w:color w:val="auto"/>
                <w:spacing w:val="6"/>
                <w:kern w:val="21"/>
                <w:sz w:val="24"/>
                <w:szCs w:val="24"/>
                <w:lang w:eastAsia="zh-CN" w:bidi="ar"/>
              </w:rPr>
              <w:t>）</w:t>
            </w:r>
            <w:bookmarkEnd w:id="196"/>
            <w:bookmarkEnd w:id="197"/>
            <w:bookmarkEnd w:id="198"/>
            <w:bookmarkEnd w:id="199"/>
          </w:p>
        </w:tc>
        <w:tc>
          <w:tcPr>
            <w:tcW w:w="4193" w:type="dxa"/>
            <w:vMerge w:val="restart"/>
            <w:noWrap w:val="0"/>
            <w:vAlign w:val="center"/>
          </w:tcPr>
          <w:p w14:paraId="7BCB4062">
            <w:pPr>
              <w:keepNext w:val="0"/>
              <w:keepLines w:val="0"/>
              <w:pageBreakBefore w:val="0"/>
              <w:widowControl/>
              <w:tabs>
                <w:tab w:val="left" w:pos="1053"/>
              </w:tabs>
              <w:kinsoku/>
              <w:overflowPunct/>
              <w:topLinePunct w:val="0"/>
              <w:bidi w:val="0"/>
              <w:adjustRightInd/>
              <w:snapToGrid/>
              <w:ind w:left="63" w:leftChars="30" w:right="63" w:rightChars="30"/>
              <w:jc w:val="both"/>
              <w:textAlignment w:val="center"/>
              <w:rPr>
                <w:rFonts w:hint="eastAsia" w:ascii="宋体" w:hAnsi="宋体" w:eastAsia="宋体" w:cs="宋体"/>
                <w:b w:val="0"/>
                <w:bCs w:val="0"/>
                <w:color w:val="auto"/>
                <w:spacing w:val="6"/>
                <w:kern w:val="21"/>
                <w:sz w:val="24"/>
                <w:szCs w:val="24"/>
                <w:lang w:bidi="ar"/>
              </w:rPr>
            </w:pPr>
          </w:p>
          <w:p w14:paraId="6E13AC2F">
            <w:pPr>
              <w:keepNext w:val="0"/>
              <w:keepLines w:val="0"/>
              <w:pageBreakBefore w:val="0"/>
              <w:widowControl/>
              <w:tabs>
                <w:tab w:val="left" w:pos="1053"/>
              </w:tabs>
              <w:kinsoku/>
              <w:overflowPunct/>
              <w:topLinePunct w:val="0"/>
              <w:bidi w:val="0"/>
              <w:adjustRightInd/>
              <w:snapToGrid/>
              <w:ind w:left="63" w:leftChars="30" w:right="63" w:rightChars="30"/>
              <w:jc w:val="both"/>
              <w:textAlignment w:val="center"/>
              <w:rPr>
                <w:rFonts w:hint="eastAsia" w:ascii="宋体" w:hAnsi="宋体" w:eastAsia="宋体" w:cs="宋体"/>
                <w:b w:val="0"/>
                <w:bCs w:val="0"/>
                <w:color w:val="auto"/>
                <w:spacing w:val="6"/>
                <w:kern w:val="21"/>
                <w:sz w:val="24"/>
                <w:szCs w:val="24"/>
                <w:lang w:bidi="ar"/>
              </w:rPr>
            </w:pPr>
            <w:r>
              <w:rPr>
                <w:rFonts w:hint="eastAsia" w:ascii="宋体" w:hAnsi="宋体" w:eastAsia="宋体" w:cs="宋体"/>
                <w:b w:val="0"/>
                <w:bCs w:val="0"/>
                <w:color w:val="auto"/>
                <w:spacing w:val="6"/>
                <w:kern w:val="21"/>
                <w:sz w:val="24"/>
                <w:szCs w:val="24"/>
                <w:lang w:bidi="ar"/>
              </w:rPr>
              <w:t>第二十二条 有下列行为之一的，责令其停止使用计量器具或者限期改正，可并处二百元以上一千元以下罚款：</w:t>
            </w:r>
          </w:p>
          <w:p w14:paraId="7B115791">
            <w:pPr>
              <w:keepNext w:val="0"/>
              <w:keepLines w:val="0"/>
              <w:pageBreakBefore w:val="0"/>
              <w:widowControl/>
              <w:tabs>
                <w:tab w:val="left" w:pos="1053"/>
              </w:tabs>
              <w:kinsoku/>
              <w:overflowPunct/>
              <w:topLinePunct w:val="0"/>
              <w:bidi w:val="0"/>
              <w:adjustRightInd/>
              <w:snapToGrid/>
              <w:ind w:left="63" w:leftChars="30" w:right="63" w:rightChars="30"/>
              <w:jc w:val="both"/>
              <w:textAlignment w:val="center"/>
              <w:rPr>
                <w:rFonts w:hint="eastAsia" w:ascii="宋体" w:hAnsi="宋体" w:eastAsia="宋体" w:cs="宋体"/>
                <w:b w:val="0"/>
                <w:bCs w:val="0"/>
                <w:color w:val="auto"/>
                <w:spacing w:val="6"/>
                <w:kern w:val="21"/>
                <w:sz w:val="24"/>
                <w:szCs w:val="24"/>
                <w:lang w:bidi="ar"/>
              </w:rPr>
            </w:pPr>
            <w:r>
              <w:rPr>
                <w:rFonts w:hint="eastAsia" w:ascii="宋体" w:hAnsi="宋体" w:eastAsia="宋体" w:cs="宋体"/>
                <w:b w:val="0"/>
                <w:bCs w:val="0"/>
                <w:color w:val="auto"/>
                <w:spacing w:val="6"/>
                <w:kern w:val="21"/>
                <w:sz w:val="24"/>
                <w:szCs w:val="24"/>
                <w:lang w:bidi="ar"/>
              </w:rPr>
              <w:t>（一）经营者未配备和使用与其经营项目相适应的计量器具的；</w:t>
            </w:r>
          </w:p>
          <w:p w14:paraId="0CF6FEBC">
            <w:pPr>
              <w:keepNext w:val="0"/>
              <w:keepLines w:val="0"/>
              <w:pageBreakBefore w:val="0"/>
              <w:widowControl/>
              <w:tabs>
                <w:tab w:val="left" w:pos="1053"/>
              </w:tabs>
              <w:kinsoku/>
              <w:overflowPunct/>
              <w:topLinePunct w:val="0"/>
              <w:bidi w:val="0"/>
              <w:adjustRightInd/>
              <w:snapToGrid/>
              <w:ind w:left="63" w:leftChars="30" w:right="63" w:rightChars="30"/>
              <w:jc w:val="both"/>
              <w:textAlignment w:val="center"/>
              <w:rPr>
                <w:rFonts w:hint="eastAsia" w:ascii="宋体" w:hAnsi="宋体" w:eastAsia="宋体" w:cs="宋体"/>
                <w:b w:val="0"/>
                <w:bCs w:val="0"/>
                <w:color w:val="auto"/>
                <w:spacing w:val="6"/>
                <w:kern w:val="21"/>
                <w:sz w:val="24"/>
                <w:szCs w:val="24"/>
                <w:lang w:bidi="ar"/>
              </w:rPr>
            </w:pPr>
            <w:r>
              <w:rPr>
                <w:rFonts w:hint="eastAsia" w:ascii="宋体" w:hAnsi="宋体" w:eastAsia="宋体" w:cs="宋体"/>
                <w:b w:val="0"/>
                <w:bCs w:val="0"/>
                <w:color w:val="auto"/>
                <w:spacing w:val="6"/>
                <w:kern w:val="21"/>
                <w:sz w:val="24"/>
                <w:szCs w:val="24"/>
                <w:lang w:bidi="ar"/>
              </w:rPr>
              <w:t>（二）集贸市场主办者未设置符合规定标准、供消费者复测商品量的计量器具的；</w:t>
            </w:r>
          </w:p>
          <w:p w14:paraId="7E1E99ED">
            <w:pPr>
              <w:keepNext w:val="0"/>
              <w:keepLines w:val="0"/>
              <w:pageBreakBefore w:val="0"/>
              <w:widowControl/>
              <w:tabs>
                <w:tab w:val="left" w:pos="1053"/>
              </w:tabs>
              <w:kinsoku/>
              <w:overflowPunct/>
              <w:topLinePunct w:val="0"/>
              <w:bidi w:val="0"/>
              <w:adjustRightInd/>
              <w:snapToGrid/>
              <w:ind w:left="63" w:leftChars="30" w:right="63" w:rightChars="30"/>
              <w:jc w:val="both"/>
              <w:textAlignment w:val="center"/>
              <w:rPr>
                <w:rFonts w:hint="eastAsia" w:ascii="宋体" w:hAnsi="宋体" w:eastAsia="宋体" w:cs="宋体"/>
                <w:b w:val="0"/>
                <w:bCs w:val="0"/>
                <w:color w:val="auto"/>
                <w:spacing w:val="6"/>
                <w:kern w:val="21"/>
                <w:sz w:val="24"/>
                <w:szCs w:val="24"/>
                <w:lang w:val="en-US" w:eastAsia="zh-CN" w:bidi="ar"/>
              </w:rPr>
            </w:pPr>
            <w:r>
              <w:rPr>
                <w:rFonts w:hint="eastAsia" w:ascii="宋体" w:hAnsi="宋体" w:eastAsia="宋体" w:cs="宋体"/>
                <w:b w:val="0"/>
                <w:bCs w:val="0"/>
                <w:color w:val="auto"/>
                <w:spacing w:val="6"/>
                <w:kern w:val="21"/>
                <w:sz w:val="24"/>
                <w:szCs w:val="24"/>
                <w:lang w:bidi="ar"/>
              </w:rPr>
              <w:t>（三）使用超过检定周期的计量器具的。</w:t>
            </w:r>
          </w:p>
        </w:tc>
        <w:tc>
          <w:tcPr>
            <w:tcW w:w="1132" w:type="dxa"/>
            <w:noWrap w:val="0"/>
            <w:vAlign w:val="center"/>
          </w:tcPr>
          <w:p w14:paraId="53C811C9">
            <w:pPr>
              <w:keepNext w:val="0"/>
              <w:keepLines w:val="0"/>
              <w:pageBreakBefore w:val="0"/>
              <w:widowControl/>
              <w:kinsoku/>
              <w:overflowPunct/>
              <w:topLinePunct w:val="0"/>
              <w:bidi w:val="0"/>
              <w:adjustRightInd/>
              <w:snapToGrid/>
              <w:ind w:left="63" w:leftChars="30" w:right="63" w:rightChars="30"/>
              <w:jc w:val="center"/>
              <w:textAlignment w:val="center"/>
              <w:rPr>
                <w:rFonts w:hint="eastAsia" w:ascii="宋体" w:hAnsi="宋体" w:eastAsia="宋体" w:cs="宋体"/>
                <w:b w:val="0"/>
                <w:bCs w:val="0"/>
                <w:color w:val="auto"/>
                <w:spacing w:val="6"/>
                <w:kern w:val="21"/>
                <w:sz w:val="24"/>
                <w:szCs w:val="24"/>
                <w:lang w:val="en-US" w:eastAsia="zh-CN" w:bidi="ar"/>
              </w:rPr>
            </w:pPr>
            <w:r>
              <w:rPr>
                <w:rFonts w:hint="eastAsia" w:ascii="宋体" w:hAnsi="宋体" w:eastAsia="宋体" w:cs="宋体"/>
                <w:b w:val="0"/>
                <w:bCs w:val="0"/>
                <w:color w:val="auto"/>
                <w:spacing w:val="6"/>
                <w:kern w:val="21"/>
                <w:sz w:val="24"/>
                <w:szCs w:val="24"/>
                <w:lang w:bidi="ar"/>
              </w:rPr>
              <w:t>较轻</w:t>
            </w:r>
          </w:p>
        </w:tc>
        <w:tc>
          <w:tcPr>
            <w:tcW w:w="3165" w:type="dxa"/>
            <w:noWrap w:val="0"/>
            <w:vAlign w:val="center"/>
          </w:tcPr>
          <w:p w14:paraId="36662B5E">
            <w:pPr>
              <w:keepNext w:val="0"/>
              <w:keepLines w:val="0"/>
              <w:pageBreakBefore w:val="0"/>
              <w:widowControl/>
              <w:tabs>
                <w:tab w:val="left" w:pos="1053"/>
              </w:tabs>
              <w:kinsoku/>
              <w:overflowPunct/>
              <w:topLinePunct w:val="0"/>
              <w:bidi w:val="0"/>
              <w:adjustRightInd/>
              <w:snapToGrid/>
              <w:spacing w:line="380" w:lineRule="exact"/>
              <w:ind w:left="63" w:leftChars="30" w:right="63" w:rightChars="30"/>
              <w:jc w:val="both"/>
              <w:textAlignment w:val="center"/>
              <w:rPr>
                <w:rFonts w:hint="eastAsia" w:ascii="宋体" w:hAnsi="宋体" w:cs="宋体"/>
                <w:b w:val="0"/>
                <w:bCs w:val="0"/>
                <w:color w:val="auto"/>
                <w:spacing w:val="6"/>
                <w:kern w:val="21"/>
                <w:sz w:val="24"/>
                <w:szCs w:val="24"/>
                <w:lang w:val="en-US" w:eastAsia="zh-CN" w:bidi="ar"/>
              </w:rPr>
            </w:pPr>
            <w:r>
              <w:rPr>
                <w:rFonts w:hint="eastAsia" w:ascii="宋体" w:hAnsi="宋体" w:cs="宋体"/>
                <w:b w:val="0"/>
                <w:bCs w:val="0"/>
                <w:color w:val="auto"/>
                <w:spacing w:val="6"/>
                <w:kern w:val="21"/>
                <w:sz w:val="24"/>
                <w:szCs w:val="24"/>
                <w:lang w:val="en-US" w:eastAsia="zh-CN" w:bidi="ar"/>
              </w:rPr>
              <w:t>符合下列条件之一的：</w:t>
            </w:r>
          </w:p>
          <w:p w14:paraId="30BA9671">
            <w:pPr>
              <w:keepNext w:val="0"/>
              <w:keepLines w:val="0"/>
              <w:pageBreakBefore w:val="0"/>
              <w:widowControl/>
              <w:tabs>
                <w:tab w:val="left" w:pos="1053"/>
              </w:tabs>
              <w:kinsoku/>
              <w:overflowPunct/>
              <w:topLinePunct w:val="0"/>
              <w:bidi w:val="0"/>
              <w:adjustRightInd/>
              <w:snapToGrid/>
              <w:spacing w:line="380" w:lineRule="exact"/>
              <w:ind w:left="63" w:leftChars="30" w:right="63" w:rightChars="30"/>
              <w:jc w:val="both"/>
              <w:textAlignment w:val="center"/>
              <w:rPr>
                <w:rFonts w:hint="eastAsia" w:ascii="宋体" w:hAnsi="宋体" w:eastAsia="宋体" w:cs="宋体"/>
                <w:b w:val="0"/>
                <w:bCs w:val="0"/>
                <w:color w:val="auto"/>
                <w:spacing w:val="6"/>
                <w:kern w:val="21"/>
                <w:sz w:val="24"/>
                <w:szCs w:val="24"/>
                <w:lang w:bidi="ar"/>
              </w:rPr>
            </w:pPr>
            <w:r>
              <w:rPr>
                <w:rFonts w:hint="eastAsia" w:ascii="宋体" w:hAnsi="宋体" w:cs="宋体"/>
                <w:b w:val="0"/>
                <w:bCs w:val="0"/>
                <w:color w:val="auto"/>
                <w:spacing w:val="6"/>
                <w:kern w:val="21"/>
                <w:sz w:val="24"/>
                <w:szCs w:val="24"/>
                <w:lang w:val="en-US" w:eastAsia="zh-CN" w:bidi="ar"/>
              </w:rPr>
              <w:t>(1)</w:t>
            </w:r>
            <w:r>
              <w:rPr>
                <w:rFonts w:hint="eastAsia" w:ascii="宋体" w:hAnsi="宋体" w:eastAsia="宋体" w:cs="宋体"/>
                <w:b w:val="0"/>
                <w:bCs w:val="0"/>
                <w:color w:val="auto"/>
                <w:spacing w:val="6"/>
                <w:kern w:val="21"/>
                <w:sz w:val="24"/>
                <w:szCs w:val="24"/>
                <w:lang w:bidi="ar"/>
              </w:rPr>
              <w:t>经营者未配备和使用与其经营项目相适应的计量器具</w:t>
            </w:r>
            <w:r>
              <w:rPr>
                <w:rFonts w:hint="eastAsia" w:ascii="宋体" w:hAnsi="宋体" w:cs="宋体"/>
                <w:b w:val="0"/>
                <w:bCs w:val="0"/>
                <w:color w:val="auto"/>
                <w:spacing w:val="6"/>
                <w:kern w:val="21"/>
                <w:sz w:val="24"/>
                <w:szCs w:val="24"/>
                <w:lang w:val="en-US" w:eastAsia="zh-CN" w:bidi="ar"/>
              </w:rPr>
              <w:t>1台</w:t>
            </w:r>
            <w:r>
              <w:rPr>
                <w:rFonts w:hint="eastAsia" w:ascii="宋体" w:hAnsi="宋体" w:eastAsia="宋体" w:cs="宋体"/>
                <w:b w:val="0"/>
                <w:bCs w:val="0"/>
                <w:color w:val="auto"/>
                <w:spacing w:val="6"/>
                <w:kern w:val="21"/>
                <w:sz w:val="24"/>
                <w:szCs w:val="24"/>
                <w:lang w:bidi="ar"/>
              </w:rPr>
              <w:t>的；</w:t>
            </w:r>
          </w:p>
          <w:p w14:paraId="2EA4F188">
            <w:pPr>
              <w:keepNext w:val="0"/>
              <w:keepLines w:val="0"/>
              <w:pageBreakBefore w:val="0"/>
              <w:widowControl/>
              <w:tabs>
                <w:tab w:val="left" w:pos="1053"/>
              </w:tabs>
              <w:kinsoku/>
              <w:overflowPunct/>
              <w:topLinePunct w:val="0"/>
              <w:bidi w:val="0"/>
              <w:adjustRightInd/>
              <w:snapToGrid/>
              <w:spacing w:line="380" w:lineRule="exact"/>
              <w:ind w:left="63" w:leftChars="30" w:right="63" w:rightChars="30"/>
              <w:jc w:val="both"/>
              <w:textAlignment w:val="center"/>
              <w:rPr>
                <w:rFonts w:hint="eastAsia" w:ascii="宋体" w:hAnsi="宋体" w:eastAsia="宋体" w:cs="宋体"/>
                <w:b w:val="0"/>
                <w:bCs w:val="0"/>
                <w:color w:val="auto"/>
                <w:spacing w:val="6"/>
                <w:kern w:val="21"/>
                <w:sz w:val="24"/>
                <w:szCs w:val="24"/>
                <w:lang w:val="en-US" w:eastAsia="zh-CN" w:bidi="ar"/>
              </w:rPr>
            </w:pPr>
            <w:r>
              <w:rPr>
                <w:rFonts w:hint="eastAsia" w:ascii="宋体" w:hAnsi="宋体" w:cs="宋体"/>
                <w:b w:val="0"/>
                <w:bCs w:val="0"/>
                <w:color w:val="auto"/>
                <w:spacing w:val="6"/>
                <w:kern w:val="21"/>
                <w:sz w:val="24"/>
                <w:szCs w:val="24"/>
                <w:lang w:val="en-US" w:eastAsia="zh-CN" w:bidi="ar"/>
              </w:rPr>
              <w:t>(2)</w:t>
            </w:r>
            <w:r>
              <w:rPr>
                <w:rFonts w:hint="eastAsia" w:ascii="宋体" w:hAnsi="宋体" w:eastAsia="宋体" w:cs="宋体"/>
                <w:b w:val="0"/>
                <w:bCs w:val="0"/>
                <w:color w:val="auto"/>
                <w:spacing w:val="6"/>
                <w:kern w:val="21"/>
                <w:sz w:val="24"/>
                <w:szCs w:val="24"/>
                <w:lang w:bidi="ar"/>
              </w:rPr>
              <w:t>集贸市场主办者未设置符合规定标准、供消费者复测商品量的计量器具的</w:t>
            </w:r>
            <w:r>
              <w:rPr>
                <w:rFonts w:hint="eastAsia" w:ascii="宋体" w:hAnsi="宋体" w:cs="宋体"/>
                <w:b w:val="0"/>
                <w:bCs w:val="0"/>
                <w:color w:val="auto"/>
                <w:spacing w:val="6"/>
                <w:kern w:val="21"/>
                <w:sz w:val="24"/>
                <w:szCs w:val="24"/>
                <w:lang w:eastAsia="zh-CN" w:bidi="ar"/>
              </w:rPr>
              <w:t>，</w:t>
            </w:r>
            <w:r>
              <w:rPr>
                <w:rFonts w:hint="eastAsia" w:ascii="宋体" w:hAnsi="宋体" w:cs="宋体"/>
                <w:b w:val="0"/>
                <w:bCs w:val="0"/>
                <w:color w:val="auto"/>
                <w:spacing w:val="6"/>
                <w:kern w:val="21"/>
                <w:sz w:val="24"/>
                <w:szCs w:val="24"/>
                <w:lang w:val="en-US" w:eastAsia="zh-CN" w:bidi="ar"/>
              </w:rPr>
              <w:t>持续时间3个月以下的；</w:t>
            </w:r>
          </w:p>
          <w:p w14:paraId="0002881E">
            <w:pPr>
              <w:keepNext w:val="0"/>
              <w:keepLines w:val="0"/>
              <w:pageBreakBefore w:val="0"/>
              <w:widowControl/>
              <w:kinsoku/>
              <w:wordWrap/>
              <w:overflowPunct/>
              <w:topLinePunct w:val="0"/>
              <w:bidi w:val="0"/>
              <w:adjustRightInd/>
              <w:snapToGrid/>
              <w:spacing w:line="380" w:lineRule="exact"/>
              <w:ind w:left="63" w:leftChars="30" w:right="63" w:rightChars="30"/>
              <w:jc w:val="both"/>
              <w:textAlignment w:val="center"/>
              <w:rPr>
                <w:rFonts w:hint="eastAsia" w:ascii="宋体" w:hAnsi="宋体" w:eastAsia="宋体" w:cs="宋体"/>
                <w:b w:val="0"/>
                <w:bCs w:val="0"/>
                <w:color w:val="auto"/>
                <w:spacing w:val="6"/>
                <w:kern w:val="21"/>
                <w:sz w:val="24"/>
                <w:szCs w:val="24"/>
                <w:lang w:val="en-US" w:eastAsia="zh-CN" w:bidi="ar"/>
              </w:rPr>
            </w:pPr>
            <w:r>
              <w:rPr>
                <w:rFonts w:hint="eastAsia" w:ascii="宋体" w:hAnsi="宋体" w:cs="宋体"/>
                <w:b w:val="0"/>
                <w:bCs w:val="0"/>
                <w:color w:val="auto"/>
                <w:spacing w:val="6"/>
                <w:kern w:val="21"/>
                <w:sz w:val="24"/>
                <w:szCs w:val="24"/>
                <w:lang w:val="en-US" w:eastAsia="zh-CN" w:bidi="ar"/>
              </w:rPr>
              <w:t>(3)</w:t>
            </w:r>
            <w:r>
              <w:rPr>
                <w:rFonts w:hint="eastAsia" w:ascii="宋体" w:hAnsi="宋体" w:eastAsia="宋体" w:cs="宋体"/>
                <w:b w:val="0"/>
                <w:bCs w:val="0"/>
                <w:color w:val="auto"/>
                <w:spacing w:val="6"/>
                <w:kern w:val="21"/>
                <w:sz w:val="24"/>
                <w:szCs w:val="24"/>
                <w:lang w:bidi="ar"/>
              </w:rPr>
              <w:t>使用超过检定周期的计量器具的</w:t>
            </w:r>
            <w:r>
              <w:rPr>
                <w:rFonts w:hint="eastAsia" w:ascii="宋体" w:hAnsi="宋体" w:cs="宋体"/>
                <w:b w:val="0"/>
                <w:bCs w:val="0"/>
                <w:color w:val="auto"/>
                <w:spacing w:val="6"/>
                <w:kern w:val="21"/>
                <w:sz w:val="24"/>
                <w:szCs w:val="24"/>
                <w:lang w:val="en-US" w:eastAsia="zh-CN" w:bidi="ar"/>
              </w:rPr>
              <w:t>1台的。</w:t>
            </w:r>
          </w:p>
        </w:tc>
        <w:tc>
          <w:tcPr>
            <w:tcW w:w="3382" w:type="dxa"/>
            <w:noWrap w:val="0"/>
            <w:vAlign w:val="center"/>
          </w:tcPr>
          <w:p w14:paraId="6317A798">
            <w:pPr>
              <w:keepNext w:val="0"/>
              <w:keepLines w:val="0"/>
              <w:pageBreakBefore w:val="0"/>
              <w:widowControl/>
              <w:suppressLineNumbers w:val="0"/>
              <w:kinsoku/>
              <w:wordWrap/>
              <w:overflowPunct/>
              <w:topLinePunct w:val="0"/>
              <w:autoSpaceDE/>
              <w:autoSpaceDN/>
              <w:bidi w:val="0"/>
              <w:adjustRightInd/>
              <w:snapToGrid/>
              <w:spacing w:line="400" w:lineRule="exact"/>
              <w:ind w:left="63" w:leftChars="30" w:right="63" w:rightChars="30"/>
              <w:jc w:val="both"/>
              <w:textAlignment w:val="center"/>
              <w:rPr>
                <w:rFonts w:hint="eastAsia" w:ascii="宋体" w:hAnsi="宋体" w:eastAsia="宋体" w:cs="宋体"/>
                <w:b w:val="0"/>
                <w:bCs w:val="0"/>
                <w:color w:val="auto"/>
                <w:spacing w:val="6"/>
                <w:kern w:val="21"/>
                <w:sz w:val="24"/>
                <w:szCs w:val="24"/>
                <w:lang w:val="en-US" w:eastAsia="zh-CN" w:bidi="ar"/>
              </w:rPr>
            </w:pPr>
            <w:r>
              <w:rPr>
                <w:rFonts w:hint="eastAsia" w:ascii="宋体" w:hAnsi="宋体" w:eastAsia="宋体" w:cs="宋体"/>
                <w:b w:val="0"/>
                <w:bCs w:val="0"/>
                <w:i w:val="0"/>
                <w:iCs w:val="0"/>
                <w:color w:val="auto"/>
                <w:spacing w:val="6"/>
                <w:kern w:val="21"/>
                <w:sz w:val="24"/>
                <w:szCs w:val="24"/>
                <w:u w:val="none"/>
                <w:lang w:val="en-US" w:eastAsia="zh-CN" w:bidi="ar"/>
              </w:rPr>
              <w:t>责令改正，并处</w:t>
            </w:r>
            <w:r>
              <w:rPr>
                <w:rFonts w:hint="eastAsia" w:ascii="宋体" w:hAnsi="宋体" w:cs="宋体"/>
                <w:b w:val="0"/>
                <w:bCs w:val="0"/>
                <w:i w:val="0"/>
                <w:iCs w:val="0"/>
                <w:color w:val="auto"/>
                <w:spacing w:val="6"/>
                <w:kern w:val="21"/>
                <w:sz w:val="24"/>
                <w:szCs w:val="24"/>
                <w:u w:val="none"/>
                <w:lang w:val="en-US" w:eastAsia="zh-CN" w:bidi="ar"/>
              </w:rPr>
              <w:t>200</w:t>
            </w:r>
            <w:r>
              <w:rPr>
                <w:rFonts w:hint="eastAsia" w:ascii="宋体" w:hAnsi="宋体" w:eastAsia="宋体" w:cs="宋体"/>
                <w:b w:val="0"/>
                <w:bCs w:val="0"/>
                <w:i w:val="0"/>
                <w:iCs w:val="0"/>
                <w:color w:val="auto"/>
                <w:spacing w:val="6"/>
                <w:kern w:val="21"/>
                <w:sz w:val="24"/>
                <w:szCs w:val="24"/>
                <w:u w:val="none"/>
                <w:lang w:val="en-US" w:eastAsia="zh-CN" w:bidi="ar"/>
              </w:rPr>
              <w:t>元以</w:t>
            </w:r>
            <w:r>
              <w:rPr>
                <w:rFonts w:hint="eastAsia" w:ascii="宋体" w:hAnsi="宋体" w:cs="宋体"/>
                <w:b w:val="0"/>
                <w:bCs w:val="0"/>
                <w:i w:val="0"/>
                <w:iCs w:val="0"/>
                <w:color w:val="auto"/>
                <w:spacing w:val="6"/>
                <w:kern w:val="21"/>
                <w:sz w:val="24"/>
                <w:szCs w:val="24"/>
                <w:u w:val="none"/>
                <w:lang w:val="en-US" w:eastAsia="zh-CN" w:bidi="ar"/>
              </w:rPr>
              <w:t>上440元</w:t>
            </w:r>
            <w:r>
              <w:rPr>
                <w:rFonts w:hint="eastAsia" w:ascii="宋体" w:hAnsi="宋体" w:eastAsia="宋体" w:cs="宋体"/>
                <w:b w:val="0"/>
                <w:bCs w:val="0"/>
                <w:i w:val="0"/>
                <w:iCs w:val="0"/>
                <w:color w:val="auto"/>
                <w:spacing w:val="6"/>
                <w:kern w:val="21"/>
                <w:sz w:val="24"/>
                <w:szCs w:val="24"/>
                <w:u w:val="none"/>
                <w:lang w:val="en-US" w:eastAsia="zh-CN" w:bidi="ar"/>
              </w:rPr>
              <w:t>下的罚款。</w:t>
            </w:r>
          </w:p>
        </w:tc>
      </w:tr>
      <w:tr w14:paraId="30AFB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1" w:hRule="exact"/>
          <w:jc w:val="center"/>
        </w:trPr>
        <w:tc>
          <w:tcPr>
            <w:tcW w:w="640" w:type="dxa"/>
            <w:vMerge w:val="continue"/>
            <w:noWrap w:val="0"/>
            <w:vAlign w:val="top"/>
          </w:tcPr>
          <w:p w14:paraId="5D848DBA">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FF0000"/>
                <w:spacing w:val="6"/>
                <w:kern w:val="21"/>
                <w:sz w:val="24"/>
                <w:szCs w:val="24"/>
              </w:rPr>
            </w:pPr>
          </w:p>
        </w:tc>
        <w:tc>
          <w:tcPr>
            <w:tcW w:w="1793" w:type="dxa"/>
            <w:vMerge w:val="continue"/>
            <w:noWrap w:val="0"/>
            <w:vAlign w:val="top"/>
          </w:tcPr>
          <w:p w14:paraId="3C20FE98">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top"/>
          </w:tcPr>
          <w:p w14:paraId="00034B8D">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07C2496A">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265A7005">
            <w:pPr>
              <w:keepNext w:val="0"/>
              <w:keepLines w:val="0"/>
              <w:pageBreakBefore w:val="0"/>
              <w:widowControl/>
              <w:tabs>
                <w:tab w:val="left" w:pos="1053"/>
              </w:tabs>
              <w:kinsoku/>
              <w:overflowPunct/>
              <w:topLinePunct w:val="0"/>
              <w:bidi w:val="0"/>
              <w:adjustRightInd/>
              <w:snapToGrid/>
              <w:spacing w:line="380" w:lineRule="exact"/>
              <w:ind w:left="63" w:leftChars="30" w:right="63" w:rightChars="30"/>
              <w:jc w:val="both"/>
              <w:textAlignment w:val="center"/>
              <w:rPr>
                <w:rFonts w:hint="eastAsia" w:ascii="宋体" w:hAnsi="宋体" w:cs="宋体"/>
                <w:b w:val="0"/>
                <w:bCs w:val="0"/>
                <w:color w:val="auto"/>
                <w:spacing w:val="0"/>
                <w:kern w:val="21"/>
                <w:sz w:val="24"/>
                <w:szCs w:val="24"/>
                <w:u w:val="none"/>
                <w:lang w:val="en-US" w:eastAsia="zh-CN" w:bidi="ar"/>
              </w:rPr>
            </w:pPr>
            <w:r>
              <w:rPr>
                <w:rFonts w:hint="eastAsia" w:ascii="宋体" w:hAnsi="宋体" w:cs="宋体"/>
                <w:b w:val="0"/>
                <w:bCs w:val="0"/>
                <w:color w:val="auto"/>
                <w:spacing w:val="0"/>
                <w:kern w:val="21"/>
                <w:sz w:val="24"/>
                <w:szCs w:val="24"/>
                <w:u w:val="none"/>
                <w:lang w:val="en-US" w:eastAsia="zh-CN" w:bidi="ar"/>
              </w:rPr>
              <w:t>符合下列条件之一的：</w:t>
            </w:r>
          </w:p>
          <w:p w14:paraId="36D768A9">
            <w:pPr>
              <w:pStyle w:val="17"/>
              <w:keepNext w:val="0"/>
              <w:keepLines w:val="0"/>
              <w:pageBreakBefore w:val="0"/>
              <w:tabs>
                <w:tab w:val="left" w:pos="1053"/>
              </w:tabs>
              <w:kinsoku/>
              <w:overflowPunct/>
              <w:topLinePunct w:val="0"/>
              <w:bidi w:val="0"/>
              <w:adjustRightInd/>
              <w:snapToGrid/>
              <w:spacing w:line="380" w:lineRule="exact"/>
              <w:ind w:left="63" w:leftChars="30" w:right="63" w:rightChars="30"/>
              <w:jc w:val="both"/>
              <w:rPr>
                <w:rFonts w:hint="eastAsia" w:ascii="宋体" w:hAnsi="宋体" w:eastAsia="宋体" w:cs="宋体"/>
                <w:b w:val="0"/>
                <w:bCs w:val="0"/>
                <w:color w:val="auto"/>
                <w:spacing w:val="0"/>
                <w:kern w:val="21"/>
                <w:sz w:val="24"/>
                <w:szCs w:val="24"/>
              </w:rPr>
            </w:pPr>
            <w:r>
              <w:rPr>
                <w:rFonts w:hint="eastAsia" w:cs="宋体"/>
                <w:b w:val="0"/>
                <w:bCs w:val="0"/>
                <w:color w:val="auto"/>
                <w:spacing w:val="0"/>
                <w:kern w:val="21"/>
                <w:sz w:val="24"/>
                <w:szCs w:val="24"/>
                <w:lang w:val="en-US" w:eastAsia="zh-CN"/>
              </w:rPr>
              <w:t>(1)</w:t>
            </w:r>
            <w:r>
              <w:rPr>
                <w:rFonts w:hint="eastAsia" w:ascii="宋体" w:hAnsi="宋体" w:eastAsia="宋体" w:cs="宋体"/>
                <w:b w:val="0"/>
                <w:bCs w:val="0"/>
                <w:color w:val="auto"/>
                <w:spacing w:val="0"/>
                <w:kern w:val="21"/>
                <w:sz w:val="24"/>
                <w:szCs w:val="24"/>
              </w:rPr>
              <w:t>经营者未配备和使用与其经营项目相适应的计量器具</w:t>
            </w:r>
            <w:r>
              <w:rPr>
                <w:rFonts w:hint="eastAsia" w:cs="宋体"/>
                <w:b w:val="0"/>
                <w:bCs w:val="0"/>
                <w:color w:val="auto"/>
                <w:spacing w:val="0"/>
                <w:kern w:val="21"/>
                <w:sz w:val="24"/>
                <w:szCs w:val="24"/>
                <w:lang w:val="en-US" w:eastAsia="zh-CN"/>
              </w:rPr>
              <w:t>2台以上5台以下</w:t>
            </w:r>
            <w:r>
              <w:rPr>
                <w:rFonts w:hint="eastAsia" w:ascii="宋体" w:hAnsi="宋体" w:eastAsia="宋体" w:cs="宋体"/>
                <w:b w:val="0"/>
                <w:bCs w:val="0"/>
                <w:color w:val="auto"/>
                <w:spacing w:val="0"/>
                <w:kern w:val="21"/>
                <w:sz w:val="24"/>
                <w:szCs w:val="24"/>
              </w:rPr>
              <w:t>的；</w:t>
            </w:r>
          </w:p>
          <w:p w14:paraId="61EEA030">
            <w:pPr>
              <w:pStyle w:val="17"/>
              <w:keepNext w:val="0"/>
              <w:keepLines w:val="0"/>
              <w:pageBreakBefore w:val="0"/>
              <w:tabs>
                <w:tab w:val="left" w:pos="1053"/>
              </w:tabs>
              <w:kinsoku/>
              <w:overflowPunct/>
              <w:topLinePunct w:val="0"/>
              <w:bidi w:val="0"/>
              <w:adjustRightInd/>
              <w:snapToGrid/>
              <w:spacing w:line="380" w:lineRule="exact"/>
              <w:ind w:left="63" w:leftChars="30" w:right="63" w:rightChars="30"/>
              <w:jc w:val="both"/>
              <w:rPr>
                <w:rFonts w:hint="default" w:cs="宋体"/>
                <w:b w:val="0"/>
                <w:bCs w:val="0"/>
                <w:color w:val="auto"/>
                <w:spacing w:val="0"/>
                <w:kern w:val="21"/>
                <w:sz w:val="24"/>
                <w:szCs w:val="24"/>
                <w:lang w:val="en-US" w:eastAsia="zh-CN"/>
              </w:rPr>
            </w:pPr>
            <w:r>
              <w:rPr>
                <w:rFonts w:hint="eastAsia" w:cs="宋体"/>
                <w:b w:val="0"/>
                <w:bCs w:val="0"/>
                <w:color w:val="auto"/>
                <w:spacing w:val="0"/>
                <w:kern w:val="21"/>
                <w:sz w:val="24"/>
                <w:szCs w:val="24"/>
                <w:lang w:val="en-US" w:eastAsia="zh-CN"/>
              </w:rPr>
              <w:t>(2)</w:t>
            </w:r>
            <w:r>
              <w:rPr>
                <w:rFonts w:hint="eastAsia" w:ascii="宋体" w:hAnsi="宋体" w:eastAsia="宋体" w:cs="宋体"/>
                <w:b w:val="0"/>
                <w:bCs w:val="0"/>
                <w:color w:val="auto"/>
                <w:spacing w:val="0"/>
                <w:kern w:val="21"/>
                <w:sz w:val="24"/>
                <w:szCs w:val="24"/>
              </w:rPr>
              <w:t>集贸市场主办者未设置符合规定标准、供消费者复测商品量的计量器具的</w:t>
            </w:r>
            <w:r>
              <w:rPr>
                <w:rFonts w:hint="eastAsia" w:cs="宋体"/>
                <w:b w:val="0"/>
                <w:bCs w:val="0"/>
                <w:color w:val="auto"/>
                <w:spacing w:val="0"/>
                <w:kern w:val="21"/>
                <w:sz w:val="24"/>
                <w:szCs w:val="24"/>
                <w:lang w:eastAsia="zh-CN"/>
              </w:rPr>
              <w:t>，</w:t>
            </w:r>
            <w:r>
              <w:rPr>
                <w:rFonts w:hint="eastAsia" w:cs="宋体"/>
                <w:b w:val="0"/>
                <w:bCs w:val="0"/>
                <w:color w:val="auto"/>
                <w:spacing w:val="0"/>
                <w:kern w:val="21"/>
                <w:sz w:val="24"/>
                <w:szCs w:val="24"/>
                <w:lang w:val="en-US" w:eastAsia="zh-CN"/>
              </w:rPr>
              <w:t>持续时间3个月以上6个月以下的；</w:t>
            </w:r>
          </w:p>
          <w:p w14:paraId="3CD40A44">
            <w:pPr>
              <w:pStyle w:val="17"/>
              <w:keepNext w:val="0"/>
              <w:keepLines w:val="0"/>
              <w:pageBreakBefore w:val="0"/>
              <w:kinsoku/>
              <w:wordWrap/>
              <w:overflowPunct/>
              <w:topLinePunct w:val="0"/>
              <w:bidi w:val="0"/>
              <w:adjustRightInd/>
              <w:snapToGrid/>
              <w:spacing w:line="380" w:lineRule="exact"/>
              <w:ind w:left="63" w:leftChars="30" w:right="63" w:rightChars="30"/>
              <w:jc w:val="both"/>
              <w:rPr>
                <w:rFonts w:hint="eastAsia" w:ascii="宋体" w:hAnsi="宋体" w:eastAsia="宋体" w:cs="宋体"/>
                <w:b w:val="0"/>
                <w:bCs w:val="0"/>
                <w:color w:val="auto"/>
                <w:spacing w:val="6"/>
                <w:kern w:val="21"/>
                <w:sz w:val="24"/>
                <w:szCs w:val="24"/>
                <w:lang w:val="en-US" w:eastAsia="zh-CN" w:bidi="zh-CN"/>
              </w:rPr>
            </w:pPr>
            <w:r>
              <w:rPr>
                <w:rFonts w:hint="eastAsia" w:cs="宋体"/>
                <w:b w:val="0"/>
                <w:bCs w:val="0"/>
                <w:color w:val="auto"/>
                <w:spacing w:val="0"/>
                <w:kern w:val="21"/>
                <w:sz w:val="24"/>
                <w:szCs w:val="24"/>
                <w:lang w:val="en-US" w:eastAsia="zh-CN"/>
              </w:rPr>
              <w:t>(3)</w:t>
            </w:r>
            <w:r>
              <w:rPr>
                <w:rFonts w:hint="eastAsia" w:ascii="宋体" w:hAnsi="宋体" w:eastAsia="宋体" w:cs="宋体"/>
                <w:b w:val="0"/>
                <w:bCs w:val="0"/>
                <w:color w:val="auto"/>
                <w:spacing w:val="0"/>
                <w:kern w:val="21"/>
                <w:sz w:val="24"/>
                <w:szCs w:val="24"/>
              </w:rPr>
              <w:t>使用超过检定周期的计量器具的</w:t>
            </w:r>
            <w:r>
              <w:rPr>
                <w:rFonts w:hint="eastAsia" w:cs="宋体"/>
                <w:b w:val="0"/>
                <w:bCs w:val="0"/>
                <w:color w:val="auto"/>
                <w:spacing w:val="0"/>
                <w:kern w:val="21"/>
                <w:sz w:val="24"/>
                <w:szCs w:val="24"/>
                <w:lang w:val="en-US" w:eastAsia="zh-CN"/>
              </w:rPr>
              <w:t>2台以上5台以下的。</w:t>
            </w:r>
          </w:p>
        </w:tc>
        <w:tc>
          <w:tcPr>
            <w:tcW w:w="3382" w:type="dxa"/>
            <w:noWrap w:val="0"/>
            <w:vAlign w:val="center"/>
          </w:tcPr>
          <w:p w14:paraId="7967FF2C">
            <w:pPr>
              <w:keepNext w:val="0"/>
              <w:keepLines w:val="0"/>
              <w:pageBreakBefore w:val="0"/>
              <w:widowControl/>
              <w:suppressLineNumbers w:val="0"/>
              <w:kinsoku/>
              <w:wordWrap/>
              <w:overflowPunct/>
              <w:topLinePunct w:val="0"/>
              <w:autoSpaceDE w:val="0"/>
              <w:autoSpaceDN w:val="0"/>
              <w:bidi w:val="0"/>
              <w:adjustRightInd/>
              <w:snapToGrid/>
              <w:spacing w:line="380" w:lineRule="exact"/>
              <w:ind w:left="63" w:leftChars="30" w:right="63" w:rightChars="30"/>
              <w:jc w:val="both"/>
              <w:textAlignment w:val="center"/>
              <w:rPr>
                <w:rFonts w:hint="eastAsia" w:ascii="宋体" w:hAnsi="宋体" w:eastAsia="宋体" w:cs="宋体"/>
                <w:b w:val="0"/>
                <w:bCs w:val="0"/>
                <w:color w:val="auto"/>
                <w:spacing w:val="6"/>
                <w:kern w:val="21"/>
                <w:sz w:val="24"/>
                <w:szCs w:val="24"/>
                <w:lang w:val="en-US" w:eastAsia="zh-CN" w:bidi="ar-SA"/>
              </w:rPr>
            </w:pPr>
            <w:r>
              <w:rPr>
                <w:rFonts w:hint="eastAsia" w:ascii="宋体" w:hAnsi="宋体" w:eastAsia="宋体" w:cs="宋体"/>
                <w:b w:val="0"/>
                <w:bCs w:val="0"/>
                <w:i w:val="0"/>
                <w:iCs w:val="0"/>
                <w:color w:val="auto"/>
                <w:spacing w:val="6"/>
                <w:kern w:val="21"/>
                <w:sz w:val="24"/>
                <w:szCs w:val="24"/>
                <w:u w:val="none"/>
                <w:lang w:val="en-US" w:eastAsia="zh-CN" w:bidi="ar"/>
              </w:rPr>
              <w:t>责令改正，并处</w:t>
            </w:r>
            <w:r>
              <w:rPr>
                <w:rFonts w:hint="eastAsia" w:ascii="宋体" w:hAnsi="宋体" w:cs="宋体"/>
                <w:b w:val="0"/>
                <w:bCs w:val="0"/>
                <w:i w:val="0"/>
                <w:iCs w:val="0"/>
                <w:color w:val="auto"/>
                <w:spacing w:val="6"/>
                <w:kern w:val="21"/>
                <w:sz w:val="24"/>
                <w:szCs w:val="24"/>
                <w:u w:val="none"/>
                <w:lang w:val="en-US" w:eastAsia="zh-CN" w:bidi="ar"/>
              </w:rPr>
              <w:t>440</w:t>
            </w:r>
            <w:r>
              <w:rPr>
                <w:rFonts w:hint="eastAsia" w:ascii="宋体" w:hAnsi="宋体" w:eastAsia="宋体" w:cs="宋体"/>
                <w:b w:val="0"/>
                <w:bCs w:val="0"/>
                <w:i w:val="0"/>
                <w:iCs w:val="0"/>
                <w:color w:val="auto"/>
                <w:spacing w:val="6"/>
                <w:kern w:val="21"/>
                <w:sz w:val="24"/>
                <w:szCs w:val="24"/>
                <w:u w:val="none"/>
                <w:lang w:val="en-US" w:eastAsia="zh-CN" w:bidi="ar"/>
              </w:rPr>
              <w:t>元以上</w:t>
            </w:r>
            <w:r>
              <w:rPr>
                <w:rFonts w:hint="eastAsia" w:ascii="宋体" w:hAnsi="宋体" w:cs="宋体"/>
                <w:b w:val="0"/>
                <w:bCs w:val="0"/>
                <w:i w:val="0"/>
                <w:iCs w:val="0"/>
                <w:color w:val="auto"/>
                <w:spacing w:val="6"/>
                <w:kern w:val="21"/>
                <w:sz w:val="24"/>
                <w:szCs w:val="24"/>
                <w:u w:val="none"/>
                <w:lang w:val="en-US" w:eastAsia="zh-CN" w:bidi="ar"/>
              </w:rPr>
              <w:t>760</w:t>
            </w:r>
            <w:r>
              <w:rPr>
                <w:rFonts w:hint="eastAsia" w:ascii="宋体" w:hAnsi="宋体" w:eastAsia="宋体" w:cs="宋体"/>
                <w:b w:val="0"/>
                <w:bCs w:val="0"/>
                <w:i w:val="0"/>
                <w:iCs w:val="0"/>
                <w:color w:val="auto"/>
                <w:spacing w:val="6"/>
                <w:kern w:val="21"/>
                <w:sz w:val="24"/>
                <w:szCs w:val="24"/>
                <w:u w:val="none"/>
                <w:lang w:val="en-US" w:eastAsia="zh-CN" w:bidi="ar"/>
              </w:rPr>
              <w:t>元以下的罚款。</w:t>
            </w:r>
          </w:p>
        </w:tc>
      </w:tr>
      <w:tr w14:paraId="4B2D7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4" w:hRule="exact"/>
          <w:jc w:val="center"/>
        </w:trPr>
        <w:tc>
          <w:tcPr>
            <w:tcW w:w="640" w:type="dxa"/>
            <w:vMerge w:val="continue"/>
            <w:noWrap w:val="0"/>
            <w:vAlign w:val="top"/>
          </w:tcPr>
          <w:p w14:paraId="0A5ACFCD">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FF0000"/>
                <w:spacing w:val="6"/>
                <w:kern w:val="21"/>
                <w:sz w:val="24"/>
                <w:szCs w:val="24"/>
              </w:rPr>
            </w:pPr>
          </w:p>
        </w:tc>
        <w:tc>
          <w:tcPr>
            <w:tcW w:w="1793" w:type="dxa"/>
            <w:vMerge w:val="continue"/>
            <w:noWrap w:val="0"/>
            <w:vAlign w:val="top"/>
          </w:tcPr>
          <w:p w14:paraId="249E09D9">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top"/>
          </w:tcPr>
          <w:p w14:paraId="555E2EE1">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28A52756">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277CB331">
            <w:pPr>
              <w:keepNext w:val="0"/>
              <w:keepLines w:val="0"/>
              <w:pageBreakBefore w:val="0"/>
              <w:widowControl/>
              <w:tabs>
                <w:tab w:val="left" w:pos="1053"/>
              </w:tabs>
              <w:kinsoku/>
              <w:overflowPunct/>
              <w:topLinePunct w:val="0"/>
              <w:bidi w:val="0"/>
              <w:adjustRightInd/>
              <w:snapToGrid/>
              <w:ind w:left="63" w:leftChars="30" w:right="63" w:rightChars="30"/>
              <w:jc w:val="both"/>
              <w:textAlignment w:val="center"/>
              <w:rPr>
                <w:rFonts w:hint="eastAsia" w:ascii="宋体" w:hAnsi="宋体" w:cs="宋体"/>
                <w:b w:val="0"/>
                <w:bCs w:val="0"/>
                <w:color w:val="auto"/>
                <w:spacing w:val="6"/>
                <w:kern w:val="21"/>
                <w:sz w:val="24"/>
                <w:szCs w:val="24"/>
                <w:u w:val="none"/>
                <w:lang w:val="en-US" w:eastAsia="zh-CN" w:bidi="ar"/>
              </w:rPr>
            </w:pPr>
            <w:r>
              <w:rPr>
                <w:rFonts w:hint="eastAsia" w:ascii="宋体" w:hAnsi="宋体" w:cs="宋体"/>
                <w:b w:val="0"/>
                <w:bCs w:val="0"/>
                <w:color w:val="auto"/>
                <w:spacing w:val="6"/>
                <w:kern w:val="21"/>
                <w:sz w:val="24"/>
                <w:szCs w:val="24"/>
                <w:u w:val="none"/>
                <w:lang w:val="en-US" w:eastAsia="zh-CN" w:bidi="ar"/>
              </w:rPr>
              <w:t>符合下列条件之一的：</w:t>
            </w:r>
          </w:p>
          <w:p w14:paraId="22F133EA">
            <w:pPr>
              <w:pStyle w:val="17"/>
              <w:keepNext w:val="0"/>
              <w:keepLines w:val="0"/>
              <w:pageBreakBefore w:val="0"/>
              <w:tabs>
                <w:tab w:val="left" w:pos="1053"/>
              </w:tabs>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rPr>
            </w:pPr>
            <w:r>
              <w:rPr>
                <w:rFonts w:hint="eastAsia" w:cs="宋体"/>
                <w:b w:val="0"/>
                <w:bCs w:val="0"/>
                <w:color w:val="auto"/>
                <w:spacing w:val="6"/>
                <w:kern w:val="21"/>
                <w:sz w:val="24"/>
                <w:szCs w:val="24"/>
                <w:lang w:val="en-US" w:eastAsia="zh-CN"/>
              </w:rPr>
              <w:t>(1)</w:t>
            </w:r>
            <w:r>
              <w:rPr>
                <w:rFonts w:hint="eastAsia" w:ascii="宋体" w:hAnsi="宋体" w:eastAsia="宋体" w:cs="宋体"/>
                <w:b w:val="0"/>
                <w:bCs w:val="0"/>
                <w:color w:val="auto"/>
                <w:spacing w:val="6"/>
                <w:kern w:val="21"/>
                <w:sz w:val="24"/>
                <w:szCs w:val="24"/>
              </w:rPr>
              <w:t>经营者未配备和使用与其经营项目相适应的计量器具</w:t>
            </w:r>
            <w:r>
              <w:rPr>
                <w:rFonts w:hint="eastAsia" w:cs="宋体"/>
                <w:b w:val="0"/>
                <w:bCs w:val="0"/>
                <w:color w:val="auto"/>
                <w:spacing w:val="6"/>
                <w:kern w:val="21"/>
                <w:sz w:val="24"/>
                <w:szCs w:val="24"/>
                <w:lang w:val="en-US" w:eastAsia="zh-CN"/>
              </w:rPr>
              <w:t>5台以上的</w:t>
            </w:r>
            <w:r>
              <w:rPr>
                <w:rFonts w:hint="eastAsia" w:ascii="宋体" w:hAnsi="宋体" w:eastAsia="宋体" w:cs="宋体"/>
                <w:b w:val="0"/>
                <w:bCs w:val="0"/>
                <w:color w:val="auto"/>
                <w:spacing w:val="6"/>
                <w:kern w:val="21"/>
                <w:sz w:val="24"/>
                <w:szCs w:val="24"/>
              </w:rPr>
              <w:t>；</w:t>
            </w:r>
          </w:p>
          <w:p w14:paraId="539B25B8">
            <w:pPr>
              <w:pStyle w:val="17"/>
              <w:keepNext w:val="0"/>
              <w:keepLines w:val="0"/>
              <w:pageBreakBefore w:val="0"/>
              <w:tabs>
                <w:tab w:val="left" w:pos="1053"/>
              </w:tabs>
              <w:kinsoku/>
              <w:overflowPunct/>
              <w:topLinePunct w:val="0"/>
              <w:bidi w:val="0"/>
              <w:adjustRightInd/>
              <w:snapToGrid/>
              <w:spacing w:line="400" w:lineRule="exact"/>
              <w:ind w:left="63" w:leftChars="30" w:right="63" w:rightChars="30"/>
              <w:jc w:val="both"/>
              <w:rPr>
                <w:rFonts w:hint="default" w:ascii="宋体" w:hAnsi="宋体" w:eastAsia="宋体" w:cs="宋体"/>
                <w:b w:val="0"/>
                <w:bCs w:val="0"/>
                <w:color w:val="auto"/>
                <w:spacing w:val="6"/>
                <w:kern w:val="21"/>
                <w:sz w:val="24"/>
                <w:szCs w:val="24"/>
                <w:lang w:val="en-US" w:eastAsia="zh-CN"/>
              </w:rPr>
            </w:pPr>
            <w:r>
              <w:rPr>
                <w:rFonts w:hint="eastAsia" w:cs="宋体"/>
                <w:b w:val="0"/>
                <w:bCs w:val="0"/>
                <w:color w:val="auto"/>
                <w:spacing w:val="6"/>
                <w:kern w:val="21"/>
                <w:sz w:val="24"/>
                <w:szCs w:val="24"/>
                <w:lang w:val="en-US" w:eastAsia="zh-CN"/>
              </w:rPr>
              <w:t>(2)</w:t>
            </w:r>
            <w:r>
              <w:rPr>
                <w:rFonts w:hint="eastAsia" w:ascii="宋体" w:hAnsi="宋体" w:eastAsia="宋体" w:cs="宋体"/>
                <w:b w:val="0"/>
                <w:bCs w:val="0"/>
                <w:color w:val="auto"/>
                <w:spacing w:val="6"/>
                <w:kern w:val="21"/>
                <w:sz w:val="24"/>
                <w:szCs w:val="24"/>
              </w:rPr>
              <w:t>集贸市场主办者未设置符合规定标准、供消费者复测商品量的计量器具的</w:t>
            </w:r>
            <w:r>
              <w:rPr>
                <w:rFonts w:hint="eastAsia" w:cs="宋体"/>
                <w:b w:val="0"/>
                <w:bCs w:val="0"/>
                <w:color w:val="auto"/>
                <w:spacing w:val="6"/>
                <w:kern w:val="21"/>
                <w:sz w:val="24"/>
                <w:szCs w:val="24"/>
                <w:lang w:eastAsia="zh-CN"/>
              </w:rPr>
              <w:t>，</w:t>
            </w:r>
            <w:r>
              <w:rPr>
                <w:rFonts w:hint="eastAsia" w:cs="宋体"/>
                <w:b w:val="0"/>
                <w:bCs w:val="0"/>
                <w:color w:val="auto"/>
                <w:spacing w:val="6"/>
                <w:kern w:val="21"/>
                <w:sz w:val="24"/>
                <w:szCs w:val="24"/>
                <w:lang w:val="en-US" w:eastAsia="zh-CN"/>
              </w:rPr>
              <w:t>持续时间6个月以上的；</w:t>
            </w:r>
          </w:p>
          <w:p w14:paraId="59A9A71A">
            <w:pPr>
              <w:pStyle w:val="17"/>
              <w:keepNext w:val="0"/>
              <w:keepLines w:val="0"/>
              <w:pageBreakBefore w:val="0"/>
              <w:kinsoku/>
              <w:wordWrap/>
              <w:overflowPunct/>
              <w:topLinePunct w:val="0"/>
              <w:bidi w:val="0"/>
              <w:adjustRightInd/>
              <w:snapToGrid/>
              <w:spacing w:line="380" w:lineRule="exact"/>
              <w:ind w:left="63" w:leftChars="30" w:right="63" w:rightChars="30"/>
              <w:jc w:val="both"/>
              <w:rPr>
                <w:rFonts w:hint="eastAsia" w:ascii="宋体" w:hAnsi="宋体" w:eastAsia="宋体" w:cs="宋体"/>
                <w:b w:val="0"/>
                <w:bCs w:val="0"/>
                <w:color w:val="auto"/>
                <w:spacing w:val="6"/>
                <w:kern w:val="21"/>
                <w:sz w:val="24"/>
                <w:szCs w:val="24"/>
                <w:lang w:val="en-US" w:eastAsia="zh-CN" w:bidi="zh-CN"/>
              </w:rPr>
            </w:pPr>
            <w:r>
              <w:rPr>
                <w:rFonts w:hint="eastAsia" w:cs="宋体"/>
                <w:b w:val="0"/>
                <w:bCs w:val="0"/>
                <w:color w:val="auto"/>
                <w:spacing w:val="6"/>
                <w:kern w:val="21"/>
                <w:sz w:val="24"/>
                <w:szCs w:val="24"/>
                <w:lang w:val="en-US" w:eastAsia="zh-CN"/>
              </w:rPr>
              <w:t>(3)</w:t>
            </w:r>
            <w:r>
              <w:rPr>
                <w:rFonts w:hint="eastAsia" w:ascii="宋体" w:hAnsi="宋体" w:eastAsia="宋体" w:cs="宋体"/>
                <w:b w:val="0"/>
                <w:bCs w:val="0"/>
                <w:color w:val="auto"/>
                <w:spacing w:val="6"/>
                <w:kern w:val="21"/>
                <w:sz w:val="24"/>
                <w:szCs w:val="24"/>
              </w:rPr>
              <w:t>使用超过检定周期的计量器具的</w:t>
            </w:r>
            <w:r>
              <w:rPr>
                <w:rFonts w:hint="eastAsia" w:cs="宋体"/>
                <w:b w:val="0"/>
                <w:bCs w:val="0"/>
                <w:color w:val="auto"/>
                <w:spacing w:val="6"/>
                <w:kern w:val="21"/>
                <w:sz w:val="24"/>
                <w:szCs w:val="24"/>
                <w:lang w:val="en-US" w:eastAsia="zh-CN"/>
              </w:rPr>
              <w:t>5台以上的。</w:t>
            </w:r>
          </w:p>
        </w:tc>
        <w:tc>
          <w:tcPr>
            <w:tcW w:w="3382" w:type="dxa"/>
            <w:noWrap w:val="0"/>
            <w:vAlign w:val="center"/>
          </w:tcPr>
          <w:p w14:paraId="6FBCF6C7">
            <w:pPr>
              <w:keepNext w:val="0"/>
              <w:keepLines w:val="0"/>
              <w:pageBreakBefore w:val="0"/>
              <w:widowControl/>
              <w:suppressLineNumbers w:val="0"/>
              <w:kinsoku/>
              <w:wordWrap/>
              <w:overflowPunct/>
              <w:topLinePunct w:val="0"/>
              <w:autoSpaceDE w:val="0"/>
              <w:autoSpaceDN w:val="0"/>
              <w:bidi w:val="0"/>
              <w:adjustRightInd/>
              <w:snapToGrid/>
              <w:spacing w:line="380" w:lineRule="exact"/>
              <w:ind w:left="105" w:leftChars="50" w:right="63" w:rightChars="30"/>
              <w:jc w:val="both"/>
              <w:textAlignment w:val="center"/>
              <w:rPr>
                <w:rFonts w:hint="eastAsia" w:ascii="宋体" w:hAnsi="宋体" w:eastAsia="宋体" w:cs="宋体"/>
                <w:b w:val="0"/>
                <w:bCs w:val="0"/>
                <w:color w:val="auto"/>
                <w:spacing w:val="6"/>
                <w:kern w:val="21"/>
                <w:sz w:val="24"/>
                <w:szCs w:val="24"/>
                <w:lang w:val="en-US" w:eastAsia="zh-CN" w:bidi="ar-SA"/>
              </w:rPr>
            </w:pPr>
            <w:r>
              <w:rPr>
                <w:rFonts w:hint="eastAsia" w:ascii="宋体" w:hAnsi="宋体" w:eastAsia="宋体" w:cs="宋体"/>
                <w:b w:val="0"/>
                <w:bCs w:val="0"/>
                <w:i w:val="0"/>
                <w:iCs w:val="0"/>
                <w:color w:val="auto"/>
                <w:spacing w:val="6"/>
                <w:kern w:val="21"/>
                <w:sz w:val="24"/>
                <w:szCs w:val="24"/>
                <w:u w:val="none"/>
                <w:lang w:val="en-US" w:eastAsia="zh-CN" w:bidi="ar"/>
              </w:rPr>
              <w:t>责令改正，并处</w:t>
            </w:r>
            <w:r>
              <w:rPr>
                <w:rFonts w:hint="eastAsia" w:ascii="宋体" w:hAnsi="宋体" w:cs="宋体"/>
                <w:b w:val="0"/>
                <w:bCs w:val="0"/>
                <w:i w:val="0"/>
                <w:iCs w:val="0"/>
                <w:color w:val="auto"/>
                <w:spacing w:val="6"/>
                <w:kern w:val="21"/>
                <w:sz w:val="24"/>
                <w:szCs w:val="24"/>
                <w:u w:val="none"/>
                <w:lang w:val="en-US" w:eastAsia="zh-CN" w:bidi="ar"/>
              </w:rPr>
              <w:t>760</w:t>
            </w:r>
            <w:r>
              <w:rPr>
                <w:rFonts w:hint="eastAsia" w:ascii="宋体" w:hAnsi="宋体" w:eastAsia="宋体" w:cs="宋体"/>
                <w:b w:val="0"/>
                <w:bCs w:val="0"/>
                <w:i w:val="0"/>
                <w:iCs w:val="0"/>
                <w:color w:val="auto"/>
                <w:spacing w:val="6"/>
                <w:kern w:val="21"/>
                <w:sz w:val="24"/>
                <w:szCs w:val="24"/>
                <w:u w:val="none"/>
                <w:lang w:val="en-US" w:eastAsia="zh-CN" w:bidi="ar"/>
              </w:rPr>
              <w:t>元以上</w:t>
            </w:r>
            <w:r>
              <w:rPr>
                <w:rFonts w:hint="eastAsia" w:ascii="宋体" w:hAnsi="宋体" w:cs="宋体"/>
                <w:b w:val="0"/>
                <w:bCs w:val="0"/>
                <w:i w:val="0"/>
                <w:iCs w:val="0"/>
                <w:color w:val="auto"/>
                <w:spacing w:val="6"/>
                <w:kern w:val="21"/>
                <w:sz w:val="24"/>
                <w:szCs w:val="24"/>
                <w:u w:val="none"/>
                <w:lang w:val="en-US" w:eastAsia="zh-CN" w:bidi="ar"/>
              </w:rPr>
              <w:t>1000</w:t>
            </w:r>
            <w:r>
              <w:rPr>
                <w:rFonts w:hint="eastAsia" w:ascii="宋体" w:hAnsi="宋体" w:eastAsia="宋体" w:cs="宋体"/>
                <w:b w:val="0"/>
                <w:bCs w:val="0"/>
                <w:i w:val="0"/>
                <w:iCs w:val="0"/>
                <w:color w:val="auto"/>
                <w:spacing w:val="6"/>
                <w:kern w:val="21"/>
                <w:sz w:val="24"/>
                <w:szCs w:val="24"/>
                <w:u w:val="none"/>
                <w:lang w:val="en-US" w:eastAsia="zh-CN" w:bidi="ar"/>
              </w:rPr>
              <w:t>元以下的罚款。</w:t>
            </w:r>
          </w:p>
        </w:tc>
      </w:tr>
      <w:tr w14:paraId="0BDCE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5" w:hRule="exact"/>
          <w:jc w:val="center"/>
        </w:trPr>
        <w:tc>
          <w:tcPr>
            <w:tcW w:w="640" w:type="dxa"/>
            <w:vMerge w:val="restart"/>
            <w:noWrap w:val="0"/>
            <w:vAlign w:val="center"/>
          </w:tcPr>
          <w:p w14:paraId="2E0FF462">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default" w:ascii="宋体" w:hAnsi="宋体" w:eastAsia="宋体" w:cs="宋体"/>
                <w:b w:val="0"/>
                <w:bCs w:val="0"/>
                <w:color w:val="auto"/>
                <w:spacing w:val="6"/>
                <w:kern w:val="21"/>
                <w:sz w:val="24"/>
                <w:szCs w:val="24"/>
                <w:lang w:val="en-US" w:eastAsia="zh-CN" w:bidi="zh-CN"/>
              </w:rPr>
            </w:pPr>
            <w:r>
              <w:rPr>
                <w:rFonts w:hint="eastAsia" w:cs="宋体"/>
                <w:b w:val="0"/>
                <w:bCs w:val="0"/>
                <w:color w:val="auto"/>
                <w:spacing w:val="6"/>
                <w:kern w:val="21"/>
                <w:sz w:val="24"/>
                <w:szCs w:val="24"/>
                <w:lang w:val="en-US" w:eastAsia="zh-CN" w:bidi="zh-CN"/>
              </w:rPr>
              <w:t>135</w:t>
            </w:r>
          </w:p>
        </w:tc>
        <w:tc>
          <w:tcPr>
            <w:tcW w:w="1793" w:type="dxa"/>
            <w:vMerge w:val="restart"/>
            <w:noWrap w:val="0"/>
            <w:vAlign w:val="center"/>
          </w:tcPr>
          <w:p w14:paraId="3F3F2211">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《吉林省贸易计量监督条例》</w:t>
            </w:r>
          </w:p>
        </w:tc>
        <w:tc>
          <w:tcPr>
            <w:tcW w:w="4193" w:type="dxa"/>
            <w:vMerge w:val="restart"/>
            <w:noWrap w:val="0"/>
            <w:vAlign w:val="center"/>
          </w:tcPr>
          <w:p w14:paraId="7CBF0307">
            <w:pPr>
              <w:pStyle w:val="17"/>
              <w:keepNext w:val="0"/>
              <w:keepLines w:val="0"/>
              <w:pageBreakBefore w:val="0"/>
              <w:widowControl/>
              <w:tabs>
                <w:tab w:val="left" w:pos="1053"/>
              </w:tabs>
              <w:kinsoku/>
              <w:wordWrap/>
              <w:overflowPunct/>
              <w:topLinePunct w:val="0"/>
              <w:autoSpaceDE/>
              <w:autoSpaceDN/>
              <w:bidi w:val="0"/>
              <w:adjustRightInd/>
              <w:snapToGrid/>
              <w:spacing w:line="400" w:lineRule="exact"/>
              <w:ind w:left="63" w:leftChars="30" w:right="63" w:rightChars="30"/>
              <w:jc w:val="left"/>
              <w:textAlignment w:val="auto"/>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第二十三条 违反本条例第六条规定，造成损失的，赔偿损失，没收计量器具和违法所得，可并处二千元以下罚款。</w:t>
            </w:r>
          </w:p>
          <w:p w14:paraId="6C193288">
            <w:pPr>
              <w:pStyle w:val="17"/>
              <w:keepNext w:val="0"/>
              <w:keepLines w:val="0"/>
              <w:pageBreakBefore w:val="0"/>
              <w:widowControl/>
              <w:tabs>
                <w:tab w:val="left" w:pos="1053"/>
              </w:tabs>
              <w:kinsoku/>
              <w:wordWrap/>
              <w:overflowPunct/>
              <w:topLinePunct w:val="0"/>
              <w:autoSpaceDE/>
              <w:autoSpaceDN/>
              <w:bidi w:val="0"/>
              <w:adjustRightInd/>
              <w:snapToGrid/>
              <w:spacing w:line="400" w:lineRule="exact"/>
              <w:ind w:left="63" w:leftChars="30" w:right="63" w:rightChars="30"/>
              <w:jc w:val="left"/>
              <w:textAlignment w:val="auto"/>
              <w:rPr>
                <w:rFonts w:hint="eastAsia" w:ascii="宋体" w:hAnsi="宋体" w:eastAsia="宋体" w:cs="宋体"/>
                <w:b w:val="0"/>
                <w:bCs w:val="0"/>
                <w:color w:val="auto"/>
                <w:spacing w:val="6"/>
                <w:kern w:val="21"/>
                <w:sz w:val="24"/>
                <w:szCs w:val="24"/>
                <w:lang w:val="zh-CN" w:eastAsia="zh-CN" w:bidi="zh-CN"/>
              </w:rPr>
            </w:pPr>
          </w:p>
        </w:tc>
        <w:tc>
          <w:tcPr>
            <w:tcW w:w="1132" w:type="dxa"/>
            <w:noWrap w:val="0"/>
            <w:vAlign w:val="center"/>
          </w:tcPr>
          <w:p w14:paraId="2303C36F">
            <w:pPr>
              <w:pStyle w:val="17"/>
              <w:keepNext w:val="0"/>
              <w:keepLines w:val="0"/>
              <w:pageBreakBefore w:val="0"/>
              <w:tabs>
                <w:tab w:val="left" w:pos="1053"/>
              </w:tabs>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6729167D">
            <w:pPr>
              <w:pStyle w:val="17"/>
              <w:keepNext w:val="0"/>
              <w:keepLines w:val="0"/>
              <w:pageBreakBefore w:val="0"/>
              <w:tabs>
                <w:tab w:val="left" w:pos="1053"/>
              </w:tabs>
              <w:kinsoku/>
              <w:wordWrap/>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lang w:val="en-US" w:eastAsia="zh-CN" w:bidi="zh-CN"/>
              </w:rPr>
            </w:pPr>
            <w:r>
              <w:rPr>
                <w:rFonts w:hint="eastAsia" w:cs="宋体"/>
                <w:b w:val="0"/>
                <w:bCs w:val="0"/>
                <w:color w:val="auto"/>
                <w:spacing w:val="6"/>
                <w:kern w:val="21"/>
                <w:sz w:val="24"/>
                <w:szCs w:val="24"/>
                <w:lang w:val="en-US" w:eastAsia="zh-CN"/>
              </w:rPr>
              <w:t>对消费者造成的损失在2000元以下的。</w:t>
            </w:r>
          </w:p>
        </w:tc>
        <w:tc>
          <w:tcPr>
            <w:tcW w:w="3382" w:type="dxa"/>
            <w:noWrap w:val="0"/>
            <w:vAlign w:val="center"/>
          </w:tcPr>
          <w:p w14:paraId="77CEB116">
            <w:pPr>
              <w:pStyle w:val="17"/>
              <w:keepNext w:val="0"/>
              <w:keepLines w:val="0"/>
              <w:pageBreakBefore w:val="0"/>
              <w:widowControl/>
              <w:suppressLineNumbers w:val="0"/>
              <w:tabs>
                <w:tab w:val="left" w:pos="1053"/>
              </w:tabs>
              <w:kinsoku/>
              <w:wordWrap/>
              <w:overflowPunct/>
              <w:topLinePunct w:val="0"/>
              <w:autoSpaceDE w:val="0"/>
              <w:autoSpaceDN w:val="0"/>
              <w:bidi w:val="0"/>
              <w:adjustRightInd/>
              <w:snapToGrid/>
              <w:spacing w:line="400" w:lineRule="exact"/>
              <w:ind w:left="105" w:leftChars="50" w:right="63" w:rightChars="30"/>
              <w:jc w:val="left"/>
              <w:textAlignment w:val="center"/>
              <w:rPr>
                <w:rFonts w:hint="eastAsia" w:ascii="宋体" w:hAnsi="宋体" w:eastAsia="宋体" w:cs="宋体"/>
                <w:b w:val="0"/>
                <w:bCs w:val="0"/>
                <w:i w:val="0"/>
                <w:iCs w:val="0"/>
                <w:color w:val="auto"/>
                <w:spacing w:val="6"/>
                <w:kern w:val="21"/>
                <w:sz w:val="24"/>
                <w:szCs w:val="24"/>
                <w:u w:val="none"/>
                <w:lang w:val="zh-CN" w:eastAsia="zh-CN" w:bidi="zh-CN"/>
              </w:rPr>
            </w:pPr>
            <w:r>
              <w:rPr>
                <w:rFonts w:hint="eastAsia" w:ascii="宋体" w:hAnsi="宋体" w:eastAsia="宋体" w:cs="宋体"/>
                <w:b w:val="0"/>
                <w:bCs w:val="0"/>
                <w:color w:val="auto"/>
                <w:spacing w:val="6"/>
                <w:kern w:val="21"/>
                <w:sz w:val="24"/>
                <w:szCs w:val="24"/>
              </w:rPr>
              <w:t>没收计量器具和违法所得，</w:t>
            </w:r>
            <w:r>
              <w:rPr>
                <w:rFonts w:hint="eastAsia" w:ascii="宋体" w:hAnsi="宋体" w:eastAsia="宋体" w:cs="宋体"/>
                <w:b w:val="0"/>
                <w:bCs w:val="0"/>
                <w:i w:val="0"/>
                <w:iCs w:val="0"/>
                <w:color w:val="auto"/>
                <w:spacing w:val="6"/>
                <w:kern w:val="21"/>
                <w:sz w:val="24"/>
                <w:szCs w:val="24"/>
                <w:u w:val="none"/>
                <w:lang w:val="en-US" w:eastAsia="zh-CN" w:bidi="ar"/>
              </w:rPr>
              <w:t>并处</w:t>
            </w:r>
            <w:r>
              <w:rPr>
                <w:rFonts w:hint="eastAsia" w:ascii="宋体" w:hAnsi="宋体" w:cs="宋体"/>
                <w:b w:val="0"/>
                <w:bCs w:val="0"/>
                <w:i w:val="0"/>
                <w:iCs w:val="0"/>
                <w:color w:val="auto"/>
                <w:spacing w:val="6"/>
                <w:kern w:val="21"/>
                <w:sz w:val="24"/>
                <w:szCs w:val="24"/>
                <w:u w:val="none"/>
                <w:lang w:val="en-US" w:eastAsia="zh-CN" w:bidi="ar"/>
              </w:rPr>
              <w:t>600</w:t>
            </w:r>
            <w:r>
              <w:rPr>
                <w:rFonts w:hint="eastAsia" w:ascii="宋体" w:hAnsi="宋体" w:eastAsia="宋体" w:cs="宋体"/>
                <w:b w:val="0"/>
                <w:bCs w:val="0"/>
                <w:i w:val="0"/>
                <w:iCs w:val="0"/>
                <w:color w:val="auto"/>
                <w:spacing w:val="6"/>
                <w:kern w:val="21"/>
                <w:sz w:val="24"/>
                <w:szCs w:val="24"/>
                <w:u w:val="none"/>
                <w:lang w:val="en-US" w:eastAsia="zh-CN" w:bidi="ar"/>
              </w:rPr>
              <w:t>元以下的罚款。</w:t>
            </w:r>
          </w:p>
        </w:tc>
      </w:tr>
      <w:tr w14:paraId="18E8D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4" w:hRule="exact"/>
          <w:jc w:val="center"/>
        </w:trPr>
        <w:tc>
          <w:tcPr>
            <w:tcW w:w="640" w:type="dxa"/>
            <w:vMerge w:val="continue"/>
            <w:noWrap w:val="0"/>
            <w:vAlign w:val="top"/>
          </w:tcPr>
          <w:p w14:paraId="151D8381">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FF0000"/>
                <w:spacing w:val="6"/>
                <w:kern w:val="21"/>
                <w:sz w:val="24"/>
                <w:szCs w:val="24"/>
              </w:rPr>
            </w:pPr>
          </w:p>
        </w:tc>
        <w:tc>
          <w:tcPr>
            <w:tcW w:w="1793" w:type="dxa"/>
            <w:vMerge w:val="continue"/>
            <w:noWrap w:val="0"/>
            <w:vAlign w:val="top"/>
          </w:tcPr>
          <w:p w14:paraId="37F59A86">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top"/>
          </w:tcPr>
          <w:p w14:paraId="48489752">
            <w:pPr>
              <w:pStyle w:val="17"/>
              <w:keepNext w:val="0"/>
              <w:keepLines w:val="0"/>
              <w:pageBreakBefore w:val="0"/>
              <w:tabs>
                <w:tab w:val="left" w:pos="1053"/>
              </w:tabs>
              <w:kinsoku/>
              <w:overflowPunct/>
              <w:topLinePunct w:val="0"/>
              <w:bidi w:val="0"/>
              <w:adjustRightInd/>
              <w:snapToGrid/>
              <w:ind w:left="63" w:leftChars="30" w:right="63" w:rightChars="30"/>
              <w:jc w:val="left"/>
              <w:rPr>
                <w:rFonts w:hint="eastAsia" w:ascii="宋体" w:hAnsi="宋体" w:eastAsia="宋体" w:cs="宋体"/>
                <w:b w:val="0"/>
                <w:bCs w:val="0"/>
                <w:color w:val="auto"/>
                <w:spacing w:val="6"/>
                <w:kern w:val="21"/>
                <w:sz w:val="24"/>
                <w:szCs w:val="24"/>
              </w:rPr>
            </w:pPr>
          </w:p>
        </w:tc>
        <w:tc>
          <w:tcPr>
            <w:tcW w:w="1132" w:type="dxa"/>
            <w:noWrap w:val="0"/>
            <w:vAlign w:val="center"/>
          </w:tcPr>
          <w:p w14:paraId="2A202EEB">
            <w:pPr>
              <w:pStyle w:val="17"/>
              <w:keepNext w:val="0"/>
              <w:keepLines w:val="0"/>
              <w:pageBreakBefore w:val="0"/>
              <w:tabs>
                <w:tab w:val="left" w:pos="1053"/>
              </w:tabs>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00A87A34">
            <w:pPr>
              <w:pStyle w:val="17"/>
              <w:keepNext w:val="0"/>
              <w:keepLines w:val="0"/>
              <w:pageBreakBefore w:val="0"/>
              <w:tabs>
                <w:tab w:val="left" w:pos="1053"/>
              </w:tabs>
              <w:kinsoku/>
              <w:wordWrap/>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lang w:val="en-US" w:eastAsia="zh-CN" w:bidi="zh-CN"/>
              </w:rPr>
            </w:pPr>
            <w:r>
              <w:rPr>
                <w:rFonts w:hint="eastAsia" w:cs="宋体"/>
                <w:b w:val="0"/>
                <w:bCs w:val="0"/>
                <w:color w:val="auto"/>
                <w:spacing w:val="6"/>
                <w:kern w:val="21"/>
                <w:sz w:val="24"/>
                <w:szCs w:val="24"/>
                <w:lang w:val="en-US" w:eastAsia="zh-CN"/>
              </w:rPr>
              <w:t>对消费者造成的损失在2000元以上1万元以下的。</w:t>
            </w:r>
          </w:p>
        </w:tc>
        <w:tc>
          <w:tcPr>
            <w:tcW w:w="3382" w:type="dxa"/>
            <w:noWrap w:val="0"/>
            <w:vAlign w:val="center"/>
          </w:tcPr>
          <w:p w14:paraId="45F73578">
            <w:pPr>
              <w:pStyle w:val="17"/>
              <w:keepNext w:val="0"/>
              <w:keepLines w:val="0"/>
              <w:pageBreakBefore w:val="0"/>
              <w:widowControl/>
              <w:suppressLineNumbers w:val="0"/>
              <w:tabs>
                <w:tab w:val="left" w:pos="1053"/>
              </w:tabs>
              <w:kinsoku/>
              <w:wordWrap/>
              <w:overflowPunct/>
              <w:topLinePunct w:val="0"/>
              <w:autoSpaceDE w:val="0"/>
              <w:autoSpaceDN w:val="0"/>
              <w:bidi w:val="0"/>
              <w:adjustRightInd/>
              <w:snapToGrid/>
              <w:spacing w:line="400" w:lineRule="exact"/>
              <w:ind w:left="105" w:leftChars="50" w:right="63" w:rightChars="30"/>
              <w:jc w:val="left"/>
              <w:textAlignment w:val="center"/>
              <w:rPr>
                <w:rFonts w:hint="eastAsia" w:ascii="宋体" w:hAnsi="宋体" w:eastAsia="宋体" w:cs="宋体"/>
                <w:b w:val="0"/>
                <w:bCs w:val="0"/>
                <w:color w:val="auto"/>
                <w:spacing w:val="6"/>
                <w:kern w:val="21"/>
                <w:sz w:val="24"/>
                <w:szCs w:val="24"/>
                <w:lang w:val="en-US" w:eastAsia="zh-CN" w:bidi="ar-SA"/>
              </w:rPr>
            </w:pPr>
            <w:r>
              <w:rPr>
                <w:rFonts w:hint="eastAsia" w:ascii="宋体" w:hAnsi="宋体" w:eastAsia="宋体" w:cs="宋体"/>
                <w:b w:val="0"/>
                <w:bCs w:val="0"/>
                <w:color w:val="auto"/>
                <w:spacing w:val="6"/>
                <w:kern w:val="21"/>
                <w:sz w:val="24"/>
                <w:szCs w:val="24"/>
              </w:rPr>
              <w:t>没收计量器具和违法所得，</w:t>
            </w:r>
            <w:r>
              <w:rPr>
                <w:rFonts w:hint="eastAsia" w:ascii="宋体" w:hAnsi="宋体" w:eastAsia="宋体" w:cs="宋体"/>
                <w:b w:val="0"/>
                <w:bCs w:val="0"/>
                <w:i w:val="0"/>
                <w:iCs w:val="0"/>
                <w:color w:val="auto"/>
                <w:spacing w:val="6"/>
                <w:kern w:val="21"/>
                <w:sz w:val="24"/>
                <w:szCs w:val="24"/>
                <w:u w:val="none"/>
                <w:lang w:val="en-US" w:eastAsia="zh-CN" w:bidi="ar"/>
              </w:rPr>
              <w:t>并处</w:t>
            </w:r>
            <w:r>
              <w:rPr>
                <w:rFonts w:hint="eastAsia" w:ascii="宋体" w:hAnsi="宋体" w:cs="宋体"/>
                <w:b w:val="0"/>
                <w:bCs w:val="0"/>
                <w:i w:val="0"/>
                <w:iCs w:val="0"/>
                <w:color w:val="auto"/>
                <w:spacing w:val="6"/>
                <w:kern w:val="21"/>
                <w:sz w:val="24"/>
                <w:szCs w:val="24"/>
                <w:u w:val="none"/>
                <w:lang w:val="en-US" w:eastAsia="zh-CN" w:bidi="ar"/>
              </w:rPr>
              <w:t>600</w:t>
            </w:r>
            <w:r>
              <w:rPr>
                <w:rFonts w:hint="eastAsia" w:ascii="宋体" w:hAnsi="宋体" w:eastAsia="宋体" w:cs="宋体"/>
                <w:b w:val="0"/>
                <w:bCs w:val="0"/>
                <w:i w:val="0"/>
                <w:iCs w:val="0"/>
                <w:color w:val="auto"/>
                <w:spacing w:val="6"/>
                <w:kern w:val="21"/>
                <w:sz w:val="24"/>
                <w:szCs w:val="24"/>
                <w:u w:val="none"/>
                <w:lang w:val="en-US" w:eastAsia="zh-CN" w:bidi="ar"/>
              </w:rPr>
              <w:t>元以上</w:t>
            </w:r>
            <w:r>
              <w:rPr>
                <w:rFonts w:hint="eastAsia" w:ascii="宋体" w:hAnsi="宋体" w:cs="宋体"/>
                <w:b w:val="0"/>
                <w:bCs w:val="0"/>
                <w:i w:val="0"/>
                <w:iCs w:val="0"/>
                <w:color w:val="auto"/>
                <w:spacing w:val="6"/>
                <w:kern w:val="21"/>
                <w:sz w:val="24"/>
                <w:szCs w:val="24"/>
                <w:u w:val="none"/>
                <w:lang w:val="en-US" w:eastAsia="zh-CN" w:bidi="ar"/>
              </w:rPr>
              <w:t>1400</w:t>
            </w:r>
            <w:r>
              <w:rPr>
                <w:rFonts w:hint="eastAsia" w:ascii="宋体" w:hAnsi="宋体" w:eastAsia="宋体" w:cs="宋体"/>
                <w:b w:val="0"/>
                <w:bCs w:val="0"/>
                <w:i w:val="0"/>
                <w:iCs w:val="0"/>
                <w:color w:val="auto"/>
                <w:spacing w:val="6"/>
                <w:kern w:val="21"/>
                <w:sz w:val="24"/>
                <w:szCs w:val="24"/>
                <w:u w:val="none"/>
                <w:lang w:val="en-US" w:eastAsia="zh-CN" w:bidi="ar"/>
              </w:rPr>
              <w:t>元以下的罚款。</w:t>
            </w:r>
          </w:p>
        </w:tc>
      </w:tr>
      <w:tr w14:paraId="3A0CF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4" w:hRule="exact"/>
          <w:jc w:val="center"/>
        </w:trPr>
        <w:tc>
          <w:tcPr>
            <w:tcW w:w="640" w:type="dxa"/>
            <w:vMerge w:val="continue"/>
            <w:noWrap w:val="0"/>
            <w:vAlign w:val="top"/>
          </w:tcPr>
          <w:p w14:paraId="24C8E82F">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FF0000"/>
                <w:spacing w:val="6"/>
                <w:kern w:val="21"/>
                <w:sz w:val="24"/>
                <w:szCs w:val="24"/>
              </w:rPr>
            </w:pPr>
          </w:p>
        </w:tc>
        <w:tc>
          <w:tcPr>
            <w:tcW w:w="1793" w:type="dxa"/>
            <w:vMerge w:val="continue"/>
            <w:noWrap w:val="0"/>
            <w:vAlign w:val="top"/>
          </w:tcPr>
          <w:p w14:paraId="70D04965">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top"/>
          </w:tcPr>
          <w:p w14:paraId="1CE1D13E">
            <w:pPr>
              <w:pStyle w:val="17"/>
              <w:keepNext w:val="0"/>
              <w:keepLines w:val="0"/>
              <w:pageBreakBefore w:val="0"/>
              <w:tabs>
                <w:tab w:val="left" w:pos="1053"/>
              </w:tabs>
              <w:kinsoku/>
              <w:overflowPunct/>
              <w:topLinePunct w:val="0"/>
              <w:bidi w:val="0"/>
              <w:adjustRightInd/>
              <w:snapToGrid/>
              <w:ind w:left="63" w:leftChars="30" w:right="63" w:rightChars="30"/>
              <w:jc w:val="left"/>
              <w:rPr>
                <w:rFonts w:hint="eastAsia" w:ascii="宋体" w:hAnsi="宋体" w:eastAsia="宋体" w:cs="宋体"/>
                <w:b w:val="0"/>
                <w:bCs w:val="0"/>
                <w:color w:val="auto"/>
                <w:spacing w:val="6"/>
                <w:kern w:val="21"/>
                <w:sz w:val="24"/>
                <w:szCs w:val="24"/>
              </w:rPr>
            </w:pPr>
          </w:p>
        </w:tc>
        <w:tc>
          <w:tcPr>
            <w:tcW w:w="1132" w:type="dxa"/>
            <w:noWrap w:val="0"/>
            <w:vAlign w:val="center"/>
          </w:tcPr>
          <w:p w14:paraId="77C78ACA">
            <w:pPr>
              <w:pStyle w:val="17"/>
              <w:keepNext w:val="0"/>
              <w:keepLines w:val="0"/>
              <w:pageBreakBefore w:val="0"/>
              <w:tabs>
                <w:tab w:val="left" w:pos="1053"/>
              </w:tabs>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578B3CB8">
            <w:pPr>
              <w:pStyle w:val="17"/>
              <w:keepNext w:val="0"/>
              <w:keepLines w:val="0"/>
              <w:pageBreakBefore w:val="0"/>
              <w:tabs>
                <w:tab w:val="left" w:pos="1053"/>
              </w:tabs>
              <w:kinsoku/>
              <w:wordWrap/>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lang w:val="en-US" w:eastAsia="zh-CN" w:bidi="zh-CN"/>
              </w:rPr>
            </w:pPr>
            <w:r>
              <w:rPr>
                <w:rFonts w:hint="eastAsia" w:cs="宋体"/>
                <w:b w:val="0"/>
                <w:bCs w:val="0"/>
                <w:color w:val="auto"/>
                <w:spacing w:val="6"/>
                <w:kern w:val="21"/>
                <w:sz w:val="24"/>
                <w:szCs w:val="24"/>
                <w:lang w:val="en-US" w:eastAsia="zh-CN"/>
              </w:rPr>
              <w:t>对消费者造成的损失在1万元以上的。</w:t>
            </w:r>
          </w:p>
        </w:tc>
        <w:tc>
          <w:tcPr>
            <w:tcW w:w="3382" w:type="dxa"/>
            <w:noWrap w:val="0"/>
            <w:vAlign w:val="center"/>
          </w:tcPr>
          <w:p w14:paraId="40385EEC">
            <w:pPr>
              <w:pStyle w:val="17"/>
              <w:keepNext w:val="0"/>
              <w:keepLines w:val="0"/>
              <w:pageBreakBefore w:val="0"/>
              <w:widowControl/>
              <w:suppressLineNumbers w:val="0"/>
              <w:tabs>
                <w:tab w:val="left" w:pos="1053"/>
              </w:tabs>
              <w:kinsoku/>
              <w:wordWrap/>
              <w:overflowPunct/>
              <w:topLinePunct w:val="0"/>
              <w:autoSpaceDE w:val="0"/>
              <w:autoSpaceDN w:val="0"/>
              <w:bidi w:val="0"/>
              <w:adjustRightInd/>
              <w:snapToGrid/>
              <w:spacing w:line="400" w:lineRule="exact"/>
              <w:ind w:left="105" w:leftChars="50" w:right="63" w:rightChars="30"/>
              <w:jc w:val="left"/>
              <w:textAlignment w:val="center"/>
              <w:rPr>
                <w:rFonts w:hint="eastAsia" w:ascii="宋体" w:hAnsi="宋体" w:eastAsia="宋体" w:cs="宋体"/>
                <w:b w:val="0"/>
                <w:bCs w:val="0"/>
                <w:color w:val="auto"/>
                <w:spacing w:val="6"/>
                <w:kern w:val="21"/>
                <w:sz w:val="24"/>
                <w:szCs w:val="24"/>
                <w:lang w:val="en-US" w:eastAsia="zh-CN" w:bidi="ar-SA"/>
              </w:rPr>
            </w:pPr>
            <w:r>
              <w:rPr>
                <w:rFonts w:hint="eastAsia" w:ascii="宋体" w:hAnsi="宋体" w:eastAsia="宋体" w:cs="宋体"/>
                <w:b w:val="0"/>
                <w:bCs w:val="0"/>
                <w:color w:val="auto"/>
                <w:spacing w:val="6"/>
                <w:kern w:val="21"/>
                <w:sz w:val="24"/>
                <w:szCs w:val="24"/>
              </w:rPr>
              <w:t>没收计量器具和违法所得，</w:t>
            </w:r>
            <w:r>
              <w:rPr>
                <w:rFonts w:hint="eastAsia" w:ascii="宋体" w:hAnsi="宋体" w:eastAsia="宋体" w:cs="宋体"/>
                <w:b w:val="0"/>
                <w:bCs w:val="0"/>
                <w:i w:val="0"/>
                <w:iCs w:val="0"/>
                <w:color w:val="auto"/>
                <w:spacing w:val="6"/>
                <w:kern w:val="21"/>
                <w:sz w:val="24"/>
                <w:szCs w:val="24"/>
                <w:u w:val="none"/>
                <w:lang w:val="en-US" w:eastAsia="zh-CN" w:bidi="ar"/>
              </w:rPr>
              <w:t>并处</w:t>
            </w:r>
            <w:r>
              <w:rPr>
                <w:rFonts w:hint="eastAsia" w:ascii="宋体" w:hAnsi="宋体" w:cs="宋体"/>
                <w:b w:val="0"/>
                <w:bCs w:val="0"/>
                <w:i w:val="0"/>
                <w:iCs w:val="0"/>
                <w:color w:val="auto"/>
                <w:spacing w:val="6"/>
                <w:kern w:val="21"/>
                <w:sz w:val="24"/>
                <w:szCs w:val="24"/>
                <w:u w:val="none"/>
                <w:lang w:val="en-US" w:eastAsia="zh-CN" w:bidi="ar"/>
              </w:rPr>
              <w:t>1400</w:t>
            </w:r>
            <w:r>
              <w:rPr>
                <w:rFonts w:hint="eastAsia" w:ascii="宋体" w:hAnsi="宋体" w:eastAsia="宋体" w:cs="宋体"/>
                <w:b w:val="0"/>
                <w:bCs w:val="0"/>
                <w:i w:val="0"/>
                <w:iCs w:val="0"/>
                <w:color w:val="auto"/>
                <w:spacing w:val="6"/>
                <w:kern w:val="21"/>
                <w:sz w:val="24"/>
                <w:szCs w:val="24"/>
                <w:u w:val="none"/>
                <w:lang w:val="en-US" w:eastAsia="zh-CN" w:bidi="ar"/>
              </w:rPr>
              <w:t>元以上</w:t>
            </w:r>
            <w:r>
              <w:rPr>
                <w:rFonts w:hint="eastAsia" w:ascii="宋体" w:hAnsi="宋体" w:cs="宋体"/>
                <w:b w:val="0"/>
                <w:bCs w:val="0"/>
                <w:i w:val="0"/>
                <w:iCs w:val="0"/>
                <w:color w:val="auto"/>
                <w:spacing w:val="6"/>
                <w:kern w:val="21"/>
                <w:sz w:val="24"/>
                <w:szCs w:val="24"/>
                <w:u w:val="none"/>
                <w:lang w:val="en-US" w:eastAsia="zh-CN" w:bidi="ar"/>
              </w:rPr>
              <w:t>2</w:t>
            </w:r>
            <w:r>
              <w:rPr>
                <w:rFonts w:hint="eastAsia" w:ascii="宋体" w:hAnsi="宋体" w:eastAsia="宋体" w:cs="宋体"/>
                <w:b w:val="0"/>
                <w:bCs w:val="0"/>
                <w:i w:val="0"/>
                <w:iCs w:val="0"/>
                <w:color w:val="auto"/>
                <w:spacing w:val="6"/>
                <w:kern w:val="21"/>
                <w:sz w:val="24"/>
                <w:szCs w:val="24"/>
                <w:u w:val="none"/>
                <w:lang w:val="en-US" w:eastAsia="zh-CN" w:bidi="ar"/>
              </w:rPr>
              <w:t>000元以下的罚款。</w:t>
            </w:r>
          </w:p>
        </w:tc>
      </w:tr>
      <w:tr w14:paraId="31816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8" w:hRule="exact"/>
          <w:jc w:val="center"/>
        </w:trPr>
        <w:tc>
          <w:tcPr>
            <w:tcW w:w="640" w:type="dxa"/>
            <w:vMerge w:val="restart"/>
            <w:noWrap w:val="0"/>
            <w:vAlign w:val="center"/>
          </w:tcPr>
          <w:p w14:paraId="054A2FBC">
            <w:pPr>
              <w:pStyle w:val="17"/>
              <w:keepNext w:val="0"/>
              <w:keepLines w:val="0"/>
              <w:pageBreakBefore w:val="0"/>
              <w:kinsoku/>
              <w:wordWrap/>
              <w:overflowPunct/>
              <w:topLinePunct w:val="0"/>
              <w:autoSpaceDE w:val="0"/>
              <w:autoSpaceDN w:val="0"/>
              <w:bidi w:val="0"/>
              <w:adjustRightInd/>
              <w:snapToGrid/>
              <w:spacing w:line="400" w:lineRule="exact"/>
              <w:ind w:left="63" w:leftChars="30" w:right="63" w:rightChars="30"/>
              <w:jc w:val="center"/>
              <w:textAlignment w:val="auto"/>
              <w:rPr>
                <w:rFonts w:hint="default" w:ascii="宋体" w:hAnsi="宋体" w:eastAsia="宋体" w:cs="宋体"/>
                <w:b w:val="0"/>
                <w:bCs w:val="0"/>
                <w:color w:val="auto"/>
                <w:spacing w:val="6"/>
                <w:kern w:val="21"/>
                <w:sz w:val="24"/>
                <w:szCs w:val="24"/>
                <w:lang w:val="en-US" w:eastAsia="zh-CN" w:bidi="zh-CN"/>
              </w:rPr>
            </w:pPr>
            <w:r>
              <w:rPr>
                <w:rFonts w:hint="eastAsia" w:cs="宋体"/>
                <w:b w:val="0"/>
                <w:bCs w:val="0"/>
                <w:color w:val="auto"/>
                <w:spacing w:val="6"/>
                <w:kern w:val="21"/>
                <w:sz w:val="24"/>
                <w:szCs w:val="24"/>
                <w:lang w:val="en-US" w:eastAsia="zh-CN" w:bidi="zh-CN"/>
              </w:rPr>
              <w:t>136</w:t>
            </w:r>
          </w:p>
        </w:tc>
        <w:tc>
          <w:tcPr>
            <w:tcW w:w="1793" w:type="dxa"/>
            <w:vMerge w:val="restart"/>
            <w:noWrap w:val="0"/>
            <w:vAlign w:val="center"/>
          </w:tcPr>
          <w:p w14:paraId="71B1041F">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《吉林省贸易计量监督条例》</w:t>
            </w:r>
          </w:p>
        </w:tc>
        <w:tc>
          <w:tcPr>
            <w:tcW w:w="4193" w:type="dxa"/>
            <w:vMerge w:val="restart"/>
            <w:noWrap w:val="0"/>
            <w:vAlign w:val="center"/>
          </w:tcPr>
          <w:p w14:paraId="4A6BA0A2">
            <w:pPr>
              <w:pStyle w:val="17"/>
              <w:keepNext w:val="0"/>
              <w:keepLines w:val="0"/>
              <w:pageBreakBefore w:val="0"/>
              <w:kinsoku/>
              <w:wordWrap/>
              <w:overflowPunct/>
              <w:topLinePunct w:val="0"/>
              <w:autoSpaceDE w:val="0"/>
              <w:autoSpaceDN w:val="0"/>
              <w:bidi w:val="0"/>
              <w:adjustRightInd/>
              <w:snapToGrid/>
              <w:spacing w:line="400" w:lineRule="exact"/>
              <w:ind w:left="63" w:leftChars="30" w:right="63" w:rightChars="30" w:firstLine="5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第二十五条 违反本条例第九条第（一）项、第（二）项、第（三）项规定，造成损失的，责令其赔偿损失，没收计量器具和违法所得，可并处二千元以下罚款。</w:t>
            </w:r>
          </w:p>
          <w:p w14:paraId="6CC4882D">
            <w:pPr>
              <w:pStyle w:val="17"/>
              <w:keepNext w:val="0"/>
              <w:keepLines w:val="0"/>
              <w:pageBreakBefore w:val="0"/>
              <w:kinsoku/>
              <w:wordWrap/>
              <w:overflowPunct/>
              <w:topLinePunct w:val="0"/>
              <w:autoSpaceDE w:val="0"/>
              <w:autoSpaceDN w:val="0"/>
              <w:bidi w:val="0"/>
              <w:adjustRightInd/>
              <w:snapToGrid/>
              <w:spacing w:line="400" w:lineRule="exact"/>
              <w:ind w:left="63" w:leftChars="30" w:right="63" w:rightChars="30" w:firstLine="50" w:firstLineChars="0"/>
              <w:jc w:val="both"/>
              <w:rPr>
                <w:rFonts w:hint="eastAsia" w:ascii="宋体" w:hAnsi="宋体" w:eastAsia="宋体" w:cs="宋体"/>
                <w:b w:val="0"/>
                <w:bCs w:val="0"/>
                <w:color w:val="auto"/>
                <w:spacing w:val="6"/>
                <w:kern w:val="21"/>
                <w:sz w:val="24"/>
                <w:szCs w:val="24"/>
                <w:lang w:val="zh-CN" w:eastAsia="zh-CN" w:bidi="zh-CN"/>
              </w:rPr>
            </w:pPr>
          </w:p>
        </w:tc>
        <w:tc>
          <w:tcPr>
            <w:tcW w:w="1132" w:type="dxa"/>
            <w:noWrap w:val="0"/>
            <w:vAlign w:val="center"/>
          </w:tcPr>
          <w:p w14:paraId="45FD930C">
            <w:pPr>
              <w:pStyle w:val="17"/>
              <w:keepNext w:val="0"/>
              <w:keepLines w:val="0"/>
              <w:pageBreakBefore w:val="0"/>
              <w:kinsoku/>
              <w:wordWrap/>
              <w:overflowPunct/>
              <w:topLinePunct w:val="0"/>
              <w:autoSpaceDE w:val="0"/>
              <w:autoSpaceDN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21CD83F8">
            <w:pPr>
              <w:pStyle w:val="17"/>
              <w:keepNext w:val="0"/>
              <w:keepLines w:val="0"/>
              <w:pageBreakBefore w:val="0"/>
              <w:kinsoku/>
              <w:wordWrap/>
              <w:overflowPunct/>
              <w:topLinePunct w:val="0"/>
              <w:autoSpaceDE w:val="0"/>
              <w:autoSpaceDN w:val="0"/>
              <w:bidi w:val="0"/>
              <w:adjustRightInd/>
              <w:snapToGrid/>
              <w:spacing w:line="400" w:lineRule="exact"/>
              <w:ind w:left="63" w:leftChars="30" w:right="63" w:rightChars="30"/>
              <w:jc w:val="both"/>
              <w:rPr>
                <w:rFonts w:hint="eastAsia" w:ascii="宋体" w:hAnsi="宋体" w:eastAsia="宋体" w:cs="宋体"/>
                <w:b w:val="0"/>
                <w:bCs w:val="0"/>
                <w:color w:val="auto"/>
                <w:spacing w:val="0"/>
                <w:kern w:val="21"/>
                <w:sz w:val="24"/>
                <w:szCs w:val="24"/>
                <w:lang w:val="en-US" w:eastAsia="zh-CN" w:bidi="zh-CN"/>
              </w:rPr>
            </w:pPr>
            <w:r>
              <w:rPr>
                <w:rFonts w:hint="eastAsia" w:cs="宋体"/>
                <w:b w:val="0"/>
                <w:bCs w:val="0"/>
                <w:color w:val="auto"/>
                <w:spacing w:val="6"/>
                <w:kern w:val="21"/>
                <w:sz w:val="24"/>
                <w:szCs w:val="24"/>
                <w:lang w:val="en-US" w:eastAsia="zh-CN"/>
              </w:rPr>
              <w:t>涉案计量器具1台的。</w:t>
            </w:r>
          </w:p>
        </w:tc>
        <w:tc>
          <w:tcPr>
            <w:tcW w:w="3382" w:type="dxa"/>
            <w:noWrap w:val="0"/>
            <w:vAlign w:val="center"/>
          </w:tcPr>
          <w:p w14:paraId="32D23F9C">
            <w:pPr>
              <w:keepNext w:val="0"/>
              <w:keepLines w:val="0"/>
              <w:pageBreakBefore w:val="0"/>
              <w:widowControl/>
              <w:suppressLineNumbers w:val="0"/>
              <w:kinsoku/>
              <w:wordWrap/>
              <w:overflowPunct/>
              <w:topLinePunct w:val="0"/>
              <w:autoSpaceDE w:val="0"/>
              <w:autoSpaceDN w:val="0"/>
              <w:bidi w:val="0"/>
              <w:adjustRightInd/>
              <w:snapToGrid/>
              <w:spacing w:line="400" w:lineRule="exact"/>
              <w:ind w:left="105" w:leftChars="50" w:right="63" w:rightChars="30"/>
              <w:jc w:val="both"/>
              <w:textAlignment w:val="center"/>
              <w:rPr>
                <w:rFonts w:hint="eastAsia" w:ascii="宋体" w:hAnsi="宋体" w:eastAsia="宋体" w:cs="宋体"/>
                <w:b w:val="0"/>
                <w:bCs w:val="0"/>
                <w:color w:val="auto"/>
                <w:spacing w:val="0"/>
                <w:kern w:val="21"/>
                <w:sz w:val="24"/>
                <w:szCs w:val="24"/>
                <w:lang w:val="en-US" w:eastAsia="zh-CN" w:bidi="ar-SA"/>
              </w:rPr>
            </w:pPr>
            <w:r>
              <w:rPr>
                <w:rFonts w:hint="eastAsia" w:ascii="宋体" w:hAnsi="宋体" w:eastAsia="宋体" w:cs="宋体"/>
                <w:b w:val="0"/>
                <w:bCs w:val="0"/>
                <w:color w:val="auto"/>
                <w:spacing w:val="6"/>
                <w:kern w:val="21"/>
                <w:sz w:val="24"/>
                <w:szCs w:val="24"/>
              </w:rPr>
              <w:t>没收计量器具和违法所得，</w:t>
            </w:r>
            <w:r>
              <w:rPr>
                <w:rFonts w:hint="eastAsia" w:ascii="宋体" w:hAnsi="宋体" w:eastAsia="宋体" w:cs="宋体"/>
                <w:b w:val="0"/>
                <w:bCs w:val="0"/>
                <w:i w:val="0"/>
                <w:iCs w:val="0"/>
                <w:color w:val="auto"/>
                <w:spacing w:val="0"/>
                <w:kern w:val="21"/>
                <w:sz w:val="24"/>
                <w:szCs w:val="24"/>
                <w:u w:val="none"/>
                <w:lang w:val="en-US" w:eastAsia="zh-CN" w:bidi="ar"/>
              </w:rPr>
              <w:t>并处600元以下的罚款。</w:t>
            </w:r>
          </w:p>
        </w:tc>
      </w:tr>
      <w:tr w14:paraId="0807F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4" w:hRule="exact"/>
          <w:jc w:val="center"/>
        </w:trPr>
        <w:tc>
          <w:tcPr>
            <w:tcW w:w="640" w:type="dxa"/>
            <w:vMerge w:val="continue"/>
            <w:noWrap w:val="0"/>
            <w:vAlign w:val="top"/>
          </w:tcPr>
          <w:p w14:paraId="537D712B">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FF0000"/>
                <w:spacing w:val="6"/>
                <w:kern w:val="21"/>
                <w:sz w:val="24"/>
                <w:szCs w:val="24"/>
              </w:rPr>
            </w:pPr>
          </w:p>
        </w:tc>
        <w:tc>
          <w:tcPr>
            <w:tcW w:w="1793" w:type="dxa"/>
            <w:vMerge w:val="continue"/>
            <w:noWrap w:val="0"/>
            <w:vAlign w:val="top"/>
          </w:tcPr>
          <w:p w14:paraId="75417DC4">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top"/>
          </w:tcPr>
          <w:p w14:paraId="38155040">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7F8DD84E">
            <w:pPr>
              <w:pStyle w:val="17"/>
              <w:keepNext w:val="0"/>
              <w:keepLines w:val="0"/>
              <w:pageBreakBefore w:val="0"/>
              <w:kinsoku/>
              <w:wordWrap/>
              <w:overflowPunct/>
              <w:topLinePunct w:val="0"/>
              <w:autoSpaceDE w:val="0"/>
              <w:autoSpaceDN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0D1A1D70">
            <w:pPr>
              <w:pStyle w:val="17"/>
              <w:keepNext w:val="0"/>
              <w:keepLines w:val="0"/>
              <w:pageBreakBefore w:val="0"/>
              <w:kinsoku/>
              <w:wordWrap/>
              <w:overflowPunct/>
              <w:topLinePunct w:val="0"/>
              <w:autoSpaceDE w:val="0"/>
              <w:autoSpaceDN w:val="0"/>
              <w:bidi w:val="0"/>
              <w:adjustRightInd/>
              <w:snapToGrid/>
              <w:spacing w:line="400" w:lineRule="exact"/>
              <w:ind w:left="63" w:leftChars="30" w:right="63" w:rightChars="30"/>
              <w:jc w:val="both"/>
              <w:rPr>
                <w:rFonts w:hint="eastAsia" w:ascii="宋体" w:hAnsi="宋体" w:eastAsia="宋体" w:cs="宋体"/>
                <w:b w:val="0"/>
                <w:bCs w:val="0"/>
                <w:color w:val="auto"/>
                <w:spacing w:val="0"/>
                <w:kern w:val="21"/>
                <w:sz w:val="24"/>
                <w:szCs w:val="24"/>
                <w:lang w:val="en-US" w:eastAsia="zh-CN" w:bidi="zh-CN"/>
              </w:rPr>
            </w:pPr>
            <w:r>
              <w:rPr>
                <w:rFonts w:hint="eastAsia" w:cs="宋体"/>
                <w:b w:val="0"/>
                <w:bCs w:val="0"/>
                <w:color w:val="auto"/>
                <w:spacing w:val="6"/>
                <w:kern w:val="21"/>
                <w:sz w:val="24"/>
                <w:szCs w:val="24"/>
                <w:lang w:val="en-US" w:eastAsia="zh-CN"/>
              </w:rPr>
              <w:t>涉案计量器具2台以上5台以下的。</w:t>
            </w:r>
          </w:p>
        </w:tc>
        <w:tc>
          <w:tcPr>
            <w:tcW w:w="3382" w:type="dxa"/>
            <w:noWrap w:val="0"/>
            <w:vAlign w:val="center"/>
          </w:tcPr>
          <w:p w14:paraId="2FA3BD98">
            <w:pPr>
              <w:keepNext w:val="0"/>
              <w:keepLines w:val="0"/>
              <w:pageBreakBefore w:val="0"/>
              <w:widowControl/>
              <w:suppressLineNumbers w:val="0"/>
              <w:kinsoku/>
              <w:wordWrap/>
              <w:overflowPunct/>
              <w:topLinePunct w:val="0"/>
              <w:autoSpaceDE w:val="0"/>
              <w:autoSpaceDN w:val="0"/>
              <w:bidi w:val="0"/>
              <w:adjustRightInd/>
              <w:snapToGrid/>
              <w:spacing w:line="400" w:lineRule="exact"/>
              <w:ind w:left="105" w:leftChars="50" w:right="63" w:rightChars="30"/>
              <w:jc w:val="both"/>
              <w:textAlignment w:val="center"/>
              <w:rPr>
                <w:rFonts w:hint="eastAsia" w:ascii="宋体" w:hAnsi="宋体" w:eastAsia="宋体" w:cs="宋体"/>
                <w:b w:val="0"/>
                <w:bCs w:val="0"/>
                <w:color w:val="auto"/>
                <w:spacing w:val="0"/>
                <w:kern w:val="21"/>
                <w:sz w:val="24"/>
                <w:szCs w:val="24"/>
                <w:lang w:val="en-US" w:eastAsia="zh-CN" w:bidi="ar-SA"/>
              </w:rPr>
            </w:pPr>
            <w:r>
              <w:rPr>
                <w:rFonts w:hint="eastAsia" w:ascii="宋体" w:hAnsi="宋体" w:eastAsia="宋体" w:cs="宋体"/>
                <w:b w:val="0"/>
                <w:bCs w:val="0"/>
                <w:color w:val="auto"/>
                <w:spacing w:val="6"/>
                <w:kern w:val="21"/>
                <w:sz w:val="24"/>
                <w:szCs w:val="24"/>
              </w:rPr>
              <w:t>没收计量器具和违法所得，</w:t>
            </w:r>
            <w:r>
              <w:rPr>
                <w:rFonts w:hint="eastAsia" w:ascii="宋体" w:hAnsi="宋体" w:eastAsia="宋体" w:cs="宋体"/>
                <w:b w:val="0"/>
                <w:bCs w:val="0"/>
                <w:i w:val="0"/>
                <w:iCs w:val="0"/>
                <w:color w:val="auto"/>
                <w:spacing w:val="0"/>
                <w:kern w:val="21"/>
                <w:sz w:val="24"/>
                <w:szCs w:val="24"/>
                <w:u w:val="none"/>
                <w:lang w:val="en-US" w:eastAsia="zh-CN" w:bidi="ar"/>
              </w:rPr>
              <w:t>并处600元以上1400元以下的罚款。</w:t>
            </w:r>
          </w:p>
        </w:tc>
      </w:tr>
      <w:tr w14:paraId="62A17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8" w:hRule="exact"/>
          <w:jc w:val="center"/>
        </w:trPr>
        <w:tc>
          <w:tcPr>
            <w:tcW w:w="640" w:type="dxa"/>
            <w:vMerge w:val="continue"/>
            <w:noWrap w:val="0"/>
            <w:vAlign w:val="top"/>
          </w:tcPr>
          <w:p w14:paraId="16793088">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FF0000"/>
                <w:spacing w:val="6"/>
                <w:kern w:val="21"/>
                <w:sz w:val="24"/>
                <w:szCs w:val="24"/>
              </w:rPr>
            </w:pPr>
          </w:p>
        </w:tc>
        <w:tc>
          <w:tcPr>
            <w:tcW w:w="1793" w:type="dxa"/>
            <w:vMerge w:val="continue"/>
            <w:noWrap w:val="0"/>
            <w:vAlign w:val="top"/>
          </w:tcPr>
          <w:p w14:paraId="547104BF">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top"/>
          </w:tcPr>
          <w:p w14:paraId="73676CE4">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7B90204A">
            <w:pPr>
              <w:pStyle w:val="17"/>
              <w:keepNext w:val="0"/>
              <w:keepLines w:val="0"/>
              <w:pageBreakBefore w:val="0"/>
              <w:kinsoku/>
              <w:wordWrap/>
              <w:overflowPunct/>
              <w:topLinePunct w:val="0"/>
              <w:autoSpaceDE w:val="0"/>
              <w:autoSpaceDN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51CD8B33">
            <w:pPr>
              <w:pStyle w:val="17"/>
              <w:keepNext w:val="0"/>
              <w:keepLines w:val="0"/>
              <w:pageBreakBefore w:val="0"/>
              <w:kinsoku/>
              <w:wordWrap/>
              <w:overflowPunct/>
              <w:topLinePunct w:val="0"/>
              <w:autoSpaceDE w:val="0"/>
              <w:autoSpaceDN w:val="0"/>
              <w:bidi w:val="0"/>
              <w:adjustRightInd/>
              <w:snapToGrid/>
              <w:spacing w:line="400" w:lineRule="exact"/>
              <w:ind w:left="63" w:leftChars="30" w:right="63" w:rightChars="30"/>
              <w:jc w:val="both"/>
              <w:rPr>
                <w:rFonts w:hint="eastAsia" w:ascii="宋体" w:hAnsi="宋体" w:eastAsia="宋体" w:cs="宋体"/>
                <w:b w:val="0"/>
                <w:bCs w:val="0"/>
                <w:color w:val="auto"/>
                <w:spacing w:val="0"/>
                <w:kern w:val="21"/>
                <w:sz w:val="24"/>
                <w:szCs w:val="24"/>
                <w:lang w:val="en-US" w:eastAsia="zh-CN" w:bidi="zh-CN"/>
              </w:rPr>
            </w:pPr>
            <w:r>
              <w:rPr>
                <w:rFonts w:hint="eastAsia" w:cs="宋体"/>
                <w:b w:val="0"/>
                <w:bCs w:val="0"/>
                <w:color w:val="auto"/>
                <w:spacing w:val="6"/>
                <w:kern w:val="21"/>
                <w:sz w:val="24"/>
                <w:szCs w:val="24"/>
                <w:lang w:val="en-US" w:eastAsia="zh-CN"/>
              </w:rPr>
              <w:t>涉案计量器具5台以上的。</w:t>
            </w:r>
          </w:p>
        </w:tc>
        <w:tc>
          <w:tcPr>
            <w:tcW w:w="3382" w:type="dxa"/>
            <w:noWrap w:val="0"/>
            <w:vAlign w:val="center"/>
          </w:tcPr>
          <w:p w14:paraId="0ED08BEA">
            <w:pPr>
              <w:keepNext w:val="0"/>
              <w:keepLines w:val="0"/>
              <w:pageBreakBefore w:val="0"/>
              <w:widowControl/>
              <w:suppressLineNumbers w:val="0"/>
              <w:kinsoku/>
              <w:wordWrap/>
              <w:overflowPunct/>
              <w:topLinePunct w:val="0"/>
              <w:autoSpaceDE w:val="0"/>
              <w:autoSpaceDN w:val="0"/>
              <w:bidi w:val="0"/>
              <w:adjustRightInd/>
              <w:snapToGrid/>
              <w:spacing w:line="400" w:lineRule="exact"/>
              <w:ind w:left="105" w:leftChars="50" w:right="63" w:rightChars="30"/>
              <w:jc w:val="both"/>
              <w:textAlignment w:val="center"/>
              <w:rPr>
                <w:rFonts w:hint="eastAsia" w:ascii="宋体" w:hAnsi="宋体" w:eastAsia="宋体" w:cs="宋体"/>
                <w:b w:val="0"/>
                <w:bCs w:val="0"/>
                <w:color w:val="auto"/>
                <w:spacing w:val="0"/>
                <w:kern w:val="21"/>
                <w:sz w:val="24"/>
                <w:szCs w:val="24"/>
                <w:lang w:val="en-US" w:eastAsia="zh-CN" w:bidi="ar-SA"/>
              </w:rPr>
            </w:pPr>
            <w:r>
              <w:rPr>
                <w:rFonts w:hint="eastAsia" w:ascii="宋体" w:hAnsi="宋体" w:eastAsia="宋体" w:cs="宋体"/>
                <w:b w:val="0"/>
                <w:bCs w:val="0"/>
                <w:color w:val="auto"/>
                <w:spacing w:val="6"/>
                <w:kern w:val="21"/>
                <w:sz w:val="24"/>
                <w:szCs w:val="24"/>
              </w:rPr>
              <w:t>没收计量器具和违法所得，</w:t>
            </w:r>
            <w:r>
              <w:rPr>
                <w:rFonts w:hint="eastAsia" w:ascii="宋体" w:hAnsi="宋体" w:eastAsia="宋体" w:cs="宋体"/>
                <w:b w:val="0"/>
                <w:bCs w:val="0"/>
                <w:i w:val="0"/>
                <w:iCs w:val="0"/>
                <w:color w:val="auto"/>
                <w:spacing w:val="0"/>
                <w:kern w:val="21"/>
                <w:sz w:val="24"/>
                <w:szCs w:val="24"/>
                <w:u w:val="none"/>
                <w:lang w:val="en-US" w:eastAsia="zh-CN" w:bidi="ar"/>
              </w:rPr>
              <w:t>并处1400元以上2000元以下的罚款。</w:t>
            </w:r>
          </w:p>
        </w:tc>
      </w:tr>
      <w:tr w14:paraId="09DBA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8" w:hRule="exact"/>
          <w:jc w:val="center"/>
        </w:trPr>
        <w:tc>
          <w:tcPr>
            <w:tcW w:w="640" w:type="dxa"/>
            <w:vMerge w:val="restart"/>
            <w:noWrap w:val="0"/>
            <w:vAlign w:val="center"/>
          </w:tcPr>
          <w:p w14:paraId="10BD6BFB">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default" w:ascii="宋体" w:hAnsi="宋体" w:eastAsia="宋体" w:cs="宋体"/>
                <w:b w:val="0"/>
                <w:bCs w:val="0"/>
                <w:color w:val="auto"/>
                <w:spacing w:val="6"/>
                <w:kern w:val="21"/>
                <w:sz w:val="24"/>
                <w:szCs w:val="24"/>
                <w:lang w:val="en-US" w:eastAsia="zh-CN" w:bidi="zh-CN"/>
              </w:rPr>
            </w:pPr>
            <w:r>
              <w:rPr>
                <w:rFonts w:hint="eastAsia" w:cs="宋体"/>
                <w:b w:val="0"/>
                <w:bCs w:val="0"/>
                <w:color w:val="auto"/>
                <w:spacing w:val="6"/>
                <w:kern w:val="21"/>
                <w:sz w:val="24"/>
                <w:szCs w:val="24"/>
                <w:lang w:val="en-US" w:eastAsia="zh-CN" w:bidi="zh-CN"/>
              </w:rPr>
              <w:t>137</w:t>
            </w:r>
          </w:p>
        </w:tc>
        <w:tc>
          <w:tcPr>
            <w:tcW w:w="1793" w:type="dxa"/>
            <w:vMerge w:val="restart"/>
            <w:noWrap w:val="0"/>
            <w:vAlign w:val="center"/>
          </w:tcPr>
          <w:p w14:paraId="6CA6795D">
            <w:pPr>
              <w:pStyle w:val="17"/>
              <w:keepNext w:val="0"/>
              <w:keepLines w:val="0"/>
              <w:pageBreakBefore w:val="0"/>
              <w:widowControl/>
              <w:kinsoku/>
              <w:wordWrap/>
              <w:overflowPunct/>
              <w:topLinePunct w:val="0"/>
              <w:autoSpaceDE w:val="0"/>
              <w:autoSpaceDN w:val="0"/>
              <w:bidi w:val="0"/>
              <w:adjustRightInd/>
              <w:snapToGrid/>
              <w:spacing w:line="400" w:lineRule="exact"/>
              <w:ind w:left="63" w:leftChars="30" w:right="63" w:rightChars="30" w:firstLine="50"/>
              <w:jc w:val="both"/>
              <w:textAlignment w:val="auto"/>
              <w:outlineLvl w:val="9"/>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《吉林省贸易计量监督条例》</w:t>
            </w:r>
          </w:p>
        </w:tc>
        <w:tc>
          <w:tcPr>
            <w:tcW w:w="4193" w:type="dxa"/>
            <w:vMerge w:val="restart"/>
            <w:noWrap w:val="0"/>
            <w:vAlign w:val="center"/>
          </w:tcPr>
          <w:p w14:paraId="38B389D9">
            <w:pPr>
              <w:pStyle w:val="17"/>
              <w:keepNext w:val="0"/>
              <w:keepLines w:val="0"/>
              <w:pageBreakBefore w:val="0"/>
              <w:kinsoku/>
              <w:overflowPunct/>
              <w:topLinePunct w:val="0"/>
              <w:autoSpaceDE w:val="0"/>
              <w:autoSpaceDN w:val="0"/>
              <w:bidi w:val="0"/>
              <w:adjustRightInd/>
              <w:snapToGrid/>
              <w:spacing w:line="240" w:lineRule="auto"/>
              <w:ind w:left="63" w:leftChars="30" w:right="63" w:rightChars="30" w:firstLine="50"/>
              <w:jc w:val="both"/>
              <w:rPr>
                <w:rFonts w:hint="eastAsia" w:ascii="宋体" w:hAnsi="宋体" w:eastAsia="宋体" w:cs="宋体"/>
                <w:b w:val="0"/>
                <w:bCs w:val="0"/>
                <w:color w:val="auto"/>
                <w:spacing w:val="6"/>
                <w:kern w:val="21"/>
                <w:sz w:val="24"/>
                <w:szCs w:val="24"/>
              </w:rPr>
            </w:pPr>
            <w:r>
              <w:rPr>
                <w:rFonts w:hint="eastAsia" w:ascii="宋体" w:hAnsi="宋体" w:eastAsia="宋体" w:cs="宋体"/>
                <w:b w:val="0"/>
                <w:bCs w:val="0"/>
                <w:color w:val="auto"/>
                <w:spacing w:val="6"/>
                <w:kern w:val="21"/>
                <w:sz w:val="24"/>
                <w:szCs w:val="24"/>
              </w:rPr>
              <w:t>第二十六条 违反本条例第十条、第十三条规定，造成损失的，责令其赔偿损失，没收计量器具和违法所得，可并处二千元以下罚款。</w:t>
            </w:r>
          </w:p>
          <w:p w14:paraId="6EA5F904">
            <w:pPr>
              <w:pStyle w:val="17"/>
              <w:keepNext w:val="0"/>
              <w:keepLines w:val="0"/>
              <w:pageBreakBefore w:val="0"/>
              <w:kinsoku/>
              <w:overflowPunct/>
              <w:topLinePunct w:val="0"/>
              <w:autoSpaceDE w:val="0"/>
              <w:autoSpaceDN w:val="0"/>
              <w:bidi w:val="0"/>
              <w:adjustRightInd/>
              <w:snapToGrid/>
              <w:spacing w:line="240" w:lineRule="auto"/>
              <w:ind w:left="63" w:leftChars="30" w:right="63" w:rightChars="30" w:firstLine="50"/>
              <w:jc w:val="both"/>
              <w:rPr>
                <w:rFonts w:hint="eastAsia" w:ascii="宋体" w:hAnsi="宋体" w:eastAsia="宋体" w:cs="宋体"/>
                <w:b w:val="0"/>
                <w:bCs w:val="0"/>
                <w:color w:val="auto"/>
                <w:spacing w:val="6"/>
                <w:kern w:val="21"/>
                <w:sz w:val="24"/>
                <w:szCs w:val="24"/>
                <w:lang w:val="zh-CN" w:eastAsia="zh-CN" w:bidi="zh-CN"/>
              </w:rPr>
            </w:pPr>
          </w:p>
        </w:tc>
        <w:tc>
          <w:tcPr>
            <w:tcW w:w="1132" w:type="dxa"/>
            <w:noWrap w:val="0"/>
            <w:vAlign w:val="center"/>
          </w:tcPr>
          <w:p w14:paraId="587C53C0">
            <w:pPr>
              <w:pStyle w:val="17"/>
              <w:keepNext w:val="0"/>
              <w:keepLines w:val="0"/>
              <w:pageBreakBefore w:val="0"/>
              <w:widowControl/>
              <w:kinsoku/>
              <w:wordWrap/>
              <w:overflowPunct/>
              <w:topLinePunct w:val="0"/>
              <w:autoSpaceDE w:val="0"/>
              <w:autoSpaceDN w:val="0"/>
              <w:bidi w:val="0"/>
              <w:adjustRightInd/>
              <w:snapToGrid/>
              <w:spacing w:line="400" w:lineRule="exact"/>
              <w:ind w:left="63" w:leftChars="30" w:right="63" w:rightChars="30" w:firstLine="50"/>
              <w:jc w:val="center"/>
              <w:textAlignment w:val="auto"/>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5EEA20F2">
            <w:pPr>
              <w:pStyle w:val="17"/>
              <w:keepNext w:val="0"/>
              <w:keepLines w:val="0"/>
              <w:pageBreakBefore w:val="0"/>
              <w:numPr>
                <w:ilvl w:val="0"/>
                <w:numId w:val="0"/>
              </w:numPr>
              <w:kinsoku/>
              <w:wordWrap/>
              <w:overflowPunct/>
              <w:topLinePunct w:val="0"/>
              <w:autoSpaceDE w:val="0"/>
              <w:autoSpaceDN w:val="0"/>
              <w:bidi w:val="0"/>
              <w:adjustRightInd/>
              <w:snapToGrid/>
              <w:spacing w:line="400" w:lineRule="exact"/>
              <w:ind w:left="63" w:leftChars="30" w:right="63" w:rightChars="30" w:firstLine="50"/>
              <w:jc w:val="both"/>
              <w:rPr>
                <w:rFonts w:hint="eastAsia" w:cs="宋体"/>
                <w:b w:val="0"/>
                <w:bCs w:val="0"/>
                <w:color w:val="auto"/>
                <w:spacing w:val="6"/>
                <w:kern w:val="21"/>
                <w:sz w:val="24"/>
                <w:szCs w:val="24"/>
                <w:lang w:val="en-US" w:eastAsia="zh-CN"/>
              </w:rPr>
            </w:pPr>
            <w:r>
              <w:rPr>
                <w:rFonts w:hint="eastAsia" w:cs="宋体"/>
                <w:b w:val="0"/>
                <w:bCs w:val="0"/>
                <w:color w:val="auto"/>
                <w:spacing w:val="6"/>
                <w:kern w:val="21"/>
                <w:sz w:val="24"/>
                <w:szCs w:val="24"/>
                <w:lang w:val="en-US" w:eastAsia="zh-CN"/>
              </w:rPr>
              <w:t>(1)实际值与估算值之差超过国家规定允许误差1倍以下的；</w:t>
            </w:r>
          </w:p>
          <w:p w14:paraId="32C5AF40">
            <w:pPr>
              <w:pStyle w:val="17"/>
              <w:keepNext w:val="0"/>
              <w:keepLines w:val="0"/>
              <w:pageBreakBefore w:val="0"/>
              <w:numPr>
                <w:ilvl w:val="0"/>
                <w:numId w:val="0"/>
              </w:numPr>
              <w:kinsoku/>
              <w:wordWrap/>
              <w:overflowPunct/>
              <w:topLinePunct w:val="0"/>
              <w:autoSpaceDE w:val="0"/>
              <w:autoSpaceDN w:val="0"/>
              <w:bidi w:val="0"/>
              <w:adjustRightInd/>
              <w:snapToGrid/>
              <w:spacing w:line="400" w:lineRule="exact"/>
              <w:ind w:left="63" w:leftChars="30" w:right="63" w:rightChars="30" w:firstLine="50" w:firstLineChars="0"/>
              <w:jc w:val="both"/>
              <w:rPr>
                <w:rFonts w:hint="eastAsia" w:ascii="宋体" w:hAnsi="宋体" w:eastAsia="宋体" w:cs="宋体"/>
                <w:b w:val="0"/>
                <w:bCs w:val="0"/>
                <w:color w:val="auto"/>
                <w:spacing w:val="6"/>
                <w:kern w:val="21"/>
                <w:sz w:val="24"/>
                <w:szCs w:val="24"/>
                <w:lang w:val="en-US" w:eastAsia="zh-CN" w:bidi="zh-CN"/>
              </w:rPr>
            </w:pPr>
            <w:r>
              <w:rPr>
                <w:rFonts w:hint="eastAsia" w:cs="宋体"/>
                <w:b w:val="0"/>
                <w:bCs w:val="0"/>
                <w:color w:val="auto"/>
                <w:spacing w:val="6"/>
                <w:kern w:val="21"/>
                <w:sz w:val="24"/>
                <w:szCs w:val="24"/>
                <w:lang w:val="en-US" w:eastAsia="zh-CN"/>
              </w:rPr>
              <w:t>(2)</w:t>
            </w:r>
            <w:r>
              <w:rPr>
                <w:rFonts w:hint="eastAsia" w:ascii="宋体" w:hAnsi="宋体" w:eastAsia="宋体" w:cs="宋体"/>
                <w:b w:val="0"/>
                <w:bCs w:val="0"/>
                <w:color w:val="auto"/>
                <w:spacing w:val="6"/>
                <w:kern w:val="21"/>
                <w:sz w:val="24"/>
                <w:szCs w:val="24"/>
              </w:rPr>
              <w:t>供电、供水、供热、供气（含蒸汽）等经营者分摊户外管线或者其他设施的能源损耗，</w:t>
            </w:r>
            <w:r>
              <w:rPr>
                <w:rFonts w:hint="eastAsia" w:cs="宋体"/>
                <w:b w:val="0"/>
                <w:bCs w:val="0"/>
                <w:color w:val="auto"/>
                <w:spacing w:val="6"/>
                <w:kern w:val="21"/>
                <w:sz w:val="24"/>
                <w:szCs w:val="24"/>
                <w:lang w:val="en-US" w:eastAsia="zh-CN"/>
              </w:rPr>
              <w:t>或者</w:t>
            </w:r>
            <w:r>
              <w:rPr>
                <w:rFonts w:hint="eastAsia" w:ascii="宋体" w:hAnsi="宋体" w:eastAsia="宋体" w:cs="宋体"/>
                <w:b w:val="0"/>
                <w:bCs w:val="0"/>
                <w:color w:val="auto"/>
                <w:spacing w:val="6"/>
                <w:kern w:val="21"/>
                <w:sz w:val="24"/>
                <w:szCs w:val="24"/>
              </w:rPr>
              <w:t>改变计量数据</w:t>
            </w:r>
            <w:r>
              <w:rPr>
                <w:rFonts w:hint="eastAsia" w:cs="宋体"/>
                <w:b w:val="0"/>
                <w:bCs w:val="0"/>
                <w:color w:val="auto"/>
                <w:spacing w:val="6"/>
                <w:kern w:val="21"/>
                <w:sz w:val="24"/>
                <w:szCs w:val="24"/>
                <w:lang w:val="en-US" w:eastAsia="zh-CN"/>
              </w:rPr>
              <w:t>涉及10户以下的。</w:t>
            </w:r>
          </w:p>
        </w:tc>
        <w:tc>
          <w:tcPr>
            <w:tcW w:w="3382" w:type="dxa"/>
            <w:noWrap w:val="0"/>
            <w:vAlign w:val="center"/>
          </w:tcPr>
          <w:p w14:paraId="475F3120">
            <w:pPr>
              <w:pStyle w:val="17"/>
              <w:keepNext w:val="0"/>
              <w:keepLines w:val="0"/>
              <w:pageBreakBefore w:val="0"/>
              <w:widowControl/>
              <w:suppressLineNumbers w:val="0"/>
              <w:kinsoku/>
              <w:wordWrap/>
              <w:overflowPunct/>
              <w:topLinePunct w:val="0"/>
              <w:autoSpaceDE w:val="0"/>
              <w:autoSpaceDN w:val="0"/>
              <w:bidi w:val="0"/>
              <w:adjustRightInd/>
              <w:snapToGrid/>
              <w:ind w:left="105" w:leftChars="50" w:right="63" w:rightChars="30" w:firstLine="0"/>
              <w:jc w:val="both"/>
              <w:textAlignment w:val="center"/>
              <w:rPr>
                <w:rFonts w:hint="eastAsia" w:ascii="宋体" w:hAnsi="宋体" w:eastAsia="宋体" w:cs="宋体"/>
                <w:b w:val="0"/>
                <w:bCs w:val="0"/>
                <w:color w:val="auto"/>
                <w:spacing w:val="6"/>
                <w:kern w:val="21"/>
                <w:sz w:val="24"/>
                <w:szCs w:val="24"/>
                <w:lang w:val="en-US" w:eastAsia="zh-CN" w:bidi="ar-SA"/>
              </w:rPr>
            </w:pPr>
            <w:r>
              <w:rPr>
                <w:rFonts w:hint="eastAsia" w:ascii="宋体" w:hAnsi="宋体" w:eastAsia="宋体" w:cs="宋体"/>
                <w:b w:val="0"/>
                <w:bCs w:val="0"/>
                <w:color w:val="auto"/>
                <w:spacing w:val="6"/>
                <w:kern w:val="21"/>
                <w:sz w:val="24"/>
                <w:szCs w:val="24"/>
              </w:rPr>
              <w:t>没收计量器具和违法所得，</w:t>
            </w:r>
            <w:r>
              <w:rPr>
                <w:rFonts w:hint="eastAsia" w:ascii="宋体" w:hAnsi="宋体" w:eastAsia="宋体" w:cs="宋体"/>
                <w:b w:val="0"/>
                <w:bCs w:val="0"/>
                <w:i w:val="0"/>
                <w:iCs w:val="0"/>
                <w:color w:val="auto"/>
                <w:spacing w:val="6"/>
                <w:kern w:val="21"/>
                <w:sz w:val="24"/>
                <w:szCs w:val="24"/>
                <w:u w:val="none"/>
                <w:lang w:val="en-US" w:eastAsia="zh-CN" w:bidi="ar"/>
              </w:rPr>
              <w:t>并处600元以下的罚款。</w:t>
            </w:r>
          </w:p>
        </w:tc>
      </w:tr>
      <w:tr w14:paraId="67F61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2" w:hRule="exact"/>
          <w:jc w:val="center"/>
        </w:trPr>
        <w:tc>
          <w:tcPr>
            <w:tcW w:w="640" w:type="dxa"/>
            <w:vMerge w:val="continue"/>
            <w:noWrap w:val="0"/>
            <w:vAlign w:val="top"/>
          </w:tcPr>
          <w:p w14:paraId="403097D7">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FF0000"/>
                <w:spacing w:val="6"/>
                <w:kern w:val="21"/>
                <w:sz w:val="24"/>
                <w:szCs w:val="24"/>
              </w:rPr>
            </w:pPr>
          </w:p>
        </w:tc>
        <w:tc>
          <w:tcPr>
            <w:tcW w:w="1793" w:type="dxa"/>
            <w:vMerge w:val="continue"/>
            <w:noWrap w:val="0"/>
            <w:vAlign w:val="top"/>
          </w:tcPr>
          <w:p w14:paraId="4EB8B0E8">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lang w:val="zh-CN" w:bidi="zh-CN"/>
              </w:rPr>
            </w:pPr>
          </w:p>
        </w:tc>
        <w:tc>
          <w:tcPr>
            <w:tcW w:w="4193" w:type="dxa"/>
            <w:vMerge w:val="continue"/>
            <w:noWrap w:val="0"/>
            <w:vAlign w:val="top"/>
          </w:tcPr>
          <w:p w14:paraId="13C1F98C">
            <w:pPr>
              <w:keepNext w:val="0"/>
              <w:keepLines w:val="0"/>
              <w:pageBreakBefore w:val="0"/>
              <w:kinsoku/>
              <w:overflowPunct/>
              <w:topLinePunct w:val="0"/>
              <w:bidi w:val="0"/>
              <w:adjustRightInd/>
              <w:snapToGrid/>
              <w:spacing w:line="240" w:lineRule="auto"/>
              <w:ind w:left="63" w:leftChars="30" w:right="63" w:rightChars="30"/>
              <w:jc w:val="center"/>
              <w:rPr>
                <w:rFonts w:hint="eastAsia" w:ascii="宋体" w:hAnsi="宋体" w:eastAsia="宋体" w:cs="宋体"/>
                <w:b w:val="0"/>
                <w:bCs w:val="0"/>
                <w:color w:val="auto"/>
                <w:spacing w:val="6"/>
                <w:kern w:val="21"/>
                <w:sz w:val="24"/>
                <w:szCs w:val="24"/>
                <w:lang w:val="zh-CN" w:bidi="zh-CN"/>
              </w:rPr>
            </w:pPr>
          </w:p>
        </w:tc>
        <w:tc>
          <w:tcPr>
            <w:tcW w:w="1132" w:type="dxa"/>
            <w:noWrap w:val="0"/>
            <w:vAlign w:val="center"/>
          </w:tcPr>
          <w:p w14:paraId="14B7720F">
            <w:pPr>
              <w:pStyle w:val="17"/>
              <w:keepNext w:val="0"/>
              <w:keepLines w:val="0"/>
              <w:pageBreakBefore w:val="0"/>
              <w:widowControl w:val="0"/>
              <w:kinsoku/>
              <w:wordWrap/>
              <w:overflowPunct/>
              <w:topLinePunct w:val="0"/>
              <w:autoSpaceDE/>
              <w:autoSpaceDN/>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57E12851">
            <w:pPr>
              <w:pStyle w:val="17"/>
              <w:keepNext w:val="0"/>
              <w:keepLines w:val="0"/>
              <w:pageBreakBefore w:val="0"/>
              <w:numPr>
                <w:ilvl w:val="0"/>
                <w:numId w:val="0"/>
              </w:numPr>
              <w:kinsoku/>
              <w:wordWrap/>
              <w:overflowPunct/>
              <w:topLinePunct w:val="0"/>
              <w:bidi w:val="0"/>
              <w:adjustRightInd/>
              <w:snapToGrid/>
              <w:spacing w:line="400" w:lineRule="exact"/>
              <w:ind w:left="63" w:leftChars="30" w:right="63" w:rightChars="30"/>
              <w:jc w:val="both"/>
              <w:rPr>
                <w:rFonts w:hint="eastAsia" w:cs="宋体"/>
                <w:b w:val="0"/>
                <w:bCs w:val="0"/>
                <w:color w:val="auto"/>
                <w:spacing w:val="6"/>
                <w:kern w:val="21"/>
                <w:sz w:val="24"/>
                <w:szCs w:val="24"/>
                <w:lang w:val="zh-CN" w:eastAsia="zh-CN"/>
              </w:rPr>
            </w:pPr>
            <w:r>
              <w:rPr>
                <w:rFonts w:hint="eastAsia" w:cs="宋体"/>
                <w:b w:val="0"/>
                <w:bCs w:val="0"/>
                <w:color w:val="auto"/>
                <w:spacing w:val="6"/>
                <w:kern w:val="21"/>
                <w:sz w:val="24"/>
                <w:szCs w:val="24"/>
                <w:lang w:val="zh-CN" w:eastAsia="zh-CN"/>
              </w:rPr>
              <w:t>(1)实际值与估算值之差超过国家规定允许误差2倍以</w:t>
            </w:r>
            <w:r>
              <w:rPr>
                <w:rFonts w:hint="eastAsia" w:cs="宋体"/>
                <w:b w:val="0"/>
                <w:bCs w:val="0"/>
                <w:color w:val="auto"/>
                <w:spacing w:val="6"/>
                <w:kern w:val="21"/>
                <w:sz w:val="24"/>
                <w:szCs w:val="24"/>
                <w:lang w:val="en-US" w:eastAsia="zh-CN"/>
              </w:rPr>
              <w:t>下</w:t>
            </w:r>
            <w:r>
              <w:rPr>
                <w:rFonts w:hint="eastAsia" w:cs="宋体"/>
                <w:b w:val="0"/>
                <w:bCs w:val="0"/>
                <w:color w:val="auto"/>
                <w:spacing w:val="6"/>
                <w:kern w:val="21"/>
                <w:sz w:val="24"/>
                <w:szCs w:val="24"/>
                <w:lang w:val="zh-CN" w:eastAsia="zh-CN"/>
              </w:rPr>
              <w:t>的；</w:t>
            </w:r>
          </w:p>
          <w:p w14:paraId="75E46D6C">
            <w:pPr>
              <w:pStyle w:val="17"/>
              <w:keepNext w:val="0"/>
              <w:keepLines w:val="0"/>
              <w:pageBreakBefore w:val="0"/>
              <w:kinsoku/>
              <w:wordWrap/>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lang w:val="zh-CN" w:eastAsia="zh-CN" w:bidi="zh-CN"/>
              </w:rPr>
            </w:pPr>
            <w:r>
              <w:rPr>
                <w:rFonts w:hint="eastAsia" w:cs="宋体"/>
                <w:b w:val="0"/>
                <w:bCs w:val="0"/>
                <w:color w:val="auto"/>
                <w:spacing w:val="6"/>
                <w:kern w:val="21"/>
                <w:sz w:val="24"/>
                <w:szCs w:val="24"/>
                <w:lang w:val="zh-CN" w:eastAsia="zh-CN"/>
              </w:rPr>
              <w:t>(2)</w:t>
            </w:r>
            <w:r>
              <w:rPr>
                <w:rFonts w:hint="eastAsia" w:ascii="宋体" w:hAnsi="宋体" w:eastAsia="宋体" w:cs="宋体"/>
                <w:b w:val="0"/>
                <w:bCs w:val="0"/>
                <w:color w:val="auto"/>
                <w:spacing w:val="6"/>
                <w:kern w:val="21"/>
                <w:sz w:val="24"/>
                <w:szCs w:val="24"/>
              </w:rPr>
              <w:t>供电、供水、供热、供气（含蒸汽）等经营者分摊户外管线或者其他设施的能源损耗，</w:t>
            </w:r>
            <w:r>
              <w:rPr>
                <w:rFonts w:hint="eastAsia" w:cs="宋体"/>
                <w:b w:val="0"/>
                <w:bCs w:val="0"/>
                <w:color w:val="auto"/>
                <w:spacing w:val="6"/>
                <w:kern w:val="21"/>
                <w:sz w:val="24"/>
                <w:szCs w:val="24"/>
                <w:lang w:val="zh-CN" w:eastAsia="zh-CN"/>
              </w:rPr>
              <w:t>或者</w:t>
            </w:r>
            <w:r>
              <w:rPr>
                <w:rFonts w:hint="eastAsia" w:ascii="宋体" w:hAnsi="宋体" w:eastAsia="宋体" w:cs="宋体"/>
                <w:b w:val="0"/>
                <w:bCs w:val="0"/>
                <w:color w:val="auto"/>
                <w:spacing w:val="6"/>
                <w:kern w:val="21"/>
                <w:sz w:val="24"/>
                <w:szCs w:val="24"/>
              </w:rPr>
              <w:t>改变计量数据</w:t>
            </w:r>
            <w:r>
              <w:rPr>
                <w:rFonts w:hint="eastAsia" w:cs="宋体"/>
                <w:b w:val="0"/>
                <w:bCs w:val="0"/>
                <w:color w:val="auto"/>
                <w:spacing w:val="6"/>
                <w:kern w:val="21"/>
                <w:sz w:val="24"/>
                <w:szCs w:val="24"/>
                <w:lang w:val="zh-CN" w:eastAsia="zh-CN"/>
              </w:rPr>
              <w:t>涉及10户以上50户以下的。</w:t>
            </w:r>
          </w:p>
        </w:tc>
        <w:tc>
          <w:tcPr>
            <w:tcW w:w="3382" w:type="dxa"/>
            <w:noWrap w:val="0"/>
            <w:vAlign w:val="center"/>
          </w:tcPr>
          <w:p w14:paraId="4FAB66DF">
            <w:pPr>
              <w:keepNext w:val="0"/>
              <w:keepLines w:val="0"/>
              <w:pageBreakBefore w:val="0"/>
              <w:widowControl/>
              <w:suppressLineNumbers w:val="0"/>
              <w:kinsoku/>
              <w:wordWrap/>
              <w:overflowPunct/>
              <w:topLinePunct w:val="0"/>
              <w:autoSpaceDE w:val="0"/>
              <w:autoSpaceDN w:val="0"/>
              <w:bidi w:val="0"/>
              <w:adjustRightInd/>
              <w:snapToGrid/>
              <w:spacing w:line="400" w:lineRule="exact"/>
              <w:ind w:left="63" w:leftChars="30" w:right="63" w:rightChars="30"/>
              <w:jc w:val="both"/>
              <w:textAlignment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lang w:val="zh-CN" w:bidi="zh-CN"/>
              </w:rPr>
              <w:t>没收计量器具和违法所得，</w:t>
            </w:r>
            <w:r>
              <w:rPr>
                <w:rFonts w:hint="eastAsia" w:ascii="宋体" w:hAnsi="宋体" w:eastAsia="宋体" w:cs="宋体"/>
                <w:b w:val="0"/>
                <w:bCs w:val="0"/>
                <w:i w:val="0"/>
                <w:iCs w:val="0"/>
                <w:color w:val="auto"/>
                <w:spacing w:val="6"/>
                <w:kern w:val="21"/>
                <w:sz w:val="24"/>
                <w:szCs w:val="24"/>
                <w:u w:val="none"/>
                <w:lang w:val="zh-CN" w:eastAsia="zh-CN" w:bidi="zh-CN"/>
              </w:rPr>
              <w:t>并处600元以上1400元以下的罚款。</w:t>
            </w:r>
          </w:p>
        </w:tc>
      </w:tr>
      <w:tr w14:paraId="01B37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0" w:hRule="exact"/>
          <w:jc w:val="center"/>
        </w:trPr>
        <w:tc>
          <w:tcPr>
            <w:tcW w:w="640" w:type="dxa"/>
            <w:vMerge w:val="continue"/>
            <w:noWrap w:val="0"/>
            <w:vAlign w:val="top"/>
          </w:tcPr>
          <w:p w14:paraId="281B0CA6">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FF0000"/>
                <w:spacing w:val="6"/>
                <w:kern w:val="21"/>
                <w:sz w:val="24"/>
                <w:szCs w:val="24"/>
              </w:rPr>
            </w:pPr>
          </w:p>
        </w:tc>
        <w:tc>
          <w:tcPr>
            <w:tcW w:w="1793" w:type="dxa"/>
            <w:vMerge w:val="continue"/>
            <w:noWrap w:val="0"/>
            <w:vAlign w:val="top"/>
          </w:tcPr>
          <w:p w14:paraId="52996EF5">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lang w:val="zh-CN" w:bidi="zh-CN"/>
              </w:rPr>
            </w:pPr>
          </w:p>
        </w:tc>
        <w:tc>
          <w:tcPr>
            <w:tcW w:w="4193" w:type="dxa"/>
            <w:vMerge w:val="continue"/>
            <w:noWrap w:val="0"/>
            <w:vAlign w:val="top"/>
          </w:tcPr>
          <w:p w14:paraId="781BBA28">
            <w:pPr>
              <w:keepNext w:val="0"/>
              <w:keepLines w:val="0"/>
              <w:pageBreakBefore w:val="0"/>
              <w:kinsoku/>
              <w:overflowPunct/>
              <w:topLinePunct w:val="0"/>
              <w:bidi w:val="0"/>
              <w:adjustRightInd/>
              <w:snapToGrid/>
              <w:spacing w:line="240" w:lineRule="auto"/>
              <w:ind w:left="63" w:leftChars="30" w:right="63" w:rightChars="30"/>
              <w:jc w:val="center"/>
              <w:rPr>
                <w:rFonts w:hint="eastAsia" w:ascii="宋体" w:hAnsi="宋体" w:eastAsia="宋体" w:cs="宋体"/>
                <w:b w:val="0"/>
                <w:bCs w:val="0"/>
                <w:color w:val="auto"/>
                <w:spacing w:val="6"/>
                <w:kern w:val="21"/>
                <w:sz w:val="24"/>
                <w:szCs w:val="24"/>
                <w:lang w:val="zh-CN" w:bidi="zh-CN"/>
              </w:rPr>
            </w:pPr>
          </w:p>
        </w:tc>
        <w:tc>
          <w:tcPr>
            <w:tcW w:w="1132" w:type="dxa"/>
            <w:noWrap w:val="0"/>
            <w:vAlign w:val="center"/>
          </w:tcPr>
          <w:p w14:paraId="17458602">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较重</w:t>
            </w:r>
          </w:p>
        </w:tc>
        <w:tc>
          <w:tcPr>
            <w:tcW w:w="3165" w:type="dxa"/>
            <w:noWrap w:val="0"/>
            <w:vAlign w:val="center"/>
          </w:tcPr>
          <w:p w14:paraId="72AFBD5B">
            <w:pPr>
              <w:pStyle w:val="17"/>
              <w:keepNext w:val="0"/>
              <w:keepLines w:val="0"/>
              <w:pageBreakBefore w:val="0"/>
              <w:numPr>
                <w:ilvl w:val="0"/>
                <w:numId w:val="0"/>
              </w:numPr>
              <w:kinsoku/>
              <w:wordWrap/>
              <w:overflowPunct/>
              <w:topLinePunct w:val="0"/>
              <w:bidi w:val="0"/>
              <w:adjustRightInd/>
              <w:snapToGrid/>
              <w:spacing w:line="400" w:lineRule="exact"/>
              <w:ind w:left="63" w:leftChars="30" w:right="63" w:rightChars="30"/>
              <w:jc w:val="both"/>
              <w:rPr>
                <w:rFonts w:hint="eastAsia" w:cs="宋体"/>
                <w:b w:val="0"/>
                <w:bCs w:val="0"/>
                <w:color w:val="auto"/>
                <w:spacing w:val="6"/>
                <w:kern w:val="21"/>
                <w:sz w:val="24"/>
                <w:szCs w:val="24"/>
                <w:lang w:val="zh-CN" w:eastAsia="zh-CN"/>
              </w:rPr>
            </w:pPr>
            <w:r>
              <w:rPr>
                <w:rFonts w:hint="eastAsia" w:cs="宋体"/>
                <w:b w:val="0"/>
                <w:bCs w:val="0"/>
                <w:color w:val="auto"/>
                <w:spacing w:val="6"/>
                <w:kern w:val="21"/>
                <w:sz w:val="24"/>
                <w:szCs w:val="24"/>
                <w:lang w:val="zh-CN" w:eastAsia="zh-CN"/>
              </w:rPr>
              <w:t>(1)实际值与估算值之差超过国家规定允许误差3倍以上的；</w:t>
            </w:r>
          </w:p>
          <w:p w14:paraId="0B71E1EF">
            <w:pPr>
              <w:pStyle w:val="17"/>
              <w:keepNext w:val="0"/>
              <w:keepLines w:val="0"/>
              <w:pageBreakBefore w:val="0"/>
              <w:kinsoku/>
              <w:wordWrap/>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lang w:val="zh-CN" w:eastAsia="zh-CN" w:bidi="zh-CN"/>
              </w:rPr>
            </w:pPr>
            <w:r>
              <w:rPr>
                <w:rFonts w:hint="eastAsia" w:cs="宋体"/>
                <w:b w:val="0"/>
                <w:bCs w:val="0"/>
                <w:color w:val="auto"/>
                <w:spacing w:val="6"/>
                <w:kern w:val="21"/>
                <w:sz w:val="24"/>
                <w:szCs w:val="24"/>
                <w:lang w:val="zh-CN" w:eastAsia="zh-CN"/>
              </w:rPr>
              <w:t>(2)</w:t>
            </w:r>
            <w:r>
              <w:rPr>
                <w:rFonts w:hint="eastAsia" w:ascii="宋体" w:hAnsi="宋体" w:eastAsia="宋体" w:cs="宋体"/>
                <w:b w:val="0"/>
                <w:bCs w:val="0"/>
                <w:color w:val="auto"/>
                <w:spacing w:val="6"/>
                <w:kern w:val="21"/>
                <w:sz w:val="24"/>
                <w:szCs w:val="24"/>
              </w:rPr>
              <w:t>供电、供水、供热、供气（含蒸汽）等经营者分摊户外管线或者其他设施的能源损耗，</w:t>
            </w:r>
            <w:r>
              <w:rPr>
                <w:rFonts w:hint="eastAsia" w:cs="宋体"/>
                <w:b w:val="0"/>
                <w:bCs w:val="0"/>
                <w:color w:val="auto"/>
                <w:spacing w:val="6"/>
                <w:kern w:val="21"/>
                <w:sz w:val="24"/>
                <w:szCs w:val="24"/>
                <w:lang w:val="zh-CN" w:eastAsia="zh-CN"/>
              </w:rPr>
              <w:t>或者</w:t>
            </w:r>
            <w:r>
              <w:rPr>
                <w:rFonts w:hint="eastAsia" w:ascii="宋体" w:hAnsi="宋体" w:eastAsia="宋体" w:cs="宋体"/>
                <w:b w:val="0"/>
                <w:bCs w:val="0"/>
                <w:color w:val="auto"/>
                <w:spacing w:val="6"/>
                <w:kern w:val="21"/>
                <w:sz w:val="24"/>
                <w:szCs w:val="24"/>
              </w:rPr>
              <w:t>改变计量数据</w:t>
            </w:r>
            <w:r>
              <w:rPr>
                <w:rFonts w:hint="eastAsia" w:cs="宋体"/>
                <w:b w:val="0"/>
                <w:bCs w:val="0"/>
                <w:color w:val="auto"/>
                <w:spacing w:val="6"/>
                <w:kern w:val="21"/>
                <w:sz w:val="24"/>
                <w:szCs w:val="24"/>
                <w:lang w:val="zh-CN" w:eastAsia="zh-CN"/>
              </w:rPr>
              <w:t>涉及50户以下的。</w:t>
            </w:r>
          </w:p>
        </w:tc>
        <w:tc>
          <w:tcPr>
            <w:tcW w:w="3382" w:type="dxa"/>
            <w:noWrap w:val="0"/>
            <w:vAlign w:val="center"/>
          </w:tcPr>
          <w:p w14:paraId="13F4391B">
            <w:pPr>
              <w:keepNext w:val="0"/>
              <w:keepLines w:val="0"/>
              <w:pageBreakBefore w:val="0"/>
              <w:widowControl/>
              <w:suppressLineNumbers w:val="0"/>
              <w:kinsoku/>
              <w:wordWrap/>
              <w:overflowPunct/>
              <w:topLinePunct w:val="0"/>
              <w:autoSpaceDE w:val="0"/>
              <w:autoSpaceDN w:val="0"/>
              <w:bidi w:val="0"/>
              <w:adjustRightInd/>
              <w:snapToGrid/>
              <w:spacing w:line="400" w:lineRule="exact"/>
              <w:ind w:left="63" w:leftChars="30" w:right="63" w:rightChars="30"/>
              <w:jc w:val="both"/>
              <w:textAlignment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lang w:val="zh-CN" w:bidi="zh-CN"/>
              </w:rPr>
              <w:t>没收计量器具和违法所得，</w:t>
            </w:r>
            <w:r>
              <w:rPr>
                <w:rFonts w:hint="eastAsia" w:ascii="宋体" w:hAnsi="宋体" w:eastAsia="宋体" w:cs="宋体"/>
                <w:b w:val="0"/>
                <w:bCs w:val="0"/>
                <w:i w:val="0"/>
                <w:iCs w:val="0"/>
                <w:color w:val="auto"/>
                <w:spacing w:val="6"/>
                <w:kern w:val="21"/>
                <w:sz w:val="24"/>
                <w:szCs w:val="24"/>
                <w:u w:val="none"/>
                <w:lang w:val="zh-CN" w:eastAsia="zh-CN" w:bidi="zh-CN"/>
              </w:rPr>
              <w:t>并处1400元以上2000元以下的罚款。</w:t>
            </w:r>
          </w:p>
        </w:tc>
      </w:tr>
      <w:tr w14:paraId="799B2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3" w:hRule="exact"/>
          <w:jc w:val="center"/>
        </w:trPr>
        <w:tc>
          <w:tcPr>
            <w:tcW w:w="640" w:type="dxa"/>
            <w:vMerge w:val="restart"/>
            <w:noWrap w:val="0"/>
            <w:vAlign w:val="center"/>
          </w:tcPr>
          <w:p w14:paraId="6CCC5BC5">
            <w:pPr>
              <w:keepNext w:val="0"/>
              <w:keepLines w:val="0"/>
              <w:widowControl/>
              <w:suppressLineNumbers w:val="0"/>
              <w:jc w:val="center"/>
              <w:textAlignment w:val="center"/>
              <w:rPr>
                <w:rFonts w:hint="default" w:ascii="宋体" w:hAnsi="宋体" w:eastAsia="宋体" w:cs="宋体"/>
                <w:b w:val="0"/>
                <w:bCs w:val="0"/>
                <w:color w:val="auto"/>
                <w:spacing w:val="6"/>
                <w:kern w:val="21"/>
                <w:sz w:val="24"/>
                <w:szCs w:val="24"/>
                <w:lang w:val="en-US" w:eastAsia="zh-CN" w:bidi="zh-CN"/>
              </w:rPr>
            </w:pPr>
            <w:r>
              <w:rPr>
                <w:rFonts w:hint="eastAsia" w:ascii="宋体" w:hAnsi="宋体" w:cs="宋体"/>
                <w:b w:val="0"/>
                <w:bCs w:val="0"/>
                <w:color w:val="auto"/>
                <w:spacing w:val="6"/>
                <w:kern w:val="21"/>
                <w:sz w:val="24"/>
                <w:szCs w:val="24"/>
                <w:lang w:val="en-US" w:eastAsia="zh-CN" w:bidi="zh-CN"/>
              </w:rPr>
              <w:t>138</w:t>
            </w:r>
          </w:p>
        </w:tc>
        <w:tc>
          <w:tcPr>
            <w:tcW w:w="1793" w:type="dxa"/>
            <w:vMerge w:val="restart"/>
            <w:noWrap w:val="0"/>
            <w:vAlign w:val="center"/>
          </w:tcPr>
          <w:p w14:paraId="12F9206F">
            <w:pPr>
              <w:keepNext w:val="0"/>
              <w:keepLines w:val="0"/>
              <w:widowControl/>
              <w:suppressLineNumbers w:val="0"/>
              <w:jc w:val="center"/>
              <w:textAlignment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lang w:val="zh-CN" w:bidi="zh-CN"/>
              </w:rPr>
              <w:t>《吉林省贸易计量监督条例》</w:t>
            </w:r>
          </w:p>
        </w:tc>
        <w:tc>
          <w:tcPr>
            <w:tcW w:w="4193" w:type="dxa"/>
            <w:vMerge w:val="restart"/>
            <w:noWrap w:val="0"/>
            <w:vAlign w:val="center"/>
          </w:tcPr>
          <w:p w14:paraId="551F4481">
            <w:pPr>
              <w:keepNext w:val="0"/>
              <w:keepLines w:val="0"/>
              <w:widowControl/>
              <w:suppressLineNumbers w:val="0"/>
              <w:jc w:val="left"/>
              <w:textAlignment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lang w:val="zh-CN" w:eastAsia="zh-CN" w:bidi="zh-CN"/>
              </w:rPr>
              <w:t>第二十七条 违反本条例第九条第（五）项、第十一条规定，造成损失的，责令其赔偿损失，没收计量器具和违法所得，可并处二千元以下罚款。</w:t>
            </w:r>
          </w:p>
          <w:p w14:paraId="6483D6CE">
            <w:pPr>
              <w:pStyle w:val="16"/>
              <w:rPr>
                <w:rFonts w:hint="eastAsia" w:ascii="宋体" w:hAnsi="宋体" w:eastAsia="宋体" w:cs="宋体"/>
                <w:b w:val="0"/>
                <w:color w:val="auto"/>
                <w:spacing w:val="6"/>
                <w:kern w:val="21"/>
                <w:sz w:val="24"/>
                <w:szCs w:val="24"/>
                <w:lang w:val="zh-CN" w:eastAsia="zh-CN" w:bidi="zh-CN"/>
              </w:rPr>
            </w:pPr>
          </w:p>
        </w:tc>
        <w:tc>
          <w:tcPr>
            <w:tcW w:w="1132" w:type="dxa"/>
            <w:noWrap w:val="0"/>
            <w:vAlign w:val="center"/>
          </w:tcPr>
          <w:p w14:paraId="1ABB61F9">
            <w:pPr>
              <w:keepNext w:val="0"/>
              <w:keepLines w:val="0"/>
              <w:widowControl/>
              <w:suppressLineNumbers w:val="0"/>
              <w:jc w:val="center"/>
              <w:textAlignment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i w:val="0"/>
                <w:color w:val="auto"/>
                <w:spacing w:val="6"/>
                <w:kern w:val="21"/>
                <w:sz w:val="24"/>
                <w:szCs w:val="24"/>
                <w:u w:val="none"/>
                <w:lang w:val="zh-CN" w:eastAsia="zh-CN" w:bidi="zh-CN"/>
              </w:rPr>
              <w:t>较轻</w:t>
            </w:r>
          </w:p>
        </w:tc>
        <w:tc>
          <w:tcPr>
            <w:tcW w:w="3165" w:type="dxa"/>
            <w:noWrap w:val="0"/>
            <w:vAlign w:val="center"/>
          </w:tcPr>
          <w:p w14:paraId="2CEC5CB1">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lang w:val="zh-CN" w:eastAsia="zh-CN"/>
              </w:rPr>
            </w:pPr>
            <w:r>
              <w:rPr>
                <w:rFonts w:hint="eastAsia" w:cs="宋体"/>
                <w:b w:val="0"/>
                <w:bCs w:val="0"/>
                <w:color w:val="auto"/>
                <w:spacing w:val="6"/>
                <w:kern w:val="21"/>
                <w:sz w:val="24"/>
                <w:szCs w:val="24"/>
                <w:lang w:val="zh-CN" w:eastAsia="zh-CN"/>
              </w:rPr>
              <w:t>(1)</w:t>
            </w:r>
            <w:r>
              <w:rPr>
                <w:rFonts w:hint="eastAsia" w:ascii="宋体" w:hAnsi="宋体" w:eastAsia="宋体" w:cs="宋体"/>
                <w:b w:val="0"/>
                <w:bCs w:val="0"/>
                <w:color w:val="auto"/>
                <w:spacing w:val="6"/>
                <w:kern w:val="21"/>
                <w:sz w:val="24"/>
                <w:szCs w:val="24"/>
              </w:rPr>
              <w:t>擅自改装计量器具</w:t>
            </w:r>
            <w:r>
              <w:rPr>
                <w:rFonts w:hint="eastAsia" w:ascii="宋体" w:hAnsi="宋体" w:eastAsia="宋体" w:cs="宋体"/>
                <w:b w:val="0"/>
                <w:bCs w:val="0"/>
                <w:color w:val="auto"/>
                <w:spacing w:val="6"/>
                <w:kern w:val="21"/>
                <w:sz w:val="24"/>
                <w:szCs w:val="24"/>
                <w:lang w:eastAsia="zh-CN"/>
              </w:rPr>
              <w:t>，</w:t>
            </w:r>
            <w:r>
              <w:rPr>
                <w:rFonts w:hint="eastAsia" w:ascii="宋体" w:hAnsi="宋体" w:eastAsia="宋体" w:cs="宋体"/>
                <w:b w:val="0"/>
                <w:bCs w:val="0"/>
                <w:color w:val="auto"/>
                <w:spacing w:val="6"/>
                <w:kern w:val="21"/>
                <w:sz w:val="24"/>
                <w:szCs w:val="24"/>
                <w:lang w:val="zh-CN" w:eastAsia="zh-CN"/>
              </w:rPr>
              <w:t>改变计量性能1台的；</w:t>
            </w:r>
          </w:p>
          <w:p w14:paraId="2A9984E2">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color w:val="auto"/>
                <w:spacing w:val="6"/>
                <w:kern w:val="21"/>
                <w:sz w:val="24"/>
                <w:szCs w:val="24"/>
                <w:lang w:val="zh-CN" w:eastAsia="zh-CN" w:bidi="zh-CN"/>
              </w:rPr>
            </w:pPr>
            <w:r>
              <w:rPr>
                <w:rFonts w:hint="eastAsia" w:cs="宋体"/>
                <w:b w:val="0"/>
                <w:bCs w:val="0"/>
                <w:color w:val="auto"/>
                <w:spacing w:val="6"/>
                <w:kern w:val="21"/>
                <w:sz w:val="24"/>
                <w:szCs w:val="24"/>
                <w:lang w:val="en-US" w:eastAsia="zh-CN"/>
              </w:rPr>
              <w:t>(2)</w:t>
            </w:r>
            <w:r>
              <w:rPr>
                <w:rFonts w:hint="eastAsia" w:ascii="宋体" w:hAnsi="宋体" w:eastAsia="宋体" w:cs="宋体"/>
                <w:b w:val="0"/>
                <w:bCs w:val="0"/>
                <w:color w:val="auto"/>
                <w:spacing w:val="6"/>
                <w:kern w:val="21"/>
                <w:sz w:val="24"/>
                <w:szCs w:val="24"/>
              </w:rPr>
              <w:t>计量允许误差</w:t>
            </w:r>
            <w:r>
              <w:rPr>
                <w:rFonts w:hint="eastAsia" w:ascii="宋体" w:hAnsi="宋体" w:eastAsia="宋体" w:cs="宋体"/>
                <w:b w:val="0"/>
                <w:bCs w:val="0"/>
                <w:color w:val="auto"/>
                <w:spacing w:val="6"/>
                <w:kern w:val="21"/>
                <w:sz w:val="24"/>
                <w:szCs w:val="24"/>
                <w:lang w:val="zh-CN" w:eastAsia="zh-CN"/>
              </w:rPr>
              <w:t>超出</w:t>
            </w:r>
            <w:r>
              <w:rPr>
                <w:rFonts w:hint="eastAsia" w:ascii="宋体" w:hAnsi="宋体" w:eastAsia="宋体" w:cs="宋体"/>
                <w:b w:val="0"/>
                <w:bCs w:val="0"/>
                <w:color w:val="auto"/>
                <w:spacing w:val="6"/>
                <w:kern w:val="21"/>
                <w:sz w:val="24"/>
                <w:szCs w:val="24"/>
              </w:rPr>
              <w:t>国家和省规定的</w:t>
            </w:r>
            <w:r>
              <w:rPr>
                <w:rFonts w:hint="eastAsia" w:ascii="宋体" w:hAnsi="宋体" w:eastAsia="宋体" w:cs="宋体"/>
                <w:b w:val="0"/>
                <w:bCs w:val="0"/>
                <w:color w:val="auto"/>
                <w:spacing w:val="6"/>
                <w:kern w:val="21"/>
                <w:sz w:val="24"/>
                <w:szCs w:val="24"/>
                <w:lang w:val="zh-CN" w:eastAsia="zh-CN"/>
              </w:rPr>
              <w:t>误差</w:t>
            </w:r>
            <w:r>
              <w:rPr>
                <w:rFonts w:hint="eastAsia" w:cs="宋体"/>
                <w:b w:val="0"/>
                <w:bCs w:val="0"/>
                <w:color w:val="auto"/>
                <w:spacing w:val="6"/>
                <w:kern w:val="21"/>
                <w:sz w:val="24"/>
                <w:szCs w:val="24"/>
                <w:lang w:val="en-US" w:eastAsia="zh-CN"/>
              </w:rPr>
              <w:t>2</w:t>
            </w:r>
            <w:r>
              <w:rPr>
                <w:rFonts w:hint="eastAsia" w:ascii="宋体" w:hAnsi="宋体" w:eastAsia="宋体" w:cs="宋体"/>
                <w:b w:val="0"/>
                <w:bCs w:val="0"/>
                <w:color w:val="auto"/>
                <w:spacing w:val="6"/>
                <w:kern w:val="21"/>
                <w:sz w:val="24"/>
                <w:szCs w:val="24"/>
                <w:lang w:val="zh-CN" w:eastAsia="zh-CN"/>
              </w:rPr>
              <w:t>倍</w:t>
            </w:r>
            <w:r>
              <w:rPr>
                <w:rFonts w:hint="eastAsia" w:cs="宋体"/>
                <w:b w:val="0"/>
                <w:bCs w:val="0"/>
                <w:color w:val="auto"/>
                <w:spacing w:val="6"/>
                <w:kern w:val="21"/>
                <w:sz w:val="24"/>
                <w:szCs w:val="24"/>
                <w:lang w:val="en-US" w:eastAsia="zh-CN"/>
              </w:rPr>
              <w:t>以下</w:t>
            </w:r>
            <w:r>
              <w:rPr>
                <w:rFonts w:hint="eastAsia" w:ascii="宋体" w:hAnsi="宋体" w:eastAsia="宋体" w:cs="宋体"/>
                <w:b w:val="0"/>
                <w:bCs w:val="0"/>
                <w:color w:val="auto"/>
                <w:spacing w:val="6"/>
                <w:kern w:val="21"/>
                <w:sz w:val="24"/>
                <w:szCs w:val="24"/>
                <w:lang w:eastAsia="zh-CN"/>
              </w:rPr>
              <w:t>，</w:t>
            </w:r>
            <w:r>
              <w:rPr>
                <w:rFonts w:hint="eastAsia" w:ascii="宋体" w:hAnsi="宋体" w:eastAsia="宋体" w:cs="宋体"/>
                <w:b w:val="0"/>
                <w:bCs w:val="0"/>
                <w:color w:val="auto"/>
                <w:spacing w:val="6"/>
                <w:kern w:val="21"/>
                <w:sz w:val="24"/>
                <w:szCs w:val="24"/>
              </w:rPr>
              <w:t>伪造数据</w:t>
            </w:r>
            <w:r>
              <w:rPr>
                <w:rFonts w:hint="eastAsia" w:ascii="宋体" w:hAnsi="宋体" w:eastAsia="宋体" w:cs="宋体"/>
                <w:b w:val="0"/>
                <w:bCs w:val="0"/>
                <w:color w:val="auto"/>
                <w:spacing w:val="6"/>
                <w:kern w:val="21"/>
                <w:sz w:val="24"/>
                <w:szCs w:val="24"/>
                <w:lang w:eastAsia="zh-CN"/>
              </w:rPr>
              <w:t>，</w:t>
            </w:r>
            <w:r>
              <w:rPr>
                <w:rFonts w:hint="eastAsia" w:ascii="宋体" w:hAnsi="宋体" w:eastAsia="宋体" w:cs="宋体"/>
                <w:b w:val="0"/>
                <w:bCs w:val="0"/>
                <w:color w:val="auto"/>
                <w:spacing w:val="6"/>
                <w:kern w:val="21"/>
                <w:sz w:val="24"/>
                <w:szCs w:val="24"/>
              </w:rPr>
              <w:t>损害消费者的合法权益</w:t>
            </w:r>
            <w:r>
              <w:rPr>
                <w:rFonts w:hint="eastAsia" w:cs="宋体"/>
                <w:b w:val="0"/>
                <w:bCs w:val="0"/>
                <w:color w:val="auto"/>
                <w:spacing w:val="6"/>
                <w:kern w:val="21"/>
                <w:sz w:val="24"/>
                <w:szCs w:val="24"/>
                <w:lang w:eastAsia="zh-CN"/>
              </w:rPr>
              <w:t>。</w:t>
            </w:r>
          </w:p>
        </w:tc>
        <w:tc>
          <w:tcPr>
            <w:tcW w:w="3382" w:type="dxa"/>
            <w:noWrap w:val="0"/>
            <w:vAlign w:val="center"/>
          </w:tcPr>
          <w:p w14:paraId="09A98F85">
            <w:pPr>
              <w:keepNext w:val="0"/>
              <w:keepLines w:val="0"/>
              <w:pageBreakBefore w:val="0"/>
              <w:widowControl/>
              <w:suppressLineNumbers w:val="0"/>
              <w:kinsoku/>
              <w:wordWrap/>
              <w:overflowPunct/>
              <w:topLinePunct w:val="0"/>
              <w:autoSpaceDE w:val="0"/>
              <w:autoSpaceDN w:val="0"/>
              <w:bidi w:val="0"/>
              <w:adjustRightInd/>
              <w:snapToGrid/>
              <w:spacing w:line="400" w:lineRule="exact"/>
              <w:ind w:left="63" w:leftChars="30" w:right="63" w:rightChars="30"/>
              <w:jc w:val="both"/>
              <w:textAlignment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lang w:val="zh-CN" w:bidi="zh-CN"/>
              </w:rPr>
              <w:t>没收计量器具和违法所得，</w:t>
            </w:r>
            <w:r>
              <w:rPr>
                <w:rFonts w:hint="eastAsia" w:ascii="宋体" w:hAnsi="宋体" w:eastAsia="宋体" w:cs="宋体"/>
                <w:b w:val="0"/>
                <w:bCs w:val="0"/>
                <w:i w:val="0"/>
                <w:iCs w:val="0"/>
                <w:color w:val="auto"/>
                <w:spacing w:val="6"/>
                <w:kern w:val="21"/>
                <w:sz w:val="24"/>
                <w:szCs w:val="24"/>
                <w:u w:val="none"/>
                <w:lang w:val="zh-CN" w:eastAsia="zh-CN" w:bidi="zh-CN"/>
              </w:rPr>
              <w:t>并处600元以下的罚款。</w:t>
            </w:r>
          </w:p>
        </w:tc>
      </w:tr>
      <w:tr w14:paraId="59925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8" w:hRule="exact"/>
          <w:jc w:val="center"/>
        </w:trPr>
        <w:tc>
          <w:tcPr>
            <w:tcW w:w="640" w:type="dxa"/>
            <w:vMerge w:val="continue"/>
            <w:noWrap w:val="0"/>
            <w:vAlign w:val="top"/>
          </w:tcPr>
          <w:p w14:paraId="659D4ECD">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lang w:val="zh-CN" w:bidi="zh-CN"/>
              </w:rPr>
            </w:pPr>
          </w:p>
        </w:tc>
        <w:tc>
          <w:tcPr>
            <w:tcW w:w="1793" w:type="dxa"/>
            <w:vMerge w:val="continue"/>
            <w:noWrap w:val="0"/>
            <w:vAlign w:val="top"/>
          </w:tcPr>
          <w:p w14:paraId="3EA026AD">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lang w:val="zh-CN" w:bidi="zh-CN"/>
              </w:rPr>
            </w:pPr>
          </w:p>
        </w:tc>
        <w:tc>
          <w:tcPr>
            <w:tcW w:w="4193" w:type="dxa"/>
            <w:vMerge w:val="continue"/>
            <w:noWrap w:val="0"/>
            <w:vAlign w:val="top"/>
          </w:tcPr>
          <w:p w14:paraId="0E9B6A59">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bidi="zh-CN"/>
              </w:rPr>
            </w:pPr>
          </w:p>
        </w:tc>
        <w:tc>
          <w:tcPr>
            <w:tcW w:w="1132" w:type="dxa"/>
            <w:noWrap w:val="0"/>
            <w:vAlign w:val="center"/>
          </w:tcPr>
          <w:p w14:paraId="07F1E973">
            <w:pPr>
              <w:keepNext w:val="0"/>
              <w:keepLines w:val="0"/>
              <w:widowControl/>
              <w:suppressLineNumbers w:val="0"/>
              <w:jc w:val="center"/>
              <w:textAlignment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i w:val="0"/>
                <w:color w:val="auto"/>
                <w:spacing w:val="6"/>
                <w:kern w:val="21"/>
                <w:sz w:val="24"/>
                <w:szCs w:val="24"/>
                <w:u w:val="none"/>
                <w:lang w:val="zh-CN" w:eastAsia="zh-CN" w:bidi="zh-CN"/>
              </w:rPr>
              <w:t>一般</w:t>
            </w:r>
          </w:p>
        </w:tc>
        <w:tc>
          <w:tcPr>
            <w:tcW w:w="3165" w:type="dxa"/>
            <w:noWrap w:val="0"/>
            <w:vAlign w:val="center"/>
          </w:tcPr>
          <w:p w14:paraId="25BA40B2">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cs="宋体"/>
                <w:b w:val="0"/>
                <w:bCs w:val="0"/>
                <w:color w:val="auto"/>
                <w:spacing w:val="6"/>
                <w:kern w:val="21"/>
                <w:sz w:val="24"/>
                <w:szCs w:val="24"/>
                <w:lang w:val="zh-CN" w:eastAsia="zh-CN"/>
              </w:rPr>
            </w:pPr>
            <w:r>
              <w:rPr>
                <w:rFonts w:hint="eastAsia" w:cs="宋体"/>
                <w:b w:val="0"/>
                <w:bCs w:val="0"/>
                <w:color w:val="auto"/>
                <w:spacing w:val="6"/>
                <w:kern w:val="21"/>
                <w:sz w:val="24"/>
                <w:szCs w:val="24"/>
                <w:lang w:val="zh-CN" w:eastAsia="zh-CN"/>
              </w:rPr>
              <w:t>(1)</w:t>
            </w:r>
            <w:r>
              <w:rPr>
                <w:rFonts w:hint="eastAsia" w:ascii="宋体" w:hAnsi="宋体" w:cs="宋体"/>
                <w:b w:val="0"/>
                <w:bCs w:val="0"/>
                <w:color w:val="auto"/>
                <w:spacing w:val="6"/>
                <w:kern w:val="21"/>
                <w:sz w:val="24"/>
                <w:szCs w:val="24"/>
                <w:lang w:val="zh-CN" w:eastAsia="zh-CN"/>
              </w:rPr>
              <w:t>擅自改装计量器具，改变计量性能</w:t>
            </w:r>
            <w:r>
              <w:rPr>
                <w:rFonts w:hint="eastAsia" w:cs="宋体"/>
                <w:b w:val="0"/>
                <w:bCs w:val="0"/>
                <w:color w:val="auto"/>
                <w:spacing w:val="6"/>
                <w:kern w:val="21"/>
                <w:sz w:val="24"/>
                <w:szCs w:val="24"/>
                <w:lang w:val="en-US" w:eastAsia="zh-CN"/>
              </w:rPr>
              <w:t>2</w:t>
            </w:r>
            <w:r>
              <w:rPr>
                <w:rFonts w:hint="eastAsia" w:ascii="宋体" w:hAnsi="宋体" w:cs="宋体"/>
                <w:b w:val="0"/>
                <w:bCs w:val="0"/>
                <w:color w:val="auto"/>
                <w:spacing w:val="6"/>
                <w:kern w:val="21"/>
                <w:sz w:val="24"/>
                <w:szCs w:val="24"/>
                <w:lang w:val="zh-CN" w:eastAsia="zh-CN"/>
              </w:rPr>
              <w:t>台以上5台以下的；</w:t>
            </w:r>
          </w:p>
          <w:p w14:paraId="1DE2F532">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lang w:val="zh-CN" w:eastAsia="zh-CN" w:bidi="zh-CN"/>
              </w:rPr>
            </w:pPr>
            <w:r>
              <w:rPr>
                <w:rFonts w:hint="eastAsia" w:cs="宋体"/>
                <w:b w:val="0"/>
                <w:bCs w:val="0"/>
                <w:color w:val="auto"/>
                <w:spacing w:val="6"/>
                <w:kern w:val="21"/>
                <w:sz w:val="24"/>
                <w:szCs w:val="24"/>
                <w:lang w:val="zh-CN" w:eastAsia="zh-CN"/>
              </w:rPr>
              <w:t>(2)</w:t>
            </w:r>
            <w:r>
              <w:rPr>
                <w:rFonts w:hint="eastAsia" w:ascii="宋体" w:hAnsi="宋体" w:cs="宋体"/>
                <w:b w:val="0"/>
                <w:bCs w:val="0"/>
                <w:color w:val="auto"/>
                <w:spacing w:val="6"/>
                <w:kern w:val="21"/>
                <w:sz w:val="24"/>
                <w:szCs w:val="24"/>
                <w:lang w:val="zh-CN" w:eastAsia="zh-CN"/>
              </w:rPr>
              <w:t>计量允许误差超出国家和省规定的误差</w:t>
            </w:r>
            <w:r>
              <w:rPr>
                <w:rFonts w:hint="eastAsia" w:cs="宋体"/>
                <w:b w:val="0"/>
                <w:bCs w:val="0"/>
                <w:color w:val="auto"/>
                <w:spacing w:val="6"/>
                <w:kern w:val="21"/>
                <w:sz w:val="24"/>
                <w:szCs w:val="24"/>
                <w:lang w:val="en-US" w:eastAsia="zh-CN"/>
              </w:rPr>
              <w:t>2</w:t>
            </w:r>
            <w:r>
              <w:rPr>
                <w:rFonts w:hint="eastAsia" w:ascii="宋体" w:hAnsi="宋体" w:cs="宋体"/>
                <w:b w:val="0"/>
                <w:bCs w:val="0"/>
                <w:color w:val="auto"/>
                <w:spacing w:val="6"/>
                <w:kern w:val="21"/>
                <w:sz w:val="24"/>
                <w:szCs w:val="24"/>
                <w:lang w:val="zh-CN" w:eastAsia="zh-CN"/>
              </w:rPr>
              <w:t>倍以</w:t>
            </w:r>
            <w:r>
              <w:rPr>
                <w:rFonts w:hint="eastAsia" w:cs="宋体"/>
                <w:b w:val="0"/>
                <w:bCs w:val="0"/>
                <w:color w:val="auto"/>
                <w:spacing w:val="6"/>
                <w:kern w:val="21"/>
                <w:sz w:val="24"/>
                <w:szCs w:val="24"/>
                <w:lang w:val="en-US" w:eastAsia="zh-CN"/>
              </w:rPr>
              <w:t>上3</w:t>
            </w:r>
            <w:r>
              <w:rPr>
                <w:rFonts w:hint="eastAsia" w:ascii="宋体" w:hAnsi="宋体" w:cs="宋体"/>
                <w:b w:val="0"/>
                <w:bCs w:val="0"/>
                <w:color w:val="auto"/>
                <w:spacing w:val="6"/>
                <w:kern w:val="21"/>
                <w:sz w:val="24"/>
                <w:szCs w:val="24"/>
                <w:lang w:val="zh-CN" w:eastAsia="zh-CN"/>
              </w:rPr>
              <w:t>倍以</w:t>
            </w:r>
            <w:r>
              <w:rPr>
                <w:rFonts w:hint="eastAsia" w:cs="宋体"/>
                <w:b w:val="0"/>
                <w:bCs w:val="0"/>
                <w:color w:val="auto"/>
                <w:spacing w:val="6"/>
                <w:kern w:val="21"/>
                <w:sz w:val="24"/>
                <w:szCs w:val="24"/>
                <w:lang w:val="en-US" w:eastAsia="zh-CN"/>
              </w:rPr>
              <w:t>下</w:t>
            </w:r>
            <w:r>
              <w:rPr>
                <w:rFonts w:hint="eastAsia" w:ascii="宋体" w:hAnsi="宋体" w:cs="宋体"/>
                <w:b w:val="0"/>
                <w:bCs w:val="0"/>
                <w:color w:val="auto"/>
                <w:spacing w:val="6"/>
                <w:kern w:val="21"/>
                <w:sz w:val="24"/>
                <w:szCs w:val="24"/>
                <w:lang w:val="zh-CN" w:eastAsia="zh-CN"/>
              </w:rPr>
              <w:t>的，伪造数据，损害消费者的合法权益</w:t>
            </w:r>
            <w:r>
              <w:rPr>
                <w:rFonts w:hint="eastAsia" w:cs="宋体"/>
                <w:b w:val="0"/>
                <w:bCs w:val="0"/>
                <w:color w:val="auto"/>
                <w:spacing w:val="6"/>
                <w:kern w:val="21"/>
                <w:sz w:val="24"/>
                <w:szCs w:val="24"/>
                <w:lang w:val="zh-CN" w:eastAsia="zh-CN"/>
              </w:rPr>
              <w:t>。</w:t>
            </w:r>
          </w:p>
        </w:tc>
        <w:tc>
          <w:tcPr>
            <w:tcW w:w="3382" w:type="dxa"/>
            <w:noWrap w:val="0"/>
            <w:vAlign w:val="center"/>
          </w:tcPr>
          <w:p w14:paraId="0780B025">
            <w:pPr>
              <w:keepNext w:val="0"/>
              <w:keepLines w:val="0"/>
              <w:pageBreakBefore w:val="0"/>
              <w:widowControl/>
              <w:suppressLineNumbers w:val="0"/>
              <w:kinsoku/>
              <w:wordWrap/>
              <w:overflowPunct/>
              <w:topLinePunct w:val="0"/>
              <w:autoSpaceDE w:val="0"/>
              <w:autoSpaceDN w:val="0"/>
              <w:bidi w:val="0"/>
              <w:adjustRightInd/>
              <w:snapToGrid/>
              <w:spacing w:line="400" w:lineRule="exact"/>
              <w:ind w:left="63" w:leftChars="30" w:right="63" w:rightChars="30"/>
              <w:jc w:val="both"/>
              <w:textAlignment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lang w:val="zh-CN" w:bidi="zh-CN"/>
              </w:rPr>
              <w:t>没收计量器具和违法所得，</w:t>
            </w:r>
            <w:r>
              <w:rPr>
                <w:rFonts w:hint="eastAsia" w:ascii="宋体" w:hAnsi="宋体" w:eastAsia="宋体" w:cs="宋体"/>
                <w:b w:val="0"/>
                <w:bCs w:val="0"/>
                <w:i w:val="0"/>
                <w:iCs w:val="0"/>
                <w:color w:val="auto"/>
                <w:spacing w:val="6"/>
                <w:kern w:val="21"/>
                <w:sz w:val="24"/>
                <w:szCs w:val="24"/>
                <w:u w:val="none"/>
                <w:lang w:val="zh-CN" w:eastAsia="zh-CN" w:bidi="zh-CN"/>
              </w:rPr>
              <w:t>并处600元以上1400元以下的罚款。</w:t>
            </w:r>
          </w:p>
        </w:tc>
      </w:tr>
      <w:tr w14:paraId="6279B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0" w:hRule="exact"/>
          <w:jc w:val="center"/>
        </w:trPr>
        <w:tc>
          <w:tcPr>
            <w:tcW w:w="640" w:type="dxa"/>
            <w:vMerge w:val="continue"/>
            <w:noWrap w:val="0"/>
            <w:vAlign w:val="top"/>
          </w:tcPr>
          <w:p w14:paraId="7E5BDD2D">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lang w:val="zh-CN" w:bidi="zh-CN"/>
              </w:rPr>
            </w:pPr>
          </w:p>
        </w:tc>
        <w:tc>
          <w:tcPr>
            <w:tcW w:w="1793" w:type="dxa"/>
            <w:vMerge w:val="continue"/>
            <w:noWrap w:val="0"/>
            <w:vAlign w:val="top"/>
          </w:tcPr>
          <w:p w14:paraId="0F694D6D">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lang w:val="zh-CN" w:bidi="zh-CN"/>
              </w:rPr>
            </w:pPr>
          </w:p>
        </w:tc>
        <w:tc>
          <w:tcPr>
            <w:tcW w:w="4193" w:type="dxa"/>
            <w:vMerge w:val="continue"/>
            <w:noWrap w:val="0"/>
            <w:vAlign w:val="top"/>
          </w:tcPr>
          <w:p w14:paraId="358F5C61">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bidi="zh-CN"/>
              </w:rPr>
            </w:pPr>
          </w:p>
        </w:tc>
        <w:tc>
          <w:tcPr>
            <w:tcW w:w="1132" w:type="dxa"/>
            <w:noWrap w:val="0"/>
            <w:vAlign w:val="center"/>
          </w:tcPr>
          <w:p w14:paraId="04144A4E">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cs="宋体"/>
                <w:b w:val="0"/>
                <w:bCs w:val="0"/>
                <w:color w:val="auto"/>
                <w:spacing w:val="6"/>
                <w:kern w:val="21"/>
                <w:sz w:val="24"/>
                <w:szCs w:val="24"/>
                <w:lang w:val="zh-CN" w:eastAsia="zh-CN"/>
              </w:rPr>
              <w:t>较重</w:t>
            </w:r>
          </w:p>
        </w:tc>
        <w:tc>
          <w:tcPr>
            <w:tcW w:w="3165" w:type="dxa"/>
            <w:noWrap w:val="0"/>
            <w:vAlign w:val="center"/>
          </w:tcPr>
          <w:p w14:paraId="00ADBE72">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cs="宋体"/>
                <w:b w:val="0"/>
                <w:bCs w:val="0"/>
                <w:color w:val="auto"/>
                <w:spacing w:val="6"/>
                <w:kern w:val="21"/>
                <w:sz w:val="24"/>
                <w:szCs w:val="24"/>
                <w:lang w:val="zh-CN" w:eastAsia="zh-CN"/>
              </w:rPr>
            </w:pPr>
            <w:r>
              <w:rPr>
                <w:rFonts w:hint="eastAsia" w:cs="宋体"/>
                <w:b w:val="0"/>
                <w:bCs w:val="0"/>
                <w:color w:val="auto"/>
                <w:spacing w:val="6"/>
                <w:kern w:val="21"/>
                <w:sz w:val="24"/>
                <w:szCs w:val="24"/>
                <w:lang w:val="zh-CN" w:eastAsia="zh-CN"/>
              </w:rPr>
              <w:t>(1)</w:t>
            </w:r>
            <w:r>
              <w:rPr>
                <w:rFonts w:hint="eastAsia" w:ascii="宋体" w:hAnsi="宋体" w:cs="宋体"/>
                <w:b w:val="0"/>
                <w:bCs w:val="0"/>
                <w:color w:val="auto"/>
                <w:spacing w:val="6"/>
                <w:kern w:val="21"/>
                <w:sz w:val="24"/>
                <w:szCs w:val="24"/>
                <w:lang w:val="zh-CN" w:eastAsia="zh-CN"/>
              </w:rPr>
              <w:t>擅自改装计量器具，改变计量性能5台以上的；</w:t>
            </w:r>
          </w:p>
          <w:p w14:paraId="77FAD513">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lang w:val="zh-CN" w:eastAsia="zh-CN" w:bidi="zh-CN"/>
              </w:rPr>
            </w:pPr>
            <w:r>
              <w:rPr>
                <w:rFonts w:hint="eastAsia" w:cs="宋体"/>
                <w:b w:val="0"/>
                <w:bCs w:val="0"/>
                <w:color w:val="auto"/>
                <w:spacing w:val="6"/>
                <w:kern w:val="21"/>
                <w:sz w:val="24"/>
                <w:szCs w:val="24"/>
                <w:lang w:val="zh-CN" w:eastAsia="zh-CN"/>
              </w:rPr>
              <w:t>(2)</w:t>
            </w:r>
            <w:r>
              <w:rPr>
                <w:rFonts w:hint="eastAsia" w:ascii="宋体" w:hAnsi="宋体" w:cs="宋体"/>
                <w:b w:val="0"/>
                <w:bCs w:val="0"/>
                <w:color w:val="auto"/>
                <w:spacing w:val="6"/>
                <w:kern w:val="21"/>
                <w:sz w:val="24"/>
                <w:szCs w:val="24"/>
                <w:lang w:val="zh-CN" w:eastAsia="zh-CN"/>
              </w:rPr>
              <w:t>计量允许误差超出国家和省规定的误差</w:t>
            </w:r>
            <w:r>
              <w:rPr>
                <w:rFonts w:hint="eastAsia" w:cs="宋体"/>
                <w:b w:val="0"/>
                <w:bCs w:val="0"/>
                <w:color w:val="auto"/>
                <w:spacing w:val="6"/>
                <w:kern w:val="21"/>
                <w:sz w:val="24"/>
                <w:szCs w:val="24"/>
                <w:lang w:val="en-US" w:eastAsia="zh-CN"/>
              </w:rPr>
              <w:t>3</w:t>
            </w:r>
            <w:r>
              <w:rPr>
                <w:rFonts w:hint="eastAsia" w:ascii="宋体" w:hAnsi="宋体" w:cs="宋体"/>
                <w:b w:val="0"/>
                <w:bCs w:val="0"/>
                <w:color w:val="auto"/>
                <w:spacing w:val="6"/>
                <w:kern w:val="21"/>
                <w:sz w:val="24"/>
                <w:szCs w:val="24"/>
                <w:lang w:val="zh-CN" w:eastAsia="zh-CN"/>
              </w:rPr>
              <w:t>倍以上的，伪造数据，损害消费者的合法权益。</w:t>
            </w:r>
          </w:p>
        </w:tc>
        <w:tc>
          <w:tcPr>
            <w:tcW w:w="3382" w:type="dxa"/>
            <w:noWrap w:val="0"/>
            <w:vAlign w:val="center"/>
          </w:tcPr>
          <w:p w14:paraId="6CD1DE27">
            <w:pPr>
              <w:keepNext w:val="0"/>
              <w:keepLines w:val="0"/>
              <w:pageBreakBefore w:val="0"/>
              <w:widowControl/>
              <w:suppressLineNumbers w:val="0"/>
              <w:kinsoku/>
              <w:wordWrap/>
              <w:overflowPunct/>
              <w:topLinePunct w:val="0"/>
              <w:autoSpaceDE w:val="0"/>
              <w:autoSpaceDN w:val="0"/>
              <w:bidi w:val="0"/>
              <w:adjustRightInd/>
              <w:snapToGrid/>
              <w:spacing w:line="400" w:lineRule="exact"/>
              <w:ind w:left="63" w:leftChars="30" w:right="63" w:rightChars="30"/>
              <w:jc w:val="both"/>
              <w:textAlignment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lang w:val="zh-CN" w:bidi="zh-CN"/>
              </w:rPr>
              <w:t>没收计量器具和违法所得，</w:t>
            </w:r>
            <w:r>
              <w:rPr>
                <w:rFonts w:hint="eastAsia" w:ascii="宋体" w:hAnsi="宋体" w:eastAsia="宋体" w:cs="宋体"/>
                <w:b w:val="0"/>
                <w:bCs w:val="0"/>
                <w:i w:val="0"/>
                <w:iCs w:val="0"/>
                <w:color w:val="auto"/>
                <w:spacing w:val="6"/>
                <w:kern w:val="21"/>
                <w:sz w:val="24"/>
                <w:szCs w:val="24"/>
                <w:u w:val="none"/>
                <w:lang w:val="zh-CN" w:eastAsia="zh-CN" w:bidi="zh-CN"/>
              </w:rPr>
              <w:t>并处1400元以上2000元以下的罚款。</w:t>
            </w:r>
          </w:p>
        </w:tc>
      </w:tr>
      <w:tr w14:paraId="12E9E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2" w:hRule="exact"/>
          <w:jc w:val="center"/>
        </w:trPr>
        <w:tc>
          <w:tcPr>
            <w:tcW w:w="640" w:type="dxa"/>
            <w:vMerge w:val="restart"/>
            <w:noWrap w:val="0"/>
            <w:vAlign w:val="center"/>
          </w:tcPr>
          <w:p w14:paraId="02C3AB80">
            <w:pPr>
              <w:pStyle w:val="17"/>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default" w:ascii="宋体" w:hAnsi="宋体" w:eastAsia="宋体" w:cs="宋体"/>
                <w:b w:val="0"/>
                <w:bCs w:val="0"/>
                <w:color w:val="auto"/>
                <w:spacing w:val="6"/>
                <w:kern w:val="21"/>
                <w:sz w:val="24"/>
                <w:szCs w:val="24"/>
                <w:lang w:val="en-US" w:eastAsia="zh-CN" w:bidi="zh-CN"/>
              </w:rPr>
            </w:pPr>
            <w:r>
              <w:rPr>
                <w:rFonts w:hint="eastAsia" w:cs="宋体"/>
                <w:b w:val="0"/>
                <w:bCs w:val="0"/>
                <w:color w:val="auto"/>
                <w:spacing w:val="6"/>
                <w:kern w:val="21"/>
                <w:sz w:val="24"/>
                <w:szCs w:val="24"/>
                <w:lang w:val="en-US" w:eastAsia="zh-CN" w:bidi="zh-CN"/>
              </w:rPr>
              <w:t>139</w:t>
            </w:r>
          </w:p>
        </w:tc>
        <w:tc>
          <w:tcPr>
            <w:tcW w:w="1793" w:type="dxa"/>
            <w:vMerge w:val="restart"/>
            <w:noWrap w:val="0"/>
            <w:vAlign w:val="center"/>
          </w:tcPr>
          <w:p w14:paraId="6431AF80">
            <w:pPr>
              <w:keepNext w:val="0"/>
              <w:keepLines w:val="0"/>
              <w:pageBreakBefore w:val="0"/>
              <w:widowControl/>
              <w:suppressLineNumbers w:val="0"/>
              <w:kinsoku/>
              <w:wordWrap/>
              <w:overflowPunct/>
              <w:topLinePunct w:val="0"/>
              <w:autoSpaceDE/>
              <w:autoSpaceDN/>
              <w:bidi w:val="0"/>
              <w:adjustRightInd/>
              <w:snapToGrid/>
              <w:spacing w:line="400" w:lineRule="exact"/>
              <w:ind w:left="63" w:leftChars="30" w:right="63" w:rightChars="30"/>
              <w:jc w:val="left"/>
              <w:textAlignment w:val="auto"/>
              <w:outlineLvl w:val="2"/>
              <w:rPr>
                <w:rFonts w:hint="eastAsia" w:ascii="宋体" w:hAnsi="宋体" w:eastAsia="宋体" w:cs="宋体"/>
                <w:b w:val="0"/>
                <w:bCs w:val="0"/>
                <w:color w:val="auto"/>
                <w:spacing w:val="6"/>
                <w:kern w:val="21"/>
                <w:sz w:val="24"/>
                <w:szCs w:val="24"/>
                <w:lang w:val="en-US" w:eastAsia="zh-CN" w:bidi="ar-SA"/>
              </w:rPr>
            </w:pPr>
            <w:bookmarkStart w:id="200" w:name="_Toc26526"/>
            <w:bookmarkStart w:id="201" w:name="_Toc4270"/>
            <w:bookmarkStart w:id="202" w:name="_Toc20481"/>
            <w:bookmarkStart w:id="203" w:name="_Toc2037"/>
            <w:r>
              <w:rPr>
                <w:rFonts w:hint="eastAsia" w:ascii="宋体" w:hAnsi="宋体" w:eastAsia="宋体" w:cs="宋体"/>
                <w:b w:val="0"/>
                <w:bCs w:val="0"/>
                <w:color w:val="auto"/>
                <w:spacing w:val="6"/>
                <w:kern w:val="21"/>
                <w:sz w:val="24"/>
                <w:szCs w:val="24"/>
              </w:rPr>
              <w:t>《吉林省贸易计量监督条例》</w:t>
            </w:r>
            <w:bookmarkEnd w:id="200"/>
            <w:bookmarkEnd w:id="201"/>
            <w:bookmarkEnd w:id="202"/>
            <w:bookmarkEnd w:id="203"/>
          </w:p>
        </w:tc>
        <w:tc>
          <w:tcPr>
            <w:tcW w:w="4193" w:type="dxa"/>
            <w:vMerge w:val="restart"/>
            <w:noWrap w:val="0"/>
            <w:vAlign w:val="center"/>
          </w:tcPr>
          <w:p w14:paraId="4ADF2224">
            <w:pPr>
              <w:pStyle w:val="17"/>
              <w:keepNext w:val="0"/>
              <w:keepLines w:val="0"/>
              <w:pageBreakBefore w:val="0"/>
              <w:kinsoku/>
              <w:overflowPunct/>
              <w:topLinePunct w:val="0"/>
              <w:bidi w:val="0"/>
              <w:adjustRightInd/>
              <w:snapToGrid/>
              <w:spacing w:line="400" w:lineRule="exact"/>
              <w:ind w:left="63" w:leftChars="30" w:right="63" w:rightChars="30"/>
              <w:jc w:val="both"/>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第二十八条 违反本条例第十四条规定，出具的检测结果无效，给当事人造成损失的，责令赔偿。情节轻微的，处一千元以上五千元以下罚款；情节严重的，处五千元以上二万元以下罚款，并可吊销相应的资质证书。</w:t>
            </w:r>
          </w:p>
        </w:tc>
        <w:tc>
          <w:tcPr>
            <w:tcW w:w="1132" w:type="dxa"/>
            <w:noWrap w:val="0"/>
            <w:vAlign w:val="center"/>
          </w:tcPr>
          <w:p w14:paraId="2818D970">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较轻</w:t>
            </w:r>
          </w:p>
        </w:tc>
        <w:tc>
          <w:tcPr>
            <w:tcW w:w="3165" w:type="dxa"/>
            <w:noWrap w:val="0"/>
            <w:vAlign w:val="center"/>
          </w:tcPr>
          <w:p w14:paraId="0CFE4D5E">
            <w:pPr>
              <w:keepNext w:val="0"/>
              <w:keepLines w:val="0"/>
              <w:pageBreakBefore w:val="0"/>
              <w:widowControl/>
              <w:kinsoku/>
              <w:wordWrap/>
              <w:overflowPunct/>
              <w:topLinePunct w:val="0"/>
              <w:autoSpaceDE/>
              <w:autoSpaceDN/>
              <w:bidi w:val="0"/>
              <w:adjustRightInd/>
              <w:snapToGrid/>
              <w:spacing w:line="420" w:lineRule="exact"/>
              <w:ind w:left="105" w:leftChars="50" w:right="42" w:rightChars="20"/>
              <w:jc w:val="both"/>
              <w:rPr>
                <w:rFonts w:hint="eastAsia" w:ascii="宋体" w:hAnsi="宋体" w:eastAsia="宋体" w:cs="宋体"/>
                <w:b w:val="0"/>
                <w:bCs w:val="0"/>
                <w:color w:val="auto"/>
                <w:spacing w:val="0"/>
                <w:kern w:val="21"/>
                <w:sz w:val="24"/>
                <w:szCs w:val="24"/>
                <w:lang w:val="en-US" w:eastAsia="zh-CN" w:bidi="zh-CN"/>
              </w:rPr>
            </w:pPr>
            <w:r>
              <w:rPr>
                <w:rFonts w:hint="eastAsia" w:ascii="宋体" w:hAnsi="宋体" w:cs="宋体"/>
                <w:b w:val="0"/>
                <w:bCs w:val="0"/>
                <w:color w:val="auto"/>
                <w:kern w:val="0"/>
                <w:sz w:val="24"/>
                <w:szCs w:val="24"/>
                <w:lang w:val="en-US" w:eastAsia="zh-CN"/>
              </w:rPr>
              <w:t>出具无效检测结果3份以下</w:t>
            </w:r>
            <w:r>
              <w:rPr>
                <w:rFonts w:hint="eastAsia" w:ascii="宋体" w:hAnsi="宋体" w:eastAsia="宋体" w:cs="宋体"/>
                <w:b w:val="0"/>
                <w:bCs w:val="0"/>
                <w:color w:val="auto"/>
                <w:kern w:val="0"/>
                <w:sz w:val="24"/>
                <w:szCs w:val="24"/>
              </w:rPr>
              <w:t>的。</w:t>
            </w:r>
          </w:p>
        </w:tc>
        <w:tc>
          <w:tcPr>
            <w:tcW w:w="3382" w:type="dxa"/>
            <w:noWrap w:val="0"/>
            <w:vAlign w:val="center"/>
          </w:tcPr>
          <w:p w14:paraId="639AEB1A">
            <w:pPr>
              <w:pStyle w:val="17"/>
              <w:keepNext w:val="0"/>
              <w:keepLines w:val="0"/>
              <w:pageBreakBefore w:val="0"/>
              <w:kinsoku/>
              <w:overflowPunct/>
              <w:topLinePunct w:val="0"/>
              <w:bidi w:val="0"/>
              <w:adjustRightInd/>
              <w:snapToGrid/>
              <w:spacing w:line="400" w:lineRule="exact"/>
              <w:ind w:left="105" w:leftChars="50" w:right="42" w:rightChars="20"/>
              <w:jc w:val="both"/>
              <w:rPr>
                <w:rFonts w:hint="default" w:ascii="宋体" w:hAnsi="宋体" w:eastAsia="宋体" w:cs="宋体"/>
                <w:b w:val="0"/>
                <w:bCs w:val="0"/>
                <w:color w:val="auto"/>
                <w:spacing w:val="0"/>
                <w:kern w:val="21"/>
                <w:sz w:val="24"/>
                <w:szCs w:val="24"/>
                <w:lang w:val="en-US" w:eastAsia="zh-CN" w:bidi="zh-CN"/>
              </w:rPr>
            </w:pPr>
            <w:r>
              <w:rPr>
                <w:rFonts w:hint="eastAsia" w:cs="宋体"/>
                <w:b w:val="0"/>
                <w:bCs w:val="0"/>
                <w:color w:val="auto"/>
                <w:spacing w:val="0"/>
                <w:kern w:val="21"/>
                <w:sz w:val="24"/>
                <w:szCs w:val="24"/>
                <w:lang w:val="en-US" w:eastAsia="zh-CN"/>
              </w:rPr>
              <w:t>处1000元以上5000元以下罚款。</w:t>
            </w:r>
          </w:p>
        </w:tc>
      </w:tr>
      <w:tr w14:paraId="09FE5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7" w:hRule="exact"/>
          <w:jc w:val="center"/>
        </w:trPr>
        <w:tc>
          <w:tcPr>
            <w:tcW w:w="640" w:type="dxa"/>
            <w:vMerge w:val="continue"/>
            <w:noWrap w:val="0"/>
            <w:vAlign w:val="top"/>
          </w:tcPr>
          <w:p w14:paraId="46498D71">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FF0000"/>
                <w:spacing w:val="6"/>
                <w:kern w:val="21"/>
                <w:sz w:val="24"/>
                <w:szCs w:val="24"/>
              </w:rPr>
            </w:pPr>
          </w:p>
        </w:tc>
        <w:tc>
          <w:tcPr>
            <w:tcW w:w="1793" w:type="dxa"/>
            <w:vMerge w:val="continue"/>
            <w:noWrap w:val="0"/>
            <w:vAlign w:val="top"/>
          </w:tcPr>
          <w:p w14:paraId="3C224E5C">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top"/>
          </w:tcPr>
          <w:p w14:paraId="609C521F">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51435D1F">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zh-CN" w:eastAsia="zh-CN" w:bidi="zh-CN"/>
              </w:rPr>
            </w:pPr>
            <w:r>
              <w:rPr>
                <w:rFonts w:hint="eastAsia" w:ascii="宋体" w:hAnsi="宋体" w:eastAsia="宋体" w:cs="宋体"/>
                <w:b w:val="0"/>
                <w:bCs w:val="0"/>
                <w:color w:val="auto"/>
                <w:spacing w:val="6"/>
                <w:kern w:val="21"/>
                <w:sz w:val="24"/>
                <w:szCs w:val="24"/>
              </w:rPr>
              <w:t>一般</w:t>
            </w:r>
          </w:p>
        </w:tc>
        <w:tc>
          <w:tcPr>
            <w:tcW w:w="3165" w:type="dxa"/>
            <w:noWrap w:val="0"/>
            <w:vAlign w:val="center"/>
          </w:tcPr>
          <w:p w14:paraId="73D4710D">
            <w:pPr>
              <w:keepNext w:val="0"/>
              <w:keepLines w:val="0"/>
              <w:pageBreakBefore w:val="0"/>
              <w:widowControl/>
              <w:kinsoku/>
              <w:wordWrap/>
              <w:overflowPunct/>
              <w:topLinePunct w:val="0"/>
              <w:autoSpaceDE/>
              <w:autoSpaceDN/>
              <w:bidi w:val="0"/>
              <w:adjustRightInd/>
              <w:snapToGrid/>
              <w:spacing w:line="420" w:lineRule="exact"/>
              <w:ind w:left="105" w:leftChars="50" w:right="42" w:rightChars="20"/>
              <w:jc w:val="both"/>
              <w:rPr>
                <w:rFonts w:hint="eastAsia" w:ascii="宋体" w:hAnsi="宋体" w:eastAsia="宋体" w:cs="宋体"/>
                <w:b w:val="0"/>
                <w:bCs w:val="0"/>
                <w:color w:val="auto"/>
                <w:spacing w:val="0"/>
                <w:kern w:val="21"/>
                <w:sz w:val="24"/>
                <w:szCs w:val="24"/>
                <w:lang w:val="en-US" w:eastAsia="zh-CN" w:bidi="zh-CN"/>
              </w:rPr>
            </w:pPr>
            <w:r>
              <w:rPr>
                <w:rFonts w:hint="eastAsia" w:ascii="宋体" w:hAnsi="宋体" w:cs="宋体"/>
                <w:b w:val="0"/>
                <w:bCs w:val="0"/>
                <w:color w:val="auto"/>
                <w:kern w:val="0"/>
                <w:sz w:val="24"/>
                <w:szCs w:val="24"/>
                <w:lang w:val="en-US" w:eastAsia="zh-CN"/>
              </w:rPr>
              <w:t>出具无效检测结果3份以上10份以下</w:t>
            </w:r>
            <w:r>
              <w:rPr>
                <w:rFonts w:hint="eastAsia" w:ascii="宋体" w:hAnsi="宋体" w:eastAsia="宋体" w:cs="宋体"/>
                <w:b w:val="0"/>
                <w:bCs w:val="0"/>
                <w:color w:val="auto"/>
                <w:kern w:val="0"/>
                <w:sz w:val="24"/>
                <w:szCs w:val="24"/>
              </w:rPr>
              <w:t>的。</w:t>
            </w:r>
          </w:p>
        </w:tc>
        <w:tc>
          <w:tcPr>
            <w:tcW w:w="3382" w:type="dxa"/>
            <w:noWrap w:val="0"/>
            <w:vAlign w:val="center"/>
          </w:tcPr>
          <w:p w14:paraId="0A543FCF">
            <w:pPr>
              <w:pStyle w:val="17"/>
              <w:keepNext w:val="0"/>
              <w:keepLines w:val="0"/>
              <w:pageBreakBefore w:val="0"/>
              <w:kinsoku/>
              <w:overflowPunct/>
              <w:topLinePunct w:val="0"/>
              <w:bidi w:val="0"/>
              <w:adjustRightInd/>
              <w:snapToGrid/>
              <w:spacing w:line="400" w:lineRule="exact"/>
              <w:ind w:left="105" w:leftChars="50" w:right="42" w:rightChars="20"/>
              <w:jc w:val="both"/>
              <w:rPr>
                <w:rFonts w:hint="eastAsia" w:ascii="宋体" w:hAnsi="宋体" w:eastAsia="宋体" w:cs="宋体"/>
                <w:b w:val="0"/>
                <w:bCs w:val="0"/>
                <w:color w:val="auto"/>
                <w:spacing w:val="0"/>
                <w:kern w:val="21"/>
                <w:sz w:val="24"/>
                <w:szCs w:val="24"/>
                <w:lang w:val="zh-CN" w:eastAsia="zh-CN" w:bidi="zh-CN"/>
              </w:rPr>
            </w:pPr>
            <w:r>
              <w:rPr>
                <w:rFonts w:hint="eastAsia" w:cs="宋体"/>
                <w:b w:val="0"/>
                <w:bCs w:val="0"/>
                <w:color w:val="auto"/>
                <w:spacing w:val="0"/>
                <w:kern w:val="21"/>
                <w:sz w:val="24"/>
                <w:szCs w:val="24"/>
                <w:lang w:val="en-US" w:eastAsia="zh-CN"/>
              </w:rPr>
              <w:t>处5000元以上9500元以下罚款。</w:t>
            </w:r>
          </w:p>
        </w:tc>
      </w:tr>
      <w:tr w14:paraId="15426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exact"/>
          <w:jc w:val="center"/>
        </w:trPr>
        <w:tc>
          <w:tcPr>
            <w:tcW w:w="640" w:type="dxa"/>
            <w:vMerge w:val="continue"/>
            <w:noWrap w:val="0"/>
            <w:vAlign w:val="top"/>
          </w:tcPr>
          <w:p w14:paraId="1A59D271">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FF0000"/>
                <w:spacing w:val="6"/>
                <w:kern w:val="21"/>
                <w:sz w:val="24"/>
                <w:szCs w:val="24"/>
              </w:rPr>
            </w:pPr>
          </w:p>
        </w:tc>
        <w:tc>
          <w:tcPr>
            <w:tcW w:w="1793" w:type="dxa"/>
            <w:vMerge w:val="continue"/>
            <w:noWrap w:val="0"/>
            <w:vAlign w:val="top"/>
          </w:tcPr>
          <w:p w14:paraId="5761FE16">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top"/>
          </w:tcPr>
          <w:p w14:paraId="5F7DCE4A">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7E0E6345">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en-US" w:eastAsia="zh-CN" w:bidi="zh-CN"/>
              </w:rPr>
            </w:pPr>
            <w:r>
              <w:rPr>
                <w:rFonts w:hint="eastAsia" w:cs="宋体"/>
                <w:b w:val="0"/>
                <w:bCs w:val="0"/>
                <w:color w:val="auto"/>
                <w:spacing w:val="6"/>
                <w:kern w:val="21"/>
                <w:sz w:val="24"/>
                <w:szCs w:val="24"/>
                <w:lang w:val="en-US" w:eastAsia="zh-CN"/>
              </w:rPr>
              <w:t>较重</w:t>
            </w:r>
          </w:p>
        </w:tc>
        <w:tc>
          <w:tcPr>
            <w:tcW w:w="3165" w:type="dxa"/>
            <w:noWrap w:val="0"/>
            <w:vAlign w:val="center"/>
          </w:tcPr>
          <w:p w14:paraId="0B809DC8">
            <w:pPr>
              <w:keepNext w:val="0"/>
              <w:keepLines w:val="0"/>
              <w:pageBreakBefore w:val="0"/>
              <w:widowControl/>
              <w:kinsoku/>
              <w:wordWrap/>
              <w:overflowPunct/>
              <w:topLinePunct w:val="0"/>
              <w:autoSpaceDE/>
              <w:autoSpaceDN/>
              <w:bidi w:val="0"/>
              <w:adjustRightInd/>
              <w:snapToGrid/>
              <w:spacing w:line="420" w:lineRule="exact"/>
              <w:ind w:left="105" w:leftChars="50" w:right="42" w:rightChars="20"/>
              <w:jc w:val="both"/>
              <w:rPr>
                <w:rFonts w:hint="eastAsia" w:ascii="宋体" w:hAnsi="宋体" w:eastAsia="宋体" w:cs="宋体"/>
                <w:b w:val="0"/>
                <w:bCs w:val="0"/>
                <w:color w:val="auto"/>
                <w:spacing w:val="0"/>
                <w:kern w:val="21"/>
                <w:sz w:val="24"/>
                <w:szCs w:val="24"/>
                <w:lang w:val="en-US" w:eastAsia="zh-CN" w:bidi="zh-CN"/>
              </w:rPr>
            </w:pPr>
            <w:r>
              <w:rPr>
                <w:rFonts w:hint="eastAsia" w:ascii="宋体" w:hAnsi="宋体" w:cs="宋体"/>
                <w:b w:val="0"/>
                <w:bCs w:val="0"/>
                <w:color w:val="auto"/>
                <w:kern w:val="0"/>
                <w:sz w:val="24"/>
                <w:szCs w:val="24"/>
                <w:lang w:val="en-US" w:eastAsia="zh-CN"/>
              </w:rPr>
              <w:t>出具无效检测结果10份</w:t>
            </w:r>
            <w:r>
              <w:rPr>
                <w:rFonts w:hint="eastAsia" w:ascii="宋体" w:hAnsi="宋体" w:eastAsia="宋体" w:cs="宋体"/>
                <w:b w:val="0"/>
                <w:bCs w:val="0"/>
                <w:color w:val="auto"/>
                <w:kern w:val="0"/>
                <w:sz w:val="24"/>
                <w:szCs w:val="24"/>
              </w:rPr>
              <w:t>以上的。</w:t>
            </w:r>
          </w:p>
        </w:tc>
        <w:tc>
          <w:tcPr>
            <w:tcW w:w="3382" w:type="dxa"/>
            <w:noWrap w:val="0"/>
            <w:vAlign w:val="center"/>
          </w:tcPr>
          <w:p w14:paraId="0E2FEAA1">
            <w:pPr>
              <w:pStyle w:val="17"/>
              <w:keepNext w:val="0"/>
              <w:keepLines w:val="0"/>
              <w:pageBreakBefore w:val="0"/>
              <w:kinsoku/>
              <w:overflowPunct/>
              <w:topLinePunct w:val="0"/>
              <w:bidi w:val="0"/>
              <w:adjustRightInd/>
              <w:snapToGrid/>
              <w:spacing w:line="400" w:lineRule="exact"/>
              <w:ind w:left="105" w:leftChars="50" w:right="42" w:rightChars="20"/>
              <w:jc w:val="both"/>
              <w:rPr>
                <w:rFonts w:hint="eastAsia" w:ascii="宋体" w:hAnsi="宋体" w:eastAsia="宋体" w:cs="宋体"/>
                <w:b w:val="0"/>
                <w:bCs w:val="0"/>
                <w:color w:val="auto"/>
                <w:spacing w:val="0"/>
                <w:kern w:val="21"/>
                <w:sz w:val="24"/>
                <w:szCs w:val="24"/>
                <w:lang w:val="en-US" w:eastAsia="zh-CN" w:bidi="zh-CN"/>
              </w:rPr>
            </w:pPr>
            <w:r>
              <w:rPr>
                <w:rFonts w:hint="eastAsia" w:cs="宋体"/>
                <w:b w:val="0"/>
                <w:bCs w:val="0"/>
                <w:color w:val="auto"/>
                <w:spacing w:val="0"/>
                <w:kern w:val="21"/>
                <w:sz w:val="24"/>
                <w:szCs w:val="24"/>
                <w:lang w:val="en-US" w:eastAsia="zh-CN"/>
              </w:rPr>
              <w:t>处9500元以上1.55万元以下罚款。</w:t>
            </w:r>
          </w:p>
        </w:tc>
      </w:tr>
      <w:tr w14:paraId="7C026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6" w:hRule="exact"/>
          <w:jc w:val="center"/>
        </w:trPr>
        <w:tc>
          <w:tcPr>
            <w:tcW w:w="640" w:type="dxa"/>
            <w:vMerge w:val="continue"/>
            <w:noWrap w:val="0"/>
            <w:vAlign w:val="top"/>
          </w:tcPr>
          <w:p w14:paraId="74580569">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FF0000"/>
                <w:spacing w:val="6"/>
                <w:kern w:val="21"/>
                <w:sz w:val="24"/>
                <w:szCs w:val="24"/>
              </w:rPr>
            </w:pPr>
          </w:p>
        </w:tc>
        <w:tc>
          <w:tcPr>
            <w:tcW w:w="1793" w:type="dxa"/>
            <w:vMerge w:val="continue"/>
            <w:noWrap w:val="0"/>
            <w:vAlign w:val="top"/>
          </w:tcPr>
          <w:p w14:paraId="08B27054">
            <w:pPr>
              <w:keepNext w:val="0"/>
              <w:keepLines w:val="0"/>
              <w:pageBreakBefore w:val="0"/>
              <w:kinsoku/>
              <w:wordWrap/>
              <w:overflowPunct/>
              <w:topLinePunct w:val="0"/>
              <w:bidi w:val="0"/>
              <w:adjustRightInd/>
              <w:snapToGrid/>
              <w:spacing w:line="400" w:lineRule="exact"/>
              <w:ind w:left="63" w:leftChars="30" w:right="63" w:rightChars="30"/>
              <w:jc w:val="center"/>
              <w:textAlignment w:val="auto"/>
              <w:rPr>
                <w:rFonts w:hint="eastAsia" w:ascii="宋体" w:hAnsi="宋体" w:eastAsia="宋体" w:cs="宋体"/>
                <w:b w:val="0"/>
                <w:bCs w:val="0"/>
                <w:color w:val="auto"/>
                <w:spacing w:val="6"/>
                <w:kern w:val="21"/>
                <w:sz w:val="24"/>
                <w:szCs w:val="24"/>
              </w:rPr>
            </w:pPr>
          </w:p>
        </w:tc>
        <w:tc>
          <w:tcPr>
            <w:tcW w:w="4193" w:type="dxa"/>
            <w:vMerge w:val="continue"/>
            <w:noWrap w:val="0"/>
            <w:vAlign w:val="top"/>
          </w:tcPr>
          <w:p w14:paraId="696A682B">
            <w:pPr>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rPr>
            </w:pPr>
          </w:p>
        </w:tc>
        <w:tc>
          <w:tcPr>
            <w:tcW w:w="1132" w:type="dxa"/>
            <w:noWrap w:val="0"/>
            <w:vAlign w:val="center"/>
          </w:tcPr>
          <w:p w14:paraId="6E9D5FC1">
            <w:pPr>
              <w:pStyle w:val="17"/>
              <w:keepNext w:val="0"/>
              <w:keepLines w:val="0"/>
              <w:pageBreakBefore w:val="0"/>
              <w:kinsoku/>
              <w:overflowPunct/>
              <w:topLinePunct w:val="0"/>
              <w:bidi w:val="0"/>
              <w:adjustRightInd/>
              <w:snapToGrid/>
              <w:spacing w:line="400" w:lineRule="exact"/>
              <w:ind w:left="63" w:leftChars="30" w:right="63" w:rightChars="30"/>
              <w:jc w:val="center"/>
              <w:rPr>
                <w:rFonts w:hint="eastAsia" w:ascii="宋体" w:hAnsi="宋体" w:eastAsia="宋体" w:cs="宋体"/>
                <w:b w:val="0"/>
                <w:bCs w:val="0"/>
                <w:color w:val="auto"/>
                <w:spacing w:val="6"/>
                <w:kern w:val="21"/>
                <w:sz w:val="24"/>
                <w:szCs w:val="24"/>
                <w:lang w:val="en-US" w:eastAsia="zh-CN" w:bidi="zh-CN"/>
              </w:rPr>
            </w:pPr>
            <w:r>
              <w:rPr>
                <w:rFonts w:hint="eastAsia" w:cs="宋体"/>
                <w:b w:val="0"/>
                <w:bCs w:val="0"/>
                <w:color w:val="auto"/>
                <w:spacing w:val="6"/>
                <w:kern w:val="21"/>
                <w:sz w:val="24"/>
                <w:szCs w:val="24"/>
                <w:lang w:val="en-US" w:eastAsia="zh-CN"/>
              </w:rPr>
              <w:t>严重</w:t>
            </w:r>
          </w:p>
        </w:tc>
        <w:tc>
          <w:tcPr>
            <w:tcW w:w="3165" w:type="dxa"/>
            <w:noWrap w:val="0"/>
            <w:vAlign w:val="center"/>
          </w:tcPr>
          <w:p w14:paraId="6FB36F0C">
            <w:pPr>
              <w:keepNext w:val="0"/>
              <w:keepLines w:val="0"/>
              <w:pageBreakBefore w:val="0"/>
              <w:widowControl/>
              <w:kinsoku/>
              <w:wordWrap/>
              <w:overflowPunct/>
              <w:topLinePunct w:val="0"/>
              <w:autoSpaceDE/>
              <w:autoSpaceDN/>
              <w:bidi w:val="0"/>
              <w:adjustRightInd/>
              <w:snapToGrid/>
              <w:spacing w:line="420" w:lineRule="exact"/>
              <w:ind w:left="105" w:leftChars="50" w:right="42" w:rightChars="20"/>
              <w:jc w:val="both"/>
              <w:rPr>
                <w:rFonts w:hint="eastAsia" w:ascii="宋体" w:hAnsi="宋体" w:eastAsia="宋体" w:cs="宋体"/>
                <w:b w:val="0"/>
                <w:bCs w:val="0"/>
                <w:color w:val="auto"/>
                <w:spacing w:val="0"/>
                <w:kern w:val="0"/>
                <w:sz w:val="24"/>
                <w:szCs w:val="24"/>
                <w:lang w:val="en-US" w:eastAsia="zh-CN" w:bidi="zh-CN"/>
              </w:rPr>
            </w:pPr>
            <w:r>
              <w:rPr>
                <w:rFonts w:hint="eastAsia" w:ascii="宋体" w:hAnsi="宋体" w:cs="宋体"/>
                <w:b w:val="0"/>
                <w:bCs w:val="0"/>
                <w:color w:val="auto"/>
                <w:kern w:val="0"/>
                <w:sz w:val="24"/>
                <w:szCs w:val="24"/>
                <w:lang w:val="en-US" w:eastAsia="zh-CN"/>
              </w:rPr>
              <w:t>出具无效检测结果10份</w:t>
            </w:r>
            <w:r>
              <w:rPr>
                <w:rFonts w:hint="eastAsia" w:ascii="宋体" w:hAnsi="宋体" w:eastAsia="宋体" w:cs="宋体"/>
                <w:b w:val="0"/>
                <w:bCs w:val="0"/>
                <w:color w:val="auto"/>
                <w:kern w:val="0"/>
                <w:sz w:val="24"/>
                <w:szCs w:val="24"/>
              </w:rPr>
              <w:t>以上的</w:t>
            </w:r>
            <w:r>
              <w:rPr>
                <w:rFonts w:hint="eastAsia" w:ascii="宋体" w:hAnsi="宋体" w:cs="宋体"/>
                <w:b w:val="0"/>
                <w:bCs w:val="0"/>
                <w:color w:val="auto"/>
                <w:kern w:val="0"/>
                <w:sz w:val="24"/>
                <w:szCs w:val="24"/>
                <w:lang w:eastAsia="zh-CN"/>
              </w:rPr>
              <w:t>，</w:t>
            </w:r>
            <w:r>
              <w:rPr>
                <w:rFonts w:hint="eastAsia" w:ascii="宋体" w:hAnsi="宋体" w:cs="宋体"/>
                <w:b w:val="0"/>
                <w:bCs w:val="0"/>
                <w:color w:val="auto"/>
                <w:kern w:val="0"/>
                <w:sz w:val="24"/>
                <w:szCs w:val="24"/>
                <w:lang w:val="en-US" w:eastAsia="zh-CN"/>
              </w:rPr>
              <w:t>情节严重的</w:t>
            </w:r>
            <w:r>
              <w:rPr>
                <w:rFonts w:hint="eastAsia" w:ascii="宋体" w:hAnsi="宋体" w:eastAsia="宋体" w:cs="宋体"/>
                <w:b w:val="0"/>
                <w:bCs w:val="0"/>
                <w:color w:val="auto"/>
                <w:kern w:val="0"/>
                <w:sz w:val="24"/>
                <w:szCs w:val="24"/>
              </w:rPr>
              <w:t>。</w:t>
            </w:r>
          </w:p>
        </w:tc>
        <w:tc>
          <w:tcPr>
            <w:tcW w:w="3382" w:type="dxa"/>
            <w:noWrap w:val="0"/>
            <w:vAlign w:val="center"/>
          </w:tcPr>
          <w:p w14:paraId="4CA2EC37">
            <w:pPr>
              <w:widowControl/>
              <w:spacing w:line="420" w:lineRule="exact"/>
              <w:ind w:left="105" w:leftChars="50" w:right="42" w:rightChars="20"/>
              <w:rPr>
                <w:rFonts w:hint="eastAsia" w:ascii="宋体" w:hAnsi="宋体" w:eastAsia="宋体" w:cs="宋体"/>
                <w:b w:val="0"/>
                <w:bCs w:val="0"/>
                <w:color w:val="auto"/>
                <w:spacing w:val="0"/>
                <w:kern w:val="0"/>
                <w:sz w:val="24"/>
                <w:szCs w:val="24"/>
                <w:lang w:val="en-US" w:eastAsia="zh-CN" w:bidi="zh-CN"/>
              </w:rPr>
            </w:pPr>
            <w:r>
              <w:rPr>
                <w:rFonts w:hint="eastAsia" w:ascii="宋体" w:hAnsi="宋体" w:cs="宋体"/>
                <w:b w:val="0"/>
                <w:bCs w:val="0"/>
                <w:color w:val="auto"/>
                <w:spacing w:val="0"/>
                <w:kern w:val="0"/>
                <w:sz w:val="24"/>
                <w:szCs w:val="24"/>
                <w:lang w:val="en-US" w:eastAsia="zh-CN"/>
              </w:rPr>
              <w:t>处1.55万元以上2万元以下罚款，并吊销相应的资质证书。</w:t>
            </w:r>
          </w:p>
        </w:tc>
      </w:tr>
    </w:tbl>
    <w:p w14:paraId="01324A47">
      <w:pPr>
        <w:pStyle w:val="3"/>
        <w:keepNext w:val="0"/>
        <w:keepLines w:val="0"/>
        <w:pageBreakBefore w:val="0"/>
        <w:widowControl w:val="0"/>
        <w:numPr>
          <w:ilvl w:val="0"/>
          <w:numId w:val="0"/>
        </w:numPr>
        <w:tabs>
          <w:tab w:val="left" w:pos="1269"/>
        </w:tabs>
        <w:kinsoku/>
        <w:wordWrap/>
        <w:overflowPunct/>
        <w:topLinePunct w:val="0"/>
        <w:autoSpaceDE/>
        <w:autoSpaceDN/>
        <w:bidi w:val="0"/>
        <w:adjustRightInd/>
        <w:snapToGrid/>
        <w:spacing w:before="0" w:line="240" w:lineRule="auto"/>
        <w:ind w:right="0" w:rightChars="0"/>
        <w:jc w:val="center"/>
        <w:textAlignment w:val="auto"/>
        <w:outlineLvl w:val="1"/>
        <w:rPr>
          <w:rFonts w:hint="default" w:ascii="方正小标宋简体" w:hAnsi="方正小标宋简体" w:eastAsia="方正小标宋简体" w:cs="方正小标宋简体"/>
          <w:b w:val="0"/>
          <w:bCs/>
          <w:kern w:val="44"/>
          <w:sz w:val="36"/>
          <w:szCs w:val="20"/>
          <w:lang w:val="en-US" w:eastAsia="zh-CN" w:bidi="ar-SA"/>
        </w:rPr>
      </w:pPr>
      <w:r>
        <w:rPr>
          <w:rFonts w:hint="default" w:ascii="方正小标宋简体" w:hAnsi="方正小标宋简体" w:eastAsia="方正小标宋简体" w:cs="方正小标宋简体"/>
          <w:b w:val="0"/>
          <w:bCs/>
          <w:color w:val="FF0000"/>
          <w:kern w:val="44"/>
          <w:sz w:val="36"/>
          <w:szCs w:val="20"/>
          <w:lang w:val="en-US" w:eastAsia="zh-CN" w:bidi="ar-SA"/>
        </w:rPr>
        <w:br w:type="page"/>
      </w:r>
      <w:bookmarkStart w:id="204" w:name="_Toc2005"/>
      <w:bookmarkStart w:id="205" w:name="_Toc23152"/>
      <w:bookmarkStart w:id="206" w:name="_Toc11575"/>
      <w:bookmarkStart w:id="207" w:name="_Toc13276"/>
      <w:bookmarkStart w:id="208" w:name="_Toc17720"/>
      <w:r>
        <w:rPr>
          <w:rFonts w:hint="eastAsia" w:ascii="方正小标宋简体" w:hAnsi="方正小标宋简体" w:eastAsia="方正小标宋简体" w:cs="方正小标宋简体"/>
          <w:b w:val="0"/>
          <w:bCs/>
          <w:kern w:val="44"/>
          <w:sz w:val="36"/>
          <w:szCs w:val="20"/>
          <w:lang w:val="en-US" w:eastAsia="zh-CN" w:bidi="ar-SA"/>
        </w:rPr>
        <w:t xml:space="preserve">第六节 </w:t>
      </w:r>
      <w:r>
        <w:rPr>
          <w:rFonts w:hint="default" w:ascii="方正小标宋简体" w:hAnsi="方正小标宋简体" w:eastAsia="方正小标宋简体" w:cs="方正小标宋简体"/>
          <w:b w:val="0"/>
          <w:bCs/>
          <w:kern w:val="44"/>
          <w:sz w:val="36"/>
          <w:szCs w:val="20"/>
          <w:lang w:val="en-US" w:eastAsia="zh-CN" w:bidi="ar-SA"/>
        </w:rPr>
        <w:t>适用标准化监管法规、规章的裁量标准</w:t>
      </w:r>
      <w:bookmarkEnd w:id="204"/>
      <w:bookmarkEnd w:id="205"/>
      <w:bookmarkEnd w:id="206"/>
      <w:bookmarkEnd w:id="207"/>
      <w:bookmarkEnd w:id="208"/>
    </w:p>
    <w:tbl>
      <w:tblPr>
        <w:tblStyle w:val="10"/>
        <w:tblW w:w="143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4"/>
        <w:gridCol w:w="1800"/>
        <w:gridCol w:w="4218"/>
        <w:gridCol w:w="1151"/>
        <w:gridCol w:w="3125"/>
        <w:gridCol w:w="3418"/>
      </w:tblGrid>
      <w:tr w14:paraId="310D5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blHeader/>
          <w:jc w:val="center"/>
        </w:trPr>
        <w:tc>
          <w:tcPr>
            <w:tcW w:w="684" w:type="dxa"/>
            <w:noWrap w:val="0"/>
            <w:vAlign w:val="center"/>
          </w:tcPr>
          <w:p w14:paraId="287D5A49">
            <w:pPr>
              <w:pStyle w:val="17"/>
              <w:keepNext w:val="0"/>
              <w:keepLines w:val="0"/>
              <w:pageBreakBefore w:val="0"/>
              <w:widowControl w:val="0"/>
              <w:kinsoku/>
              <w:wordWrap/>
              <w:overflowPunct/>
              <w:topLinePunct w:val="0"/>
              <w:autoSpaceDE w:val="0"/>
              <w:autoSpaceDN w:val="0"/>
              <w:bidi w:val="0"/>
              <w:adjustRightInd w:val="0"/>
              <w:snapToGrid/>
              <w:spacing w:line="420" w:lineRule="exact"/>
              <w:ind w:left="63" w:leftChars="30" w:right="63" w:rightChars="30"/>
              <w:jc w:val="center"/>
              <w:textAlignment w:val="auto"/>
              <w:rPr>
                <w:rFonts w:hint="eastAsia" w:ascii="黑体" w:hAnsi="黑体" w:eastAsia="黑体" w:cs="黑体"/>
                <w:b w:val="0"/>
                <w:bCs w:val="0"/>
                <w:spacing w:val="6"/>
                <w:kern w:val="2"/>
                <w:sz w:val="24"/>
                <w:szCs w:val="24"/>
                <w:lang w:val="en-US" w:eastAsia="zh-CN" w:bidi="ar-SA"/>
              </w:rPr>
            </w:pPr>
            <w:r>
              <w:rPr>
                <w:rFonts w:hint="eastAsia" w:ascii="黑体" w:hAnsi="黑体" w:eastAsia="黑体" w:cs="黑体"/>
                <w:b w:val="0"/>
                <w:bCs w:val="0"/>
                <w:spacing w:val="6"/>
                <w:kern w:val="2"/>
                <w:sz w:val="24"/>
                <w:szCs w:val="24"/>
                <w:lang w:val="en-US" w:eastAsia="zh-CN" w:bidi="ar-SA"/>
              </w:rPr>
              <w:t>序号</w:t>
            </w:r>
          </w:p>
        </w:tc>
        <w:tc>
          <w:tcPr>
            <w:tcW w:w="1800" w:type="dxa"/>
            <w:noWrap w:val="0"/>
            <w:vAlign w:val="center"/>
          </w:tcPr>
          <w:p w14:paraId="761D6258">
            <w:pPr>
              <w:pStyle w:val="17"/>
              <w:keepNext w:val="0"/>
              <w:keepLines w:val="0"/>
              <w:pageBreakBefore w:val="0"/>
              <w:widowControl w:val="0"/>
              <w:kinsoku/>
              <w:wordWrap/>
              <w:overflowPunct/>
              <w:topLinePunct w:val="0"/>
              <w:autoSpaceDE w:val="0"/>
              <w:autoSpaceDN w:val="0"/>
              <w:bidi w:val="0"/>
              <w:adjustRightInd w:val="0"/>
              <w:snapToGrid/>
              <w:spacing w:line="420" w:lineRule="exact"/>
              <w:ind w:left="63" w:leftChars="30" w:right="63" w:rightChars="30"/>
              <w:jc w:val="center"/>
              <w:textAlignment w:val="auto"/>
              <w:rPr>
                <w:rFonts w:hint="eastAsia" w:ascii="黑体" w:hAnsi="黑体" w:eastAsia="黑体" w:cs="黑体"/>
                <w:b w:val="0"/>
                <w:bCs w:val="0"/>
                <w:spacing w:val="6"/>
                <w:kern w:val="2"/>
                <w:sz w:val="24"/>
                <w:szCs w:val="24"/>
                <w:lang w:val="en-US" w:eastAsia="zh-CN" w:bidi="ar-SA"/>
              </w:rPr>
            </w:pPr>
            <w:r>
              <w:rPr>
                <w:rFonts w:hint="eastAsia" w:ascii="黑体" w:hAnsi="黑体" w:eastAsia="黑体" w:cs="黑体"/>
                <w:b w:val="0"/>
                <w:bCs w:val="0"/>
                <w:spacing w:val="6"/>
                <w:kern w:val="2"/>
                <w:sz w:val="24"/>
                <w:szCs w:val="24"/>
                <w:lang w:val="en-US" w:eastAsia="zh-CN" w:bidi="ar-SA"/>
              </w:rPr>
              <w:t>法律名称</w:t>
            </w:r>
          </w:p>
        </w:tc>
        <w:tc>
          <w:tcPr>
            <w:tcW w:w="4218" w:type="dxa"/>
            <w:noWrap w:val="0"/>
            <w:vAlign w:val="center"/>
          </w:tcPr>
          <w:p w14:paraId="15D80A20">
            <w:pPr>
              <w:pStyle w:val="17"/>
              <w:keepNext w:val="0"/>
              <w:keepLines w:val="0"/>
              <w:pageBreakBefore w:val="0"/>
              <w:widowControl w:val="0"/>
              <w:kinsoku/>
              <w:wordWrap/>
              <w:overflowPunct/>
              <w:topLinePunct w:val="0"/>
              <w:autoSpaceDE w:val="0"/>
              <w:autoSpaceDN w:val="0"/>
              <w:bidi w:val="0"/>
              <w:adjustRightInd w:val="0"/>
              <w:snapToGrid/>
              <w:spacing w:line="420" w:lineRule="exact"/>
              <w:ind w:left="63" w:leftChars="30" w:right="63" w:rightChars="30"/>
              <w:jc w:val="center"/>
              <w:textAlignment w:val="auto"/>
              <w:rPr>
                <w:rFonts w:hint="eastAsia" w:ascii="黑体" w:hAnsi="黑体" w:eastAsia="黑体" w:cs="黑体"/>
                <w:b w:val="0"/>
                <w:bCs w:val="0"/>
                <w:spacing w:val="6"/>
                <w:kern w:val="2"/>
                <w:sz w:val="24"/>
                <w:szCs w:val="24"/>
                <w:lang w:val="en-US" w:eastAsia="zh-CN" w:bidi="ar-SA"/>
              </w:rPr>
            </w:pPr>
            <w:r>
              <w:rPr>
                <w:rFonts w:hint="eastAsia" w:ascii="黑体" w:hAnsi="黑体" w:eastAsia="黑体" w:cs="黑体"/>
                <w:b w:val="0"/>
                <w:bCs w:val="0"/>
                <w:spacing w:val="6"/>
                <w:kern w:val="2"/>
                <w:sz w:val="24"/>
                <w:szCs w:val="24"/>
                <w:lang w:val="en-US" w:eastAsia="zh-CN" w:bidi="ar-SA"/>
              </w:rPr>
              <w:t>法律依据</w:t>
            </w:r>
          </w:p>
        </w:tc>
        <w:tc>
          <w:tcPr>
            <w:tcW w:w="1151" w:type="dxa"/>
            <w:noWrap w:val="0"/>
            <w:vAlign w:val="center"/>
          </w:tcPr>
          <w:p w14:paraId="233AE4E2">
            <w:pPr>
              <w:pStyle w:val="17"/>
              <w:keepNext w:val="0"/>
              <w:keepLines w:val="0"/>
              <w:pageBreakBefore w:val="0"/>
              <w:widowControl w:val="0"/>
              <w:kinsoku/>
              <w:wordWrap/>
              <w:overflowPunct/>
              <w:topLinePunct w:val="0"/>
              <w:autoSpaceDE w:val="0"/>
              <w:autoSpaceDN w:val="0"/>
              <w:bidi w:val="0"/>
              <w:adjustRightInd w:val="0"/>
              <w:snapToGrid/>
              <w:spacing w:line="420" w:lineRule="exact"/>
              <w:ind w:left="63" w:leftChars="30" w:right="63" w:rightChars="30"/>
              <w:jc w:val="center"/>
              <w:textAlignment w:val="auto"/>
              <w:rPr>
                <w:rFonts w:hint="eastAsia" w:ascii="黑体" w:hAnsi="黑体" w:eastAsia="黑体" w:cs="黑体"/>
                <w:b w:val="0"/>
                <w:bCs w:val="0"/>
                <w:spacing w:val="6"/>
                <w:kern w:val="2"/>
                <w:sz w:val="24"/>
                <w:szCs w:val="24"/>
                <w:lang w:val="en-US" w:eastAsia="zh-CN" w:bidi="ar-SA"/>
              </w:rPr>
            </w:pPr>
            <w:r>
              <w:rPr>
                <w:rFonts w:hint="eastAsia" w:ascii="黑体" w:hAnsi="黑体" w:eastAsia="黑体" w:cs="黑体"/>
                <w:b w:val="0"/>
                <w:bCs w:val="0"/>
                <w:spacing w:val="6"/>
                <w:kern w:val="2"/>
                <w:sz w:val="24"/>
                <w:szCs w:val="24"/>
                <w:lang w:val="en-US" w:eastAsia="zh-CN" w:bidi="ar-SA"/>
              </w:rPr>
              <w:t>违法程度</w:t>
            </w:r>
          </w:p>
        </w:tc>
        <w:tc>
          <w:tcPr>
            <w:tcW w:w="3125" w:type="dxa"/>
            <w:noWrap w:val="0"/>
            <w:vAlign w:val="center"/>
          </w:tcPr>
          <w:p w14:paraId="6E704C95">
            <w:pPr>
              <w:pStyle w:val="17"/>
              <w:keepNext w:val="0"/>
              <w:keepLines w:val="0"/>
              <w:pageBreakBefore w:val="0"/>
              <w:widowControl w:val="0"/>
              <w:kinsoku/>
              <w:wordWrap/>
              <w:overflowPunct/>
              <w:topLinePunct w:val="0"/>
              <w:autoSpaceDE w:val="0"/>
              <w:autoSpaceDN w:val="0"/>
              <w:bidi w:val="0"/>
              <w:adjustRightInd w:val="0"/>
              <w:snapToGrid/>
              <w:spacing w:line="420" w:lineRule="exact"/>
              <w:ind w:left="63" w:leftChars="30" w:right="42" w:rightChars="20"/>
              <w:jc w:val="center"/>
              <w:textAlignment w:val="auto"/>
              <w:rPr>
                <w:rFonts w:hint="eastAsia" w:ascii="黑体" w:hAnsi="黑体" w:eastAsia="黑体" w:cs="黑体"/>
                <w:b w:val="0"/>
                <w:bCs w:val="0"/>
                <w:spacing w:val="6"/>
                <w:kern w:val="2"/>
                <w:sz w:val="24"/>
                <w:szCs w:val="24"/>
                <w:lang w:val="en-US" w:eastAsia="zh-CN" w:bidi="ar-SA"/>
              </w:rPr>
            </w:pPr>
            <w:r>
              <w:rPr>
                <w:rFonts w:hint="eastAsia" w:ascii="黑体" w:hAnsi="黑体" w:eastAsia="黑体" w:cs="黑体"/>
                <w:b w:val="0"/>
                <w:bCs w:val="0"/>
                <w:spacing w:val="6"/>
                <w:kern w:val="2"/>
                <w:sz w:val="24"/>
                <w:szCs w:val="24"/>
                <w:lang w:val="en-US" w:eastAsia="zh-CN" w:bidi="ar-SA"/>
              </w:rPr>
              <w:t>判断标准</w:t>
            </w:r>
          </w:p>
        </w:tc>
        <w:tc>
          <w:tcPr>
            <w:tcW w:w="3418" w:type="dxa"/>
            <w:noWrap w:val="0"/>
            <w:vAlign w:val="center"/>
          </w:tcPr>
          <w:p w14:paraId="3196F45A">
            <w:pPr>
              <w:pStyle w:val="17"/>
              <w:keepNext w:val="0"/>
              <w:keepLines w:val="0"/>
              <w:pageBreakBefore w:val="0"/>
              <w:widowControl w:val="0"/>
              <w:kinsoku/>
              <w:wordWrap/>
              <w:overflowPunct/>
              <w:topLinePunct w:val="0"/>
              <w:autoSpaceDE w:val="0"/>
              <w:autoSpaceDN w:val="0"/>
              <w:bidi w:val="0"/>
              <w:adjustRightInd w:val="0"/>
              <w:snapToGrid/>
              <w:spacing w:line="420" w:lineRule="exact"/>
              <w:ind w:left="63" w:leftChars="30" w:right="42" w:rightChars="20"/>
              <w:jc w:val="center"/>
              <w:textAlignment w:val="auto"/>
              <w:rPr>
                <w:rFonts w:hint="eastAsia" w:ascii="黑体" w:hAnsi="黑体" w:eastAsia="黑体" w:cs="黑体"/>
                <w:b w:val="0"/>
                <w:bCs w:val="0"/>
                <w:spacing w:val="6"/>
                <w:kern w:val="2"/>
                <w:sz w:val="24"/>
                <w:szCs w:val="24"/>
                <w:lang w:val="en-US" w:eastAsia="zh-CN" w:bidi="ar-SA"/>
              </w:rPr>
            </w:pPr>
            <w:r>
              <w:rPr>
                <w:rFonts w:hint="eastAsia" w:ascii="黑体" w:hAnsi="黑体" w:eastAsia="黑体" w:cs="黑体"/>
                <w:b w:val="0"/>
                <w:bCs w:val="0"/>
                <w:spacing w:val="6"/>
                <w:kern w:val="2"/>
                <w:sz w:val="24"/>
                <w:szCs w:val="24"/>
                <w:lang w:val="en-US" w:eastAsia="zh-CN" w:bidi="ar-SA"/>
              </w:rPr>
              <w:t>处罚标准</w:t>
            </w:r>
          </w:p>
        </w:tc>
      </w:tr>
      <w:tr w14:paraId="43918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3" w:hRule="atLeast"/>
          <w:jc w:val="center"/>
        </w:trPr>
        <w:tc>
          <w:tcPr>
            <w:tcW w:w="684" w:type="dxa"/>
            <w:vMerge w:val="restart"/>
            <w:noWrap w:val="0"/>
            <w:vAlign w:val="center"/>
          </w:tcPr>
          <w:p w14:paraId="39360280">
            <w:pPr>
              <w:pStyle w:val="17"/>
              <w:keepNext w:val="0"/>
              <w:keepLines w:val="0"/>
              <w:pageBreakBefore w:val="0"/>
              <w:kinsoku/>
              <w:wordWrap/>
              <w:overflowPunct/>
              <w:topLinePunct w:val="0"/>
              <w:autoSpaceDE w:val="0"/>
              <w:autoSpaceDN w:val="0"/>
              <w:bidi w:val="0"/>
              <w:adjustRightInd w:val="0"/>
              <w:snapToGrid/>
              <w:spacing w:line="420" w:lineRule="exact"/>
              <w:ind w:left="63" w:leftChars="30" w:right="63" w:rightChars="30"/>
              <w:jc w:val="center"/>
              <w:textAlignment w:val="auto"/>
              <w:rPr>
                <w:rFonts w:hint="default" w:ascii="宋体" w:hAnsi="宋体" w:eastAsia="宋体" w:cs="宋体"/>
                <w:spacing w:val="6"/>
                <w:sz w:val="24"/>
                <w:szCs w:val="24"/>
                <w:lang w:val="en-US" w:eastAsia="zh-CN"/>
              </w:rPr>
            </w:pPr>
            <w:r>
              <w:rPr>
                <w:rFonts w:hint="eastAsia" w:cs="宋体"/>
                <w:spacing w:val="6"/>
                <w:sz w:val="24"/>
                <w:szCs w:val="24"/>
                <w:lang w:val="en-US" w:eastAsia="zh-CN"/>
              </w:rPr>
              <w:t>140</w:t>
            </w:r>
          </w:p>
        </w:tc>
        <w:tc>
          <w:tcPr>
            <w:tcW w:w="1800" w:type="dxa"/>
            <w:vMerge w:val="restart"/>
            <w:noWrap w:val="0"/>
            <w:vAlign w:val="center"/>
          </w:tcPr>
          <w:p w14:paraId="04E49638">
            <w:pPr>
              <w:pStyle w:val="17"/>
              <w:keepNext w:val="0"/>
              <w:keepLines w:val="0"/>
              <w:pageBreakBefore w:val="0"/>
              <w:widowControl w:val="0"/>
              <w:suppressLineNumbers w:val="0"/>
              <w:kinsoku/>
              <w:wordWrap/>
              <w:overflowPunct/>
              <w:topLinePunct w:val="0"/>
              <w:autoSpaceDE/>
              <w:autoSpaceDN/>
              <w:bidi w:val="0"/>
              <w:adjustRightInd w:val="0"/>
              <w:snapToGrid/>
              <w:spacing w:line="400" w:lineRule="exact"/>
              <w:ind w:left="63" w:leftChars="30" w:right="63" w:rightChars="30"/>
              <w:jc w:val="both"/>
              <w:textAlignment w:val="auto"/>
              <w:outlineLvl w:val="2"/>
              <w:rPr>
                <w:rFonts w:hint="eastAsia" w:ascii="宋体" w:hAnsi="宋体" w:eastAsia="宋体" w:cs="宋体"/>
                <w:spacing w:val="6"/>
                <w:sz w:val="24"/>
                <w:szCs w:val="24"/>
                <w:lang w:eastAsia="zh-CN"/>
              </w:rPr>
            </w:pPr>
            <w:bookmarkStart w:id="209" w:name="_Toc25388"/>
            <w:bookmarkStart w:id="210" w:name="_Toc30334"/>
            <w:bookmarkStart w:id="211" w:name="_Toc18762"/>
            <w:bookmarkStart w:id="212" w:name="_Toc1990"/>
            <w:bookmarkStart w:id="213" w:name="_Toc4961"/>
            <w:r>
              <w:rPr>
                <w:rFonts w:hint="eastAsia" w:ascii="宋体" w:hAnsi="宋体" w:eastAsia="宋体" w:cs="宋体"/>
                <w:spacing w:val="6"/>
                <w:sz w:val="24"/>
                <w:szCs w:val="24"/>
              </w:rPr>
              <w:t>《中华人民共和国标准化法实施条</w:t>
            </w:r>
            <w:r>
              <w:rPr>
                <w:rFonts w:hint="eastAsia" w:ascii="宋体" w:hAnsi="宋体" w:eastAsia="宋体" w:cs="宋体"/>
                <w:spacing w:val="6"/>
                <w:sz w:val="24"/>
                <w:szCs w:val="24"/>
                <w:highlight w:val="none"/>
              </w:rPr>
              <w:t>例》</w:t>
            </w:r>
            <w:bookmarkEnd w:id="209"/>
            <w:bookmarkEnd w:id="210"/>
            <w:bookmarkEnd w:id="211"/>
            <w:bookmarkEnd w:id="212"/>
            <w:bookmarkEnd w:id="213"/>
            <w:bookmarkStart w:id="214" w:name="_Toc17784"/>
            <w:bookmarkStart w:id="215" w:name="_Toc29193"/>
            <w:bookmarkStart w:id="216" w:name="_Toc325"/>
            <w:bookmarkStart w:id="217" w:name="_Toc11444"/>
            <w:r>
              <w:rPr>
                <w:rFonts w:hint="eastAsia" w:ascii="宋体" w:hAnsi="宋体" w:eastAsia="宋体" w:cs="宋体"/>
                <w:spacing w:val="6"/>
                <w:sz w:val="24"/>
                <w:szCs w:val="24"/>
                <w:highlight w:val="none"/>
                <w:lang w:eastAsia="zh-CN"/>
              </w:rPr>
              <w:t>（</w:t>
            </w:r>
            <w:r>
              <w:rPr>
                <w:rFonts w:hint="eastAsia" w:ascii="宋体" w:hAnsi="宋体" w:cs="宋体"/>
                <w:spacing w:val="6"/>
                <w:sz w:val="24"/>
                <w:szCs w:val="24"/>
                <w:highlight w:val="none"/>
                <w:lang w:val="en-US" w:eastAsia="zh-CN" w:bidi="zh-CN"/>
              </w:rPr>
              <w:t>2024</w:t>
            </w:r>
            <w:r>
              <w:rPr>
                <w:rFonts w:hint="eastAsia" w:ascii="宋体" w:hAnsi="宋体" w:eastAsia="宋体" w:cs="宋体"/>
                <w:spacing w:val="6"/>
                <w:sz w:val="24"/>
                <w:szCs w:val="24"/>
                <w:highlight w:val="none"/>
                <w:lang w:val="en-US" w:eastAsia="zh-CN" w:bidi="zh-CN"/>
              </w:rPr>
              <w:t>年</w:t>
            </w:r>
            <w:r>
              <w:rPr>
                <w:rFonts w:hint="eastAsia" w:ascii="宋体" w:hAnsi="宋体" w:cs="宋体"/>
                <w:spacing w:val="6"/>
                <w:sz w:val="24"/>
                <w:szCs w:val="24"/>
                <w:highlight w:val="none"/>
                <w:lang w:val="en-US" w:eastAsia="zh-CN" w:bidi="zh-CN"/>
              </w:rPr>
              <w:t>5</w:t>
            </w:r>
            <w:r>
              <w:rPr>
                <w:rFonts w:hint="eastAsia" w:ascii="宋体" w:hAnsi="宋体" w:eastAsia="宋体" w:cs="宋体"/>
                <w:spacing w:val="6"/>
                <w:sz w:val="24"/>
                <w:szCs w:val="24"/>
                <w:highlight w:val="none"/>
                <w:lang w:val="en-US" w:eastAsia="zh-CN" w:bidi="zh-CN"/>
              </w:rPr>
              <w:t>月</w:t>
            </w:r>
            <w:r>
              <w:rPr>
                <w:rFonts w:hint="eastAsia" w:ascii="宋体" w:hAnsi="宋体" w:cs="宋体"/>
                <w:spacing w:val="6"/>
                <w:sz w:val="24"/>
                <w:szCs w:val="24"/>
                <w:highlight w:val="none"/>
                <w:lang w:val="en-US" w:eastAsia="zh-CN" w:bidi="zh-CN"/>
              </w:rPr>
              <w:t>1</w:t>
            </w:r>
            <w:r>
              <w:rPr>
                <w:rFonts w:hint="eastAsia" w:ascii="宋体" w:hAnsi="宋体" w:eastAsia="宋体" w:cs="宋体"/>
                <w:spacing w:val="6"/>
                <w:sz w:val="24"/>
                <w:szCs w:val="24"/>
                <w:highlight w:val="none"/>
                <w:lang w:val="en-US" w:eastAsia="zh-CN" w:bidi="zh-CN"/>
              </w:rPr>
              <w:t>日</w:t>
            </w:r>
            <w:r>
              <w:rPr>
                <w:rFonts w:hint="eastAsia" w:ascii="宋体" w:hAnsi="宋体" w:cs="宋体"/>
                <w:spacing w:val="6"/>
                <w:sz w:val="24"/>
                <w:szCs w:val="24"/>
                <w:highlight w:val="none"/>
                <w:lang w:val="en-US" w:eastAsia="zh-CN" w:bidi="zh-CN"/>
              </w:rPr>
              <w:t>起施行</w:t>
            </w:r>
            <w:r>
              <w:rPr>
                <w:rFonts w:hint="eastAsia" w:ascii="宋体" w:hAnsi="宋体" w:eastAsia="宋体" w:cs="宋体"/>
                <w:spacing w:val="6"/>
                <w:sz w:val="24"/>
                <w:szCs w:val="24"/>
                <w:highlight w:val="none"/>
                <w:lang w:eastAsia="zh-CN"/>
              </w:rPr>
              <w:t>）</w:t>
            </w:r>
            <w:bookmarkEnd w:id="214"/>
            <w:bookmarkEnd w:id="215"/>
            <w:bookmarkEnd w:id="216"/>
            <w:bookmarkEnd w:id="217"/>
          </w:p>
        </w:tc>
        <w:tc>
          <w:tcPr>
            <w:tcW w:w="4218" w:type="dxa"/>
            <w:vMerge w:val="restart"/>
            <w:noWrap w:val="0"/>
            <w:vAlign w:val="center"/>
          </w:tcPr>
          <w:p w14:paraId="476E936A">
            <w:pPr>
              <w:pStyle w:val="17"/>
              <w:keepNext w:val="0"/>
              <w:keepLines w:val="0"/>
              <w:pageBreakBefore w:val="0"/>
              <w:widowControl w:val="0"/>
              <w:kinsoku/>
              <w:wordWrap/>
              <w:overflowPunct/>
              <w:topLinePunct w:val="0"/>
              <w:autoSpaceDE w:val="0"/>
              <w:autoSpaceDN w:val="0"/>
              <w:bidi w:val="0"/>
              <w:adjustRightInd w:val="0"/>
              <w:snapToGrid/>
              <w:spacing w:before="0" w:line="420" w:lineRule="exact"/>
              <w:ind w:left="63" w:leftChars="30" w:right="63" w:rightChars="30"/>
              <w:jc w:val="both"/>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第三十三条第一款 生产不符合强制性标准的产品的，应当责令其停止生产，并没收产品，监督销毁或作必要技术处理；处以该批产品货值金额百分之二十至百分之五十的罚款；对有关责任者处以五千元以下罚款。</w:t>
            </w:r>
          </w:p>
        </w:tc>
        <w:tc>
          <w:tcPr>
            <w:tcW w:w="1151" w:type="dxa"/>
            <w:noWrap w:val="0"/>
            <w:vAlign w:val="center"/>
          </w:tcPr>
          <w:p w14:paraId="780E31D4">
            <w:pPr>
              <w:pStyle w:val="17"/>
              <w:keepNext w:val="0"/>
              <w:keepLines w:val="0"/>
              <w:pageBreakBefore w:val="0"/>
              <w:widowControl w:val="0"/>
              <w:kinsoku/>
              <w:wordWrap/>
              <w:overflowPunct/>
              <w:topLinePunct w:val="0"/>
              <w:autoSpaceDE w:val="0"/>
              <w:autoSpaceDN w:val="0"/>
              <w:bidi w:val="0"/>
              <w:adjustRightInd w:val="0"/>
              <w:snapToGrid/>
              <w:spacing w:before="0" w:line="420" w:lineRule="exact"/>
              <w:ind w:left="63" w:leftChars="30" w:right="63" w:rightChars="30"/>
              <w:jc w:val="center"/>
              <w:textAlignment w:val="auto"/>
              <w:rPr>
                <w:rFonts w:hint="eastAsia" w:ascii="宋体" w:hAnsi="宋体" w:eastAsia="宋体" w:cs="宋体"/>
                <w:color w:val="auto"/>
                <w:spacing w:val="6"/>
                <w:sz w:val="24"/>
                <w:szCs w:val="24"/>
              </w:rPr>
            </w:pPr>
          </w:p>
          <w:p w14:paraId="2EA2A9EF">
            <w:pPr>
              <w:pStyle w:val="17"/>
              <w:keepNext w:val="0"/>
              <w:keepLines w:val="0"/>
              <w:pageBreakBefore w:val="0"/>
              <w:widowControl w:val="0"/>
              <w:kinsoku/>
              <w:wordWrap/>
              <w:overflowPunct/>
              <w:topLinePunct w:val="0"/>
              <w:autoSpaceDE w:val="0"/>
              <w:autoSpaceDN w:val="0"/>
              <w:bidi w:val="0"/>
              <w:adjustRightInd w:val="0"/>
              <w:snapToGrid/>
              <w:spacing w:before="0" w:line="420" w:lineRule="exact"/>
              <w:ind w:left="63" w:leftChars="30" w:right="63" w:rightChars="30"/>
              <w:jc w:val="center"/>
              <w:textAlignment w:val="auto"/>
              <w:rPr>
                <w:rFonts w:hint="eastAsia" w:ascii="宋体" w:hAnsi="宋体" w:eastAsia="宋体" w:cs="宋体"/>
                <w:color w:val="auto"/>
                <w:spacing w:val="6"/>
                <w:sz w:val="24"/>
                <w:szCs w:val="24"/>
              </w:rPr>
            </w:pPr>
          </w:p>
          <w:p w14:paraId="7D79E3F5">
            <w:pPr>
              <w:pStyle w:val="17"/>
              <w:keepNext w:val="0"/>
              <w:keepLines w:val="0"/>
              <w:pageBreakBefore w:val="0"/>
              <w:widowControl w:val="0"/>
              <w:kinsoku/>
              <w:wordWrap/>
              <w:overflowPunct/>
              <w:topLinePunct w:val="0"/>
              <w:autoSpaceDE w:val="0"/>
              <w:autoSpaceDN w:val="0"/>
              <w:bidi w:val="0"/>
              <w:adjustRightInd w:val="0"/>
              <w:snapToGrid/>
              <w:spacing w:before="0" w:line="420" w:lineRule="exact"/>
              <w:ind w:left="63" w:leftChars="30" w:right="63" w:rightChars="30"/>
              <w:jc w:val="center"/>
              <w:textAlignment w:val="auto"/>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较轻</w:t>
            </w:r>
          </w:p>
        </w:tc>
        <w:tc>
          <w:tcPr>
            <w:tcW w:w="3125" w:type="dxa"/>
            <w:noWrap w:val="0"/>
            <w:vAlign w:val="center"/>
          </w:tcPr>
          <w:p w14:paraId="0395628A">
            <w:pPr>
              <w:keepNext w:val="0"/>
              <w:keepLines w:val="0"/>
              <w:widowControl/>
              <w:suppressLineNumbers w:val="0"/>
              <w:ind w:left="63" w:leftChars="30" w:right="42" w:rightChars="20"/>
              <w:jc w:val="left"/>
              <w:textAlignment w:val="center"/>
              <w:rPr>
                <w:rFonts w:hint="eastAsia" w:ascii="宋体" w:hAnsi="宋体" w:eastAsia="宋体" w:cs="宋体"/>
                <w:color w:val="auto"/>
                <w:spacing w:val="6"/>
                <w:kern w:val="2"/>
                <w:sz w:val="24"/>
                <w:szCs w:val="24"/>
                <w:lang w:val="zh-CN" w:eastAsia="zh-CN" w:bidi="zh-CN"/>
              </w:rPr>
            </w:pPr>
            <w:r>
              <w:rPr>
                <w:rFonts w:hint="eastAsia" w:ascii="宋体" w:hAnsi="宋体" w:eastAsia="宋体" w:cs="宋体"/>
                <w:color w:val="auto"/>
                <w:spacing w:val="6"/>
                <w:kern w:val="2"/>
                <w:sz w:val="24"/>
                <w:szCs w:val="24"/>
                <w:lang w:val="en-US" w:eastAsia="zh-CN" w:bidi="zh-CN"/>
              </w:rPr>
              <w:t>涉案产品货值金额5万元以下的</w:t>
            </w:r>
            <w:r>
              <w:rPr>
                <w:rFonts w:hint="eastAsia" w:ascii="宋体" w:hAnsi="宋体" w:cs="宋体"/>
                <w:color w:val="auto"/>
                <w:spacing w:val="6"/>
                <w:kern w:val="2"/>
                <w:sz w:val="24"/>
                <w:szCs w:val="24"/>
                <w:lang w:val="en-US" w:eastAsia="zh-CN" w:bidi="zh-CN"/>
              </w:rPr>
              <w:t>。</w:t>
            </w:r>
          </w:p>
        </w:tc>
        <w:tc>
          <w:tcPr>
            <w:tcW w:w="3418" w:type="dxa"/>
            <w:noWrap w:val="0"/>
            <w:vAlign w:val="center"/>
          </w:tcPr>
          <w:p w14:paraId="7957DFB6">
            <w:pPr>
              <w:keepNext w:val="0"/>
              <w:keepLines w:val="0"/>
              <w:widowControl/>
              <w:suppressLineNumbers w:val="0"/>
              <w:spacing w:line="380" w:lineRule="exact"/>
              <w:ind w:left="63" w:leftChars="30" w:right="42" w:rightChars="20"/>
              <w:jc w:val="both"/>
              <w:textAlignment w:val="center"/>
              <w:rPr>
                <w:rFonts w:hint="eastAsia" w:ascii="宋体" w:hAnsi="宋体" w:eastAsia="宋体" w:cs="宋体"/>
                <w:color w:val="auto"/>
                <w:spacing w:val="6"/>
                <w:kern w:val="2"/>
                <w:sz w:val="24"/>
                <w:szCs w:val="24"/>
                <w:lang w:val="zh-CN" w:eastAsia="zh-CN" w:bidi="zh-CN"/>
              </w:rPr>
            </w:pPr>
            <w:r>
              <w:rPr>
                <w:rFonts w:hint="eastAsia" w:ascii="宋体" w:hAnsi="宋体" w:cs="宋体"/>
                <w:color w:val="auto"/>
                <w:spacing w:val="6"/>
                <w:kern w:val="2"/>
                <w:sz w:val="24"/>
                <w:szCs w:val="24"/>
                <w:lang w:val="en-US" w:eastAsia="zh-CN" w:bidi="zh-CN"/>
              </w:rPr>
              <w:t>(1</w:t>
            </w:r>
            <w:r>
              <w:rPr>
                <w:rFonts w:hint="eastAsia" w:ascii="宋体" w:hAnsi="宋体" w:cs="宋体"/>
                <w:color w:val="auto"/>
                <w:spacing w:val="0"/>
                <w:kern w:val="2"/>
                <w:sz w:val="24"/>
                <w:szCs w:val="24"/>
                <w:lang w:val="en-US" w:eastAsia="zh-CN" w:bidi="zh-CN"/>
              </w:rPr>
              <w:t>)</w:t>
            </w:r>
            <w:r>
              <w:rPr>
                <w:rFonts w:hint="eastAsia" w:ascii="宋体" w:hAnsi="宋体" w:eastAsia="宋体" w:cs="宋体"/>
                <w:color w:val="auto"/>
                <w:spacing w:val="0"/>
                <w:kern w:val="2"/>
                <w:sz w:val="24"/>
                <w:szCs w:val="24"/>
                <w:lang w:val="en-US" w:eastAsia="zh-CN" w:bidi="zh-CN"/>
              </w:rPr>
              <w:t>责令停止生产，并没收产品</w:t>
            </w:r>
            <w:r>
              <w:rPr>
                <w:rFonts w:hint="eastAsia" w:ascii="宋体" w:hAnsi="宋体" w:eastAsia="宋体" w:cs="宋体"/>
                <w:spacing w:val="0"/>
                <w:sz w:val="24"/>
                <w:szCs w:val="24"/>
              </w:rPr>
              <w:t>，监督销毁或作必要技术处理</w:t>
            </w:r>
            <w:r>
              <w:rPr>
                <w:rFonts w:hint="eastAsia" w:ascii="宋体" w:hAnsi="宋体" w:eastAsia="宋体" w:cs="宋体"/>
                <w:color w:val="auto"/>
                <w:spacing w:val="0"/>
                <w:kern w:val="2"/>
                <w:sz w:val="24"/>
                <w:szCs w:val="24"/>
                <w:lang w:val="en-US" w:eastAsia="zh-CN" w:bidi="zh-CN"/>
              </w:rPr>
              <w:t>；</w:t>
            </w:r>
            <w:r>
              <w:rPr>
                <w:rFonts w:hint="eastAsia" w:ascii="宋体" w:hAnsi="宋体" w:eastAsia="宋体" w:cs="宋体"/>
                <w:color w:val="auto"/>
                <w:spacing w:val="0"/>
                <w:kern w:val="2"/>
                <w:sz w:val="24"/>
                <w:szCs w:val="24"/>
                <w:lang w:val="en-US" w:eastAsia="zh-CN" w:bidi="zh-CN"/>
              </w:rPr>
              <w:br w:type="textWrapping"/>
            </w:r>
            <w:r>
              <w:rPr>
                <w:rFonts w:hint="eastAsia" w:ascii="宋体" w:hAnsi="宋体" w:cs="宋体"/>
                <w:color w:val="auto"/>
                <w:spacing w:val="0"/>
                <w:kern w:val="2"/>
                <w:sz w:val="24"/>
                <w:szCs w:val="24"/>
                <w:lang w:val="en-US" w:eastAsia="zh-CN" w:bidi="zh-CN"/>
              </w:rPr>
              <w:t>(2)</w:t>
            </w:r>
            <w:r>
              <w:rPr>
                <w:rFonts w:hint="eastAsia" w:ascii="宋体" w:hAnsi="宋体" w:eastAsia="宋体" w:cs="宋体"/>
                <w:spacing w:val="0"/>
                <w:sz w:val="24"/>
                <w:szCs w:val="24"/>
              </w:rPr>
              <w:t>处以该批</w:t>
            </w:r>
            <w:r>
              <w:rPr>
                <w:rFonts w:hint="eastAsia" w:ascii="宋体" w:hAnsi="宋体" w:eastAsia="宋体" w:cs="宋体"/>
                <w:color w:val="auto"/>
                <w:spacing w:val="0"/>
                <w:kern w:val="2"/>
                <w:sz w:val="24"/>
                <w:szCs w:val="24"/>
                <w:lang w:val="en-US" w:eastAsia="zh-CN" w:bidi="zh-CN"/>
              </w:rPr>
              <w:t>产品货值金额20%以上到29%的罚款；对有关责任者处</w:t>
            </w:r>
            <w:r>
              <w:rPr>
                <w:rFonts w:hint="eastAsia" w:ascii="宋体" w:hAnsi="宋体" w:cs="宋体"/>
                <w:color w:val="auto"/>
                <w:spacing w:val="6"/>
                <w:kern w:val="2"/>
                <w:sz w:val="24"/>
                <w:szCs w:val="24"/>
                <w:lang w:val="en-US" w:eastAsia="zh-CN" w:bidi="zh-CN"/>
              </w:rPr>
              <w:t>以</w:t>
            </w:r>
            <w:r>
              <w:rPr>
                <w:rFonts w:hint="eastAsia" w:ascii="宋体" w:hAnsi="宋体" w:eastAsia="宋体" w:cs="宋体"/>
                <w:color w:val="auto"/>
                <w:spacing w:val="6"/>
                <w:kern w:val="2"/>
                <w:sz w:val="24"/>
                <w:szCs w:val="24"/>
                <w:lang w:val="en-US" w:eastAsia="zh-CN" w:bidi="zh-CN"/>
              </w:rPr>
              <w:t>1500元</w:t>
            </w:r>
            <w:r>
              <w:rPr>
                <w:rFonts w:hint="eastAsia" w:ascii="宋体" w:hAnsi="宋体" w:cs="宋体"/>
                <w:color w:val="auto"/>
                <w:spacing w:val="6"/>
                <w:kern w:val="2"/>
                <w:sz w:val="24"/>
                <w:szCs w:val="24"/>
                <w:lang w:val="en-US" w:eastAsia="zh-CN" w:bidi="zh-CN"/>
              </w:rPr>
              <w:t>以下</w:t>
            </w:r>
            <w:r>
              <w:rPr>
                <w:rFonts w:hint="eastAsia" w:ascii="宋体" w:hAnsi="宋体" w:eastAsia="宋体" w:cs="宋体"/>
                <w:color w:val="auto"/>
                <w:spacing w:val="6"/>
                <w:kern w:val="2"/>
                <w:sz w:val="24"/>
                <w:szCs w:val="24"/>
                <w:lang w:val="en-US" w:eastAsia="zh-CN" w:bidi="zh-CN"/>
              </w:rPr>
              <w:t>罚款。</w:t>
            </w:r>
          </w:p>
        </w:tc>
      </w:tr>
      <w:tr w14:paraId="39468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6" w:hRule="atLeast"/>
          <w:jc w:val="center"/>
        </w:trPr>
        <w:tc>
          <w:tcPr>
            <w:tcW w:w="684" w:type="dxa"/>
            <w:vMerge w:val="continue"/>
            <w:noWrap w:val="0"/>
            <w:vAlign w:val="center"/>
          </w:tcPr>
          <w:p w14:paraId="7A53E0AC">
            <w:pPr>
              <w:pStyle w:val="17"/>
              <w:keepNext w:val="0"/>
              <w:keepLines w:val="0"/>
              <w:pageBreakBefore w:val="0"/>
              <w:kinsoku/>
              <w:wordWrap/>
              <w:overflowPunct/>
              <w:topLinePunct w:val="0"/>
              <w:autoSpaceDE w:val="0"/>
              <w:autoSpaceDN w:val="0"/>
              <w:bidi w:val="0"/>
              <w:adjustRightInd w:val="0"/>
              <w:snapToGrid/>
              <w:spacing w:line="420" w:lineRule="exact"/>
              <w:ind w:left="63" w:leftChars="30" w:right="63" w:rightChars="30"/>
              <w:jc w:val="center"/>
              <w:textAlignment w:val="auto"/>
              <w:rPr>
                <w:rFonts w:hint="eastAsia" w:cs="宋体"/>
                <w:spacing w:val="6"/>
                <w:sz w:val="24"/>
                <w:szCs w:val="24"/>
                <w:lang w:val="en-US" w:eastAsia="zh-CN"/>
              </w:rPr>
            </w:pPr>
          </w:p>
        </w:tc>
        <w:tc>
          <w:tcPr>
            <w:tcW w:w="1800" w:type="dxa"/>
            <w:vMerge w:val="continue"/>
            <w:noWrap w:val="0"/>
            <w:vAlign w:val="center"/>
          </w:tcPr>
          <w:p w14:paraId="709DD02D">
            <w:pPr>
              <w:keepNext w:val="0"/>
              <w:keepLines w:val="0"/>
              <w:pageBreakBefore w:val="0"/>
              <w:widowControl/>
              <w:suppressLineNumbers w:val="0"/>
              <w:kinsoku/>
              <w:wordWrap/>
              <w:overflowPunct/>
              <w:topLinePunct w:val="0"/>
              <w:autoSpaceDE w:val="0"/>
              <w:autoSpaceDN w:val="0"/>
              <w:bidi w:val="0"/>
              <w:adjustRightInd w:val="0"/>
              <w:snapToGrid/>
              <w:spacing w:line="420" w:lineRule="exact"/>
              <w:ind w:left="63" w:leftChars="30" w:right="63" w:rightChars="30"/>
              <w:jc w:val="both"/>
              <w:textAlignment w:val="auto"/>
              <w:rPr>
                <w:rFonts w:hint="eastAsia" w:ascii="宋体" w:hAnsi="宋体" w:eastAsia="宋体" w:cs="宋体"/>
                <w:spacing w:val="6"/>
                <w:sz w:val="24"/>
                <w:szCs w:val="24"/>
                <w:highlight w:val="none"/>
                <w:lang w:eastAsia="zh-CN"/>
              </w:rPr>
            </w:pPr>
          </w:p>
        </w:tc>
        <w:tc>
          <w:tcPr>
            <w:tcW w:w="4218" w:type="dxa"/>
            <w:vMerge w:val="continue"/>
            <w:noWrap w:val="0"/>
            <w:vAlign w:val="center"/>
          </w:tcPr>
          <w:p w14:paraId="5D393B15">
            <w:pPr>
              <w:pStyle w:val="17"/>
              <w:keepNext w:val="0"/>
              <w:keepLines w:val="0"/>
              <w:pageBreakBefore w:val="0"/>
              <w:widowControl w:val="0"/>
              <w:kinsoku/>
              <w:wordWrap/>
              <w:overflowPunct/>
              <w:topLinePunct w:val="0"/>
              <w:autoSpaceDE w:val="0"/>
              <w:autoSpaceDN w:val="0"/>
              <w:bidi w:val="0"/>
              <w:adjustRightInd w:val="0"/>
              <w:snapToGrid/>
              <w:spacing w:before="0" w:line="420" w:lineRule="exact"/>
              <w:ind w:left="63" w:leftChars="30" w:right="63" w:rightChars="30"/>
              <w:jc w:val="both"/>
              <w:textAlignment w:val="auto"/>
              <w:rPr>
                <w:rFonts w:hint="eastAsia" w:ascii="宋体" w:hAnsi="宋体" w:eastAsia="宋体" w:cs="宋体"/>
                <w:spacing w:val="6"/>
                <w:sz w:val="24"/>
                <w:szCs w:val="24"/>
              </w:rPr>
            </w:pPr>
          </w:p>
        </w:tc>
        <w:tc>
          <w:tcPr>
            <w:tcW w:w="1151" w:type="dxa"/>
            <w:noWrap w:val="0"/>
            <w:vAlign w:val="center"/>
          </w:tcPr>
          <w:p w14:paraId="5FF0FA50">
            <w:pPr>
              <w:pStyle w:val="17"/>
              <w:keepNext w:val="0"/>
              <w:keepLines w:val="0"/>
              <w:pageBreakBefore w:val="0"/>
              <w:widowControl w:val="0"/>
              <w:kinsoku/>
              <w:wordWrap/>
              <w:overflowPunct/>
              <w:topLinePunct w:val="0"/>
              <w:autoSpaceDE w:val="0"/>
              <w:autoSpaceDN w:val="0"/>
              <w:bidi w:val="0"/>
              <w:adjustRightInd w:val="0"/>
              <w:snapToGrid/>
              <w:spacing w:before="0" w:line="420" w:lineRule="exact"/>
              <w:ind w:left="63" w:leftChars="30" w:right="63" w:rightChars="30"/>
              <w:jc w:val="center"/>
              <w:textAlignment w:val="auto"/>
              <w:rPr>
                <w:rFonts w:hint="eastAsia" w:ascii="宋体" w:hAnsi="宋体" w:eastAsia="宋体" w:cs="宋体"/>
                <w:color w:val="auto"/>
                <w:spacing w:val="6"/>
                <w:sz w:val="24"/>
                <w:szCs w:val="24"/>
                <w:lang w:eastAsia="zh-CN"/>
              </w:rPr>
            </w:pPr>
            <w:r>
              <w:rPr>
                <w:rFonts w:hint="eastAsia" w:cs="宋体"/>
                <w:color w:val="auto"/>
                <w:spacing w:val="6"/>
                <w:sz w:val="24"/>
                <w:szCs w:val="24"/>
                <w:lang w:eastAsia="zh-CN"/>
              </w:rPr>
              <w:t>一般</w:t>
            </w:r>
          </w:p>
        </w:tc>
        <w:tc>
          <w:tcPr>
            <w:tcW w:w="3125" w:type="dxa"/>
            <w:noWrap w:val="0"/>
            <w:vAlign w:val="center"/>
          </w:tcPr>
          <w:p w14:paraId="248696F0">
            <w:pPr>
              <w:keepNext w:val="0"/>
              <w:keepLines w:val="0"/>
              <w:widowControl/>
              <w:suppressLineNumbers w:val="0"/>
              <w:ind w:left="63" w:leftChars="30" w:right="42" w:rightChars="20"/>
              <w:jc w:val="left"/>
              <w:textAlignment w:val="center"/>
              <w:rPr>
                <w:rFonts w:hint="default" w:ascii="宋体" w:hAnsi="宋体" w:eastAsia="宋体" w:cs="宋体"/>
                <w:color w:val="auto"/>
                <w:spacing w:val="6"/>
                <w:kern w:val="2"/>
                <w:sz w:val="24"/>
                <w:szCs w:val="24"/>
                <w:lang w:val="en" w:eastAsia="zh-CN" w:bidi="zh-CN"/>
              </w:rPr>
            </w:pPr>
            <w:r>
              <w:rPr>
                <w:rFonts w:hint="eastAsia" w:ascii="宋体" w:hAnsi="宋体" w:eastAsia="宋体" w:cs="宋体"/>
                <w:color w:val="auto"/>
                <w:spacing w:val="6"/>
                <w:kern w:val="2"/>
                <w:sz w:val="24"/>
                <w:szCs w:val="24"/>
                <w:lang w:val="en-US" w:eastAsia="zh-CN" w:bidi="zh-CN"/>
              </w:rPr>
              <w:t>涉案产品货值金额5万元以上20万元以下的</w:t>
            </w:r>
            <w:r>
              <w:rPr>
                <w:rFonts w:hint="eastAsia" w:ascii="宋体" w:hAnsi="宋体" w:cs="宋体"/>
                <w:color w:val="auto"/>
                <w:spacing w:val="6"/>
                <w:kern w:val="2"/>
                <w:sz w:val="24"/>
                <w:szCs w:val="24"/>
                <w:lang w:val="en-US" w:eastAsia="zh-CN" w:bidi="zh-CN"/>
              </w:rPr>
              <w:t>。</w:t>
            </w:r>
          </w:p>
        </w:tc>
        <w:tc>
          <w:tcPr>
            <w:tcW w:w="3418" w:type="dxa"/>
            <w:noWrap w:val="0"/>
            <w:vAlign w:val="center"/>
          </w:tcPr>
          <w:p w14:paraId="5084BB7B">
            <w:pPr>
              <w:keepNext w:val="0"/>
              <w:keepLines w:val="0"/>
              <w:widowControl/>
              <w:suppressLineNumbers w:val="0"/>
              <w:spacing w:line="380" w:lineRule="exact"/>
              <w:ind w:left="63" w:leftChars="30" w:right="42" w:rightChars="20"/>
              <w:jc w:val="both"/>
              <w:textAlignment w:val="center"/>
              <w:rPr>
                <w:rFonts w:hint="eastAsia" w:ascii="宋体" w:hAnsi="宋体" w:eastAsia="宋体" w:cs="宋体"/>
                <w:color w:val="auto"/>
                <w:spacing w:val="6"/>
                <w:kern w:val="2"/>
                <w:sz w:val="24"/>
                <w:szCs w:val="24"/>
                <w:lang w:val="zh-CN" w:eastAsia="zh-CN" w:bidi="zh-CN"/>
              </w:rPr>
            </w:pPr>
            <w:r>
              <w:rPr>
                <w:rFonts w:hint="eastAsia" w:ascii="宋体" w:hAnsi="宋体" w:cs="宋体"/>
                <w:color w:val="auto"/>
                <w:spacing w:val="6"/>
                <w:kern w:val="2"/>
                <w:sz w:val="24"/>
                <w:szCs w:val="24"/>
                <w:lang w:val="en-US" w:eastAsia="zh-CN" w:bidi="zh-CN"/>
              </w:rPr>
              <w:t>(1)</w:t>
            </w:r>
            <w:r>
              <w:rPr>
                <w:rFonts w:hint="eastAsia" w:ascii="宋体" w:hAnsi="宋体" w:eastAsia="宋体" w:cs="宋体"/>
                <w:color w:val="auto"/>
                <w:spacing w:val="6"/>
                <w:kern w:val="2"/>
                <w:sz w:val="24"/>
                <w:szCs w:val="24"/>
                <w:lang w:val="en-US" w:eastAsia="zh-CN" w:bidi="zh-CN"/>
              </w:rPr>
              <w:t>责令停止生产，并没收产品</w:t>
            </w:r>
            <w:r>
              <w:rPr>
                <w:rFonts w:hint="eastAsia" w:ascii="宋体" w:hAnsi="宋体" w:eastAsia="宋体" w:cs="宋体"/>
                <w:spacing w:val="6"/>
                <w:sz w:val="24"/>
                <w:szCs w:val="24"/>
              </w:rPr>
              <w:t>，监督销毁或作必要技术处理</w:t>
            </w:r>
            <w:r>
              <w:rPr>
                <w:rFonts w:hint="eastAsia" w:ascii="宋体" w:hAnsi="宋体" w:eastAsia="宋体" w:cs="宋体"/>
                <w:color w:val="auto"/>
                <w:spacing w:val="6"/>
                <w:kern w:val="2"/>
                <w:sz w:val="24"/>
                <w:szCs w:val="24"/>
                <w:lang w:val="en-US" w:eastAsia="zh-CN" w:bidi="zh-CN"/>
              </w:rPr>
              <w:t>；</w:t>
            </w:r>
            <w:r>
              <w:rPr>
                <w:rFonts w:hint="eastAsia" w:ascii="宋体" w:hAnsi="宋体" w:eastAsia="宋体" w:cs="宋体"/>
                <w:color w:val="auto"/>
                <w:spacing w:val="6"/>
                <w:kern w:val="2"/>
                <w:sz w:val="24"/>
                <w:szCs w:val="24"/>
                <w:lang w:val="en-US" w:eastAsia="zh-CN" w:bidi="zh-CN"/>
              </w:rPr>
              <w:br w:type="textWrapping"/>
            </w:r>
            <w:r>
              <w:rPr>
                <w:rFonts w:hint="eastAsia" w:ascii="宋体" w:hAnsi="宋体" w:cs="宋体"/>
                <w:color w:val="auto"/>
                <w:spacing w:val="6"/>
                <w:kern w:val="2"/>
                <w:sz w:val="24"/>
                <w:szCs w:val="24"/>
                <w:lang w:val="en-US" w:eastAsia="zh-CN" w:bidi="zh-CN"/>
              </w:rPr>
              <w:t>(2)</w:t>
            </w:r>
            <w:r>
              <w:rPr>
                <w:rFonts w:hint="eastAsia" w:ascii="宋体" w:hAnsi="宋体" w:eastAsia="宋体" w:cs="宋体"/>
                <w:spacing w:val="6"/>
                <w:sz w:val="24"/>
                <w:szCs w:val="24"/>
              </w:rPr>
              <w:t>处以该批</w:t>
            </w:r>
            <w:r>
              <w:rPr>
                <w:rFonts w:hint="eastAsia" w:ascii="宋体" w:hAnsi="宋体" w:eastAsia="宋体" w:cs="宋体"/>
                <w:color w:val="auto"/>
                <w:spacing w:val="6"/>
                <w:kern w:val="2"/>
                <w:sz w:val="24"/>
                <w:szCs w:val="24"/>
                <w:lang w:val="en-US" w:eastAsia="zh-CN" w:bidi="zh-CN"/>
              </w:rPr>
              <w:t>产品货值金额29%以上到41%的罚款；对有关责任者处</w:t>
            </w:r>
            <w:r>
              <w:rPr>
                <w:rFonts w:hint="eastAsia" w:ascii="宋体" w:hAnsi="宋体" w:cs="宋体"/>
                <w:color w:val="auto"/>
                <w:spacing w:val="6"/>
                <w:kern w:val="2"/>
                <w:sz w:val="24"/>
                <w:szCs w:val="24"/>
                <w:lang w:val="en-US" w:eastAsia="zh-CN" w:bidi="zh-CN"/>
              </w:rPr>
              <w:t>以</w:t>
            </w:r>
            <w:r>
              <w:rPr>
                <w:rFonts w:hint="eastAsia" w:ascii="宋体" w:hAnsi="宋体" w:eastAsia="宋体" w:cs="宋体"/>
                <w:color w:val="auto"/>
                <w:spacing w:val="6"/>
                <w:kern w:val="2"/>
                <w:sz w:val="24"/>
                <w:szCs w:val="24"/>
                <w:lang w:val="en-US" w:eastAsia="zh-CN" w:bidi="zh-CN"/>
              </w:rPr>
              <w:t>1500元以上3500元</w:t>
            </w:r>
            <w:r>
              <w:rPr>
                <w:rFonts w:hint="eastAsia" w:ascii="宋体" w:hAnsi="宋体" w:cs="宋体"/>
                <w:color w:val="auto"/>
                <w:spacing w:val="6"/>
                <w:kern w:val="2"/>
                <w:sz w:val="24"/>
                <w:szCs w:val="24"/>
                <w:lang w:val="en-US" w:eastAsia="zh-CN" w:bidi="zh-CN"/>
              </w:rPr>
              <w:t>以下</w:t>
            </w:r>
            <w:r>
              <w:rPr>
                <w:rFonts w:hint="eastAsia" w:ascii="宋体" w:hAnsi="宋体" w:eastAsia="宋体" w:cs="宋体"/>
                <w:color w:val="auto"/>
                <w:spacing w:val="6"/>
                <w:kern w:val="2"/>
                <w:sz w:val="24"/>
                <w:szCs w:val="24"/>
                <w:lang w:val="en-US" w:eastAsia="zh-CN" w:bidi="zh-CN"/>
              </w:rPr>
              <w:t>罚款。</w:t>
            </w:r>
          </w:p>
        </w:tc>
      </w:tr>
      <w:tr w14:paraId="3E0FB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4" w:hRule="atLeast"/>
          <w:jc w:val="center"/>
        </w:trPr>
        <w:tc>
          <w:tcPr>
            <w:tcW w:w="684" w:type="dxa"/>
            <w:vMerge w:val="continue"/>
            <w:tcBorders>
              <w:top w:val="nil"/>
            </w:tcBorders>
            <w:noWrap w:val="0"/>
            <w:vAlign w:val="top"/>
          </w:tcPr>
          <w:p w14:paraId="7C6D1BAC">
            <w:pPr>
              <w:keepNext w:val="0"/>
              <w:keepLines w:val="0"/>
              <w:pageBreakBefore w:val="0"/>
              <w:kinsoku/>
              <w:wordWrap/>
              <w:overflowPunct/>
              <w:topLinePunct w:val="0"/>
              <w:autoSpaceDE w:val="0"/>
              <w:autoSpaceDN w:val="0"/>
              <w:bidi w:val="0"/>
              <w:adjustRightInd w:val="0"/>
              <w:snapToGrid/>
              <w:spacing w:line="420" w:lineRule="exact"/>
              <w:ind w:left="63" w:leftChars="30" w:right="63" w:rightChars="30"/>
              <w:jc w:val="center"/>
              <w:textAlignment w:val="auto"/>
              <w:rPr>
                <w:rFonts w:hint="eastAsia" w:ascii="宋体" w:hAnsi="宋体" w:eastAsia="宋体" w:cs="宋体"/>
                <w:spacing w:val="6"/>
                <w:sz w:val="24"/>
                <w:szCs w:val="24"/>
              </w:rPr>
            </w:pPr>
          </w:p>
        </w:tc>
        <w:tc>
          <w:tcPr>
            <w:tcW w:w="1800" w:type="dxa"/>
            <w:vMerge w:val="continue"/>
            <w:tcBorders>
              <w:top w:val="nil"/>
            </w:tcBorders>
            <w:noWrap w:val="0"/>
            <w:vAlign w:val="top"/>
          </w:tcPr>
          <w:p w14:paraId="790C3693">
            <w:pPr>
              <w:keepNext w:val="0"/>
              <w:keepLines w:val="0"/>
              <w:pageBreakBefore w:val="0"/>
              <w:kinsoku/>
              <w:wordWrap/>
              <w:overflowPunct/>
              <w:topLinePunct w:val="0"/>
              <w:autoSpaceDE w:val="0"/>
              <w:autoSpaceDN w:val="0"/>
              <w:bidi w:val="0"/>
              <w:adjustRightInd w:val="0"/>
              <w:snapToGrid/>
              <w:spacing w:line="420" w:lineRule="exact"/>
              <w:ind w:left="63" w:leftChars="30" w:right="63" w:rightChars="30"/>
              <w:textAlignment w:val="auto"/>
              <w:rPr>
                <w:rFonts w:hint="eastAsia" w:ascii="宋体" w:hAnsi="宋体" w:eastAsia="宋体" w:cs="宋体"/>
                <w:spacing w:val="6"/>
                <w:sz w:val="24"/>
                <w:szCs w:val="24"/>
              </w:rPr>
            </w:pPr>
          </w:p>
        </w:tc>
        <w:tc>
          <w:tcPr>
            <w:tcW w:w="4218" w:type="dxa"/>
            <w:vMerge w:val="continue"/>
            <w:tcBorders>
              <w:top w:val="nil"/>
            </w:tcBorders>
            <w:noWrap w:val="0"/>
            <w:vAlign w:val="center"/>
          </w:tcPr>
          <w:p w14:paraId="3DC35B00">
            <w:pPr>
              <w:keepNext w:val="0"/>
              <w:keepLines w:val="0"/>
              <w:pageBreakBefore w:val="0"/>
              <w:widowControl w:val="0"/>
              <w:kinsoku/>
              <w:wordWrap/>
              <w:overflowPunct/>
              <w:topLinePunct w:val="0"/>
              <w:autoSpaceDE w:val="0"/>
              <w:autoSpaceDN w:val="0"/>
              <w:bidi w:val="0"/>
              <w:adjustRightInd w:val="0"/>
              <w:snapToGrid/>
              <w:spacing w:before="0" w:line="420" w:lineRule="exact"/>
              <w:ind w:left="63" w:leftChars="30" w:right="63" w:rightChars="30"/>
              <w:jc w:val="both"/>
              <w:textAlignment w:val="auto"/>
              <w:rPr>
                <w:rFonts w:hint="eastAsia" w:ascii="宋体" w:hAnsi="宋体" w:eastAsia="宋体" w:cs="宋体"/>
                <w:spacing w:val="6"/>
                <w:sz w:val="24"/>
                <w:szCs w:val="24"/>
              </w:rPr>
            </w:pPr>
          </w:p>
        </w:tc>
        <w:tc>
          <w:tcPr>
            <w:tcW w:w="1151" w:type="dxa"/>
            <w:noWrap w:val="0"/>
            <w:vAlign w:val="center"/>
          </w:tcPr>
          <w:p w14:paraId="46D187EF">
            <w:pPr>
              <w:pStyle w:val="17"/>
              <w:keepNext w:val="0"/>
              <w:keepLines w:val="0"/>
              <w:pageBreakBefore w:val="0"/>
              <w:widowControl w:val="0"/>
              <w:kinsoku/>
              <w:wordWrap/>
              <w:overflowPunct/>
              <w:topLinePunct w:val="0"/>
              <w:autoSpaceDE w:val="0"/>
              <w:autoSpaceDN w:val="0"/>
              <w:bidi w:val="0"/>
              <w:adjustRightInd w:val="0"/>
              <w:snapToGrid/>
              <w:spacing w:before="0" w:line="420" w:lineRule="exact"/>
              <w:ind w:left="63" w:leftChars="30" w:right="63" w:rightChars="30"/>
              <w:jc w:val="center"/>
              <w:textAlignment w:val="auto"/>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较重</w:t>
            </w:r>
          </w:p>
        </w:tc>
        <w:tc>
          <w:tcPr>
            <w:tcW w:w="3125" w:type="dxa"/>
            <w:noWrap w:val="0"/>
            <w:vAlign w:val="center"/>
          </w:tcPr>
          <w:p w14:paraId="602602FF">
            <w:pPr>
              <w:keepNext w:val="0"/>
              <w:keepLines w:val="0"/>
              <w:widowControl/>
              <w:suppressLineNumbers w:val="0"/>
              <w:ind w:left="63" w:leftChars="30" w:right="42" w:rightChars="20"/>
              <w:jc w:val="left"/>
              <w:textAlignment w:val="center"/>
              <w:rPr>
                <w:rFonts w:hint="eastAsia" w:ascii="宋体" w:hAnsi="宋体" w:eastAsia="宋体" w:cs="宋体"/>
                <w:color w:val="auto"/>
                <w:spacing w:val="6"/>
                <w:kern w:val="2"/>
                <w:sz w:val="24"/>
                <w:szCs w:val="24"/>
                <w:lang w:val="zh-CN" w:eastAsia="zh-CN" w:bidi="zh-CN"/>
              </w:rPr>
            </w:pPr>
            <w:r>
              <w:rPr>
                <w:rFonts w:hint="eastAsia" w:ascii="宋体" w:hAnsi="宋体" w:eastAsia="宋体" w:cs="宋体"/>
                <w:color w:val="auto"/>
                <w:spacing w:val="6"/>
                <w:kern w:val="2"/>
                <w:sz w:val="24"/>
                <w:szCs w:val="24"/>
                <w:lang w:val="en-US" w:eastAsia="zh-CN" w:bidi="zh-CN"/>
              </w:rPr>
              <w:t>涉案产品货值金额20万元以上的</w:t>
            </w:r>
            <w:r>
              <w:rPr>
                <w:rFonts w:hint="eastAsia" w:ascii="宋体" w:hAnsi="宋体" w:cs="宋体"/>
                <w:color w:val="auto"/>
                <w:spacing w:val="6"/>
                <w:kern w:val="2"/>
                <w:sz w:val="24"/>
                <w:szCs w:val="24"/>
                <w:lang w:val="en-US" w:eastAsia="zh-CN" w:bidi="zh-CN"/>
              </w:rPr>
              <w:t>。</w:t>
            </w:r>
          </w:p>
        </w:tc>
        <w:tc>
          <w:tcPr>
            <w:tcW w:w="3418" w:type="dxa"/>
            <w:noWrap w:val="0"/>
            <w:vAlign w:val="center"/>
          </w:tcPr>
          <w:p w14:paraId="40557BF7">
            <w:pPr>
              <w:keepNext w:val="0"/>
              <w:keepLines w:val="0"/>
              <w:widowControl/>
              <w:suppressLineNumbers w:val="0"/>
              <w:spacing w:line="380" w:lineRule="exact"/>
              <w:ind w:left="63" w:leftChars="30" w:right="42" w:rightChars="20"/>
              <w:jc w:val="both"/>
              <w:textAlignment w:val="center"/>
              <w:rPr>
                <w:rFonts w:hint="eastAsia" w:ascii="宋体" w:hAnsi="宋体" w:eastAsia="宋体" w:cs="宋体"/>
                <w:color w:val="auto"/>
                <w:spacing w:val="6"/>
                <w:kern w:val="2"/>
                <w:sz w:val="24"/>
                <w:szCs w:val="24"/>
                <w:lang w:val="zh-CN" w:eastAsia="zh-CN" w:bidi="zh-CN"/>
              </w:rPr>
            </w:pPr>
            <w:r>
              <w:rPr>
                <w:rFonts w:hint="eastAsia" w:ascii="宋体" w:hAnsi="宋体" w:cs="宋体"/>
                <w:color w:val="auto"/>
                <w:spacing w:val="6"/>
                <w:kern w:val="2"/>
                <w:sz w:val="24"/>
                <w:szCs w:val="24"/>
                <w:lang w:val="en-US" w:eastAsia="zh-CN" w:bidi="zh-CN"/>
              </w:rPr>
              <w:t>(1)</w:t>
            </w:r>
            <w:r>
              <w:rPr>
                <w:rFonts w:hint="eastAsia" w:ascii="宋体" w:hAnsi="宋体" w:eastAsia="宋体" w:cs="宋体"/>
                <w:color w:val="auto"/>
                <w:spacing w:val="6"/>
                <w:kern w:val="2"/>
                <w:sz w:val="24"/>
                <w:szCs w:val="24"/>
                <w:lang w:val="en-US" w:eastAsia="zh-CN" w:bidi="zh-CN"/>
              </w:rPr>
              <w:t>责令停止生产，并没收产品</w:t>
            </w:r>
            <w:r>
              <w:rPr>
                <w:rFonts w:hint="eastAsia" w:ascii="宋体" w:hAnsi="宋体" w:eastAsia="宋体" w:cs="宋体"/>
                <w:spacing w:val="6"/>
                <w:sz w:val="24"/>
                <w:szCs w:val="24"/>
              </w:rPr>
              <w:t>，监督销毁或作必要技术处理</w:t>
            </w:r>
            <w:r>
              <w:rPr>
                <w:rFonts w:hint="eastAsia" w:ascii="宋体" w:hAnsi="宋体" w:eastAsia="宋体" w:cs="宋体"/>
                <w:color w:val="auto"/>
                <w:spacing w:val="6"/>
                <w:kern w:val="2"/>
                <w:sz w:val="24"/>
                <w:szCs w:val="24"/>
                <w:lang w:val="en-US" w:eastAsia="zh-CN" w:bidi="zh-CN"/>
              </w:rPr>
              <w:t>；</w:t>
            </w:r>
            <w:r>
              <w:rPr>
                <w:rFonts w:hint="eastAsia" w:ascii="宋体" w:hAnsi="宋体" w:eastAsia="宋体" w:cs="宋体"/>
                <w:color w:val="auto"/>
                <w:spacing w:val="6"/>
                <w:kern w:val="2"/>
                <w:sz w:val="24"/>
                <w:szCs w:val="24"/>
                <w:lang w:val="en-US" w:eastAsia="zh-CN" w:bidi="zh-CN"/>
              </w:rPr>
              <w:br w:type="textWrapping"/>
            </w:r>
            <w:r>
              <w:rPr>
                <w:rFonts w:hint="eastAsia" w:ascii="宋体" w:hAnsi="宋体" w:cs="宋体"/>
                <w:color w:val="auto"/>
                <w:spacing w:val="6"/>
                <w:kern w:val="2"/>
                <w:sz w:val="24"/>
                <w:szCs w:val="24"/>
                <w:lang w:val="en-US" w:eastAsia="zh-CN" w:bidi="zh-CN"/>
              </w:rPr>
              <w:t>(2)</w:t>
            </w:r>
            <w:r>
              <w:rPr>
                <w:rFonts w:hint="eastAsia" w:ascii="宋体" w:hAnsi="宋体" w:eastAsia="宋体" w:cs="宋体"/>
                <w:spacing w:val="6"/>
                <w:sz w:val="24"/>
                <w:szCs w:val="24"/>
              </w:rPr>
              <w:t>处以该批</w:t>
            </w:r>
            <w:r>
              <w:rPr>
                <w:rFonts w:hint="eastAsia" w:ascii="宋体" w:hAnsi="宋体" w:eastAsia="宋体" w:cs="宋体"/>
                <w:color w:val="auto"/>
                <w:spacing w:val="6"/>
                <w:kern w:val="2"/>
                <w:sz w:val="24"/>
                <w:szCs w:val="24"/>
                <w:lang w:val="en-US" w:eastAsia="zh-CN" w:bidi="zh-CN"/>
              </w:rPr>
              <w:t>产品货值金额41%以上50%以下的罚款；对有关责任者处</w:t>
            </w:r>
            <w:r>
              <w:rPr>
                <w:rFonts w:hint="eastAsia" w:ascii="宋体" w:hAnsi="宋体" w:cs="宋体"/>
                <w:color w:val="auto"/>
                <w:spacing w:val="6"/>
                <w:kern w:val="2"/>
                <w:sz w:val="24"/>
                <w:szCs w:val="24"/>
                <w:lang w:val="en-US" w:eastAsia="zh-CN" w:bidi="zh-CN"/>
              </w:rPr>
              <w:t>以</w:t>
            </w:r>
            <w:r>
              <w:rPr>
                <w:rFonts w:hint="eastAsia" w:ascii="宋体" w:hAnsi="宋体" w:eastAsia="宋体" w:cs="宋体"/>
                <w:color w:val="auto"/>
                <w:spacing w:val="6"/>
                <w:kern w:val="2"/>
                <w:sz w:val="24"/>
                <w:szCs w:val="24"/>
                <w:lang w:val="en-US" w:eastAsia="zh-CN" w:bidi="zh-CN"/>
              </w:rPr>
              <w:t>3500元以上5000</w:t>
            </w:r>
            <w:r>
              <w:rPr>
                <w:rFonts w:hint="eastAsia" w:ascii="宋体" w:hAnsi="宋体" w:cs="宋体"/>
                <w:color w:val="auto"/>
                <w:spacing w:val="6"/>
                <w:kern w:val="2"/>
                <w:sz w:val="24"/>
                <w:szCs w:val="24"/>
                <w:lang w:val="en-US" w:eastAsia="zh-CN" w:bidi="zh-CN"/>
              </w:rPr>
              <w:t>元</w:t>
            </w:r>
            <w:r>
              <w:rPr>
                <w:rFonts w:hint="eastAsia" w:ascii="宋体" w:hAnsi="宋体" w:eastAsia="宋体" w:cs="宋体"/>
                <w:color w:val="auto"/>
                <w:spacing w:val="6"/>
                <w:kern w:val="2"/>
                <w:sz w:val="24"/>
                <w:szCs w:val="24"/>
                <w:lang w:val="en-US" w:eastAsia="zh-CN" w:bidi="zh-CN"/>
              </w:rPr>
              <w:t>以下罚款。</w:t>
            </w:r>
          </w:p>
        </w:tc>
      </w:tr>
      <w:tr w14:paraId="26285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6" w:hRule="atLeast"/>
          <w:jc w:val="center"/>
        </w:trPr>
        <w:tc>
          <w:tcPr>
            <w:tcW w:w="684" w:type="dxa"/>
            <w:vMerge w:val="restart"/>
            <w:noWrap w:val="0"/>
            <w:vAlign w:val="center"/>
          </w:tcPr>
          <w:p w14:paraId="5B5894D2">
            <w:pPr>
              <w:pStyle w:val="17"/>
              <w:keepNext w:val="0"/>
              <w:keepLines w:val="0"/>
              <w:pageBreakBefore w:val="0"/>
              <w:kinsoku/>
              <w:wordWrap/>
              <w:overflowPunct/>
              <w:topLinePunct w:val="0"/>
              <w:autoSpaceDE w:val="0"/>
              <w:autoSpaceDN w:val="0"/>
              <w:bidi w:val="0"/>
              <w:adjustRightInd w:val="0"/>
              <w:snapToGrid/>
              <w:spacing w:before="1" w:line="420" w:lineRule="exact"/>
              <w:ind w:left="63" w:leftChars="30" w:right="63" w:rightChars="30"/>
              <w:jc w:val="center"/>
              <w:textAlignment w:val="auto"/>
              <w:rPr>
                <w:rFonts w:hint="default" w:ascii="宋体" w:hAnsi="宋体" w:eastAsia="宋体" w:cs="宋体"/>
                <w:spacing w:val="6"/>
                <w:sz w:val="24"/>
                <w:szCs w:val="24"/>
                <w:lang w:val="en-US" w:eastAsia="zh-CN"/>
              </w:rPr>
            </w:pPr>
            <w:r>
              <w:rPr>
                <w:rFonts w:hint="eastAsia" w:cs="宋体"/>
                <w:spacing w:val="6"/>
                <w:sz w:val="24"/>
                <w:szCs w:val="24"/>
                <w:lang w:val="en-US" w:eastAsia="zh-CN"/>
              </w:rPr>
              <w:t>141</w:t>
            </w:r>
          </w:p>
        </w:tc>
        <w:tc>
          <w:tcPr>
            <w:tcW w:w="1800" w:type="dxa"/>
            <w:vMerge w:val="restart"/>
            <w:noWrap w:val="0"/>
            <w:vAlign w:val="center"/>
          </w:tcPr>
          <w:p w14:paraId="35E4E746">
            <w:pPr>
              <w:pStyle w:val="17"/>
              <w:keepNext w:val="0"/>
              <w:keepLines w:val="0"/>
              <w:pageBreakBefore w:val="0"/>
              <w:kinsoku/>
              <w:wordWrap/>
              <w:overflowPunct/>
              <w:topLinePunct w:val="0"/>
              <w:autoSpaceDE w:val="0"/>
              <w:autoSpaceDN w:val="0"/>
              <w:bidi w:val="0"/>
              <w:adjustRightInd w:val="0"/>
              <w:snapToGrid/>
              <w:spacing w:line="420" w:lineRule="exact"/>
              <w:ind w:left="63" w:leftChars="30" w:right="63" w:rightChars="30"/>
              <w:jc w:val="both"/>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《中华人民共和国标准化法实施条例》</w:t>
            </w:r>
          </w:p>
        </w:tc>
        <w:tc>
          <w:tcPr>
            <w:tcW w:w="4218" w:type="dxa"/>
            <w:vMerge w:val="restart"/>
            <w:noWrap w:val="0"/>
            <w:vAlign w:val="center"/>
          </w:tcPr>
          <w:p w14:paraId="786C5A89">
            <w:pPr>
              <w:pStyle w:val="17"/>
              <w:keepNext w:val="0"/>
              <w:keepLines w:val="0"/>
              <w:pageBreakBefore w:val="0"/>
              <w:widowControl w:val="0"/>
              <w:kinsoku/>
              <w:wordWrap/>
              <w:overflowPunct/>
              <w:topLinePunct w:val="0"/>
              <w:autoSpaceDE w:val="0"/>
              <w:autoSpaceDN w:val="0"/>
              <w:bidi w:val="0"/>
              <w:adjustRightInd w:val="0"/>
              <w:snapToGrid/>
              <w:spacing w:before="0" w:line="420" w:lineRule="exact"/>
              <w:ind w:left="63" w:leftChars="30" w:right="63" w:rightChars="30"/>
              <w:jc w:val="both"/>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第三十三条第二款 销售不符合强制性标准的商品的，责令其停止销售，并限期追回已售出的商品，监督销毁或作必要技术处理；没收违法所得；处以该批商品货值金额百分之十至百分之二十的罚款；对有关责任者处以五千元以下罚款。</w:t>
            </w:r>
          </w:p>
        </w:tc>
        <w:tc>
          <w:tcPr>
            <w:tcW w:w="1151" w:type="dxa"/>
            <w:noWrap w:val="0"/>
            <w:vAlign w:val="center"/>
          </w:tcPr>
          <w:p w14:paraId="1307F29A">
            <w:pPr>
              <w:pStyle w:val="17"/>
              <w:keepNext w:val="0"/>
              <w:keepLines w:val="0"/>
              <w:pageBreakBefore w:val="0"/>
              <w:widowControl w:val="0"/>
              <w:kinsoku/>
              <w:wordWrap/>
              <w:overflowPunct/>
              <w:topLinePunct w:val="0"/>
              <w:autoSpaceDE w:val="0"/>
              <w:autoSpaceDN w:val="0"/>
              <w:bidi w:val="0"/>
              <w:adjustRightInd w:val="0"/>
              <w:snapToGrid/>
              <w:spacing w:before="0" w:line="420" w:lineRule="exact"/>
              <w:ind w:left="63" w:leftChars="30" w:right="63" w:rightChars="30"/>
              <w:jc w:val="center"/>
              <w:textAlignment w:val="auto"/>
              <w:rPr>
                <w:rFonts w:hint="eastAsia" w:ascii="宋体" w:hAnsi="宋体" w:eastAsia="宋体" w:cs="宋体"/>
                <w:spacing w:val="6"/>
                <w:sz w:val="24"/>
                <w:szCs w:val="24"/>
              </w:rPr>
            </w:pPr>
          </w:p>
          <w:p w14:paraId="0FC0CB02">
            <w:pPr>
              <w:pStyle w:val="17"/>
              <w:keepNext w:val="0"/>
              <w:keepLines w:val="0"/>
              <w:pageBreakBefore w:val="0"/>
              <w:widowControl w:val="0"/>
              <w:kinsoku/>
              <w:wordWrap/>
              <w:overflowPunct/>
              <w:topLinePunct w:val="0"/>
              <w:autoSpaceDE w:val="0"/>
              <w:autoSpaceDN w:val="0"/>
              <w:bidi w:val="0"/>
              <w:adjustRightInd w:val="0"/>
              <w:snapToGrid/>
              <w:spacing w:before="0" w:line="420" w:lineRule="exact"/>
              <w:ind w:left="63" w:leftChars="30" w:right="63" w:rightChars="30"/>
              <w:jc w:val="center"/>
              <w:textAlignment w:val="auto"/>
              <w:rPr>
                <w:rFonts w:hint="eastAsia" w:ascii="宋体" w:hAnsi="宋体" w:eastAsia="宋体" w:cs="宋体"/>
                <w:spacing w:val="6"/>
                <w:sz w:val="24"/>
                <w:szCs w:val="24"/>
              </w:rPr>
            </w:pPr>
          </w:p>
          <w:p w14:paraId="4C8D9938">
            <w:pPr>
              <w:pStyle w:val="17"/>
              <w:keepNext w:val="0"/>
              <w:keepLines w:val="0"/>
              <w:pageBreakBefore w:val="0"/>
              <w:widowControl w:val="0"/>
              <w:kinsoku/>
              <w:wordWrap/>
              <w:overflowPunct/>
              <w:topLinePunct w:val="0"/>
              <w:autoSpaceDE w:val="0"/>
              <w:autoSpaceDN w:val="0"/>
              <w:bidi w:val="0"/>
              <w:adjustRightInd w:val="0"/>
              <w:snapToGrid/>
              <w:spacing w:before="0" w:line="420" w:lineRule="exact"/>
              <w:ind w:left="63" w:leftChars="30" w:right="63" w:rightChars="30"/>
              <w:jc w:val="center"/>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较轻</w:t>
            </w:r>
          </w:p>
        </w:tc>
        <w:tc>
          <w:tcPr>
            <w:tcW w:w="3125" w:type="dxa"/>
            <w:noWrap w:val="0"/>
            <w:vAlign w:val="center"/>
          </w:tcPr>
          <w:p w14:paraId="78C8C0DE">
            <w:pPr>
              <w:keepNext w:val="0"/>
              <w:keepLines w:val="0"/>
              <w:widowControl/>
              <w:suppressLineNumbers w:val="0"/>
              <w:ind w:left="63" w:leftChars="30" w:right="42" w:rightChars="20"/>
              <w:jc w:val="left"/>
              <w:textAlignment w:val="center"/>
              <w:rPr>
                <w:rFonts w:hint="eastAsia" w:ascii="宋体" w:hAnsi="宋体" w:eastAsia="宋体" w:cs="宋体"/>
                <w:color w:val="0000FF"/>
                <w:spacing w:val="6"/>
                <w:kern w:val="2"/>
                <w:sz w:val="24"/>
                <w:szCs w:val="24"/>
                <w:lang w:val="zh-CN" w:eastAsia="zh-CN" w:bidi="zh-CN"/>
              </w:rPr>
            </w:pPr>
            <w:r>
              <w:rPr>
                <w:rFonts w:hint="eastAsia" w:ascii="宋体" w:hAnsi="宋体" w:eastAsia="宋体" w:cs="宋体"/>
                <w:color w:val="auto"/>
                <w:spacing w:val="6"/>
                <w:kern w:val="2"/>
                <w:sz w:val="24"/>
                <w:szCs w:val="24"/>
                <w:lang w:val="en-US" w:eastAsia="zh-CN" w:bidi="zh-CN"/>
              </w:rPr>
              <w:t>涉案产品货值金额5万元以下的</w:t>
            </w:r>
            <w:r>
              <w:rPr>
                <w:rFonts w:hint="eastAsia" w:ascii="宋体" w:hAnsi="宋体" w:cs="宋体"/>
                <w:color w:val="auto"/>
                <w:spacing w:val="6"/>
                <w:kern w:val="2"/>
                <w:sz w:val="24"/>
                <w:szCs w:val="24"/>
                <w:lang w:val="en-US" w:eastAsia="zh-CN" w:bidi="zh-CN"/>
              </w:rPr>
              <w:t>。</w:t>
            </w:r>
          </w:p>
        </w:tc>
        <w:tc>
          <w:tcPr>
            <w:tcW w:w="3418" w:type="dxa"/>
            <w:noWrap w:val="0"/>
            <w:vAlign w:val="center"/>
          </w:tcPr>
          <w:p w14:paraId="5ADEE037">
            <w:pPr>
              <w:keepNext w:val="0"/>
              <w:keepLines w:val="0"/>
              <w:widowControl/>
              <w:suppressLineNumbers w:val="0"/>
              <w:spacing w:line="380" w:lineRule="exact"/>
              <w:ind w:left="63" w:leftChars="30" w:right="42" w:rightChars="20"/>
              <w:jc w:val="both"/>
              <w:textAlignment w:val="center"/>
              <w:rPr>
                <w:rFonts w:hint="eastAsia" w:ascii="宋体" w:hAnsi="宋体" w:eastAsia="宋体" w:cs="宋体"/>
                <w:color w:val="0000FF"/>
                <w:spacing w:val="6"/>
                <w:kern w:val="2"/>
                <w:sz w:val="24"/>
                <w:szCs w:val="24"/>
                <w:lang w:val="zh-CN" w:eastAsia="zh-CN" w:bidi="zh-CN"/>
              </w:rPr>
            </w:pPr>
            <w:r>
              <w:rPr>
                <w:rFonts w:hint="eastAsia" w:ascii="宋体" w:hAnsi="宋体" w:cs="宋体"/>
                <w:color w:val="auto"/>
                <w:spacing w:val="6"/>
                <w:kern w:val="2"/>
                <w:sz w:val="24"/>
                <w:szCs w:val="24"/>
                <w:lang w:val="en-US" w:eastAsia="zh-CN" w:bidi="zh-CN"/>
              </w:rPr>
              <w:t>(1)</w:t>
            </w:r>
            <w:r>
              <w:rPr>
                <w:rFonts w:hint="eastAsia" w:ascii="宋体" w:hAnsi="宋体" w:eastAsia="宋体" w:cs="宋体"/>
                <w:color w:val="auto"/>
                <w:spacing w:val="6"/>
                <w:kern w:val="2"/>
                <w:sz w:val="24"/>
                <w:szCs w:val="24"/>
                <w:lang w:val="en-US" w:eastAsia="zh-CN" w:bidi="zh-CN"/>
              </w:rPr>
              <w:t>责令停止</w:t>
            </w:r>
            <w:r>
              <w:rPr>
                <w:rFonts w:hint="eastAsia" w:ascii="宋体" w:hAnsi="宋体" w:cs="宋体"/>
                <w:color w:val="auto"/>
                <w:spacing w:val="6"/>
                <w:kern w:val="2"/>
                <w:sz w:val="24"/>
                <w:szCs w:val="24"/>
                <w:lang w:val="en-US" w:eastAsia="zh-CN" w:bidi="zh-CN"/>
              </w:rPr>
              <w:t>销售</w:t>
            </w:r>
            <w:r>
              <w:rPr>
                <w:rFonts w:hint="eastAsia" w:ascii="宋体" w:hAnsi="宋体" w:eastAsia="宋体" w:cs="宋体"/>
                <w:color w:val="auto"/>
                <w:spacing w:val="6"/>
                <w:kern w:val="2"/>
                <w:sz w:val="24"/>
                <w:szCs w:val="24"/>
                <w:lang w:val="en-US" w:eastAsia="zh-CN" w:bidi="zh-CN"/>
              </w:rPr>
              <w:t>，</w:t>
            </w:r>
            <w:r>
              <w:rPr>
                <w:rFonts w:hint="eastAsia" w:ascii="宋体" w:hAnsi="宋体" w:eastAsia="宋体" w:cs="宋体"/>
                <w:spacing w:val="6"/>
                <w:sz w:val="24"/>
                <w:szCs w:val="24"/>
              </w:rPr>
              <w:t>并限期追回已售出的商品，监督销毁或作必要技术处理</w:t>
            </w:r>
            <w:r>
              <w:rPr>
                <w:rFonts w:hint="eastAsia" w:ascii="宋体" w:hAnsi="宋体" w:eastAsia="宋体" w:cs="宋体"/>
                <w:color w:val="auto"/>
                <w:spacing w:val="6"/>
                <w:kern w:val="2"/>
                <w:sz w:val="24"/>
                <w:szCs w:val="24"/>
                <w:lang w:val="en-US" w:eastAsia="zh-CN" w:bidi="zh-CN"/>
              </w:rPr>
              <w:t>；</w:t>
            </w:r>
            <w:r>
              <w:rPr>
                <w:rFonts w:hint="eastAsia" w:ascii="宋体" w:hAnsi="宋体" w:eastAsia="宋体" w:cs="宋体"/>
                <w:color w:val="auto"/>
                <w:spacing w:val="6"/>
                <w:kern w:val="2"/>
                <w:sz w:val="24"/>
                <w:szCs w:val="24"/>
                <w:lang w:val="en-US" w:eastAsia="zh-CN" w:bidi="zh-CN"/>
              </w:rPr>
              <w:br w:type="textWrapping"/>
            </w:r>
            <w:r>
              <w:rPr>
                <w:rFonts w:hint="eastAsia" w:ascii="宋体" w:hAnsi="宋体" w:cs="宋体"/>
                <w:color w:val="auto"/>
                <w:spacing w:val="6"/>
                <w:kern w:val="2"/>
                <w:sz w:val="24"/>
                <w:szCs w:val="24"/>
                <w:lang w:val="en-US" w:eastAsia="zh-CN" w:bidi="zh-CN"/>
              </w:rPr>
              <w:t>(2)</w:t>
            </w:r>
            <w:r>
              <w:rPr>
                <w:rFonts w:hint="eastAsia" w:ascii="宋体" w:hAnsi="宋体" w:eastAsia="宋体" w:cs="宋体"/>
                <w:spacing w:val="6"/>
                <w:sz w:val="24"/>
                <w:szCs w:val="24"/>
              </w:rPr>
              <w:t>处以该批</w:t>
            </w:r>
            <w:r>
              <w:rPr>
                <w:rFonts w:hint="eastAsia" w:ascii="宋体" w:hAnsi="宋体" w:eastAsia="宋体" w:cs="宋体"/>
                <w:color w:val="auto"/>
                <w:spacing w:val="6"/>
                <w:kern w:val="2"/>
                <w:sz w:val="24"/>
                <w:szCs w:val="24"/>
                <w:lang w:val="en-US" w:eastAsia="zh-CN" w:bidi="zh-CN"/>
              </w:rPr>
              <w:t>产品货值金额</w:t>
            </w:r>
            <w:r>
              <w:rPr>
                <w:rFonts w:hint="eastAsia" w:ascii="宋体" w:hAnsi="宋体" w:cs="宋体"/>
                <w:color w:val="auto"/>
                <w:spacing w:val="6"/>
                <w:kern w:val="2"/>
                <w:sz w:val="24"/>
                <w:szCs w:val="24"/>
                <w:lang w:val="en-US" w:eastAsia="zh-CN" w:bidi="zh-CN"/>
              </w:rPr>
              <w:t>10</w:t>
            </w:r>
            <w:r>
              <w:rPr>
                <w:rFonts w:hint="eastAsia" w:ascii="宋体" w:hAnsi="宋体" w:eastAsia="宋体" w:cs="宋体"/>
                <w:color w:val="auto"/>
                <w:spacing w:val="6"/>
                <w:kern w:val="2"/>
                <w:sz w:val="24"/>
                <w:szCs w:val="24"/>
                <w:lang w:val="en-US" w:eastAsia="zh-CN" w:bidi="zh-CN"/>
              </w:rPr>
              <w:t>%以上到</w:t>
            </w:r>
            <w:r>
              <w:rPr>
                <w:rFonts w:hint="eastAsia" w:ascii="宋体" w:hAnsi="宋体" w:cs="宋体"/>
                <w:color w:val="auto"/>
                <w:spacing w:val="6"/>
                <w:kern w:val="2"/>
                <w:sz w:val="24"/>
                <w:szCs w:val="24"/>
                <w:lang w:val="en-US" w:eastAsia="zh-CN" w:bidi="zh-CN"/>
              </w:rPr>
              <w:t>13</w:t>
            </w:r>
            <w:r>
              <w:rPr>
                <w:rFonts w:hint="eastAsia" w:ascii="宋体" w:hAnsi="宋体" w:eastAsia="宋体" w:cs="宋体"/>
                <w:color w:val="auto"/>
                <w:spacing w:val="6"/>
                <w:kern w:val="2"/>
                <w:sz w:val="24"/>
                <w:szCs w:val="24"/>
                <w:lang w:val="en-US" w:eastAsia="zh-CN" w:bidi="zh-CN"/>
              </w:rPr>
              <w:t>%的罚款；对有关责任者处</w:t>
            </w:r>
            <w:r>
              <w:rPr>
                <w:rFonts w:hint="eastAsia" w:ascii="宋体" w:hAnsi="宋体" w:cs="宋体"/>
                <w:color w:val="auto"/>
                <w:spacing w:val="6"/>
                <w:kern w:val="2"/>
                <w:sz w:val="24"/>
                <w:szCs w:val="24"/>
                <w:lang w:val="en-US" w:eastAsia="zh-CN" w:bidi="zh-CN"/>
              </w:rPr>
              <w:t>以</w:t>
            </w:r>
            <w:r>
              <w:rPr>
                <w:rFonts w:hint="eastAsia" w:ascii="宋体" w:hAnsi="宋体" w:eastAsia="宋体" w:cs="宋体"/>
                <w:color w:val="auto"/>
                <w:spacing w:val="6"/>
                <w:kern w:val="2"/>
                <w:sz w:val="24"/>
                <w:szCs w:val="24"/>
                <w:lang w:val="en-US" w:eastAsia="zh-CN" w:bidi="zh-CN"/>
              </w:rPr>
              <w:t>1500元</w:t>
            </w:r>
            <w:r>
              <w:rPr>
                <w:rFonts w:hint="eastAsia" w:ascii="宋体" w:hAnsi="宋体" w:cs="宋体"/>
                <w:color w:val="auto"/>
                <w:spacing w:val="6"/>
                <w:kern w:val="2"/>
                <w:sz w:val="24"/>
                <w:szCs w:val="24"/>
                <w:lang w:val="en-US" w:eastAsia="zh-CN" w:bidi="zh-CN"/>
              </w:rPr>
              <w:t>以下</w:t>
            </w:r>
            <w:r>
              <w:rPr>
                <w:rFonts w:hint="eastAsia" w:ascii="宋体" w:hAnsi="宋体" w:eastAsia="宋体" w:cs="宋体"/>
                <w:color w:val="auto"/>
                <w:spacing w:val="6"/>
                <w:kern w:val="2"/>
                <w:sz w:val="24"/>
                <w:szCs w:val="24"/>
                <w:lang w:val="en-US" w:eastAsia="zh-CN" w:bidi="zh-CN"/>
              </w:rPr>
              <w:t>罚款。</w:t>
            </w:r>
          </w:p>
        </w:tc>
      </w:tr>
      <w:tr w14:paraId="215FF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2" w:hRule="atLeast"/>
          <w:jc w:val="center"/>
        </w:trPr>
        <w:tc>
          <w:tcPr>
            <w:tcW w:w="684" w:type="dxa"/>
            <w:vMerge w:val="continue"/>
            <w:noWrap w:val="0"/>
            <w:vAlign w:val="center"/>
          </w:tcPr>
          <w:p w14:paraId="0580D04A">
            <w:pPr>
              <w:pStyle w:val="17"/>
              <w:keepNext w:val="0"/>
              <w:keepLines w:val="0"/>
              <w:pageBreakBefore w:val="0"/>
              <w:kinsoku/>
              <w:wordWrap/>
              <w:overflowPunct/>
              <w:topLinePunct w:val="0"/>
              <w:autoSpaceDE w:val="0"/>
              <w:autoSpaceDN w:val="0"/>
              <w:bidi w:val="0"/>
              <w:adjustRightInd w:val="0"/>
              <w:snapToGrid/>
              <w:spacing w:before="1" w:line="420" w:lineRule="exact"/>
              <w:ind w:left="63" w:leftChars="30" w:right="63" w:rightChars="30"/>
              <w:jc w:val="center"/>
              <w:textAlignment w:val="auto"/>
              <w:rPr>
                <w:rFonts w:hint="eastAsia" w:cs="宋体"/>
                <w:spacing w:val="6"/>
                <w:sz w:val="24"/>
                <w:szCs w:val="24"/>
                <w:lang w:val="en-US" w:eastAsia="zh-CN"/>
              </w:rPr>
            </w:pPr>
          </w:p>
        </w:tc>
        <w:tc>
          <w:tcPr>
            <w:tcW w:w="1800" w:type="dxa"/>
            <w:vMerge w:val="continue"/>
            <w:noWrap w:val="0"/>
            <w:vAlign w:val="center"/>
          </w:tcPr>
          <w:p w14:paraId="288006A8">
            <w:pPr>
              <w:pStyle w:val="17"/>
              <w:keepNext w:val="0"/>
              <w:keepLines w:val="0"/>
              <w:pageBreakBefore w:val="0"/>
              <w:kinsoku/>
              <w:wordWrap/>
              <w:overflowPunct/>
              <w:topLinePunct w:val="0"/>
              <w:autoSpaceDE w:val="0"/>
              <w:autoSpaceDN w:val="0"/>
              <w:bidi w:val="0"/>
              <w:adjustRightInd w:val="0"/>
              <w:snapToGrid/>
              <w:spacing w:line="420" w:lineRule="exact"/>
              <w:ind w:left="63" w:leftChars="30" w:right="63" w:rightChars="30"/>
              <w:jc w:val="both"/>
              <w:textAlignment w:val="auto"/>
              <w:rPr>
                <w:rFonts w:hint="eastAsia" w:ascii="宋体" w:hAnsi="宋体" w:eastAsia="宋体" w:cs="宋体"/>
                <w:spacing w:val="6"/>
                <w:sz w:val="24"/>
                <w:szCs w:val="24"/>
              </w:rPr>
            </w:pPr>
          </w:p>
        </w:tc>
        <w:tc>
          <w:tcPr>
            <w:tcW w:w="4218" w:type="dxa"/>
            <w:vMerge w:val="continue"/>
            <w:noWrap w:val="0"/>
            <w:vAlign w:val="center"/>
          </w:tcPr>
          <w:p w14:paraId="1F9A5643">
            <w:pPr>
              <w:pStyle w:val="17"/>
              <w:keepNext w:val="0"/>
              <w:keepLines w:val="0"/>
              <w:pageBreakBefore w:val="0"/>
              <w:widowControl w:val="0"/>
              <w:kinsoku/>
              <w:wordWrap/>
              <w:overflowPunct/>
              <w:topLinePunct w:val="0"/>
              <w:autoSpaceDE w:val="0"/>
              <w:autoSpaceDN w:val="0"/>
              <w:bidi w:val="0"/>
              <w:adjustRightInd w:val="0"/>
              <w:snapToGrid/>
              <w:spacing w:before="0" w:line="420" w:lineRule="exact"/>
              <w:ind w:left="63" w:leftChars="30" w:right="63" w:rightChars="30"/>
              <w:jc w:val="both"/>
              <w:textAlignment w:val="auto"/>
              <w:rPr>
                <w:rFonts w:hint="eastAsia" w:ascii="宋体" w:hAnsi="宋体" w:eastAsia="宋体" w:cs="宋体"/>
                <w:spacing w:val="6"/>
                <w:sz w:val="24"/>
                <w:szCs w:val="24"/>
              </w:rPr>
            </w:pPr>
          </w:p>
        </w:tc>
        <w:tc>
          <w:tcPr>
            <w:tcW w:w="1151" w:type="dxa"/>
            <w:noWrap w:val="0"/>
            <w:vAlign w:val="center"/>
          </w:tcPr>
          <w:p w14:paraId="142B0D4C">
            <w:pPr>
              <w:pStyle w:val="17"/>
              <w:keepNext w:val="0"/>
              <w:keepLines w:val="0"/>
              <w:pageBreakBefore w:val="0"/>
              <w:widowControl w:val="0"/>
              <w:kinsoku/>
              <w:wordWrap/>
              <w:overflowPunct/>
              <w:topLinePunct w:val="0"/>
              <w:autoSpaceDE w:val="0"/>
              <w:autoSpaceDN w:val="0"/>
              <w:bidi w:val="0"/>
              <w:adjustRightInd w:val="0"/>
              <w:snapToGrid/>
              <w:spacing w:before="0" w:line="420" w:lineRule="exact"/>
              <w:ind w:left="63" w:leftChars="30" w:right="63" w:rightChars="30"/>
              <w:jc w:val="center"/>
              <w:textAlignment w:val="auto"/>
              <w:rPr>
                <w:rFonts w:hint="eastAsia" w:ascii="宋体" w:hAnsi="宋体" w:eastAsia="宋体" w:cs="宋体"/>
                <w:spacing w:val="6"/>
                <w:sz w:val="24"/>
                <w:szCs w:val="24"/>
                <w:lang w:eastAsia="zh-CN"/>
              </w:rPr>
            </w:pPr>
            <w:r>
              <w:rPr>
                <w:rFonts w:hint="eastAsia" w:cs="宋体"/>
                <w:spacing w:val="6"/>
                <w:sz w:val="24"/>
                <w:szCs w:val="24"/>
                <w:lang w:eastAsia="zh-CN"/>
              </w:rPr>
              <w:t>一般</w:t>
            </w:r>
          </w:p>
        </w:tc>
        <w:tc>
          <w:tcPr>
            <w:tcW w:w="3125" w:type="dxa"/>
            <w:noWrap w:val="0"/>
            <w:vAlign w:val="center"/>
          </w:tcPr>
          <w:p w14:paraId="510FDF33">
            <w:pPr>
              <w:keepNext w:val="0"/>
              <w:keepLines w:val="0"/>
              <w:widowControl/>
              <w:suppressLineNumbers w:val="0"/>
              <w:ind w:left="63" w:leftChars="30" w:right="42" w:rightChars="20"/>
              <w:jc w:val="left"/>
              <w:textAlignment w:val="center"/>
              <w:rPr>
                <w:rFonts w:hint="default" w:ascii="宋体" w:hAnsi="宋体" w:eastAsia="宋体" w:cs="宋体"/>
                <w:color w:val="0000FF"/>
                <w:spacing w:val="6"/>
                <w:kern w:val="2"/>
                <w:sz w:val="24"/>
                <w:szCs w:val="24"/>
                <w:lang w:val="en" w:eastAsia="zh-CN" w:bidi="zh-CN"/>
              </w:rPr>
            </w:pPr>
            <w:r>
              <w:rPr>
                <w:rFonts w:hint="eastAsia" w:ascii="宋体" w:hAnsi="宋体" w:eastAsia="宋体" w:cs="宋体"/>
                <w:color w:val="auto"/>
                <w:spacing w:val="6"/>
                <w:kern w:val="2"/>
                <w:sz w:val="24"/>
                <w:szCs w:val="24"/>
                <w:lang w:val="en-US" w:eastAsia="zh-CN" w:bidi="zh-CN"/>
              </w:rPr>
              <w:t>涉案产品货值金额5万元以上20万元以下的</w:t>
            </w:r>
            <w:r>
              <w:rPr>
                <w:rFonts w:hint="eastAsia" w:ascii="宋体" w:hAnsi="宋体" w:cs="宋体"/>
                <w:color w:val="auto"/>
                <w:spacing w:val="6"/>
                <w:kern w:val="2"/>
                <w:sz w:val="24"/>
                <w:szCs w:val="24"/>
                <w:lang w:val="en-US" w:eastAsia="zh-CN" w:bidi="zh-CN"/>
              </w:rPr>
              <w:t>。</w:t>
            </w:r>
          </w:p>
        </w:tc>
        <w:tc>
          <w:tcPr>
            <w:tcW w:w="3418" w:type="dxa"/>
            <w:noWrap w:val="0"/>
            <w:vAlign w:val="center"/>
          </w:tcPr>
          <w:p w14:paraId="2E677621">
            <w:pPr>
              <w:keepNext w:val="0"/>
              <w:keepLines w:val="0"/>
              <w:widowControl/>
              <w:suppressLineNumbers w:val="0"/>
              <w:spacing w:line="380" w:lineRule="exact"/>
              <w:ind w:left="63" w:leftChars="30" w:right="42" w:rightChars="20"/>
              <w:jc w:val="both"/>
              <w:textAlignment w:val="center"/>
              <w:rPr>
                <w:rFonts w:hint="eastAsia" w:ascii="宋体" w:hAnsi="宋体" w:eastAsia="宋体" w:cs="宋体"/>
                <w:color w:val="0000FF"/>
                <w:spacing w:val="6"/>
                <w:kern w:val="2"/>
                <w:sz w:val="24"/>
                <w:szCs w:val="24"/>
                <w:lang w:val="zh-CN" w:eastAsia="zh-CN" w:bidi="zh-CN"/>
              </w:rPr>
            </w:pPr>
            <w:r>
              <w:rPr>
                <w:rFonts w:hint="eastAsia" w:ascii="宋体" w:hAnsi="宋体" w:cs="宋体"/>
                <w:color w:val="auto"/>
                <w:spacing w:val="6"/>
                <w:kern w:val="2"/>
                <w:sz w:val="24"/>
                <w:szCs w:val="24"/>
                <w:lang w:val="en-US" w:eastAsia="zh-CN" w:bidi="zh-CN"/>
              </w:rPr>
              <w:t>(1)</w:t>
            </w:r>
            <w:r>
              <w:rPr>
                <w:rFonts w:hint="eastAsia" w:ascii="宋体" w:hAnsi="宋体" w:eastAsia="宋体" w:cs="宋体"/>
                <w:color w:val="auto"/>
                <w:spacing w:val="6"/>
                <w:kern w:val="2"/>
                <w:sz w:val="24"/>
                <w:szCs w:val="24"/>
                <w:lang w:val="en-US" w:eastAsia="zh-CN" w:bidi="zh-CN"/>
              </w:rPr>
              <w:t>责令停止</w:t>
            </w:r>
            <w:r>
              <w:rPr>
                <w:rFonts w:hint="eastAsia" w:ascii="宋体" w:hAnsi="宋体" w:cs="宋体"/>
                <w:color w:val="auto"/>
                <w:spacing w:val="6"/>
                <w:kern w:val="2"/>
                <w:sz w:val="24"/>
                <w:szCs w:val="24"/>
                <w:lang w:val="en-US" w:eastAsia="zh-CN" w:bidi="zh-CN"/>
              </w:rPr>
              <w:t>销售</w:t>
            </w:r>
            <w:r>
              <w:rPr>
                <w:rFonts w:hint="eastAsia" w:ascii="宋体" w:hAnsi="宋体" w:eastAsia="宋体" w:cs="宋体"/>
                <w:color w:val="auto"/>
                <w:spacing w:val="6"/>
                <w:kern w:val="2"/>
                <w:sz w:val="24"/>
                <w:szCs w:val="24"/>
                <w:lang w:val="en-US" w:eastAsia="zh-CN" w:bidi="zh-CN"/>
              </w:rPr>
              <w:t>，</w:t>
            </w:r>
            <w:r>
              <w:rPr>
                <w:rFonts w:hint="eastAsia" w:ascii="宋体" w:hAnsi="宋体" w:eastAsia="宋体" w:cs="宋体"/>
                <w:spacing w:val="6"/>
                <w:sz w:val="24"/>
                <w:szCs w:val="24"/>
              </w:rPr>
              <w:t>并限期追回已售出的商品，监督销毁或作必要技术处理</w:t>
            </w:r>
            <w:r>
              <w:rPr>
                <w:rFonts w:hint="eastAsia" w:ascii="宋体" w:hAnsi="宋体" w:eastAsia="宋体" w:cs="宋体"/>
                <w:color w:val="auto"/>
                <w:spacing w:val="6"/>
                <w:kern w:val="2"/>
                <w:sz w:val="24"/>
                <w:szCs w:val="24"/>
                <w:lang w:val="en-US" w:eastAsia="zh-CN" w:bidi="zh-CN"/>
              </w:rPr>
              <w:t>；</w:t>
            </w:r>
            <w:r>
              <w:rPr>
                <w:rFonts w:hint="eastAsia" w:ascii="宋体" w:hAnsi="宋体" w:eastAsia="宋体" w:cs="宋体"/>
                <w:color w:val="auto"/>
                <w:spacing w:val="6"/>
                <w:kern w:val="2"/>
                <w:sz w:val="24"/>
                <w:szCs w:val="24"/>
                <w:lang w:val="en-US" w:eastAsia="zh-CN" w:bidi="zh-CN"/>
              </w:rPr>
              <w:br w:type="textWrapping"/>
            </w:r>
            <w:r>
              <w:rPr>
                <w:rFonts w:hint="eastAsia" w:ascii="宋体" w:hAnsi="宋体" w:cs="宋体"/>
                <w:color w:val="auto"/>
                <w:spacing w:val="6"/>
                <w:kern w:val="2"/>
                <w:sz w:val="24"/>
                <w:szCs w:val="24"/>
                <w:lang w:val="en-US" w:eastAsia="zh-CN" w:bidi="zh-CN"/>
              </w:rPr>
              <w:t>(2)</w:t>
            </w:r>
            <w:r>
              <w:rPr>
                <w:rFonts w:hint="eastAsia" w:ascii="宋体" w:hAnsi="宋体" w:eastAsia="宋体" w:cs="宋体"/>
                <w:spacing w:val="6"/>
                <w:sz w:val="24"/>
                <w:szCs w:val="24"/>
              </w:rPr>
              <w:t>处以该批</w:t>
            </w:r>
            <w:r>
              <w:rPr>
                <w:rFonts w:hint="eastAsia" w:ascii="宋体" w:hAnsi="宋体" w:eastAsia="宋体" w:cs="宋体"/>
                <w:color w:val="auto"/>
                <w:spacing w:val="6"/>
                <w:kern w:val="2"/>
                <w:sz w:val="24"/>
                <w:szCs w:val="24"/>
                <w:lang w:val="en-US" w:eastAsia="zh-CN" w:bidi="zh-CN"/>
              </w:rPr>
              <w:t>产品货值金额</w:t>
            </w:r>
            <w:r>
              <w:rPr>
                <w:rFonts w:hint="eastAsia" w:ascii="宋体" w:hAnsi="宋体" w:cs="宋体"/>
                <w:color w:val="auto"/>
                <w:spacing w:val="6"/>
                <w:kern w:val="2"/>
                <w:sz w:val="24"/>
                <w:szCs w:val="24"/>
                <w:lang w:val="en-US" w:eastAsia="zh-CN" w:bidi="zh-CN"/>
              </w:rPr>
              <w:t>13</w:t>
            </w:r>
            <w:r>
              <w:rPr>
                <w:rFonts w:hint="eastAsia" w:ascii="宋体" w:hAnsi="宋体" w:eastAsia="宋体" w:cs="宋体"/>
                <w:color w:val="auto"/>
                <w:spacing w:val="6"/>
                <w:kern w:val="2"/>
                <w:sz w:val="24"/>
                <w:szCs w:val="24"/>
                <w:lang w:val="en-US" w:eastAsia="zh-CN" w:bidi="zh-CN"/>
              </w:rPr>
              <w:t>%以上到</w:t>
            </w:r>
            <w:r>
              <w:rPr>
                <w:rFonts w:hint="eastAsia" w:ascii="宋体" w:hAnsi="宋体" w:cs="宋体"/>
                <w:color w:val="auto"/>
                <w:spacing w:val="6"/>
                <w:kern w:val="2"/>
                <w:sz w:val="24"/>
                <w:szCs w:val="24"/>
                <w:lang w:val="en-US" w:eastAsia="zh-CN" w:bidi="zh-CN"/>
              </w:rPr>
              <w:t>17</w:t>
            </w:r>
            <w:r>
              <w:rPr>
                <w:rFonts w:hint="eastAsia" w:ascii="宋体" w:hAnsi="宋体" w:eastAsia="宋体" w:cs="宋体"/>
                <w:color w:val="auto"/>
                <w:spacing w:val="6"/>
                <w:kern w:val="2"/>
                <w:sz w:val="24"/>
                <w:szCs w:val="24"/>
                <w:lang w:val="en-US" w:eastAsia="zh-CN" w:bidi="zh-CN"/>
              </w:rPr>
              <w:t>%的罚款；对有关责任者处</w:t>
            </w:r>
            <w:r>
              <w:rPr>
                <w:rFonts w:hint="eastAsia" w:ascii="宋体" w:hAnsi="宋体" w:cs="宋体"/>
                <w:color w:val="auto"/>
                <w:spacing w:val="6"/>
                <w:kern w:val="2"/>
                <w:sz w:val="24"/>
                <w:szCs w:val="24"/>
                <w:lang w:val="en-US" w:eastAsia="zh-CN" w:bidi="zh-CN"/>
              </w:rPr>
              <w:t>以</w:t>
            </w:r>
            <w:r>
              <w:rPr>
                <w:rFonts w:hint="eastAsia" w:ascii="宋体" w:hAnsi="宋体" w:eastAsia="宋体" w:cs="宋体"/>
                <w:color w:val="auto"/>
                <w:spacing w:val="6"/>
                <w:kern w:val="2"/>
                <w:sz w:val="24"/>
                <w:szCs w:val="24"/>
                <w:lang w:val="en-US" w:eastAsia="zh-CN" w:bidi="zh-CN"/>
              </w:rPr>
              <w:t>1500元以上3500元</w:t>
            </w:r>
            <w:r>
              <w:rPr>
                <w:rFonts w:hint="eastAsia" w:ascii="宋体" w:hAnsi="宋体" w:cs="宋体"/>
                <w:color w:val="auto"/>
                <w:spacing w:val="6"/>
                <w:kern w:val="2"/>
                <w:sz w:val="24"/>
                <w:szCs w:val="24"/>
                <w:lang w:val="en-US" w:eastAsia="zh-CN" w:bidi="zh-CN"/>
              </w:rPr>
              <w:t>以下</w:t>
            </w:r>
            <w:r>
              <w:rPr>
                <w:rFonts w:hint="eastAsia" w:ascii="宋体" w:hAnsi="宋体" w:eastAsia="宋体" w:cs="宋体"/>
                <w:color w:val="auto"/>
                <w:spacing w:val="6"/>
                <w:kern w:val="2"/>
                <w:sz w:val="24"/>
                <w:szCs w:val="24"/>
                <w:lang w:val="en-US" w:eastAsia="zh-CN" w:bidi="zh-CN"/>
              </w:rPr>
              <w:t>罚款。</w:t>
            </w:r>
          </w:p>
        </w:tc>
      </w:tr>
      <w:tr w14:paraId="2DD09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8" w:hRule="atLeast"/>
          <w:jc w:val="center"/>
        </w:trPr>
        <w:tc>
          <w:tcPr>
            <w:tcW w:w="684" w:type="dxa"/>
            <w:vMerge w:val="continue"/>
            <w:noWrap w:val="0"/>
            <w:vAlign w:val="center"/>
          </w:tcPr>
          <w:p w14:paraId="361D60EA">
            <w:pPr>
              <w:keepNext w:val="0"/>
              <w:keepLines w:val="0"/>
              <w:pageBreakBefore w:val="0"/>
              <w:kinsoku/>
              <w:wordWrap/>
              <w:overflowPunct/>
              <w:topLinePunct w:val="0"/>
              <w:autoSpaceDE w:val="0"/>
              <w:autoSpaceDN w:val="0"/>
              <w:bidi w:val="0"/>
              <w:adjustRightInd w:val="0"/>
              <w:snapToGrid/>
              <w:spacing w:line="420" w:lineRule="exact"/>
              <w:ind w:left="63" w:leftChars="30" w:right="63" w:rightChars="30"/>
              <w:jc w:val="center"/>
              <w:textAlignment w:val="auto"/>
              <w:rPr>
                <w:rFonts w:hint="eastAsia" w:ascii="宋体" w:hAnsi="宋体" w:eastAsia="宋体" w:cs="宋体"/>
                <w:spacing w:val="6"/>
                <w:sz w:val="24"/>
                <w:szCs w:val="24"/>
              </w:rPr>
            </w:pPr>
          </w:p>
        </w:tc>
        <w:tc>
          <w:tcPr>
            <w:tcW w:w="1800" w:type="dxa"/>
            <w:vMerge w:val="continue"/>
            <w:noWrap w:val="0"/>
            <w:vAlign w:val="top"/>
          </w:tcPr>
          <w:p w14:paraId="498C14D1">
            <w:pPr>
              <w:keepNext w:val="0"/>
              <w:keepLines w:val="0"/>
              <w:pageBreakBefore w:val="0"/>
              <w:kinsoku/>
              <w:wordWrap/>
              <w:overflowPunct/>
              <w:topLinePunct w:val="0"/>
              <w:autoSpaceDE w:val="0"/>
              <w:autoSpaceDN w:val="0"/>
              <w:bidi w:val="0"/>
              <w:adjustRightInd w:val="0"/>
              <w:snapToGrid/>
              <w:spacing w:line="420" w:lineRule="exact"/>
              <w:ind w:left="63" w:leftChars="30" w:right="63" w:rightChars="30"/>
              <w:textAlignment w:val="auto"/>
              <w:rPr>
                <w:rFonts w:hint="eastAsia" w:ascii="宋体" w:hAnsi="宋体" w:eastAsia="宋体" w:cs="宋体"/>
                <w:spacing w:val="6"/>
                <w:sz w:val="24"/>
                <w:szCs w:val="24"/>
              </w:rPr>
            </w:pPr>
          </w:p>
        </w:tc>
        <w:tc>
          <w:tcPr>
            <w:tcW w:w="4218" w:type="dxa"/>
            <w:vMerge w:val="continue"/>
            <w:noWrap w:val="0"/>
            <w:vAlign w:val="center"/>
          </w:tcPr>
          <w:p w14:paraId="53C4F078">
            <w:pPr>
              <w:keepNext w:val="0"/>
              <w:keepLines w:val="0"/>
              <w:pageBreakBefore w:val="0"/>
              <w:widowControl w:val="0"/>
              <w:kinsoku/>
              <w:wordWrap/>
              <w:overflowPunct/>
              <w:topLinePunct w:val="0"/>
              <w:autoSpaceDE w:val="0"/>
              <w:autoSpaceDN w:val="0"/>
              <w:bidi w:val="0"/>
              <w:adjustRightInd w:val="0"/>
              <w:snapToGrid/>
              <w:spacing w:before="0" w:line="420" w:lineRule="exact"/>
              <w:ind w:left="63" w:leftChars="30" w:right="63" w:rightChars="30"/>
              <w:jc w:val="both"/>
              <w:textAlignment w:val="auto"/>
              <w:rPr>
                <w:rFonts w:hint="eastAsia" w:ascii="宋体" w:hAnsi="宋体" w:eastAsia="宋体" w:cs="宋体"/>
                <w:spacing w:val="6"/>
                <w:sz w:val="24"/>
                <w:szCs w:val="24"/>
              </w:rPr>
            </w:pPr>
          </w:p>
        </w:tc>
        <w:tc>
          <w:tcPr>
            <w:tcW w:w="1151" w:type="dxa"/>
            <w:noWrap w:val="0"/>
            <w:vAlign w:val="center"/>
          </w:tcPr>
          <w:p w14:paraId="3FEF6BE3">
            <w:pPr>
              <w:pStyle w:val="17"/>
              <w:keepNext w:val="0"/>
              <w:keepLines w:val="0"/>
              <w:pageBreakBefore w:val="0"/>
              <w:widowControl w:val="0"/>
              <w:kinsoku/>
              <w:wordWrap/>
              <w:overflowPunct/>
              <w:topLinePunct w:val="0"/>
              <w:autoSpaceDE w:val="0"/>
              <w:autoSpaceDN w:val="0"/>
              <w:bidi w:val="0"/>
              <w:adjustRightInd w:val="0"/>
              <w:snapToGrid/>
              <w:spacing w:before="0" w:line="420" w:lineRule="exact"/>
              <w:ind w:left="63" w:leftChars="30" w:right="63" w:rightChars="30"/>
              <w:jc w:val="center"/>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较重</w:t>
            </w:r>
          </w:p>
        </w:tc>
        <w:tc>
          <w:tcPr>
            <w:tcW w:w="3125" w:type="dxa"/>
            <w:noWrap w:val="0"/>
            <w:vAlign w:val="center"/>
          </w:tcPr>
          <w:p w14:paraId="7714646B">
            <w:pPr>
              <w:keepNext w:val="0"/>
              <w:keepLines w:val="0"/>
              <w:widowControl/>
              <w:suppressLineNumbers w:val="0"/>
              <w:ind w:left="63" w:leftChars="30" w:right="42" w:rightChars="20"/>
              <w:jc w:val="left"/>
              <w:textAlignment w:val="center"/>
              <w:rPr>
                <w:rFonts w:hint="eastAsia" w:ascii="宋体" w:hAnsi="宋体" w:eastAsia="宋体" w:cs="宋体"/>
                <w:color w:val="0000FF"/>
                <w:spacing w:val="6"/>
                <w:kern w:val="2"/>
                <w:sz w:val="24"/>
                <w:szCs w:val="24"/>
                <w:lang w:val="zh-CN" w:eastAsia="zh-CN" w:bidi="zh-CN"/>
              </w:rPr>
            </w:pPr>
            <w:r>
              <w:rPr>
                <w:rFonts w:hint="eastAsia" w:ascii="宋体" w:hAnsi="宋体" w:eastAsia="宋体" w:cs="宋体"/>
                <w:color w:val="auto"/>
                <w:spacing w:val="6"/>
                <w:kern w:val="2"/>
                <w:sz w:val="24"/>
                <w:szCs w:val="24"/>
                <w:lang w:val="en-US" w:eastAsia="zh-CN" w:bidi="zh-CN"/>
              </w:rPr>
              <w:t>涉案产品货值金额20万元以上的</w:t>
            </w:r>
            <w:r>
              <w:rPr>
                <w:rFonts w:hint="eastAsia" w:ascii="宋体" w:hAnsi="宋体" w:cs="宋体"/>
                <w:color w:val="auto"/>
                <w:spacing w:val="6"/>
                <w:kern w:val="2"/>
                <w:sz w:val="24"/>
                <w:szCs w:val="24"/>
                <w:lang w:val="en-US" w:eastAsia="zh-CN" w:bidi="zh-CN"/>
              </w:rPr>
              <w:t>。</w:t>
            </w:r>
          </w:p>
        </w:tc>
        <w:tc>
          <w:tcPr>
            <w:tcW w:w="3418" w:type="dxa"/>
            <w:noWrap w:val="0"/>
            <w:vAlign w:val="center"/>
          </w:tcPr>
          <w:p w14:paraId="0DAA25FC">
            <w:pPr>
              <w:keepNext w:val="0"/>
              <w:keepLines w:val="0"/>
              <w:widowControl/>
              <w:suppressLineNumbers w:val="0"/>
              <w:spacing w:line="380" w:lineRule="exact"/>
              <w:ind w:left="63" w:leftChars="30" w:right="42" w:rightChars="20"/>
              <w:jc w:val="both"/>
              <w:textAlignment w:val="center"/>
              <w:rPr>
                <w:rFonts w:hint="eastAsia" w:ascii="宋体" w:hAnsi="宋体" w:eastAsia="宋体" w:cs="宋体"/>
                <w:color w:val="0000FF"/>
                <w:spacing w:val="6"/>
                <w:kern w:val="2"/>
                <w:sz w:val="24"/>
                <w:szCs w:val="24"/>
                <w:lang w:val="zh-CN" w:eastAsia="zh-CN" w:bidi="zh-CN"/>
              </w:rPr>
            </w:pPr>
            <w:r>
              <w:rPr>
                <w:rFonts w:hint="eastAsia" w:ascii="宋体" w:hAnsi="宋体" w:cs="宋体"/>
                <w:color w:val="auto"/>
                <w:spacing w:val="6"/>
                <w:kern w:val="2"/>
                <w:sz w:val="24"/>
                <w:szCs w:val="24"/>
                <w:lang w:val="en-US" w:eastAsia="zh-CN" w:bidi="zh-CN"/>
              </w:rPr>
              <w:t>(1)</w:t>
            </w:r>
            <w:r>
              <w:rPr>
                <w:rFonts w:hint="eastAsia" w:ascii="宋体" w:hAnsi="宋体" w:eastAsia="宋体" w:cs="宋体"/>
                <w:color w:val="auto"/>
                <w:spacing w:val="6"/>
                <w:kern w:val="2"/>
                <w:sz w:val="24"/>
                <w:szCs w:val="24"/>
                <w:lang w:val="en-US" w:eastAsia="zh-CN" w:bidi="zh-CN"/>
              </w:rPr>
              <w:t>责令停止</w:t>
            </w:r>
            <w:r>
              <w:rPr>
                <w:rFonts w:hint="eastAsia" w:ascii="宋体" w:hAnsi="宋体" w:cs="宋体"/>
                <w:color w:val="auto"/>
                <w:spacing w:val="6"/>
                <w:kern w:val="2"/>
                <w:sz w:val="24"/>
                <w:szCs w:val="24"/>
                <w:lang w:val="en-US" w:eastAsia="zh-CN" w:bidi="zh-CN"/>
              </w:rPr>
              <w:t>销售</w:t>
            </w:r>
            <w:r>
              <w:rPr>
                <w:rFonts w:hint="eastAsia" w:ascii="宋体" w:hAnsi="宋体" w:eastAsia="宋体" w:cs="宋体"/>
                <w:color w:val="auto"/>
                <w:spacing w:val="6"/>
                <w:kern w:val="2"/>
                <w:sz w:val="24"/>
                <w:szCs w:val="24"/>
                <w:lang w:val="en-US" w:eastAsia="zh-CN" w:bidi="zh-CN"/>
              </w:rPr>
              <w:t>，</w:t>
            </w:r>
            <w:r>
              <w:rPr>
                <w:rFonts w:hint="eastAsia" w:ascii="宋体" w:hAnsi="宋体" w:eastAsia="宋体" w:cs="宋体"/>
                <w:spacing w:val="6"/>
                <w:sz w:val="24"/>
                <w:szCs w:val="24"/>
              </w:rPr>
              <w:t>并限期追回已售出的商品，监督销毁或作必要技术处理</w:t>
            </w:r>
            <w:r>
              <w:rPr>
                <w:rFonts w:hint="eastAsia" w:ascii="宋体" w:hAnsi="宋体" w:eastAsia="宋体" w:cs="宋体"/>
                <w:color w:val="auto"/>
                <w:spacing w:val="6"/>
                <w:kern w:val="2"/>
                <w:sz w:val="24"/>
                <w:szCs w:val="24"/>
                <w:lang w:val="en-US" w:eastAsia="zh-CN" w:bidi="zh-CN"/>
              </w:rPr>
              <w:t>；</w:t>
            </w:r>
            <w:r>
              <w:rPr>
                <w:rFonts w:hint="eastAsia" w:ascii="宋体" w:hAnsi="宋体" w:eastAsia="宋体" w:cs="宋体"/>
                <w:color w:val="auto"/>
                <w:spacing w:val="6"/>
                <w:kern w:val="2"/>
                <w:sz w:val="24"/>
                <w:szCs w:val="24"/>
                <w:lang w:val="en-US" w:eastAsia="zh-CN" w:bidi="zh-CN"/>
              </w:rPr>
              <w:br w:type="textWrapping"/>
            </w:r>
            <w:r>
              <w:rPr>
                <w:rFonts w:hint="eastAsia" w:ascii="宋体" w:hAnsi="宋体" w:cs="宋体"/>
                <w:color w:val="auto"/>
                <w:spacing w:val="6"/>
                <w:kern w:val="2"/>
                <w:sz w:val="24"/>
                <w:szCs w:val="24"/>
                <w:lang w:val="en-US" w:eastAsia="zh-CN" w:bidi="zh-CN"/>
              </w:rPr>
              <w:t>(2)</w:t>
            </w:r>
            <w:r>
              <w:rPr>
                <w:rFonts w:hint="eastAsia" w:ascii="宋体" w:hAnsi="宋体" w:eastAsia="宋体" w:cs="宋体"/>
                <w:spacing w:val="6"/>
                <w:sz w:val="24"/>
                <w:szCs w:val="24"/>
              </w:rPr>
              <w:t>处以该批</w:t>
            </w:r>
            <w:r>
              <w:rPr>
                <w:rFonts w:hint="eastAsia" w:ascii="宋体" w:hAnsi="宋体" w:eastAsia="宋体" w:cs="宋体"/>
                <w:color w:val="auto"/>
                <w:spacing w:val="6"/>
                <w:kern w:val="2"/>
                <w:sz w:val="24"/>
                <w:szCs w:val="24"/>
                <w:lang w:val="en-US" w:eastAsia="zh-CN" w:bidi="zh-CN"/>
              </w:rPr>
              <w:t>产品货值金额</w:t>
            </w:r>
            <w:r>
              <w:rPr>
                <w:rFonts w:hint="eastAsia" w:ascii="宋体" w:hAnsi="宋体" w:cs="宋体"/>
                <w:color w:val="auto"/>
                <w:spacing w:val="6"/>
                <w:kern w:val="2"/>
                <w:sz w:val="24"/>
                <w:szCs w:val="24"/>
                <w:lang w:val="en-US" w:eastAsia="zh-CN" w:bidi="zh-CN"/>
              </w:rPr>
              <w:t>17</w:t>
            </w:r>
            <w:r>
              <w:rPr>
                <w:rFonts w:hint="eastAsia" w:ascii="宋体" w:hAnsi="宋体" w:eastAsia="宋体" w:cs="宋体"/>
                <w:color w:val="auto"/>
                <w:spacing w:val="6"/>
                <w:kern w:val="2"/>
                <w:sz w:val="24"/>
                <w:szCs w:val="24"/>
                <w:lang w:val="en-US" w:eastAsia="zh-CN" w:bidi="zh-CN"/>
              </w:rPr>
              <w:t>%以上</w:t>
            </w:r>
            <w:r>
              <w:rPr>
                <w:rFonts w:hint="eastAsia" w:ascii="宋体" w:hAnsi="宋体" w:cs="宋体"/>
                <w:color w:val="auto"/>
                <w:spacing w:val="6"/>
                <w:kern w:val="2"/>
                <w:sz w:val="24"/>
                <w:szCs w:val="24"/>
                <w:lang w:val="en-US" w:eastAsia="zh-CN" w:bidi="zh-CN"/>
              </w:rPr>
              <w:t>20</w:t>
            </w:r>
            <w:r>
              <w:rPr>
                <w:rFonts w:hint="eastAsia" w:ascii="宋体" w:hAnsi="宋体" w:eastAsia="宋体" w:cs="宋体"/>
                <w:color w:val="auto"/>
                <w:spacing w:val="6"/>
                <w:kern w:val="2"/>
                <w:sz w:val="24"/>
                <w:szCs w:val="24"/>
                <w:lang w:val="en-US" w:eastAsia="zh-CN" w:bidi="zh-CN"/>
              </w:rPr>
              <w:t>%以下的罚款；对有关责任者处</w:t>
            </w:r>
            <w:r>
              <w:rPr>
                <w:rFonts w:hint="eastAsia" w:ascii="宋体" w:hAnsi="宋体" w:cs="宋体"/>
                <w:color w:val="auto"/>
                <w:spacing w:val="6"/>
                <w:kern w:val="2"/>
                <w:sz w:val="24"/>
                <w:szCs w:val="24"/>
                <w:lang w:val="en-US" w:eastAsia="zh-CN" w:bidi="zh-CN"/>
              </w:rPr>
              <w:t>以</w:t>
            </w:r>
            <w:r>
              <w:rPr>
                <w:rFonts w:hint="eastAsia" w:ascii="宋体" w:hAnsi="宋体" w:eastAsia="宋体" w:cs="宋体"/>
                <w:color w:val="auto"/>
                <w:spacing w:val="6"/>
                <w:kern w:val="2"/>
                <w:sz w:val="24"/>
                <w:szCs w:val="24"/>
                <w:lang w:val="en-US" w:eastAsia="zh-CN" w:bidi="zh-CN"/>
              </w:rPr>
              <w:t>3500元以上5000</w:t>
            </w:r>
            <w:r>
              <w:rPr>
                <w:rFonts w:hint="eastAsia" w:ascii="宋体" w:hAnsi="宋体" w:cs="宋体"/>
                <w:color w:val="auto"/>
                <w:spacing w:val="6"/>
                <w:kern w:val="2"/>
                <w:sz w:val="24"/>
                <w:szCs w:val="24"/>
                <w:lang w:val="en-US" w:eastAsia="zh-CN" w:bidi="zh-CN"/>
              </w:rPr>
              <w:t>元</w:t>
            </w:r>
            <w:r>
              <w:rPr>
                <w:rFonts w:hint="eastAsia" w:ascii="宋体" w:hAnsi="宋体" w:eastAsia="宋体" w:cs="宋体"/>
                <w:color w:val="auto"/>
                <w:spacing w:val="6"/>
                <w:kern w:val="2"/>
                <w:sz w:val="24"/>
                <w:szCs w:val="24"/>
                <w:lang w:val="en-US" w:eastAsia="zh-CN" w:bidi="zh-CN"/>
              </w:rPr>
              <w:t>以下罚款。</w:t>
            </w:r>
          </w:p>
        </w:tc>
      </w:tr>
      <w:tr w14:paraId="77022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7" w:hRule="atLeast"/>
          <w:jc w:val="center"/>
        </w:trPr>
        <w:tc>
          <w:tcPr>
            <w:tcW w:w="684" w:type="dxa"/>
            <w:vMerge w:val="restart"/>
            <w:noWrap w:val="0"/>
            <w:vAlign w:val="center"/>
          </w:tcPr>
          <w:p w14:paraId="6E23E4C5">
            <w:pPr>
              <w:pStyle w:val="17"/>
              <w:keepNext w:val="0"/>
              <w:keepLines w:val="0"/>
              <w:pageBreakBefore w:val="0"/>
              <w:kinsoku/>
              <w:wordWrap/>
              <w:overflowPunct/>
              <w:topLinePunct w:val="0"/>
              <w:autoSpaceDE w:val="0"/>
              <w:autoSpaceDN w:val="0"/>
              <w:bidi w:val="0"/>
              <w:adjustRightInd w:val="0"/>
              <w:snapToGrid/>
              <w:spacing w:line="420" w:lineRule="exact"/>
              <w:ind w:left="63" w:leftChars="30" w:right="63" w:rightChars="30"/>
              <w:jc w:val="center"/>
              <w:textAlignment w:val="auto"/>
              <w:rPr>
                <w:rFonts w:hint="default" w:cs="宋体"/>
                <w:spacing w:val="6"/>
                <w:sz w:val="24"/>
                <w:szCs w:val="24"/>
                <w:lang w:val="en-US" w:eastAsia="zh-CN"/>
              </w:rPr>
            </w:pPr>
            <w:r>
              <w:rPr>
                <w:rFonts w:hint="eastAsia" w:cs="宋体"/>
                <w:spacing w:val="6"/>
                <w:sz w:val="24"/>
                <w:szCs w:val="24"/>
                <w:lang w:val="en-US" w:eastAsia="zh-CN"/>
              </w:rPr>
              <w:t>142</w:t>
            </w:r>
          </w:p>
          <w:p w14:paraId="6D4B993F">
            <w:pPr>
              <w:pStyle w:val="17"/>
              <w:keepNext w:val="0"/>
              <w:keepLines w:val="0"/>
              <w:pageBreakBefore w:val="0"/>
              <w:kinsoku/>
              <w:wordWrap/>
              <w:overflowPunct/>
              <w:topLinePunct w:val="0"/>
              <w:autoSpaceDE w:val="0"/>
              <w:autoSpaceDN w:val="0"/>
              <w:bidi w:val="0"/>
              <w:adjustRightInd w:val="0"/>
              <w:snapToGrid/>
              <w:spacing w:line="420" w:lineRule="exact"/>
              <w:ind w:left="63" w:leftChars="30" w:right="63" w:rightChars="30"/>
              <w:jc w:val="both"/>
              <w:textAlignment w:val="auto"/>
              <w:rPr>
                <w:rFonts w:hint="default" w:cs="宋体"/>
                <w:spacing w:val="6"/>
                <w:sz w:val="24"/>
                <w:szCs w:val="24"/>
                <w:lang w:val="en-US" w:eastAsia="zh-CN"/>
              </w:rPr>
            </w:pPr>
          </w:p>
        </w:tc>
        <w:tc>
          <w:tcPr>
            <w:tcW w:w="1800" w:type="dxa"/>
            <w:vMerge w:val="restart"/>
            <w:noWrap w:val="0"/>
            <w:vAlign w:val="center"/>
          </w:tcPr>
          <w:p w14:paraId="50578BCE">
            <w:pPr>
              <w:pStyle w:val="17"/>
              <w:keepNext w:val="0"/>
              <w:keepLines w:val="0"/>
              <w:pageBreakBefore w:val="0"/>
              <w:widowControl w:val="0"/>
              <w:kinsoku/>
              <w:wordWrap/>
              <w:overflowPunct/>
              <w:topLinePunct w:val="0"/>
              <w:autoSpaceDE w:val="0"/>
              <w:autoSpaceDN w:val="0"/>
              <w:bidi w:val="0"/>
              <w:adjustRightInd w:val="0"/>
              <w:snapToGrid/>
              <w:spacing w:line="400" w:lineRule="exact"/>
              <w:ind w:left="63" w:leftChars="30" w:right="63" w:rightChars="30"/>
              <w:jc w:val="both"/>
              <w:textAlignment w:val="auto"/>
              <w:rPr>
                <w:rFonts w:hint="eastAsia" w:ascii="宋体" w:hAnsi="宋体" w:eastAsia="宋体" w:cs="宋体"/>
                <w:spacing w:val="6"/>
                <w:sz w:val="24"/>
                <w:szCs w:val="24"/>
              </w:rPr>
            </w:pPr>
          </w:p>
          <w:p w14:paraId="03420F37">
            <w:pPr>
              <w:pStyle w:val="17"/>
              <w:keepNext w:val="0"/>
              <w:keepLines w:val="0"/>
              <w:pageBreakBefore w:val="0"/>
              <w:widowControl w:val="0"/>
              <w:kinsoku/>
              <w:wordWrap/>
              <w:overflowPunct/>
              <w:topLinePunct w:val="0"/>
              <w:autoSpaceDE w:val="0"/>
              <w:autoSpaceDN w:val="0"/>
              <w:bidi w:val="0"/>
              <w:adjustRightInd w:val="0"/>
              <w:snapToGrid/>
              <w:spacing w:line="400" w:lineRule="exact"/>
              <w:ind w:left="63" w:leftChars="30" w:right="63" w:rightChars="30"/>
              <w:jc w:val="both"/>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《中华人民共和国标准化法实施条例》</w:t>
            </w:r>
          </w:p>
          <w:p w14:paraId="25FD9152">
            <w:pPr>
              <w:pStyle w:val="17"/>
              <w:keepNext w:val="0"/>
              <w:keepLines w:val="0"/>
              <w:pageBreakBefore w:val="0"/>
              <w:widowControl w:val="0"/>
              <w:kinsoku/>
              <w:wordWrap/>
              <w:overflowPunct/>
              <w:topLinePunct w:val="0"/>
              <w:autoSpaceDE w:val="0"/>
              <w:autoSpaceDN w:val="0"/>
              <w:bidi w:val="0"/>
              <w:adjustRightInd w:val="0"/>
              <w:snapToGrid/>
              <w:spacing w:line="400" w:lineRule="exact"/>
              <w:ind w:left="63" w:leftChars="30" w:right="63" w:rightChars="30"/>
              <w:jc w:val="both"/>
              <w:textAlignment w:val="auto"/>
              <w:rPr>
                <w:rFonts w:hint="eastAsia" w:ascii="宋体" w:hAnsi="宋体" w:eastAsia="宋体" w:cs="宋体"/>
                <w:spacing w:val="6"/>
                <w:sz w:val="24"/>
                <w:szCs w:val="24"/>
                <w:lang w:eastAsia="zh-CN"/>
              </w:rPr>
            </w:pPr>
          </w:p>
        </w:tc>
        <w:tc>
          <w:tcPr>
            <w:tcW w:w="4218" w:type="dxa"/>
            <w:vMerge w:val="restart"/>
            <w:noWrap w:val="0"/>
            <w:vAlign w:val="center"/>
          </w:tcPr>
          <w:p w14:paraId="396A4346">
            <w:pPr>
              <w:pStyle w:val="17"/>
              <w:keepNext w:val="0"/>
              <w:keepLines w:val="0"/>
              <w:pageBreakBefore w:val="0"/>
              <w:widowControl w:val="0"/>
              <w:kinsoku/>
              <w:wordWrap/>
              <w:overflowPunct/>
              <w:topLinePunct w:val="0"/>
              <w:autoSpaceDE w:val="0"/>
              <w:autoSpaceDN w:val="0"/>
              <w:bidi w:val="0"/>
              <w:adjustRightInd w:val="0"/>
              <w:snapToGrid/>
              <w:spacing w:line="400" w:lineRule="exact"/>
              <w:ind w:left="63" w:leftChars="30" w:right="63" w:rightChars="30"/>
              <w:jc w:val="both"/>
              <w:textAlignment w:val="auto"/>
              <w:rPr>
                <w:rFonts w:hint="eastAsia" w:ascii="宋体" w:hAnsi="宋体" w:eastAsia="宋体" w:cs="宋体"/>
                <w:spacing w:val="6"/>
                <w:sz w:val="24"/>
                <w:szCs w:val="24"/>
                <w:lang w:val="en-US" w:eastAsia="zh-CN"/>
              </w:rPr>
            </w:pPr>
            <w:r>
              <w:rPr>
                <w:rFonts w:hint="eastAsia" w:ascii="宋体" w:hAnsi="宋体" w:eastAsia="宋体" w:cs="宋体"/>
                <w:spacing w:val="6"/>
                <w:sz w:val="24"/>
                <w:szCs w:val="24"/>
              </w:rPr>
              <w:t>第三十三条第三款 进口不符合强制性标准的产品的，应当封存并没收该产品，监督销毁或作必要技术处理；处以进口产品货值金额百分之二十至百分之五十的罚款；对有关责任者处以五千元以下罚款。</w:t>
            </w:r>
          </w:p>
        </w:tc>
        <w:tc>
          <w:tcPr>
            <w:tcW w:w="1151" w:type="dxa"/>
            <w:noWrap w:val="0"/>
            <w:vAlign w:val="center"/>
          </w:tcPr>
          <w:p w14:paraId="6CC30B7F">
            <w:pPr>
              <w:pStyle w:val="17"/>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jc w:val="center"/>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较轻</w:t>
            </w:r>
          </w:p>
        </w:tc>
        <w:tc>
          <w:tcPr>
            <w:tcW w:w="3125" w:type="dxa"/>
            <w:noWrap w:val="0"/>
            <w:vAlign w:val="center"/>
          </w:tcPr>
          <w:p w14:paraId="78340ABF">
            <w:pPr>
              <w:pStyle w:val="17"/>
              <w:keepNext w:val="0"/>
              <w:keepLines w:val="0"/>
              <w:pageBreakBefore w:val="0"/>
              <w:widowControl w:val="0"/>
              <w:kinsoku/>
              <w:wordWrap/>
              <w:overflowPunct/>
              <w:topLinePunct w:val="0"/>
              <w:autoSpaceDE w:val="0"/>
              <w:autoSpaceDN w:val="0"/>
              <w:bidi w:val="0"/>
              <w:adjustRightInd w:val="0"/>
              <w:snapToGrid/>
              <w:spacing w:line="400" w:lineRule="exact"/>
              <w:ind w:left="63" w:leftChars="30" w:right="42" w:rightChars="20"/>
              <w:jc w:val="both"/>
              <w:textAlignment w:val="auto"/>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lang w:val="en-US" w:eastAsia="zh-CN"/>
              </w:rPr>
              <w:t>涉案产品货值金额5万元以下的</w:t>
            </w:r>
            <w:r>
              <w:rPr>
                <w:rFonts w:hint="eastAsia" w:cs="宋体"/>
                <w:color w:val="auto"/>
                <w:spacing w:val="6"/>
                <w:sz w:val="24"/>
                <w:szCs w:val="24"/>
                <w:lang w:val="en-US" w:eastAsia="zh-CN"/>
              </w:rPr>
              <w:t>。</w:t>
            </w:r>
          </w:p>
        </w:tc>
        <w:tc>
          <w:tcPr>
            <w:tcW w:w="3418" w:type="dxa"/>
            <w:noWrap w:val="0"/>
            <w:vAlign w:val="center"/>
          </w:tcPr>
          <w:p w14:paraId="0EABE722">
            <w:pPr>
              <w:keepNext w:val="0"/>
              <w:keepLines w:val="0"/>
              <w:widowControl/>
              <w:suppressLineNumbers w:val="0"/>
              <w:spacing w:line="400" w:lineRule="exact"/>
              <w:ind w:left="63" w:leftChars="30" w:right="42" w:rightChars="20"/>
              <w:jc w:val="both"/>
              <w:textAlignment w:val="center"/>
              <w:rPr>
                <w:rFonts w:hint="eastAsia" w:ascii="宋体" w:hAnsi="宋体" w:eastAsia="宋体" w:cs="宋体"/>
                <w:color w:val="0000FF"/>
                <w:spacing w:val="6"/>
                <w:sz w:val="24"/>
                <w:szCs w:val="24"/>
              </w:rPr>
            </w:pPr>
            <w:r>
              <w:rPr>
                <w:rFonts w:hint="eastAsia" w:ascii="宋体" w:hAnsi="宋体" w:cs="宋体"/>
                <w:color w:val="auto"/>
                <w:spacing w:val="6"/>
                <w:kern w:val="2"/>
                <w:sz w:val="24"/>
                <w:szCs w:val="24"/>
                <w:lang w:val="en-US" w:eastAsia="zh-CN" w:bidi="zh-CN"/>
              </w:rPr>
              <w:t>(1)</w:t>
            </w:r>
            <w:r>
              <w:rPr>
                <w:rFonts w:hint="eastAsia" w:ascii="宋体" w:hAnsi="宋体" w:eastAsia="宋体" w:cs="宋体"/>
                <w:spacing w:val="6"/>
                <w:sz w:val="24"/>
                <w:szCs w:val="24"/>
              </w:rPr>
              <w:t>封存并没收该产品，监督销毁或作必要技术处理</w:t>
            </w:r>
            <w:r>
              <w:rPr>
                <w:rFonts w:hint="eastAsia" w:ascii="宋体" w:hAnsi="宋体" w:eastAsia="宋体" w:cs="宋体"/>
                <w:color w:val="auto"/>
                <w:spacing w:val="6"/>
                <w:kern w:val="2"/>
                <w:sz w:val="24"/>
                <w:szCs w:val="24"/>
                <w:lang w:val="en-US" w:eastAsia="zh-CN" w:bidi="zh-CN"/>
              </w:rPr>
              <w:t>；</w:t>
            </w:r>
            <w:r>
              <w:rPr>
                <w:rFonts w:hint="eastAsia" w:ascii="宋体" w:hAnsi="宋体" w:eastAsia="宋体" w:cs="宋体"/>
                <w:color w:val="auto"/>
                <w:spacing w:val="6"/>
                <w:kern w:val="2"/>
                <w:sz w:val="24"/>
                <w:szCs w:val="24"/>
                <w:lang w:val="en-US" w:eastAsia="zh-CN" w:bidi="zh-CN"/>
              </w:rPr>
              <w:br w:type="textWrapping"/>
            </w:r>
            <w:r>
              <w:rPr>
                <w:rFonts w:hint="eastAsia" w:ascii="宋体" w:hAnsi="宋体" w:cs="宋体"/>
                <w:color w:val="auto"/>
                <w:spacing w:val="6"/>
                <w:kern w:val="2"/>
                <w:sz w:val="24"/>
                <w:szCs w:val="24"/>
                <w:lang w:val="en-US" w:eastAsia="zh-CN" w:bidi="zh-CN"/>
              </w:rPr>
              <w:t>(2)</w:t>
            </w:r>
            <w:r>
              <w:rPr>
                <w:rFonts w:hint="eastAsia" w:ascii="宋体" w:hAnsi="宋体" w:eastAsia="宋体" w:cs="宋体"/>
                <w:spacing w:val="6"/>
                <w:sz w:val="24"/>
                <w:szCs w:val="24"/>
              </w:rPr>
              <w:t>处以进口</w:t>
            </w:r>
            <w:r>
              <w:rPr>
                <w:rFonts w:hint="eastAsia" w:ascii="宋体" w:hAnsi="宋体" w:eastAsia="宋体" w:cs="宋体"/>
                <w:color w:val="auto"/>
                <w:spacing w:val="6"/>
                <w:kern w:val="2"/>
                <w:sz w:val="24"/>
                <w:szCs w:val="24"/>
                <w:lang w:val="en-US" w:eastAsia="zh-CN" w:bidi="zh-CN"/>
              </w:rPr>
              <w:t>产品货值金额20%以上到29%的罚款；对有关责任者处</w:t>
            </w:r>
            <w:r>
              <w:rPr>
                <w:rFonts w:hint="eastAsia" w:ascii="宋体" w:hAnsi="宋体" w:cs="宋体"/>
                <w:color w:val="auto"/>
                <w:spacing w:val="6"/>
                <w:kern w:val="2"/>
                <w:sz w:val="24"/>
                <w:szCs w:val="24"/>
                <w:lang w:val="en-US" w:eastAsia="zh-CN" w:bidi="zh-CN"/>
              </w:rPr>
              <w:t>以</w:t>
            </w:r>
            <w:r>
              <w:rPr>
                <w:rFonts w:hint="eastAsia" w:ascii="宋体" w:hAnsi="宋体" w:eastAsia="宋体" w:cs="宋体"/>
                <w:color w:val="auto"/>
                <w:spacing w:val="6"/>
                <w:kern w:val="2"/>
                <w:sz w:val="24"/>
                <w:szCs w:val="24"/>
                <w:lang w:val="en-US" w:eastAsia="zh-CN" w:bidi="zh-CN"/>
              </w:rPr>
              <w:t>1500元</w:t>
            </w:r>
            <w:r>
              <w:rPr>
                <w:rFonts w:hint="eastAsia" w:ascii="宋体" w:hAnsi="宋体" w:cs="宋体"/>
                <w:color w:val="auto"/>
                <w:spacing w:val="6"/>
                <w:kern w:val="2"/>
                <w:sz w:val="24"/>
                <w:szCs w:val="24"/>
                <w:lang w:val="en-US" w:eastAsia="zh-CN" w:bidi="zh-CN"/>
              </w:rPr>
              <w:t>以下</w:t>
            </w:r>
            <w:r>
              <w:rPr>
                <w:rFonts w:hint="eastAsia" w:ascii="宋体" w:hAnsi="宋体" w:eastAsia="宋体" w:cs="宋体"/>
                <w:color w:val="auto"/>
                <w:spacing w:val="6"/>
                <w:kern w:val="2"/>
                <w:sz w:val="24"/>
                <w:szCs w:val="24"/>
                <w:lang w:val="en-US" w:eastAsia="zh-CN" w:bidi="zh-CN"/>
              </w:rPr>
              <w:t>罚款。</w:t>
            </w:r>
          </w:p>
        </w:tc>
      </w:tr>
      <w:tr w14:paraId="477D7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0" w:hRule="atLeast"/>
          <w:jc w:val="center"/>
        </w:trPr>
        <w:tc>
          <w:tcPr>
            <w:tcW w:w="684" w:type="dxa"/>
            <w:vMerge w:val="continue"/>
            <w:noWrap w:val="0"/>
            <w:vAlign w:val="center"/>
          </w:tcPr>
          <w:p w14:paraId="52C21280">
            <w:pPr>
              <w:pStyle w:val="17"/>
              <w:keepNext w:val="0"/>
              <w:keepLines w:val="0"/>
              <w:pageBreakBefore w:val="0"/>
              <w:kinsoku/>
              <w:wordWrap/>
              <w:overflowPunct/>
              <w:topLinePunct w:val="0"/>
              <w:autoSpaceDE w:val="0"/>
              <w:autoSpaceDN w:val="0"/>
              <w:bidi w:val="0"/>
              <w:adjustRightInd w:val="0"/>
              <w:snapToGrid/>
              <w:spacing w:line="420" w:lineRule="exact"/>
              <w:ind w:left="63" w:leftChars="30" w:right="63" w:rightChars="30"/>
              <w:jc w:val="both"/>
              <w:textAlignment w:val="auto"/>
              <w:rPr>
                <w:rFonts w:hint="default" w:cs="宋体"/>
                <w:spacing w:val="6"/>
                <w:sz w:val="24"/>
                <w:szCs w:val="24"/>
                <w:lang w:val="en-US" w:eastAsia="zh-CN"/>
              </w:rPr>
            </w:pPr>
          </w:p>
        </w:tc>
        <w:tc>
          <w:tcPr>
            <w:tcW w:w="1800" w:type="dxa"/>
            <w:vMerge w:val="continue"/>
            <w:noWrap w:val="0"/>
            <w:vAlign w:val="center"/>
          </w:tcPr>
          <w:p w14:paraId="4047C38D">
            <w:pPr>
              <w:pStyle w:val="17"/>
              <w:keepNext w:val="0"/>
              <w:keepLines w:val="0"/>
              <w:pageBreakBefore w:val="0"/>
              <w:widowControl w:val="0"/>
              <w:kinsoku/>
              <w:wordWrap/>
              <w:overflowPunct/>
              <w:topLinePunct w:val="0"/>
              <w:autoSpaceDE w:val="0"/>
              <w:autoSpaceDN w:val="0"/>
              <w:bidi w:val="0"/>
              <w:adjustRightInd w:val="0"/>
              <w:snapToGrid/>
              <w:spacing w:line="400" w:lineRule="exact"/>
              <w:ind w:left="63" w:leftChars="30" w:right="63" w:rightChars="30"/>
              <w:jc w:val="both"/>
              <w:textAlignment w:val="auto"/>
              <w:rPr>
                <w:rFonts w:hint="eastAsia" w:ascii="宋体" w:hAnsi="宋体" w:eastAsia="宋体" w:cs="宋体"/>
                <w:spacing w:val="6"/>
                <w:sz w:val="24"/>
                <w:szCs w:val="24"/>
                <w:lang w:eastAsia="zh-CN"/>
              </w:rPr>
            </w:pPr>
          </w:p>
        </w:tc>
        <w:tc>
          <w:tcPr>
            <w:tcW w:w="4218" w:type="dxa"/>
            <w:vMerge w:val="continue"/>
            <w:noWrap w:val="0"/>
            <w:vAlign w:val="center"/>
          </w:tcPr>
          <w:p w14:paraId="3A629A65">
            <w:pPr>
              <w:pStyle w:val="17"/>
              <w:keepNext w:val="0"/>
              <w:keepLines w:val="0"/>
              <w:pageBreakBefore w:val="0"/>
              <w:widowControl w:val="0"/>
              <w:kinsoku/>
              <w:wordWrap/>
              <w:overflowPunct/>
              <w:topLinePunct w:val="0"/>
              <w:autoSpaceDE w:val="0"/>
              <w:autoSpaceDN w:val="0"/>
              <w:bidi w:val="0"/>
              <w:adjustRightInd w:val="0"/>
              <w:snapToGrid/>
              <w:spacing w:line="400" w:lineRule="exact"/>
              <w:ind w:left="63" w:leftChars="30" w:right="63" w:rightChars="30"/>
              <w:jc w:val="both"/>
              <w:textAlignment w:val="auto"/>
              <w:rPr>
                <w:rFonts w:hint="eastAsia" w:ascii="宋体" w:hAnsi="宋体" w:eastAsia="宋体" w:cs="宋体"/>
                <w:spacing w:val="6"/>
                <w:sz w:val="24"/>
                <w:szCs w:val="24"/>
              </w:rPr>
            </w:pPr>
          </w:p>
        </w:tc>
        <w:tc>
          <w:tcPr>
            <w:tcW w:w="1151" w:type="dxa"/>
            <w:noWrap w:val="0"/>
            <w:vAlign w:val="center"/>
          </w:tcPr>
          <w:p w14:paraId="26F7788C">
            <w:pPr>
              <w:pStyle w:val="17"/>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jc w:val="center"/>
              <w:textAlignment w:val="auto"/>
              <w:rPr>
                <w:rFonts w:hint="eastAsia" w:ascii="宋体" w:hAnsi="宋体" w:eastAsia="宋体" w:cs="宋体"/>
                <w:spacing w:val="6"/>
                <w:sz w:val="24"/>
                <w:szCs w:val="24"/>
                <w:lang w:eastAsia="zh-CN"/>
              </w:rPr>
            </w:pPr>
            <w:r>
              <w:rPr>
                <w:rFonts w:hint="eastAsia" w:ascii="宋体" w:hAnsi="宋体" w:eastAsia="宋体" w:cs="宋体"/>
                <w:spacing w:val="6"/>
                <w:sz w:val="24"/>
                <w:szCs w:val="24"/>
                <w:lang w:eastAsia="zh-CN"/>
              </w:rPr>
              <w:t>一般</w:t>
            </w:r>
          </w:p>
        </w:tc>
        <w:tc>
          <w:tcPr>
            <w:tcW w:w="3125" w:type="dxa"/>
            <w:noWrap w:val="0"/>
            <w:vAlign w:val="center"/>
          </w:tcPr>
          <w:p w14:paraId="34C64F84">
            <w:pPr>
              <w:pStyle w:val="17"/>
              <w:keepNext w:val="0"/>
              <w:keepLines w:val="0"/>
              <w:pageBreakBefore w:val="0"/>
              <w:widowControl w:val="0"/>
              <w:kinsoku/>
              <w:wordWrap/>
              <w:overflowPunct/>
              <w:topLinePunct w:val="0"/>
              <w:autoSpaceDE w:val="0"/>
              <w:autoSpaceDN w:val="0"/>
              <w:bidi w:val="0"/>
              <w:adjustRightInd w:val="0"/>
              <w:snapToGrid/>
              <w:spacing w:line="400" w:lineRule="exact"/>
              <w:ind w:left="63" w:leftChars="30" w:right="42" w:rightChars="20"/>
              <w:jc w:val="both"/>
              <w:textAlignment w:val="auto"/>
              <w:rPr>
                <w:rFonts w:hint="default" w:ascii="宋体" w:hAnsi="宋体" w:eastAsia="宋体" w:cs="宋体"/>
                <w:color w:val="auto"/>
                <w:spacing w:val="6"/>
                <w:sz w:val="24"/>
                <w:szCs w:val="24"/>
                <w:lang w:val="en"/>
              </w:rPr>
            </w:pPr>
            <w:r>
              <w:rPr>
                <w:rFonts w:hint="eastAsia" w:ascii="宋体" w:hAnsi="宋体" w:eastAsia="宋体" w:cs="宋体"/>
                <w:color w:val="auto"/>
                <w:spacing w:val="6"/>
                <w:sz w:val="24"/>
                <w:szCs w:val="24"/>
                <w:lang w:val="en-US" w:eastAsia="zh-CN"/>
              </w:rPr>
              <w:t>涉案产品货值金额5万元以上20万元以下的</w:t>
            </w:r>
            <w:r>
              <w:rPr>
                <w:rFonts w:hint="eastAsia" w:cs="宋体"/>
                <w:color w:val="auto"/>
                <w:spacing w:val="6"/>
                <w:sz w:val="24"/>
                <w:szCs w:val="24"/>
                <w:lang w:val="en-US" w:eastAsia="zh-CN"/>
              </w:rPr>
              <w:t>。</w:t>
            </w:r>
          </w:p>
        </w:tc>
        <w:tc>
          <w:tcPr>
            <w:tcW w:w="3418" w:type="dxa"/>
            <w:noWrap w:val="0"/>
            <w:vAlign w:val="center"/>
          </w:tcPr>
          <w:p w14:paraId="30AE2797">
            <w:pPr>
              <w:keepNext w:val="0"/>
              <w:keepLines w:val="0"/>
              <w:widowControl/>
              <w:suppressLineNumbers w:val="0"/>
              <w:spacing w:line="400" w:lineRule="exact"/>
              <w:ind w:left="63" w:leftChars="30" w:right="42" w:rightChars="20"/>
              <w:jc w:val="both"/>
              <w:textAlignment w:val="center"/>
              <w:rPr>
                <w:rFonts w:hint="eastAsia" w:ascii="宋体" w:hAnsi="宋体" w:eastAsia="宋体" w:cs="宋体"/>
                <w:color w:val="0000FF"/>
                <w:spacing w:val="6"/>
                <w:sz w:val="24"/>
                <w:szCs w:val="24"/>
              </w:rPr>
            </w:pPr>
            <w:r>
              <w:rPr>
                <w:rFonts w:hint="eastAsia" w:ascii="宋体" w:hAnsi="宋体" w:cs="宋体"/>
                <w:color w:val="auto"/>
                <w:spacing w:val="6"/>
                <w:kern w:val="2"/>
                <w:sz w:val="24"/>
                <w:szCs w:val="24"/>
                <w:lang w:val="en-US" w:eastAsia="zh-CN" w:bidi="zh-CN"/>
              </w:rPr>
              <w:t>(1)</w:t>
            </w:r>
            <w:r>
              <w:rPr>
                <w:rFonts w:hint="eastAsia" w:ascii="宋体" w:hAnsi="宋体" w:eastAsia="宋体" w:cs="宋体"/>
                <w:spacing w:val="6"/>
                <w:sz w:val="24"/>
                <w:szCs w:val="24"/>
              </w:rPr>
              <w:t>封存并没收该产品，监督销毁或作必要技术处理</w:t>
            </w:r>
            <w:r>
              <w:rPr>
                <w:rFonts w:hint="eastAsia" w:ascii="宋体" w:hAnsi="宋体" w:eastAsia="宋体" w:cs="宋体"/>
                <w:color w:val="auto"/>
                <w:spacing w:val="6"/>
                <w:kern w:val="2"/>
                <w:sz w:val="24"/>
                <w:szCs w:val="24"/>
                <w:lang w:val="en-US" w:eastAsia="zh-CN" w:bidi="zh-CN"/>
              </w:rPr>
              <w:t>；</w:t>
            </w:r>
            <w:r>
              <w:rPr>
                <w:rFonts w:hint="eastAsia" w:ascii="宋体" w:hAnsi="宋体" w:eastAsia="宋体" w:cs="宋体"/>
                <w:color w:val="auto"/>
                <w:spacing w:val="6"/>
                <w:kern w:val="2"/>
                <w:sz w:val="24"/>
                <w:szCs w:val="24"/>
                <w:lang w:val="en-US" w:eastAsia="zh-CN" w:bidi="zh-CN"/>
              </w:rPr>
              <w:br w:type="textWrapping"/>
            </w:r>
            <w:r>
              <w:rPr>
                <w:rFonts w:hint="eastAsia" w:ascii="宋体" w:hAnsi="宋体" w:cs="宋体"/>
                <w:color w:val="auto"/>
                <w:spacing w:val="6"/>
                <w:kern w:val="2"/>
                <w:sz w:val="24"/>
                <w:szCs w:val="24"/>
                <w:lang w:val="en-US" w:eastAsia="zh-CN" w:bidi="zh-CN"/>
              </w:rPr>
              <w:t>(2)</w:t>
            </w:r>
            <w:r>
              <w:rPr>
                <w:rFonts w:hint="eastAsia" w:ascii="宋体" w:hAnsi="宋体" w:eastAsia="宋体" w:cs="宋体"/>
                <w:spacing w:val="6"/>
                <w:sz w:val="24"/>
                <w:szCs w:val="24"/>
              </w:rPr>
              <w:t>处以进口</w:t>
            </w:r>
            <w:r>
              <w:rPr>
                <w:rFonts w:hint="eastAsia" w:ascii="宋体" w:hAnsi="宋体" w:eastAsia="宋体" w:cs="宋体"/>
                <w:color w:val="auto"/>
                <w:spacing w:val="6"/>
                <w:kern w:val="2"/>
                <w:sz w:val="24"/>
                <w:szCs w:val="24"/>
                <w:lang w:val="en-US" w:eastAsia="zh-CN" w:bidi="zh-CN"/>
              </w:rPr>
              <w:t>产品货值金额29%以上到41%的罚款；对有关责任者处</w:t>
            </w:r>
            <w:r>
              <w:rPr>
                <w:rFonts w:hint="eastAsia" w:ascii="宋体" w:hAnsi="宋体" w:cs="宋体"/>
                <w:color w:val="auto"/>
                <w:spacing w:val="6"/>
                <w:kern w:val="2"/>
                <w:sz w:val="24"/>
                <w:szCs w:val="24"/>
                <w:lang w:val="en-US" w:eastAsia="zh-CN" w:bidi="zh-CN"/>
              </w:rPr>
              <w:t>以</w:t>
            </w:r>
            <w:r>
              <w:rPr>
                <w:rFonts w:hint="eastAsia" w:ascii="宋体" w:hAnsi="宋体" w:eastAsia="宋体" w:cs="宋体"/>
                <w:color w:val="auto"/>
                <w:spacing w:val="6"/>
                <w:kern w:val="2"/>
                <w:sz w:val="24"/>
                <w:szCs w:val="24"/>
                <w:lang w:val="en-US" w:eastAsia="zh-CN" w:bidi="zh-CN"/>
              </w:rPr>
              <w:t>1500元以上3500元</w:t>
            </w:r>
            <w:r>
              <w:rPr>
                <w:rFonts w:hint="eastAsia" w:ascii="宋体" w:hAnsi="宋体" w:cs="宋体"/>
                <w:color w:val="auto"/>
                <w:spacing w:val="6"/>
                <w:kern w:val="2"/>
                <w:sz w:val="24"/>
                <w:szCs w:val="24"/>
                <w:lang w:val="en-US" w:eastAsia="zh-CN" w:bidi="zh-CN"/>
              </w:rPr>
              <w:t>以下</w:t>
            </w:r>
            <w:r>
              <w:rPr>
                <w:rFonts w:hint="eastAsia" w:ascii="宋体" w:hAnsi="宋体" w:eastAsia="宋体" w:cs="宋体"/>
                <w:color w:val="auto"/>
                <w:spacing w:val="6"/>
                <w:kern w:val="2"/>
                <w:sz w:val="24"/>
                <w:szCs w:val="24"/>
                <w:lang w:val="en-US" w:eastAsia="zh-CN" w:bidi="zh-CN"/>
              </w:rPr>
              <w:t>罚款。</w:t>
            </w:r>
          </w:p>
        </w:tc>
      </w:tr>
      <w:tr w14:paraId="3C077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1" w:hRule="atLeast"/>
          <w:jc w:val="center"/>
        </w:trPr>
        <w:tc>
          <w:tcPr>
            <w:tcW w:w="684" w:type="dxa"/>
            <w:vMerge w:val="continue"/>
            <w:tcBorders>
              <w:top w:val="nil"/>
            </w:tcBorders>
            <w:noWrap w:val="0"/>
            <w:vAlign w:val="top"/>
          </w:tcPr>
          <w:p w14:paraId="24518B62">
            <w:pPr>
              <w:keepNext w:val="0"/>
              <w:keepLines w:val="0"/>
              <w:pageBreakBefore w:val="0"/>
              <w:kinsoku/>
              <w:wordWrap/>
              <w:overflowPunct/>
              <w:topLinePunct w:val="0"/>
              <w:autoSpaceDE w:val="0"/>
              <w:autoSpaceDN w:val="0"/>
              <w:bidi w:val="0"/>
              <w:adjustRightInd w:val="0"/>
              <w:snapToGrid/>
              <w:spacing w:line="420" w:lineRule="exact"/>
              <w:ind w:left="63" w:leftChars="30" w:right="63" w:rightChars="30"/>
              <w:textAlignment w:val="auto"/>
              <w:rPr>
                <w:rFonts w:hint="eastAsia" w:ascii="宋体" w:hAnsi="宋体" w:eastAsia="宋体" w:cs="宋体"/>
                <w:spacing w:val="6"/>
                <w:sz w:val="24"/>
                <w:szCs w:val="24"/>
              </w:rPr>
            </w:pPr>
          </w:p>
        </w:tc>
        <w:tc>
          <w:tcPr>
            <w:tcW w:w="1800" w:type="dxa"/>
            <w:vMerge w:val="continue"/>
            <w:tcBorders>
              <w:top w:val="nil"/>
            </w:tcBorders>
            <w:noWrap w:val="0"/>
            <w:vAlign w:val="center"/>
          </w:tcPr>
          <w:p w14:paraId="398CDC80">
            <w:pPr>
              <w:keepNext w:val="0"/>
              <w:keepLines w:val="0"/>
              <w:pageBreakBefore w:val="0"/>
              <w:widowControl w:val="0"/>
              <w:kinsoku/>
              <w:wordWrap/>
              <w:overflowPunct/>
              <w:topLinePunct w:val="0"/>
              <w:autoSpaceDE w:val="0"/>
              <w:autoSpaceDN w:val="0"/>
              <w:bidi w:val="0"/>
              <w:adjustRightInd w:val="0"/>
              <w:snapToGrid/>
              <w:spacing w:line="400" w:lineRule="exact"/>
              <w:ind w:left="63" w:leftChars="30" w:right="63" w:rightChars="30"/>
              <w:jc w:val="both"/>
              <w:textAlignment w:val="auto"/>
              <w:rPr>
                <w:rFonts w:hint="eastAsia" w:ascii="宋体" w:hAnsi="宋体" w:eastAsia="宋体" w:cs="宋体"/>
                <w:spacing w:val="6"/>
                <w:sz w:val="24"/>
                <w:szCs w:val="24"/>
              </w:rPr>
            </w:pPr>
          </w:p>
        </w:tc>
        <w:tc>
          <w:tcPr>
            <w:tcW w:w="4218" w:type="dxa"/>
            <w:vMerge w:val="continue"/>
            <w:tcBorders>
              <w:top w:val="nil"/>
            </w:tcBorders>
            <w:noWrap w:val="0"/>
            <w:vAlign w:val="center"/>
          </w:tcPr>
          <w:p w14:paraId="2AA190AD">
            <w:pPr>
              <w:keepNext w:val="0"/>
              <w:keepLines w:val="0"/>
              <w:pageBreakBefore w:val="0"/>
              <w:widowControl w:val="0"/>
              <w:kinsoku/>
              <w:wordWrap/>
              <w:overflowPunct/>
              <w:topLinePunct w:val="0"/>
              <w:autoSpaceDE w:val="0"/>
              <w:autoSpaceDN w:val="0"/>
              <w:bidi w:val="0"/>
              <w:adjustRightInd w:val="0"/>
              <w:snapToGrid/>
              <w:spacing w:line="400" w:lineRule="exact"/>
              <w:ind w:left="63" w:leftChars="30" w:right="63" w:rightChars="30"/>
              <w:jc w:val="both"/>
              <w:textAlignment w:val="auto"/>
              <w:rPr>
                <w:rFonts w:hint="eastAsia" w:ascii="宋体" w:hAnsi="宋体" w:eastAsia="宋体" w:cs="宋体"/>
                <w:spacing w:val="6"/>
                <w:sz w:val="24"/>
                <w:szCs w:val="24"/>
              </w:rPr>
            </w:pPr>
          </w:p>
        </w:tc>
        <w:tc>
          <w:tcPr>
            <w:tcW w:w="1151" w:type="dxa"/>
            <w:noWrap w:val="0"/>
            <w:vAlign w:val="center"/>
          </w:tcPr>
          <w:p w14:paraId="2152B19F">
            <w:pPr>
              <w:pStyle w:val="17"/>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jc w:val="center"/>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较重</w:t>
            </w:r>
          </w:p>
        </w:tc>
        <w:tc>
          <w:tcPr>
            <w:tcW w:w="3125" w:type="dxa"/>
            <w:noWrap w:val="0"/>
            <w:vAlign w:val="center"/>
          </w:tcPr>
          <w:p w14:paraId="57A25732">
            <w:pPr>
              <w:pStyle w:val="17"/>
              <w:keepNext w:val="0"/>
              <w:keepLines w:val="0"/>
              <w:pageBreakBefore w:val="0"/>
              <w:widowControl w:val="0"/>
              <w:kinsoku/>
              <w:wordWrap/>
              <w:overflowPunct/>
              <w:topLinePunct w:val="0"/>
              <w:autoSpaceDE w:val="0"/>
              <w:autoSpaceDN w:val="0"/>
              <w:bidi w:val="0"/>
              <w:adjustRightInd w:val="0"/>
              <w:snapToGrid/>
              <w:spacing w:line="400" w:lineRule="exact"/>
              <w:ind w:left="63" w:leftChars="30" w:right="42" w:rightChars="20"/>
              <w:jc w:val="both"/>
              <w:textAlignment w:val="auto"/>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lang w:val="en-US" w:eastAsia="zh-CN"/>
              </w:rPr>
              <w:t>涉案产品货值金额20万元以上的</w:t>
            </w:r>
            <w:r>
              <w:rPr>
                <w:rFonts w:hint="eastAsia" w:cs="宋体"/>
                <w:color w:val="auto"/>
                <w:spacing w:val="6"/>
                <w:sz w:val="24"/>
                <w:szCs w:val="24"/>
                <w:lang w:val="en-US" w:eastAsia="zh-CN"/>
              </w:rPr>
              <w:t>。</w:t>
            </w:r>
          </w:p>
        </w:tc>
        <w:tc>
          <w:tcPr>
            <w:tcW w:w="3418" w:type="dxa"/>
            <w:noWrap w:val="0"/>
            <w:vAlign w:val="center"/>
          </w:tcPr>
          <w:p w14:paraId="1DACF7F6">
            <w:pPr>
              <w:keepNext w:val="0"/>
              <w:keepLines w:val="0"/>
              <w:widowControl/>
              <w:suppressLineNumbers w:val="0"/>
              <w:spacing w:line="400" w:lineRule="exact"/>
              <w:ind w:left="63" w:leftChars="30" w:right="42" w:rightChars="20"/>
              <w:jc w:val="both"/>
              <w:textAlignment w:val="center"/>
              <w:rPr>
                <w:rFonts w:hint="eastAsia" w:ascii="宋体" w:hAnsi="宋体" w:eastAsia="宋体" w:cs="宋体"/>
                <w:color w:val="0000FF"/>
                <w:spacing w:val="6"/>
                <w:sz w:val="24"/>
                <w:szCs w:val="24"/>
              </w:rPr>
            </w:pPr>
            <w:r>
              <w:rPr>
                <w:rFonts w:hint="eastAsia" w:ascii="宋体" w:hAnsi="宋体" w:cs="宋体"/>
                <w:color w:val="auto"/>
                <w:spacing w:val="6"/>
                <w:kern w:val="2"/>
                <w:sz w:val="24"/>
                <w:szCs w:val="24"/>
                <w:lang w:val="en-US" w:eastAsia="zh-CN" w:bidi="zh-CN"/>
              </w:rPr>
              <w:t>(1)</w:t>
            </w:r>
            <w:r>
              <w:rPr>
                <w:rFonts w:hint="eastAsia" w:ascii="宋体" w:hAnsi="宋体" w:eastAsia="宋体" w:cs="宋体"/>
                <w:spacing w:val="6"/>
                <w:sz w:val="24"/>
                <w:szCs w:val="24"/>
              </w:rPr>
              <w:t>封存并没收该产品，监督销毁或作必要技术处理</w:t>
            </w:r>
            <w:r>
              <w:rPr>
                <w:rFonts w:hint="eastAsia" w:ascii="宋体" w:hAnsi="宋体" w:eastAsia="宋体" w:cs="宋体"/>
                <w:color w:val="auto"/>
                <w:spacing w:val="6"/>
                <w:kern w:val="2"/>
                <w:sz w:val="24"/>
                <w:szCs w:val="24"/>
                <w:lang w:val="en-US" w:eastAsia="zh-CN" w:bidi="zh-CN"/>
              </w:rPr>
              <w:t>；</w:t>
            </w:r>
            <w:r>
              <w:rPr>
                <w:rFonts w:hint="eastAsia" w:ascii="宋体" w:hAnsi="宋体" w:eastAsia="宋体" w:cs="宋体"/>
                <w:color w:val="auto"/>
                <w:spacing w:val="6"/>
                <w:kern w:val="2"/>
                <w:sz w:val="24"/>
                <w:szCs w:val="24"/>
                <w:lang w:val="en-US" w:eastAsia="zh-CN" w:bidi="zh-CN"/>
              </w:rPr>
              <w:br w:type="textWrapping"/>
            </w:r>
            <w:r>
              <w:rPr>
                <w:rFonts w:hint="eastAsia" w:ascii="宋体" w:hAnsi="宋体" w:cs="宋体"/>
                <w:color w:val="auto"/>
                <w:spacing w:val="6"/>
                <w:kern w:val="2"/>
                <w:sz w:val="24"/>
                <w:szCs w:val="24"/>
                <w:lang w:val="en-US" w:eastAsia="zh-CN" w:bidi="zh-CN"/>
              </w:rPr>
              <w:t>(2)</w:t>
            </w:r>
            <w:r>
              <w:rPr>
                <w:rFonts w:hint="eastAsia" w:ascii="宋体" w:hAnsi="宋体" w:eastAsia="宋体" w:cs="宋体"/>
                <w:spacing w:val="6"/>
                <w:sz w:val="24"/>
                <w:szCs w:val="24"/>
              </w:rPr>
              <w:t>处以进口</w:t>
            </w:r>
            <w:r>
              <w:rPr>
                <w:rFonts w:hint="eastAsia" w:ascii="宋体" w:hAnsi="宋体" w:eastAsia="宋体" w:cs="宋体"/>
                <w:color w:val="auto"/>
                <w:spacing w:val="6"/>
                <w:kern w:val="2"/>
                <w:sz w:val="24"/>
                <w:szCs w:val="24"/>
                <w:lang w:val="en-US" w:eastAsia="zh-CN" w:bidi="zh-CN"/>
              </w:rPr>
              <w:t>产品货值金额41%以上50%以下的罚款；对有关责任者处</w:t>
            </w:r>
            <w:r>
              <w:rPr>
                <w:rFonts w:hint="eastAsia" w:ascii="宋体" w:hAnsi="宋体" w:cs="宋体"/>
                <w:color w:val="auto"/>
                <w:spacing w:val="6"/>
                <w:kern w:val="2"/>
                <w:sz w:val="24"/>
                <w:szCs w:val="24"/>
                <w:lang w:val="en-US" w:eastAsia="zh-CN" w:bidi="zh-CN"/>
              </w:rPr>
              <w:t>以</w:t>
            </w:r>
            <w:r>
              <w:rPr>
                <w:rFonts w:hint="eastAsia" w:ascii="宋体" w:hAnsi="宋体" w:eastAsia="宋体" w:cs="宋体"/>
                <w:color w:val="auto"/>
                <w:spacing w:val="6"/>
                <w:kern w:val="2"/>
                <w:sz w:val="24"/>
                <w:szCs w:val="24"/>
                <w:lang w:val="en-US" w:eastAsia="zh-CN" w:bidi="zh-CN"/>
              </w:rPr>
              <w:t>3500元以上5000</w:t>
            </w:r>
            <w:r>
              <w:rPr>
                <w:rFonts w:hint="eastAsia" w:ascii="宋体" w:hAnsi="宋体" w:cs="宋体"/>
                <w:color w:val="auto"/>
                <w:spacing w:val="6"/>
                <w:kern w:val="2"/>
                <w:sz w:val="24"/>
                <w:szCs w:val="24"/>
                <w:lang w:val="en-US" w:eastAsia="zh-CN" w:bidi="zh-CN"/>
              </w:rPr>
              <w:t>元</w:t>
            </w:r>
            <w:r>
              <w:rPr>
                <w:rFonts w:hint="eastAsia" w:ascii="宋体" w:hAnsi="宋体" w:eastAsia="宋体" w:cs="宋体"/>
                <w:color w:val="auto"/>
                <w:spacing w:val="6"/>
                <w:kern w:val="2"/>
                <w:sz w:val="24"/>
                <w:szCs w:val="24"/>
                <w:lang w:val="en-US" w:eastAsia="zh-CN" w:bidi="zh-CN"/>
              </w:rPr>
              <w:t>以下罚款。</w:t>
            </w:r>
          </w:p>
        </w:tc>
      </w:tr>
      <w:tr w14:paraId="5614C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684" w:type="dxa"/>
            <w:vMerge w:val="restart"/>
            <w:noWrap w:val="0"/>
            <w:vAlign w:val="center"/>
          </w:tcPr>
          <w:p w14:paraId="0E501505">
            <w:pPr>
              <w:pStyle w:val="17"/>
              <w:keepNext w:val="0"/>
              <w:keepLines w:val="0"/>
              <w:pageBreakBefore w:val="0"/>
              <w:kinsoku/>
              <w:wordWrap/>
              <w:overflowPunct/>
              <w:topLinePunct w:val="0"/>
              <w:autoSpaceDE w:val="0"/>
              <w:autoSpaceDN w:val="0"/>
              <w:bidi w:val="0"/>
              <w:adjustRightInd w:val="0"/>
              <w:snapToGrid/>
              <w:spacing w:line="420" w:lineRule="exact"/>
              <w:ind w:left="63" w:leftChars="30" w:right="63" w:rightChars="30"/>
              <w:jc w:val="center"/>
              <w:textAlignment w:val="auto"/>
              <w:rPr>
                <w:rFonts w:hint="eastAsia" w:ascii="宋体" w:hAnsi="宋体" w:eastAsia="宋体" w:cs="宋体"/>
                <w:spacing w:val="6"/>
                <w:sz w:val="24"/>
                <w:szCs w:val="24"/>
              </w:rPr>
            </w:pPr>
          </w:p>
          <w:p w14:paraId="2266F159">
            <w:pPr>
              <w:pStyle w:val="17"/>
              <w:keepNext w:val="0"/>
              <w:keepLines w:val="0"/>
              <w:pageBreakBefore w:val="0"/>
              <w:kinsoku/>
              <w:wordWrap/>
              <w:overflowPunct/>
              <w:topLinePunct w:val="0"/>
              <w:autoSpaceDE w:val="0"/>
              <w:autoSpaceDN w:val="0"/>
              <w:bidi w:val="0"/>
              <w:adjustRightInd w:val="0"/>
              <w:snapToGrid/>
              <w:spacing w:line="420" w:lineRule="exact"/>
              <w:ind w:left="63" w:leftChars="30" w:right="63" w:rightChars="30"/>
              <w:jc w:val="center"/>
              <w:textAlignment w:val="auto"/>
              <w:rPr>
                <w:rFonts w:hint="default"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1</w:t>
            </w:r>
            <w:r>
              <w:rPr>
                <w:rFonts w:hint="eastAsia" w:cs="宋体"/>
                <w:spacing w:val="6"/>
                <w:sz w:val="24"/>
                <w:szCs w:val="24"/>
                <w:lang w:val="en-US" w:eastAsia="zh-CN"/>
              </w:rPr>
              <w:t>43</w:t>
            </w:r>
          </w:p>
        </w:tc>
        <w:tc>
          <w:tcPr>
            <w:tcW w:w="1800" w:type="dxa"/>
            <w:vMerge w:val="restart"/>
            <w:noWrap w:val="0"/>
            <w:vAlign w:val="center"/>
          </w:tcPr>
          <w:p w14:paraId="00E3E515">
            <w:pPr>
              <w:pStyle w:val="17"/>
              <w:keepNext w:val="0"/>
              <w:keepLines w:val="0"/>
              <w:pageBreakBefore w:val="0"/>
              <w:widowControl w:val="0"/>
              <w:kinsoku/>
              <w:wordWrap/>
              <w:overflowPunct/>
              <w:topLinePunct w:val="0"/>
              <w:autoSpaceDE w:val="0"/>
              <w:autoSpaceDN w:val="0"/>
              <w:bidi w:val="0"/>
              <w:adjustRightInd w:val="0"/>
              <w:snapToGrid/>
              <w:spacing w:line="400" w:lineRule="exact"/>
              <w:ind w:left="63" w:leftChars="30" w:right="63" w:rightChars="30"/>
              <w:textAlignment w:val="auto"/>
              <w:outlineLvl w:val="2"/>
              <w:rPr>
                <w:rFonts w:hint="eastAsia" w:ascii="宋体" w:hAnsi="宋体" w:eastAsia="宋体" w:cs="宋体"/>
                <w:spacing w:val="6"/>
                <w:sz w:val="24"/>
                <w:szCs w:val="24"/>
                <w:lang w:eastAsia="zh-CN"/>
              </w:rPr>
            </w:pPr>
            <w:bookmarkStart w:id="218" w:name="_Toc20831"/>
            <w:bookmarkStart w:id="219" w:name="_Toc24410"/>
            <w:bookmarkStart w:id="220" w:name="_Toc12097"/>
            <w:bookmarkStart w:id="221" w:name="_Toc9506"/>
            <w:bookmarkStart w:id="222" w:name="_Toc9052"/>
            <w:r>
              <w:rPr>
                <w:rFonts w:hint="eastAsia" w:ascii="宋体" w:hAnsi="宋体" w:eastAsia="宋体" w:cs="宋体"/>
                <w:spacing w:val="6"/>
                <w:sz w:val="24"/>
                <w:szCs w:val="24"/>
              </w:rPr>
              <w:t>《商品条码管理办法》</w:t>
            </w:r>
            <w:r>
              <w:rPr>
                <w:rFonts w:hint="eastAsia" w:ascii="宋体" w:hAnsi="宋体" w:eastAsia="宋体" w:cs="宋体"/>
                <w:spacing w:val="6"/>
                <w:sz w:val="24"/>
                <w:szCs w:val="24"/>
                <w:lang w:val="en-US" w:eastAsia="zh-CN"/>
              </w:rPr>
              <w:t>（2005年</w:t>
            </w:r>
            <w:r>
              <w:rPr>
                <w:rFonts w:hint="eastAsia" w:cs="宋体"/>
                <w:spacing w:val="6"/>
                <w:sz w:val="24"/>
                <w:szCs w:val="24"/>
                <w:lang w:val="en-US" w:eastAsia="zh-CN"/>
              </w:rPr>
              <w:t>10</w:t>
            </w:r>
            <w:r>
              <w:rPr>
                <w:rFonts w:hint="eastAsia" w:ascii="宋体" w:hAnsi="宋体" w:eastAsia="宋体" w:cs="宋体"/>
                <w:spacing w:val="6"/>
                <w:sz w:val="24"/>
                <w:szCs w:val="24"/>
                <w:lang w:val="en-US" w:eastAsia="zh-CN"/>
              </w:rPr>
              <w:t>月</w:t>
            </w:r>
            <w:r>
              <w:rPr>
                <w:rFonts w:hint="eastAsia" w:cs="宋体"/>
                <w:spacing w:val="6"/>
                <w:sz w:val="24"/>
                <w:szCs w:val="24"/>
                <w:lang w:val="en-US" w:eastAsia="zh-CN"/>
              </w:rPr>
              <w:t>1</w:t>
            </w:r>
            <w:r>
              <w:rPr>
                <w:rFonts w:hint="eastAsia" w:ascii="宋体" w:hAnsi="宋体" w:eastAsia="宋体" w:cs="宋体"/>
                <w:spacing w:val="6"/>
                <w:sz w:val="24"/>
                <w:szCs w:val="24"/>
                <w:lang w:val="en-US" w:eastAsia="zh-CN"/>
              </w:rPr>
              <w:t>日</w:t>
            </w:r>
            <w:r>
              <w:rPr>
                <w:rFonts w:hint="eastAsia" w:cs="宋体"/>
                <w:spacing w:val="6"/>
                <w:sz w:val="24"/>
                <w:szCs w:val="24"/>
                <w:lang w:val="en-US" w:eastAsia="zh-CN"/>
              </w:rPr>
              <w:t>起施行</w:t>
            </w:r>
            <w:r>
              <w:rPr>
                <w:rFonts w:hint="eastAsia" w:ascii="宋体" w:hAnsi="宋体" w:eastAsia="宋体" w:cs="宋体"/>
                <w:spacing w:val="6"/>
                <w:sz w:val="24"/>
                <w:szCs w:val="24"/>
                <w:lang w:val="en-US" w:eastAsia="zh-CN"/>
              </w:rPr>
              <w:t>）</w:t>
            </w:r>
            <w:bookmarkEnd w:id="218"/>
            <w:bookmarkEnd w:id="219"/>
            <w:bookmarkEnd w:id="220"/>
            <w:bookmarkEnd w:id="221"/>
            <w:bookmarkEnd w:id="222"/>
          </w:p>
          <w:p w14:paraId="64369F69">
            <w:pPr>
              <w:pStyle w:val="17"/>
              <w:keepNext w:val="0"/>
              <w:keepLines w:val="0"/>
              <w:pageBreakBefore w:val="0"/>
              <w:widowControl w:val="0"/>
              <w:kinsoku/>
              <w:wordWrap/>
              <w:overflowPunct/>
              <w:topLinePunct w:val="0"/>
              <w:autoSpaceDE w:val="0"/>
              <w:autoSpaceDN w:val="0"/>
              <w:bidi w:val="0"/>
              <w:adjustRightInd w:val="0"/>
              <w:snapToGrid/>
              <w:spacing w:line="400" w:lineRule="exact"/>
              <w:ind w:left="63" w:leftChars="30" w:right="63" w:rightChars="30"/>
              <w:jc w:val="both"/>
              <w:textAlignment w:val="auto"/>
              <w:outlineLvl w:val="2"/>
              <w:rPr>
                <w:rFonts w:hint="eastAsia" w:ascii="宋体" w:hAnsi="宋体" w:eastAsia="宋体" w:cs="宋体"/>
                <w:spacing w:val="6"/>
                <w:sz w:val="24"/>
                <w:szCs w:val="24"/>
                <w:lang w:eastAsia="zh-CN"/>
              </w:rPr>
            </w:pPr>
          </w:p>
        </w:tc>
        <w:tc>
          <w:tcPr>
            <w:tcW w:w="4218" w:type="dxa"/>
            <w:vMerge w:val="restart"/>
            <w:noWrap w:val="0"/>
            <w:vAlign w:val="center"/>
          </w:tcPr>
          <w:p w14:paraId="7BC0B445">
            <w:pPr>
              <w:pStyle w:val="17"/>
              <w:keepNext w:val="0"/>
              <w:keepLines w:val="0"/>
              <w:pageBreakBefore w:val="0"/>
              <w:widowControl w:val="0"/>
              <w:kinsoku/>
              <w:wordWrap/>
              <w:overflowPunct/>
              <w:topLinePunct w:val="0"/>
              <w:autoSpaceDE w:val="0"/>
              <w:autoSpaceDN w:val="0"/>
              <w:bidi w:val="0"/>
              <w:adjustRightInd w:val="0"/>
              <w:snapToGrid/>
              <w:spacing w:line="400" w:lineRule="exact"/>
              <w:ind w:left="63" w:leftChars="30" w:right="63" w:rightChars="30"/>
              <w:jc w:val="both"/>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第三十五条 未经核准注册使用厂商识别序号和相应商品条码的，在商品包装上使用其他条码冒充商品条码或伪造商品条码的，或者使用已经注销的厂商识别序号和相应商品条码的，责令其改正，处以30000元以下罚款。</w:t>
            </w:r>
          </w:p>
        </w:tc>
        <w:tc>
          <w:tcPr>
            <w:tcW w:w="1151" w:type="dxa"/>
            <w:noWrap w:val="0"/>
            <w:vAlign w:val="center"/>
          </w:tcPr>
          <w:p w14:paraId="53DFE052">
            <w:pPr>
              <w:pStyle w:val="17"/>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jc w:val="center"/>
              <w:textAlignment w:val="auto"/>
              <w:rPr>
                <w:rFonts w:hint="eastAsia" w:ascii="宋体" w:hAnsi="宋体" w:eastAsia="宋体" w:cs="宋体"/>
                <w:spacing w:val="6"/>
                <w:sz w:val="24"/>
                <w:szCs w:val="24"/>
              </w:rPr>
            </w:pPr>
          </w:p>
          <w:p w14:paraId="79A873EF">
            <w:pPr>
              <w:pStyle w:val="17"/>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jc w:val="center"/>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较轻</w:t>
            </w:r>
          </w:p>
        </w:tc>
        <w:tc>
          <w:tcPr>
            <w:tcW w:w="3125" w:type="dxa"/>
            <w:noWrap w:val="0"/>
            <w:vAlign w:val="center"/>
          </w:tcPr>
          <w:p w14:paraId="1F838440">
            <w:pPr>
              <w:pStyle w:val="17"/>
              <w:keepNext w:val="0"/>
              <w:keepLines w:val="0"/>
              <w:pageBreakBefore w:val="0"/>
              <w:widowControl w:val="0"/>
              <w:kinsoku/>
              <w:wordWrap/>
              <w:overflowPunct/>
              <w:topLinePunct w:val="0"/>
              <w:autoSpaceDE w:val="0"/>
              <w:autoSpaceDN w:val="0"/>
              <w:bidi w:val="0"/>
              <w:adjustRightInd w:val="0"/>
              <w:snapToGrid/>
              <w:spacing w:line="360" w:lineRule="exact"/>
              <w:ind w:left="63" w:leftChars="30" w:right="42" w:rightChars="20"/>
              <w:jc w:val="both"/>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在</w:t>
            </w:r>
            <w:r>
              <w:rPr>
                <w:rFonts w:hint="default" w:cs="宋体"/>
                <w:spacing w:val="6"/>
                <w:sz w:val="24"/>
                <w:szCs w:val="24"/>
                <w:lang w:val="en"/>
              </w:rPr>
              <w:t>1</w:t>
            </w:r>
            <w:r>
              <w:rPr>
                <w:rFonts w:hint="eastAsia" w:ascii="宋体" w:hAnsi="宋体" w:eastAsia="宋体" w:cs="宋体"/>
                <w:spacing w:val="6"/>
                <w:sz w:val="24"/>
                <w:szCs w:val="24"/>
              </w:rPr>
              <w:t>种商品上违法使用的。</w:t>
            </w:r>
          </w:p>
        </w:tc>
        <w:tc>
          <w:tcPr>
            <w:tcW w:w="3418" w:type="dxa"/>
            <w:noWrap w:val="0"/>
            <w:vAlign w:val="center"/>
          </w:tcPr>
          <w:p w14:paraId="6969A80C">
            <w:pPr>
              <w:pStyle w:val="17"/>
              <w:keepNext w:val="0"/>
              <w:keepLines w:val="0"/>
              <w:pageBreakBefore w:val="0"/>
              <w:widowControl w:val="0"/>
              <w:kinsoku/>
              <w:wordWrap/>
              <w:overflowPunct/>
              <w:topLinePunct w:val="0"/>
              <w:autoSpaceDE w:val="0"/>
              <w:autoSpaceDN w:val="0"/>
              <w:bidi w:val="0"/>
              <w:adjustRightInd w:val="0"/>
              <w:snapToGrid/>
              <w:spacing w:line="360" w:lineRule="exact"/>
              <w:ind w:left="63" w:leftChars="30" w:right="42" w:rightChars="20"/>
              <w:jc w:val="both"/>
              <w:textAlignment w:val="auto"/>
              <w:rPr>
                <w:rFonts w:hint="eastAsia" w:ascii="宋体" w:hAnsi="宋体" w:eastAsia="宋体" w:cs="宋体"/>
                <w:strike/>
                <w:dstrike w:val="0"/>
                <w:spacing w:val="6"/>
                <w:sz w:val="24"/>
                <w:szCs w:val="24"/>
              </w:rPr>
            </w:pPr>
            <w:r>
              <w:rPr>
                <w:rFonts w:hint="eastAsia" w:ascii="宋体" w:hAnsi="宋体" w:eastAsia="宋体" w:cs="宋体"/>
                <w:spacing w:val="6"/>
                <w:sz w:val="24"/>
                <w:szCs w:val="24"/>
                <w:highlight w:val="none"/>
              </w:rPr>
              <w:t>责令其改正，处以</w:t>
            </w:r>
            <w:r>
              <w:rPr>
                <w:rFonts w:hint="eastAsia" w:ascii="宋体" w:hAnsi="宋体" w:eastAsia="宋体" w:cs="宋体"/>
                <w:spacing w:val="6"/>
                <w:sz w:val="24"/>
                <w:szCs w:val="24"/>
                <w:highlight w:val="none"/>
                <w:lang w:val="en-US" w:eastAsia="zh-CN"/>
              </w:rPr>
              <w:t>9000</w:t>
            </w:r>
            <w:r>
              <w:rPr>
                <w:rFonts w:hint="eastAsia" w:ascii="宋体" w:hAnsi="宋体" w:eastAsia="宋体" w:cs="宋体"/>
                <w:spacing w:val="6"/>
                <w:sz w:val="24"/>
                <w:szCs w:val="24"/>
                <w:highlight w:val="none"/>
              </w:rPr>
              <w:t>元以下罚款。</w:t>
            </w:r>
          </w:p>
        </w:tc>
      </w:tr>
      <w:tr w14:paraId="4AAA5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684" w:type="dxa"/>
            <w:vMerge w:val="continue"/>
            <w:tcBorders>
              <w:top w:val="nil"/>
            </w:tcBorders>
            <w:noWrap w:val="0"/>
            <w:vAlign w:val="top"/>
          </w:tcPr>
          <w:p w14:paraId="57CDCCA0">
            <w:pPr>
              <w:keepNext w:val="0"/>
              <w:keepLines w:val="0"/>
              <w:pageBreakBefore w:val="0"/>
              <w:kinsoku/>
              <w:wordWrap/>
              <w:overflowPunct/>
              <w:topLinePunct w:val="0"/>
              <w:autoSpaceDE w:val="0"/>
              <w:autoSpaceDN w:val="0"/>
              <w:bidi w:val="0"/>
              <w:adjustRightInd w:val="0"/>
              <w:snapToGrid/>
              <w:spacing w:line="420" w:lineRule="exact"/>
              <w:ind w:left="63" w:leftChars="30" w:right="63" w:rightChars="30"/>
              <w:textAlignment w:val="auto"/>
              <w:rPr>
                <w:rFonts w:hint="eastAsia" w:ascii="宋体" w:hAnsi="宋体" w:eastAsia="宋体" w:cs="宋体"/>
                <w:spacing w:val="6"/>
                <w:sz w:val="24"/>
                <w:szCs w:val="24"/>
              </w:rPr>
            </w:pPr>
          </w:p>
        </w:tc>
        <w:tc>
          <w:tcPr>
            <w:tcW w:w="1800" w:type="dxa"/>
            <w:vMerge w:val="continue"/>
            <w:tcBorders>
              <w:top w:val="nil"/>
            </w:tcBorders>
            <w:noWrap w:val="0"/>
            <w:vAlign w:val="top"/>
          </w:tcPr>
          <w:p w14:paraId="627B85BD">
            <w:pPr>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textAlignment w:val="auto"/>
              <w:rPr>
                <w:rFonts w:hint="eastAsia" w:ascii="宋体" w:hAnsi="宋体" w:eastAsia="宋体" w:cs="宋体"/>
                <w:spacing w:val="6"/>
                <w:sz w:val="24"/>
                <w:szCs w:val="24"/>
              </w:rPr>
            </w:pPr>
          </w:p>
        </w:tc>
        <w:tc>
          <w:tcPr>
            <w:tcW w:w="4218" w:type="dxa"/>
            <w:vMerge w:val="continue"/>
            <w:tcBorders>
              <w:top w:val="nil"/>
            </w:tcBorders>
            <w:noWrap w:val="0"/>
            <w:vAlign w:val="center"/>
          </w:tcPr>
          <w:p w14:paraId="32420D95">
            <w:pPr>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jc w:val="both"/>
              <w:textAlignment w:val="auto"/>
              <w:rPr>
                <w:rFonts w:hint="eastAsia" w:ascii="宋体" w:hAnsi="宋体" w:eastAsia="宋体" w:cs="宋体"/>
                <w:spacing w:val="6"/>
                <w:sz w:val="24"/>
                <w:szCs w:val="24"/>
              </w:rPr>
            </w:pPr>
          </w:p>
        </w:tc>
        <w:tc>
          <w:tcPr>
            <w:tcW w:w="1151" w:type="dxa"/>
            <w:noWrap w:val="0"/>
            <w:vAlign w:val="center"/>
          </w:tcPr>
          <w:p w14:paraId="77DBF9DE">
            <w:pPr>
              <w:pStyle w:val="17"/>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jc w:val="center"/>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一般</w:t>
            </w:r>
          </w:p>
        </w:tc>
        <w:tc>
          <w:tcPr>
            <w:tcW w:w="3125" w:type="dxa"/>
            <w:noWrap w:val="0"/>
            <w:vAlign w:val="center"/>
          </w:tcPr>
          <w:p w14:paraId="619E1681">
            <w:pPr>
              <w:pStyle w:val="17"/>
              <w:keepNext w:val="0"/>
              <w:keepLines w:val="0"/>
              <w:pageBreakBefore w:val="0"/>
              <w:widowControl w:val="0"/>
              <w:kinsoku/>
              <w:wordWrap/>
              <w:overflowPunct/>
              <w:topLinePunct w:val="0"/>
              <w:autoSpaceDE w:val="0"/>
              <w:autoSpaceDN w:val="0"/>
              <w:bidi w:val="0"/>
              <w:adjustRightInd w:val="0"/>
              <w:snapToGrid/>
              <w:spacing w:line="360" w:lineRule="exact"/>
              <w:ind w:left="63" w:leftChars="30" w:right="42" w:rightChars="20"/>
              <w:jc w:val="both"/>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在</w:t>
            </w:r>
            <w:r>
              <w:rPr>
                <w:rFonts w:hint="default" w:cs="宋体"/>
                <w:spacing w:val="6"/>
                <w:sz w:val="24"/>
                <w:szCs w:val="24"/>
                <w:lang w:val="en"/>
              </w:rPr>
              <w:t>2</w:t>
            </w:r>
            <w:r>
              <w:rPr>
                <w:rFonts w:hint="eastAsia" w:ascii="宋体" w:hAnsi="宋体" w:eastAsia="宋体" w:cs="宋体"/>
                <w:spacing w:val="6"/>
                <w:sz w:val="24"/>
                <w:szCs w:val="24"/>
              </w:rPr>
              <w:t>种</w:t>
            </w:r>
            <w:r>
              <w:rPr>
                <w:rFonts w:hint="eastAsia" w:cs="宋体"/>
                <w:spacing w:val="6"/>
                <w:sz w:val="24"/>
                <w:szCs w:val="24"/>
                <w:lang w:val="en-US" w:eastAsia="zh-CN"/>
              </w:rPr>
              <w:t>以上5种以下</w:t>
            </w:r>
            <w:r>
              <w:rPr>
                <w:rFonts w:hint="eastAsia" w:ascii="宋体" w:hAnsi="宋体" w:eastAsia="宋体" w:cs="宋体"/>
                <w:spacing w:val="6"/>
                <w:sz w:val="24"/>
                <w:szCs w:val="24"/>
              </w:rPr>
              <w:t>商品上违法使用的。</w:t>
            </w:r>
          </w:p>
        </w:tc>
        <w:tc>
          <w:tcPr>
            <w:tcW w:w="3418" w:type="dxa"/>
            <w:noWrap w:val="0"/>
            <w:vAlign w:val="center"/>
          </w:tcPr>
          <w:p w14:paraId="214CA437">
            <w:pPr>
              <w:pStyle w:val="17"/>
              <w:keepNext w:val="0"/>
              <w:keepLines w:val="0"/>
              <w:pageBreakBefore w:val="0"/>
              <w:widowControl w:val="0"/>
              <w:kinsoku/>
              <w:wordWrap/>
              <w:overflowPunct/>
              <w:topLinePunct w:val="0"/>
              <w:autoSpaceDE w:val="0"/>
              <w:autoSpaceDN w:val="0"/>
              <w:bidi w:val="0"/>
              <w:adjustRightInd w:val="0"/>
              <w:snapToGrid/>
              <w:spacing w:line="360" w:lineRule="exact"/>
              <w:ind w:left="63" w:leftChars="30" w:right="42" w:rightChars="20"/>
              <w:jc w:val="both"/>
              <w:textAlignment w:val="auto"/>
              <w:rPr>
                <w:rFonts w:hint="eastAsia" w:ascii="宋体" w:hAnsi="宋体" w:eastAsia="宋体" w:cs="宋体"/>
                <w:strike/>
                <w:dstrike w:val="0"/>
                <w:spacing w:val="6"/>
                <w:sz w:val="24"/>
                <w:szCs w:val="24"/>
                <w:highlight w:val="none"/>
              </w:rPr>
            </w:pPr>
            <w:r>
              <w:rPr>
                <w:rFonts w:hint="eastAsia" w:ascii="宋体" w:hAnsi="宋体" w:eastAsia="宋体" w:cs="宋体"/>
                <w:spacing w:val="6"/>
                <w:sz w:val="24"/>
                <w:szCs w:val="24"/>
                <w:highlight w:val="none"/>
              </w:rPr>
              <w:t>责令其改正，处以</w:t>
            </w:r>
            <w:r>
              <w:rPr>
                <w:rFonts w:hint="eastAsia" w:ascii="宋体" w:hAnsi="宋体" w:eastAsia="宋体" w:cs="宋体"/>
                <w:spacing w:val="6"/>
                <w:sz w:val="24"/>
                <w:szCs w:val="24"/>
                <w:highlight w:val="none"/>
                <w:lang w:val="en-US" w:eastAsia="zh-CN"/>
              </w:rPr>
              <w:t>9000元以上</w:t>
            </w:r>
            <w:r>
              <w:rPr>
                <w:rFonts w:hint="eastAsia" w:cs="宋体"/>
                <w:spacing w:val="6"/>
                <w:sz w:val="24"/>
                <w:szCs w:val="24"/>
                <w:highlight w:val="none"/>
                <w:lang w:val="en-US" w:eastAsia="zh-CN"/>
              </w:rPr>
              <w:t>2.1万</w:t>
            </w:r>
            <w:r>
              <w:rPr>
                <w:rFonts w:hint="eastAsia" w:ascii="宋体" w:hAnsi="宋体" w:eastAsia="宋体" w:cs="宋体"/>
                <w:spacing w:val="6"/>
                <w:sz w:val="24"/>
                <w:szCs w:val="24"/>
                <w:highlight w:val="none"/>
                <w:lang w:val="en-US" w:eastAsia="zh-CN"/>
              </w:rPr>
              <w:t>元以下</w:t>
            </w:r>
            <w:r>
              <w:rPr>
                <w:rFonts w:hint="eastAsia" w:ascii="宋体" w:hAnsi="宋体" w:eastAsia="宋体" w:cs="宋体"/>
                <w:spacing w:val="6"/>
                <w:sz w:val="24"/>
                <w:szCs w:val="24"/>
                <w:highlight w:val="none"/>
              </w:rPr>
              <w:t>罚款。</w:t>
            </w:r>
          </w:p>
        </w:tc>
      </w:tr>
      <w:tr w14:paraId="2FADC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684" w:type="dxa"/>
            <w:vMerge w:val="continue"/>
            <w:tcBorders>
              <w:top w:val="nil"/>
            </w:tcBorders>
            <w:noWrap w:val="0"/>
            <w:vAlign w:val="top"/>
          </w:tcPr>
          <w:p w14:paraId="5A7FFF81">
            <w:pPr>
              <w:keepNext w:val="0"/>
              <w:keepLines w:val="0"/>
              <w:pageBreakBefore w:val="0"/>
              <w:kinsoku/>
              <w:wordWrap/>
              <w:overflowPunct/>
              <w:topLinePunct w:val="0"/>
              <w:autoSpaceDE w:val="0"/>
              <w:autoSpaceDN w:val="0"/>
              <w:bidi w:val="0"/>
              <w:adjustRightInd w:val="0"/>
              <w:snapToGrid/>
              <w:spacing w:line="420" w:lineRule="exact"/>
              <w:ind w:left="63" w:leftChars="30" w:right="63" w:rightChars="30"/>
              <w:textAlignment w:val="auto"/>
              <w:rPr>
                <w:rFonts w:hint="eastAsia" w:ascii="宋体" w:hAnsi="宋体" w:eastAsia="宋体" w:cs="宋体"/>
                <w:spacing w:val="6"/>
                <w:sz w:val="24"/>
                <w:szCs w:val="24"/>
              </w:rPr>
            </w:pPr>
          </w:p>
        </w:tc>
        <w:tc>
          <w:tcPr>
            <w:tcW w:w="1800" w:type="dxa"/>
            <w:vMerge w:val="continue"/>
            <w:tcBorders>
              <w:top w:val="nil"/>
            </w:tcBorders>
            <w:noWrap w:val="0"/>
            <w:vAlign w:val="top"/>
          </w:tcPr>
          <w:p w14:paraId="2EEBF7A6">
            <w:pPr>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textAlignment w:val="auto"/>
              <w:rPr>
                <w:rFonts w:hint="eastAsia" w:ascii="宋体" w:hAnsi="宋体" w:eastAsia="宋体" w:cs="宋体"/>
                <w:spacing w:val="6"/>
                <w:sz w:val="24"/>
                <w:szCs w:val="24"/>
              </w:rPr>
            </w:pPr>
          </w:p>
        </w:tc>
        <w:tc>
          <w:tcPr>
            <w:tcW w:w="4218" w:type="dxa"/>
            <w:vMerge w:val="continue"/>
            <w:tcBorders>
              <w:top w:val="nil"/>
            </w:tcBorders>
            <w:noWrap w:val="0"/>
            <w:vAlign w:val="center"/>
          </w:tcPr>
          <w:p w14:paraId="3AF600AB">
            <w:pPr>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jc w:val="both"/>
              <w:textAlignment w:val="auto"/>
              <w:rPr>
                <w:rFonts w:hint="eastAsia" w:ascii="宋体" w:hAnsi="宋体" w:eastAsia="宋体" w:cs="宋体"/>
                <w:spacing w:val="6"/>
                <w:sz w:val="24"/>
                <w:szCs w:val="24"/>
              </w:rPr>
            </w:pPr>
          </w:p>
        </w:tc>
        <w:tc>
          <w:tcPr>
            <w:tcW w:w="1151" w:type="dxa"/>
            <w:noWrap w:val="0"/>
            <w:vAlign w:val="center"/>
          </w:tcPr>
          <w:p w14:paraId="30776ECA">
            <w:pPr>
              <w:pStyle w:val="17"/>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jc w:val="center"/>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较重</w:t>
            </w:r>
          </w:p>
        </w:tc>
        <w:tc>
          <w:tcPr>
            <w:tcW w:w="3125" w:type="dxa"/>
            <w:noWrap w:val="0"/>
            <w:vAlign w:val="center"/>
          </w:tcPr>
          <w:p w14:paraId="47C1FC3E">
            <w:pPr>
              <w:pStyle w:val="17"/>
              <w:keepNext w:val="0"/>
              <w:keepLines w:val="0"/>
              <w:pageBreakBefore w:val="0"/>
              <w:widowControl w:val="0"/>
              <w:kinsoku/>
              <w:wordWrap/>
              <w:overflowPunct/>
              <w:topLinePunct w:val="0"/>
              <w:autoSpaceDE w:val="0"/>
              <w:autoSpaceDN w:val="0"/>
              <w:bidi w:val="0"/>
              <w:adjustRightInd w:val="0"/>
              <w:snapToGrid/>
              <w:spacing w:line="360" w:lineRule="exact"/>
              <w:ind w:left="63" w:leftChars="30" w:right="42" w:rightChars="20"/>
              <w:jc w:val="both"/>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在</w:t>
            </w:r>
            <w:r>
              <w:rPr>
                <w:rFonts w:hint="eastAsia" w:cs="宋体"/>
                <w:spacing w:val="6"/>
                <w:sz w:val="24"/>
                <w:szCs w:val="24"/>
                <w:lang w:val="en-US" w:eastAsia="zh-CN"/>
              </w:rPr>
              <w:t>5</w:t>
            </w:r>
            <w:r>
              <w:rPr>
                <w:rFonts w:hint="eastAsia" w:ascii="宋体" w:hAnsi="宋体" w:eastAsia="宋体" w:cs="宋体"/>
                <w:spacing w:val="6"/>
                <w:sz w:val="24"/>
                <w:szCs w:val="24"/>
              </w:rPr>
              <w:t>种以上商品上违法使用的。</w:t>
            </w:r>
          </w:p>
        </w:tc>
        <w:tc>
          <w:tcPr>
            <w:tcW w:w="3418" w:type="dxa"/>
            <w:noWrap w:val="0"/>
            <w:vAlign w:val="center"/>
          </w:tcPr>
          <w:p w14:paraId="245F41E4">
            <w:pPr>
              <w:pStyle w:val="17"/>
              <w:keepNext w:val="0"/>
              <w:keepLines w:val="0"/>
              <w:pageBreakBefore w:val="0"/>
              <w:widowControl w:val="0"/>
              <w:kinsoku/>
              <w:wordWrap/>
              <w:overflowPunct/>
              <w:topLinePunct w:val="0"/>
              <w:autoSpaceDE w:val="0"/>
              <w:autoSpaceDN w:val="0"/>
              <w:bidi w:val="0"/>
              <w:adjustRightInd w:val="0"/>
              <w:snapToGrid/>
              <w:spacing w:line="360" w:lineRule="exact"/>
              <w:ind w:left="63" w:leftChars="30" w:right="42" w:rightChars="20"/>
              <w:jc w:val="both"/>
              <w:textAlignment w:val="auto"/>
              <w:rPr>
                <w:rFonts w:hint="eastAsia" w:ascii="宋体" w:hAnsi="宋体" w:eastAsia="宋体" w:cs="宋体"/>
                <w:strike/>
                <w:dstrike w:val="0"/>
                <w:spacing w:val="6"/>
                <w:sz w:val="24"/>
                <w:szCs w:val="24"/>
                <w:highlight w:val="none"/>
              </w:rPr>
            </w:pPr>
            <w:r>
              <w:rPr>
                <w:rFonts w:hint="eastAsia" w:ascii="宋体" w:hAnsi="宋体" w:eastAsia="宋体" w:cs="宋体"/>
                <w:spacing w:val="6"/>
                <w:sz w:val="24"/>
                <w:szCs w:val="24"/>
                <w:highlight w:val="none"/>
              </w:rPr>
              <w:t>责令其改正，处以</w:t>
            </w:r>
            <w:r>
              <w:rPr>
                <w:rFonts w:hint="eastAsia" w:cs="宋体"/>
                <w:spacing w:val="6"/>
                <w:sz w:val="24"/>
                <w:szCs w:val="24"/>
                <w:highlight w:val="none"/>
                <w:lang w:val="en-US" w:eastAsia="zh-CN"/>
              </w:rPr>
              <w:t>2.1万</w:t>
            </w:r>
            <w:r>
              <w:rPr>
                <w:rFonts w:hint="eastAsia" w:ascii="宋体" w:hAnsi="宋体" w:eastAsia="宋体" w:cs="宋体"/>
                <w:spacing w:val="6"/>
                <w:sz w:val="24"/>
                <w:szCs w:val="24"/>
                <w:highlight w:val="none"/>
                <w:lang w:val="en-US" w:eastAsia="zh-CN"/>
              </w:rPr>
              <w:t>元以上3</w:t>
            </w:r>
            <w:r>
              <w:rPr>
                <w:rFonts w:hint="eastAsia" w:cs="宋体"/>
                <w:spacing w:val="6"/>
                <w:sz w:val="24"/>
                <w:szCs w:val="24"/>
                <w:highlight w:val="none"/>
                <w:lang w:val="en-US" w:eastAsia="zh-CN"/>
              </w:rPr>
              <w:t>万</w:t>
            </w:r>
            <w:r>
              <w:rPr>
                <w:rFonts w:hint="eastAsia" w:ascii="宋体" w:hAnsi="宋体" w:eastAsia="宋体" w:cs="宋体"/>
                <w:spacing w:val="6"/>
                <w:sz w:val="24"/>
                <w:szCs w:val="24"/>
                <w:highlight w:val="none"/>
                <w:lang w:val="en-US" w:eastAsia="zh-CN"/>
              </w:rPr>
              <w:t>元以下</w:t>
            </w:r>
            <w:r>
              <w:rPr>
                <w:rFonts w:hint="eastAsia" w:ascii="宋体" w:hAnsi="宋体" w:eastAsia="宋体" w:cs="宋体"/>
                <w:spacing w:val="6"/>
                <w:sz w:val="24"/>
                <w:szCs w:val="24"/>
                <w:highlight w:val="none"/>
              </w:rPr>
              <w:t>罚款。</w:t>
            </w:r>
          </w:p>
        </w:tc>
      </w:tr>
      <w:tr w14:paraId="4E4F3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684" w:type="dxa"/>
            <w:vMerge w:val="restart"/>
            <w:noWrap w:val="0"/>
            <w:vAlign w:val="center"/>
          </w:tcPr>
          <w:p w14:paraId="6923A41F">
            <w:pPr>
              <w:pStyle w:val="17"/>
              <w:keepNext w:val="0"/>
              <w:keepLines w:val="0"/>
              <w:pageBreakBefore w:val="0"/>
              <w:kinsoku/>
              <w:wordWrap/>
              <w:overflowPunct/>
              <w:topLinePunct w:val="0"/>
              <w:autoSpaceDE w:val="0"/>
              <w:autoSpaceDN w:val="0"/>
              <w:bidi w:val="0"/>
              <w:adjustRightInd w:val="0"/>
              <w:snapToGrid/>
              <w:spacing w:line="420" w:lineRule="exact"/>
              <w:ind w:left="63" w:leftChars="30" w:right="63" w:rightChars="30"/>
              <w:jc w:val="center"/>
              <w:textAlignment w:val="auto"/>
              <w:rPr>
                <w:rFonts w:hint="default"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1</w:t>
            </w:r>
            <w:r>
              <w:rPr>
                <w:rFonts w:hint="eastAsia" w:cs="宋体"/>
                <w:spacing w:val="6"/>
                <w:sz w:val="24"/>
                <w:szCs w:val="24"/>
                <w:lang w:val="en-US" w:eastAsia="zh-CN"/>
              </w:rPr>
              <w:t>44</w:t>
            </w:r>
          </w:p>
        </w:tc>
        <w:tc>
          <w:tcPr>
            <w:tcW w:w="1800" w:type="dxa"/>
            <w:vMerge w:val="restart"/>
            <w:noWrap w:val="0"/>
            <w:vAlign w:val="top"/>
          </w:tcPr>
          <w:p w14:paraId="1678584E">
            <w:pPr>
              <w:pStyle w:val="17"/>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jc w:val="both"/>
              <w:textAlignment w:val="auto"/>
              <w:rPr>
                <w:rFonts w:hint="eastAsia" w:ascii="宋体" w:hAnsi="宋体" w:eastAsia="宋体" w:cs="宋体"/>
                <w:spacing w:val="6"/>
                <w:sz w:val="24"/>
                <w:szCs w:val="24"/>
              </w:rPr>
            </w:pPr>
          </w:p>
          <w:p w14:paraId="0401A815">
            <w:pPr>
              <w:pStyle w:val="17"/>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jc w:val="both"/>
              <w:textAlignment w:val="auto"/>
              <w:rPr>
                <w:rFonts w:hint="eastAsia" w:ascii="宋体" w:hAnsi="宋体" w:eastAsia="宋体" w:cs="宋体"/>
                <w:spacing w:val="6"/>
                <w:sz w:val="24"/>
                <w:szCs w:val="24"/>
              </w:rPr>
            </w:pPr>
          </w:p>
          <w:p w14:paraId="75ECAB0E">
            <w:pPr>
              <w:pStyle w:val="17"/>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jc w:val="both"/>
              <w:textAlignment w:val="auto"/>
              <w:rPr>
                <w:rFonts w:hint="eastAsia" w:ascii="宋体" w:hAnsi="宋体" w:eastAsia="宋体" w:cs="宋体"/>
                <w:spacing w:val="6"/>
                <w:sz w:val="24"/>
                <w:szCs w:val="24"/>
              </w:rPr>
            </w:pPr>
          </w:p>
          <w:p w14:paraId="1078F0F6">
            <w:pPr>
              <w:pStyle w:val="17"/>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jc w:val="both"/>
              <w:textAlignment w:val="auto"/>
              <w:rPr>
                <w:rFonts w:hint="eastAsia" w:ascii="宋体" w:hAnsi="宋体" w:eastAsia="宋体" w:cs="宋体"/>
                <w:spacing w:val="6"/>
                <w:sz w:val="24"/>
                <w:szCs w:val="24"/>
              </w:rPr>
            </w:pPr>
          </w:p>
          <w:p w14:paraId="6232B9BA">
            <w:pPr>
              <w:pStyle w:val="17"/>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jc w:val="both"/>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《商品条码管理办法》</w:t>
            </w:r>
          </w:p>
        </w:tc>
        <w:tc>
          <w:tcPr>
            <w:tcW w:w="4218" w:type="dxa"/>
            <w:vMerge w:val="restart"/>
            <w:noWrap w:val="0"/>
            <w:vAlign w:val="center"/>
          </w:tcPr>
          <w:p w14:paraId="4B73D993">
            <w:pPr>
              <w:pStyle w:val="17"/>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jc w:val="both"/>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第三十六条 经销的商品印有未经核准注册、备案或者伪造的商品条码的，责令其改正，处以10000元以下罚款。</w:t>
            </w:r>
          </w:p>
        </w:tc>
        <w:tc>
          <w:tcPr>
            <w:tcW w:w="1151" w:type="dxa"/>
            <w:noWrap w:val="0"/>
            <w:vAlign w:val="center"/>
          </w:tcPr>
          <w:p w14:paraId="3042571A">
            <w:pPr>
              <w:pStyle w:val="17"/>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jc w:val="center"/>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较轻</w:t>
            </w:r>
          </w:p>
        </w:tc>
        <w:tc>
          <w:tcPr>
            <w:tcW w:w="3125" w:type="dxa"/>
            <w:noWrap w:val="0"/>
            <w:vAlign w:val="center"/>
          </w:tcPr>
          <w:p w14:paraId="65D23F5D">
            <w:pPr>
              <w:pStyle w:val="17"/>
              <w:keepNext w:val="0"/>
              <w:keepLines w:val="0"/>
              <w:pageBreakBefore w:val="0"/>
              <w:widowControl w:val="0"/>
              <w:kinsoku/>
              <w:wordWrap/>
              <w:overflowPunct/>
              <w:topLinePunct w:val="0"/>
              <w:autoSpaceDE w:val="0"/>
              <w:autoSpaceDN w:val="0"/>
              <w:bidi w:val="0"/>
              <w:adjustRightInd w:val="0"/>
              <w:snapToGrid/>
              <w:spacing w:line="360" w:lineRule="exact"/>
              <w:ind w:left="63" w:leftChars="30" w:right="42" w:rightChars="20"/>
              <w:jc w:val="both"/>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经销</w:t>
            </w:r>
            <w:r>
              <w:rPr>
                <w:rFonts w:hint="default" w:cs="宋体"/>
                <w:spacing w:val="6"/>
                <w:sz w:val="24"/>
                <w:szCs w:val="24"/>
                <w:lang w:val="en"/>
              </w:rPr>
              <w:t>1</w:t>
            </w:r>
            <w:r>
              <w:rPr>
                <w:rFonts w:hint="eastAsia" w:ascii="宋体" w:hAnsi="宋体" w:eastAsia="宋体" w:cs="宋体"/>
                <w:spacing w:val="6"/>
                <w:sz w:val="24"/>
                <w:szCs w:val="24"/>
              </w:rPr>
              <w:t>种违法商品的。</w:t>
            </w:r>
          </w:p>
        </w:tc>
        <w:tc>
          <w:tcPr>
            <w:tcW w:w="3418" w:type="dxa"/>
            <w:noWrap w:val="0"/>
            <w:vAlign w:val="center"/>
          </w:tcPr>
          <w:p w14:paraId="1547D043">
            <w:pPr>
              <w:pStyle w:val="17"/>
              <w:keepNext w:val="0"/>
              <w:keepLines w:val="0"/>
              <w:pageBreakBefore w:val="0"/>
              <w:widowControl w:val="0"/>
              <w:kinsoku/>
              <w:wordWrap/>
              <w:overflowPunct/>
              <w:topLinePunct w:val="0"/>
              <w:autoSpaceDE w:val="0"/>
              <w:autoSpaceDN w:val="0"/>
              <w:bidi w:val="0"/>
              <w:adjustRightInd w:val="0"/>
              <w:snapToGrid/>
              <w:spacing w:line="360" w:lineRule="exact"/>
              <w:ind w:left="63" w:leftChars="30" w:right="42" w:rightChars="20"/>
              <w:jc w:val="both"/>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处以</w:t>
            </w:r>
            <w:r>
              <w:rPr>
                <w:rFonts w:hint="eastAsia" w:cs="宋体"/>
                <w:spacing w:val="6"/>
                <w:sz w:val="24"/>
                <w:szCs w:val="24"/>
                <w:lang w:val="en-US" w:eastAsia="zh-CN"/>
              </w:rPr>
              <w:t>3000</w:t>
            </w:r>
            <w:r>
              <w:rPr>
                <w:rFonts w:hint="eastAsia" w:ascii="宋体" w:hAnsi="宋体" w:eastAsia="宋体" w:cs="宋体"/>
                <w:spacing w:val="6"/>
                <w:sz w:val="24"/>
                <w:szCs w:val="24"/>
              </w:rPr>
              <w:t>元以下罚款。</w:t>
            </w:r>
          </w:p>
        </w:tc>
      </w:tr>
      <w:tr w14:paraId="2C122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684" w:type="dxa"/>
            <w:vMerge w:val="continue"/>
            <w:noWrap w:val="0"/>
            <w:vAlign w:val="center"/>
          </w:tcPr>
          <w:p w14:paraId="1AE78469">
            <w:pPr>
              <w:pStyle w:val="17"/>
              <w:keepNext w:val="0"/>
              <w:keepLines w:val="0"/>
              <w:pageBreakBefore w:val="0"/>
              <w:kinsoku/>
              <w:wordWrap/>
              <w:overflowPunct/>
              <w:topLinePunct w:val="0"/>
              <w:autoSpaceDE w:val="0"/>
              <w:autoSpaceDN w:val="0"/>
              <w:bidi w:val="0"/>
              <w:adjustRightInd w:val="0"/>
              <w:snapToGrid/>
              <w:spacing w:line="420" w:lineRule="exact"/>
              <w:ind w:left="63" w:leftChars="30" w:right="63" w:rightChars="30"/>
              <w:jc w:val="center"/>
              <w:textAlignment w:val="auto"/>
              <w:rPr>
                <w:rFonts w:hint="eastAsia" w:ascii="宋体" w:hAnsi="宋体" w:eastAsia="宋体" w:cs="宋体"/>
                <w:spacing w:val="6"/>
                <w:sz w:val="24"/>
                <w:szCs w:val="24"/>
                <w:lang w:val="en-US" w:eastAsia="zh-CN"/>
              </w:rPr>
            </w:pPr>
          </w:p>
        </w:tc>
        <w:tc>
          <w:tcPr>
            <w:tcW w:w="1800" w:type="dxa"/>
            <w:vMerge w:val="continue"/>
            <w:noWrap w:val="0"/>
            <w:vAlign w:val="top"/>
          </w:tcPr>
          <w:p w14:paraId="766C000F">
            <w:pPr>
              <w:pStyle w:val="17"/>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textAlignment w:val="auto"/>
              <w:rPr>
                <w:rFonts w:hint="eastAsia" w:ascii="宋体" w:hAnsi="宋体" w:eastAsia="宋体" w:cs="宋体"/>
                <w:spacing w:val="6"/>
                <w:sz w:val="24"/>
                <w:szCs w:val="24"/>
              </w:rPr>
            </w:pPr>
          </w:p>
        </w:tc>
        <w:tc>
          <w:tcPr>
            <w:tcW w:w="4218" w:type="dxa"/>
            <w:vMerge w:val="continue"/>
            <w:noWrap w:val="0"/>
            <w:vAlign w:val="center"/>
          </w:tcPr>
          <w:p w14:paraId="68F38F6E">
            <w:pPr>
              <w:pStyle w:val="17"/>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jc w:val="both"/>
              <w:textAlignment w:val="auto"/>
              <w:rPr>
                <w:rFonts w:hint="eastAsia" w:ascii="宋体" w:hAnsi="宋体" w:eastAsia="宋体" w:cs="宋体"/>
                <w:spacing w:val="6"/>
                <w:sz w:val="24"/>
                <w:szCs w:val="24"/>
              </w:rPr>
            </w:pPr>
          </w:p>
        </w:tc>
        <w:tc>
          <w:tcPr>
            <w:tcW w:w="1151" w:type="dxa"/>
            <w:noWrap w:val="0"/>
            <w:vAlign w:val="center"/>
          </w:tcPr>
          <w:p w14:paraId="65FE88BE">
            <w:pPr>
              <w:pStyle w:val="17"/>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jc w:val="center"/>
              <w:textAlignment w:val="auto"/>
              <w:rPr>
                <w:rFonts w:hint="eastAsia" w:ascii="宋体" w:hAnsi="宋体" w:eastAsia="宋体" w:cs="宋体"/>
                <w:spacing w:val="6"/>
                <w:sz w:val="24"/>
                <w:szCs w:val="24"/>
                <w:lang w:val="en-US" w:eastAsia="zh-CN"/>
              </w:rPr>
            </w:pPr>
            <w:r>
              <w:rPr>
                <w:rFonts w:hint="eastAsia" w:cs="宋体"/>
                <w:spacing w:val="6"/>
                <w:sz w:val="24"/>
                <w:szCs w:val="24"/>
                <w:lang w:val="en-US" w:eastAsia="zh-CN"/>
              </w:rPr>
              <w:t>一般</w:t>
            </w:r>
          </w:p>
        </w:tc>
        <w:tc>
          <w:tcPr>
            <w:tcW w:w="3125" w:type="dxa"/>
            <w:noWrap w:val="0"/>
            <w:vAlign w:val="center"/>
          </w:tcPr>
          <w:p w14:paraId="19D3A58B">
            <w:pPr>
              <w:pStyle w:val="17"/>
              <w:keepNext w:val="0"/>
              <w:keepLines w:val="0"/>
              <w:pageBreakBefore w:val="0"/>
              <w:widowControl w:val="0"/>
              <w:kinsoku/>
              <w:wordWrap/>
              <w:overflowPunct/>
              <w:topLinePunct w:val="0"/>
              <w:autoSpaceDE w:val="0"/>
              <w:autoSpaceDN w:val="0"/>
              <w:bidi w:val="0"/>
              <w:adjustRightInd w:val="0"/>
              <w:snapToGrid/>
              <w:spacing w:line="360" w:lineRule="exact"/>
              <w:ind w:left="63" w:leftChars="30" w:right="42" w:rightChars="20"/>
              <w:jc w:val="both"/>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经销</w:t>
            </w:r>
            <w:r>
              <w:rPr>
                <w:rFonts w:hint="eastAsia" w:cs="宋体"/>
                <w:spacing w:val="6"/>
                <w:sz w:val="24"/>
                <w:szCs w:val="24"/>
                <w:lang w:val="en-US" w:eastAsia="zh-CN"/>
              </w:rPr>
              <w:t>2</w:t>
            </w:r>
            <w:r>
              <w:rPr>
                <w:rFonts w:hint="eastAsia" w:ascii="宋体" w:hAnsi="宋体" w:eastAsia="宋体" w:cs="宋体"/>
                <w:spacing w:val="6"/>
                <w:sz w:val="24"/>
                <w:szCs w:val="24"/>
              </w:rPr>
              <w:t>种</w:t>
            </w:r>
            <w:r>
              <w:rPr>
                <w:rFonts w:hint="eastAsia" w:cs="宋体"/>
                <w:spacing w:val="6"/>
                <w:sz w:val="24"/>
                <w:szCs w:val="24"/>
                <w:lang w:val="en-US" w:eastAsia="zh-CN"/>
              </w:rPr>
              <w:t>以上5种以下</w:t>
            </w:r>
            <w:r>
              <w:rPr>
                <w:rFonts w:hint="eastAsia" w:ascii="宋体" w:hAnsi="宋体" w:eastAsia="宋体" w:cs="宋体"/>
                <w:spacing w:val="6"/>
                <w:sz w:val="24"/>
                <w:szCs w:val="24"/>
              </w:rPr>
              <w:t>违法商品的。</w:t>
            </w:r>
          </w:p>
        </w:tc>
        <w:tc>
          <w:tcPr>
            <w:tcW w:w="3418" w:type="dxa"/>
            <w:noWrap w:val="0"/>
            <w:vAlign w:val="center"/>
          </w:tcPr>
          <w:p w14:paraId="09EC1AE9">
            <w:pPr>
              <w:pStyle w:val="17"/>
              <w:keepNext w:val="0"/>
              <w:keepLines w:val="0"/>
              <w:pageBreakBefore w:val="0"/>
              <w:widowControl w:val="0"/>
              <w:kinsoku/>
              <w:wordWrap/>
              <w:overflowPunct/>
              <w:topLinePunct w:val="0"/>
              <w:autoSpaceDE w:val="0"/>
              <w:autoSpaceDN w:val="0"/>
              <w:bidi w:val="0"/>
              <w:adjustRightInd w:val="0"/>
              <w:snapToGrid/>
              <w:spacing w:line="360" w:lineRule="exact"/>
              <w:ind w:left="63" w:leftChars="30" w:right="42" w:rightChars="20"/>
              <w:jc w:val="both"/>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处以</w:t>
            </w:r>
            <w:r>
              <w:rPr>
                <w:rFonts w:hint="eastAsia" w:cs="宋体"/>
                <w:spacing w:val="6"/>
                <w:sz w:val="24"/>
                <w:szCs w:val="24"/>
                <w:lang w:val="en-US" w:eastAsia="zh-CN"/>
              </w:rPr>
              <w:t>3000</w:t>
            </w:r>
            <w:r>
              <w:rPr>
                <w:rFonts w:hint="eastAsia" w:ascii="宋体" w:hAnsi="宋体" w:eastAsia="宋体" w:cs="宋体"/>
                <w:spacing w:val="6"/>
                <w:sz w:val="24"/>
                <w:szCs w:val="24"/>
              </w:rPr>
              <w:t>元以</w:t>
            </w:r>
            <w:r>
              <w:rPr>
                <w:rFonts w:hint="eastAsia" w:cs="宋体"/>
                <w:spacing w:val="6"/>
                <w:sz w:val="24"/>
                <w:szCs w:val="24"/>
                <w:lang w:val="en-US" w:eastAsia="zh-CN"/>
              </w:rPr>
              <w:t>上7000元以下</w:t>
            </w:r>
            <w:r>
              <w:rPr>
                <w:rFonts w:hint="eastAsia" w:ascii="宋体" w:hAnsi="宋体" w:eastAsia="宋体" w:cs="宋体"/>
                <w:spacing w:val="6"/>
                <w:sz w:val="24"/>
                <w:szCs w:val="24"/>
              </w:rPr>
              <w:t>罚款。</w:t>
            </w:r>
          </w:p>
        </w:tc>
      </w:tr>
      <w:tr w14:paraId="2D756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684" w:type="dxa"/>
            <w:vMerge w:val="continue"/>
            <w:tcBorders>
              <w:top w:val="nil"/>
            </w:tcBorders>
            <w:noWrap w:val="0"/>
            <w:vAlign w:val="center"/>
          </w:tcPr>
          <w:p w14:paraId="63E76657">
            <w:pPr>
              <w:keepNext w:val="0"/>
              <w:keepLines w:val="0"/>
              <w:pageBreakBefore w:val="0"/>
              <w:kinsoku/>
              <w:wordWrap/>
              <w:overflowPunct/>
              <w:topLinePunct w:val="0"/>
              <w:autoSpaceDE w:val="0"/>
              <w:autoSpaceDN w:val="0"/>
              <w:bidi w:val="0"/>
              <w:adjustRightInd w:val="0"/>
              <w:snapToGrid/>
              <w:spacing w:line="420" w:lineRule="exact"/>
              <w:ind w:left="63" w:leftChars="30" w:right="63" w:rightChars="30"/>
              <w:jc w:val="center"/>
              <w:textAlignment w:val="auto"/>
              <w:rPr>
                <w:rFonts w:hint="eastAsia" w:ascii="宋体" w:hAnsi="宋体" w:eastAsia="宋体" w:cs="宋体"/>
                <w:spacing w:val="6"/>
                <w:sz w:val="24"/>
                <w:szCs w:val="24"/>
              </w:rPr>
            </w:pPr>
          </w:p>
        </w:tc>
        <w:tc>
          <w:tcPr>
            <w:tcW w:w="1800" w:type="dxa"/>
            <w:vMerge w:val="continue"/>
            <w:tcBorders>
              <w:top w:val="nil"/>
            </w:tcBorders>
            <w:noWrap w:val="0"/>
            <w:vAlign w:val="top"/>
          </w:tcPr>
          <w:p w14:paraId="747AB6B9">
            <w:pPr>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textAlignment w:val="auto"/>
              <w:rPr>
                <w:rFonts w:hint="eastAsia" w:ascii="宋体" w:hAnsi="宋体" w:eastAsia="宋体" w:cs="宋体"/>
                <w:spacing w:val="6"/>
                <w:sz w:val="24"/>
                <w:szCs w:val="24"/>
              </w:rPr>
            </w:pPr>
          </w:p>
        </w:tc>
        <w:tc>
          <w:tcPr>
            <w:tcW w:w="4218" w:type="dxa"/>
            <w:vMerge w:val="continue"/>
            <w:tcBorders>
              <w:top w:val="nil"/>
            </w:tcBorders>
            <w:noWrap w:val="0"/>
            <w:vAlign w:val="center"/>
          </w:tcPr>
          <w:p w14:paraId="51D2E89B">
            <w:pPr>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jc w:val="both"/>
              <w:textAlignment w:val="auto"/>
              <w:rPr>
                <w:rFonts w:hint="eastAsia" w:ascii="宋体" w:hAnsi="宋体" w:eastAsia="宋体" w:cs="宋体"/>
                <w:spacing w:val="6"/>
                <w:sz w:val="24"/>
                <w:szCs w:val="24"/>
              </w:rPr>
            </w:pPr>
          </w:p>
        </w:tc>
        <w:tc>
          <w:tcPr>
            <w:tcW w:w="1151" w:type="dxa"/>
            <w:noWrap w:val="0"/>
            <w:vAlign w:val="center"/>
          </w:tcPr>
          <w:p w14:paraId="007550F9">
            <w:pPr>
              <w:pStyle w:val="17"/>
              <w:keepNext w:val="0"/>
              <w:keepLines w:val="0"/>
              <w:pageBreakBefore w:val="0"/>
              <w:widowControl w:val="0"/>
              <w:kinsoku/>
              <w:wordWrap/>
              <w:overflowPunct/>
              <w:topLinePunct w:val="0"/>
              <w:autoSpaceDE w:val="0"/>
              <w:autoSpaceDN w:val="0"/>
              <w:bidi w:val="0"/>
              <w:adjustRightInd w:val="0"/>
              <w:snapToGrid/>
              <w:spacing w:line="300" w:lineRule="exact"/>
              <w:ind w:left="63" w:leftChars="30" w:right="63" w:rightChars="30"/>
              <w:jc w:val="center"/>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较重</w:t>
            </w:r>
          </w:p>
        </w:tc>
        <w:tc>
          <w:tcPr>
            <w:tcW w:w="3125" w:type="dxa"/>
            <w:noWrap w:val="0"/>
            <w:vAlign w:val="center"/>
          </w:tcPr>
          <w:p w14:paraId="63AC44C2">
            <w:pPr>
              <w:pStyle w:val="17"/>
              <w:keepNext w:val="0"/>
              <w:keepLines w:val="0"/>
              <w:pageBreakBefore w:val="0"/>
              <w:widowControl w:val="0"/>
              <w:kinsoku/>
              <w:wordWrap/>
              <w:overflowPunct/>
              <w:topLinePunct w:val="0"/>
              <w:autoSpaceDE w:val="0"/>
              <w:autoSpaceDN w:val="0"/>
              <w:bidi w:val="0"/>
              <w:adjustRightInd w:val="0"/>
              <w:snapToGrid/>
              <w:spacing w:line="360" w:lineRule="exact"/>
              <w:ind w:left="63" w:leftChars="30" w:right="42" w:rightChars="20"/>
              <w:jc w:val="both"/>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经销</w:t>
            </w:r>
            <w:r>
              <w:rPr>
                <w:rFonts w:hint="eastAsia" w:cs="宋体"/>
                <w:spacing w:val="6"/>
                <w:sz w:val="24"/>
                <w:szCs w:val="24"/>
                <w:lang w:val="en-US" w:eastAsia="zh-CN"/>
              </w:rPr>
              <w:t>5</w:t>
            </w:r>
            <w:r>
              <w:rPr>
                <w:rFonts w:hint="eastAsia" w:ascii="宋体" w:hAnsi="宋体" w:eastAsia="宋体" w:cs="宋体"/>
                <w:spacing w:val="6"/>
                <w:sz w:val="24"/>
                <w:szCs w:val="24"/>
              </w:rPr>
              <w:t>种以上违法商品的。</w:t>
            </w:r>
          </w:p>
        </w:tc>
        <w:tc>
          <w:tcPr>
            <w:tcW w:w="3418" w:type="dxa"/>
            <w:noWrap w:val="0"/>
            <w:vAlign w:val="center"/>
          </w:tcPr>
          <w:p w14:paraId="61299B28">
            <w:pPr>
              <w:pStyle w:val="17"/>
              <w:keepNext w:val="0"/>
              <w:keepLines w:val="0"/>
              <w:pageBreakBefore w:val="0"/>
              <w:widowControl w:val="0"/>
              <w:kinsoku/>
              <w:wordWrap/>
              <w:overflowPunct/>
              <w:topLinePunct w:val="0"/>
              <w:autoSpaceDE w:val="0"/>
              <w:autoSpaceDN w:val="0"/>
              <w:bidi w:val="0"/>
              <w:adjustRightInd w:val="0"/>
              <w:snapToGrid/>
              <w:spacing w:line="360" w:lineRule="exact"/>
              <w:ind w:left="63" w:leftChars="30" w:right="42" w:rightChars="20"/>
              <w:jc w:val="both"/>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处以</w:t>
            </w:r>
            <w:r>
              <w:rPr>
                <w:rFonts w:hint="eastAsia" w:cs="宋体"/>
                <w:spacing w:val="6"/>
                <w:sz w:val="24"/>
                <w:szCs w:val="24"/>
                <w:lang w:val="en-US" w:eastAsia="zh-CN"/>
              </w:rPr>
              <w:t>7</w:t>
            </w:r>
            <w:r>
              <w:rPr>
                <w:rFonts w:hint="eastAsia" w:ascii="宋体" w:hAnsi="宋体" w:eastAsia="宋体" w:cs="宋体"/>
                <w:spacing w:val="6"/>
                <w:sz w:val="24"/>
                <w:szCs w:val="24"/>
              </w:rPr>
              <w:t>000元以上1</w:t>
            </w:r>
            <w:r>
              <w:rPr>
                <w:rFonts w:hint="eastAsia" w:cs="宋体"/>
                <w:spacing w:val="6"/>
                <w:sz w:val="24"/>
                <w:szCs w:val="24"/>
                <w:lang w:val="en-US" w:eastAsia="zh-CN"/>
              </w:rPr>
              <w:t>万</w:t>
            </w:r>
            <w:r>
              <w:rPr>
                <w:rFonts w:hint="eastAsia" w:ascii="宋体" w:hAnsi="宋体" w:eastAsia="宋体" w:cs="宋体"/>
                <w:spacing w:val="6"/>
                <w:sz w:val="24"/>
                <w:szCs w:val="24"/>
              </w:rPr>
              <w:t>元以下罚款。</w:t>
            </w:r>
          </w:p>
        </w:tc>
      </w:tr>
    </w:tbl>
    <w:p w14:paraId="56B02049">
      <w:pPr>
        <w:pStyle w:val="16"/>
        <w:keepNext/>
        <w:keepLines/>
        <w:pageBreakBefore w:val="0"/>
        <w:widowControl w:val="0"/>
        <w:numPr>
          <w:ilvl w:val="0"/>
          <w:numId w:val="0"/>
        </w:numPr>
        <w:kinsoku/>
        <w:wordWrap/>
        <w:overflowPunct/>
        <w:topLinePunct w:val="0"/>
        <w:autoSpaceDE/>
        <w:autoSpaceDN/>
        <w:bidi w:val="0"/>
        <w:adjustRightInd/>
        <w:snapToGrid/>
        <w:spacing w:line="160" w:lineRule="exact"/>
        <w:textAlignment w:val="baseline"/>
        <w:rPr>
          <w:rFonts w:hint="default"/>
        </w:rPr>
      </w:pPr>
    </w:p>
    <w:p w14:paraId="1AB06FD4"/>
    <w:p w14:paraId="701C4C32"/>
    <w:p w14:paraId="268753B7"/>
    <w:p w14:paraId="78CB0847"/>
    <w:p w14:paraId="53C1D2E4"/>
    <w:p w14:paraId="22D8287C"/>
    <w:p w14:paraId="4D9D804C">
      <w:pPr>
        <w:spacing w:line="240" w:lineRule="auto"/>
        <w:jc w:val="left"/>
        <w:outlineLvl w:val="9"/>
        <w:rPr>
          <w:rFonts w:hint="eastAsia" w:ascii="方正小标宋简体" w:hAnsi="方正小标宋简体" w:eastAsia="方正小标宋简体" w:cs="方正小标宋简体"/>
          <w:b w:val="0"/>
          <w:bCs/>
          <w:kern w:val="44"/>
          <w:sz w:val="36"/>
          <w:szCs w:val="36"/>
          <w:lang w:val="en-US" w:eastAsia="zh-CN" w:bidi="ar-SA"/>
        </w:rPr>
      </w:pPr>
      <w:r>
        <w:rPr>
          <w:rFonts w:hint="eastAsia" w:ascii="方正小标宋简体" w:hAnsi="方正小标宋简体" w:eastAsia="方正小标宋简体" w:cs="方正小标宋简体"/>
          <w:b w:val="0"/>
          <w:bCs/>
          <w:kern w:val="44"/>
          <w:sz w:val="36"/>
          <w:szCs w:val="36"/>
          <w:lang w:val="en-US" w:eastAsia="zh-CN" w:bidi="ar-SA"/>
        </w:rPr>
        <w:br w:type="page"/>
      </w:r>
    </w:p>
    <w:p w14:paraId="65C208A7">
      <w:pPr>
        <w:spacing w:line="400" w:lineRule="exact"/>
        <w:jc w:val="center"/>
        <w:outlineLvl w:val="1"/>
        <w:rPr>
          <w:rFonts w:hint="eastAsia" w:ascii="方正小标宋简体" w:hAnsi="方正小标宋简体" w:eastAsia="方正小标宋简体" w:cs="方正小标宋简体"/>
          <w:b w:val="0"/>
          <w:bCs/>
          <w:kern w:val="44"/>
          <w:sz w:val="36"/>
          <w:szCs w:val="36"/>
          <w:lang w:val="en-US" w:eastAsia="zh-CN" w:bidi="ar-SA"/>
        </w:rPr>
      </w:pPr>
      <w:bookmarkStart w:id="223" w:name="_Toc23876"/>
      <w:bookmarkStart w:id="224" w:name="_Toc19052"/>
      <w:bookmarkStart w:id="225" w:name="_Toc1665"/>
      <w:bookmarkStart w:id="226" w:name="_Toc31042"/>
      <w:r>
        <w:rPr>
          <w:rFonts w:hint="eastAsia" w:ascii="方正小标宋简体" w:hAnsi="方正小标宋简体" w:eastAsia="方正小标宋简体" w:cs="方正小标宋简体"/>
          <w:b w:val="0"/>
          <w:bCs/>
          <w:kern w:val="44"/>
          <w:sz w:val="36"/>
          <w:szCs w:val="36"/>
          <w:lang w:val="en-US" w:eastAsia="zh-CN" w:bidi="ar-SA"/>
        </w:rPr>
        <w:t>第七节  适用特种设备安全监管法律、法规、规章的裁量标准</w:t>
      </w:r>
      <w:bookmarkEnd w:id="223"/>
      <w:bookmarkEnd w:id="224"/>
      <w:bookmarkEnd w:id="225"/>
      <w:bookmarkEnd w:id="226"/>
    </w:p>
    <w:tbl>
      <w:tblPr>
        <w:tblStyle w:val="10"/>
        <w:tblW w:w="14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748"/>
        <w:gridCol w:w="4140"/>
        <w:gridCol w:w="1132"/>
        <w:gridCol w:w="3334"/>
        <w:gridCol w:w="3251"/>
      </w:tblGrid>
      <w:tr w14:paraId="1EA8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exact"/>
          <w:tblHeader/>
          <w:jc w:val="center"/>
        </w:trPr>
        <w:tc>
          <w:tcPr>
            <w:tcW w:w="736" w:type="dxa"/>
            <w:noWrap w:val="0"/>
            <w:vAlign w:val="center"/>
          </w:tcPr>
          <w:p w14:paraId="4DDB1E99">
            <w:pPr>
              <w:pageBreakBefore w:val="0"/>
              <w:widowControl/>
              <w:kinsoku/>
              <w:wordWrap/>
              <w:overflowPunct/>
              <w:topLinePunct w:val="0"/>
              <w:bidi w:val="0"/>
              <w:snapToGrid w:val="0"/>
              <w:spacing w:beforeAutospacing="0" w:afterAutospacing="0" w:line="380" w:lineRule="exact"/>
              <w:ind w:left="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序号</w:t>
            </w:r>
          </w:p>
        </w:tc>
        <w:tc>
          <w:tcPr>
            <w:tcW w:w="1748" w:type="dxa"/>
            <w:noWrap w:val="0"/>
            <w:vAlign w:val="center"/>
          </w:tcPr>
          <w:p w14:paraId="6806AF11">
            <w:pPr>
              <w:pageBreakBefore w:val="0"/>
              <w:widowControl/>
              <w:kinsoku/>
              <w:wordWrap/>
              <w:overflowPunct/>
              <w:topLinePunct w:val="0"/>
              <w:bidi w:val="0"/>
              <w:snapToGrid w:val="0"/>
              <w:spacing w:beforeAutospacing="0" w:afterAutospacing="0" w:line="380" w:lineRule="exact"/>
              <w:ind w:left="0" w:leftChars="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法律名称</w:t>
            </w:r>
          </w:p>
        </w:tc>
        <w:tc>
          <w:tcPr>
            <w:tcW w:w="4140" w:type="dxa"/>
            <w:noWrap w:val="0"/>
            <w:vAlign w:val="center"/>
          </w:tcPr>
          <w:p w14:paraId="527196D0">
            <w:pPr>
              <w:pageBreakBefore w:val="0"/>
              <w:widowControl/>
              <w:kinsoku/>
              <w:wordWrap/>
              <w:overflowPunct/>
              <w:topLinePunct w:val="0"/>
              <w:bidi w:val="0"/>
              <w:snapToGrid w:val="0"/>
              <w:spacing w:beforeAutospacing="0" w:afterAutospacing="0" w:line="380" w:lineRule="exact"/>
              <w:ind w:left="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法律依据</w:t>
            </w:r>
          </w:p>
        </w:tc>
        <w:tc>
          <w:tcPr>
            <w:tcW w:w="1132" w:type="dxa"/>
            <w:noWrap w:val="0"/>
            <w:vAlign w:val="center"/>
          </w:tcPr>
          <w:p w14:paraId="19F4B018">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105" w:leftChars="-50" w:right="-105" w:rightChars="-50"/>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违法程度</w:t>
            </w:r>
          </w:p>
        </w:tc>
        <w:tc>
          <w:tcPr>
            <w:tcW w:w="3334" w:type="dxa"/>
            <w:noWrap w:val="0"/>
            <w:vAlign w:val="center"/>
          </w:tcPr>
          <w:p w14:paraId="39226C38">
            <w:pPr>
              <w:pageBreakBefore w:val="0"/>
              <w:widowControl/>
              <w:kinsoku/>
              <w:wordWrap/>
              <w:overflowPunct/>
              <w:topLinePunct w:val="0"/>
              <w:bidi w:val="0"/>
              <w:snapToGrid w:val="0"/>
              <w:spacing w:beforeAutospacing="0" w:afterAutospacing="0" w:line="380" w:lineRule="exact"/>
              <w:ind w:left="0"/>
              <w:jc w:val="center"/>
              <w:rPr>
                <w:rFonts w:hint="eastAsia" w:ascii="黑体" w:hAnsi="黑体" w:eastAsia="黑体" w:cs="黑体"/>
                <w:b w:val="0"/>
                <w:bCs w:val="0"/>
                <w:color w:val="000000"/>
                <w:kern w:val="0"/>
                <w:sz w:val="24"/>
                <w:szCs w:val="24"/>
              </w:rPr>
            </w:pPr>
            <w:r>
              <w:rPr>
                <w:rFonts w:hint="eastAsia" w:ascii="黑体" w:hAnsi="黑体" w:eastAsia="黑体" w:cs="黑体"/>
                <w:b w:val="0"/>
                <w:bCs w:val="0"/>
                <w:color w:val="000000"/>
                <w:kern w:val="0"/>
                <w:sz w:val="24"/>
                <w:szCs w:val="24"/>
              </w:rPr>
              <w:t>判断标准</w:t>
            </w:r>
          </w:p>
        </w:tc>
        <w:tc>
          <w:tcPr>
            <w:tcW w:w="3251" w:type="dxa"/>
            <w:noWrap w:val="0"/>
            <w:vAlign w:val="center"/>
          </w:tcPr>
          <w:p w14:paraId="49E18FD7">
            <w:pPr>
              <w:pageBreakBefore w:val="0"/>
              <w:widowControl/>
              <w:kinsoku/>
              <w:wordWrap/>
              <w:overflowPunct/>
              <w:topLinePunct w:val="0"/>
              <w:bidi w:val="0"/>
              <w:snapToGrid w:val="0"/>
              <w:spacing w:beforeAutospacing="0" w:afterAutospacing="0" w:line="380" w:lineRule="exact"/>
              <w:ind w:left="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处罚标准</w:t>
            </w:r>
          </w:p>
        </w:tc>
      </w:tr>
      <w:tr w14:paraId="0DB8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5" w:hRule="atLeast"/>
          <w:jc w:val="center"/>
        </w:trPr>
        <w:tc>
          <w:tcPr>
            <w:tcW w:w="736" w:type="dxa"/>
            <w:vMerge w:val="restart"/>
            <w:noWrap w:val="0"/>
            <w:vAlign w:val="center"/>
          </w:tcPr>
          <w:p w14:paraId="302D32B2">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4</w:t>
            </w:r>
            <w:r>
              <w:rPr>
                <w:rFonts w:hint="eastAsia" w:ascii="宋体" w:hAnsi="宋体" w:cs="宋体"/>
                <w:b w:val="0"/>
                <w:bCs w:val="0"/>
                <w:color w:val="000000"/>
                <w:kern w:val="0"/>
                <w:sz w:val="24"/>
                <w:szCs w:val="24"/>
                <w:lang w:val="en-US" w:eastAsia="zh-CN"/>
              </w:rPr>
              <w:t>5</w:t>
            </w:r>
          </w:p>
        </w:tc>
        <w:tc>
          <w:tcPr>
            <w:tcW w:w="1748" w:type="dxa"/>
            <w:vMerge w:val="restart"/>
            <w:noWrap w:val="0"/>
            <w:vAlign w:val="center"/>
          </w:tcPr>
          <w:p w14:paraId="26302C8B">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42" w:leftChars="20"/>
              <w:textAlignment w:val="auto"/>
              <w:outlineLvl w:val="2"/>
              <w:rPr>
                <w:rFonts w:hint="eastAsia" w:ascii="宋体" w:hAnsi="宋体" w:eastAsia="宋体" w:cs="宋体"/>
                <w:b w:val="0"/>
                <w:bCs w:val="0"/>
                <w:color w:val="000000"/>
                <w:kern w:val="0"/>
                <w:sz w:val="24"/>
                <w:szCs w:val="24"/>
              </w:rPr>
            </w:pPr>
            <w:bookmarkStart w:id="227" w:name="_Toc29465"/>
            <w:bookmarkStart w:id="228" w:name="_Toc25783"/>
            <w:bookmarkStart w:id="229" w:name="_Toc18384"/>
            <w:bookmarkStart w:id="230" w:name="_Toc3780"/>
            <w:bookmarkStart w:id="231" w:name="_Toc4824"/>
            <w:r>
              <w:rPr>
                <w:rFonts w:hint="eastAsia" w:ascii="宋体" w:hAnsi="宋体" w:eastAsia="宋体" w:cs="宋体"/>
                <w:b w:val="0"/>
                <w:bCs w:val="0"/>
                <w:color w:val="000000"/>
                <w:kern w:val="0"/>
                <w:sz w:val="24"/>
                <w:szCs w:val="24"/>
              </w:rPr>
              <w:t>《中华人民共和国特种设备安全法》</w:t>
            </w:r>
            <w:r>
              <w:rPr>
                <w:rFonts w:hint="eastAsia" w:ascii="宋体" w:hAnsi="宋体" w:eastAsia="宋体" w:cs="宋体"/>
                <w:b w:val="0"/>
                <w:bCs w:val="0"/>
                <w:color w:val="000000"/>
                <w:kern w:val="0"/>
                <w:sz w:val="24"/>
                <w:szCs w:val="24"/>
                <w:lang w:eastAsia="zh-CN"/>
              </w:rPr>
              <w:t>（</w:t>
            </w:r>
            <w:r>
              <w:rPr>
                <w:rFonts w:hint="eastAsia" w:ascii="宋体" w:hAnsi="宋体" w:eastAsia="宋体" w:cs="宋体"/>
                <w:b w:val="0"/>
                <w:bCs w:val="0"/>
                <w:color w:val="000000"/>
                <w:kern w:val="0"/>
                <w:sz w:val="24"/>
                <w:szCs w:val="24"/>
                <w:lang w:val="en-US" w:eastAsia="zh-CN"/>
              </w:rPr>
              <w:t>2024年1月1日起施行</w:t>
            </w:r>
            <w:r>
              <w:rPr>
                <w:rFonts w:hint="eastAsia" w:ascii="宋体" w:hAnsi="宋体" w:eastAsia="宋体" w:cs="宋体"/>
                <w:b w:val="0"/>
                <w:bCs w:val="0"/>
                <w:color w:val="000000"/>
                <w:kern w:val="0"/>
                <w:sz w:val="24"/>
                <w:szCs w:val="24"/>
                <w:lang w:eastAsia="zh-CN"/>
              </w:rPr>
              <w:t>）</w:t>
            </w:r>
            <w:bookmarkEnd w:id="227"/>
            <w:bookmarkEnd w:id="228"/>
            <w:bookmarkEnd w:id="229"/>
            <w:bookmarkEnd w:id="230"/>
            <w:bookmarkEnd w:id="231"/>
          </w:p>
        </w:tc>
        <w:tc>
          <w:tcPr>
            <w:tcW w:w="4140" w:type="dxa"/>
            <w:vMerge w:val="restart"/>
            <w:noWrap w:val="0"/>
            <w:vAlign w:val="center"/>
          </w:tcPr>
          <w:p w14:paraId="563C1D48">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第七十四条</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w:t>
            </w:r>
            <w:r>
              <w:rPr>
                <w:rFonts w:hint="eastAsia" w:ascii="宋体" w:hAnsi="宋体" w:eastAsia="宋体" w:cs="宋体"/>
                <w:b w:val="0"/>
                <w:bCs/>
                <w:color w:val="000000"/>
                <w:kern w:val="0"/>
                <w:sz w:val="24"/>
                <w:szCs w:val="24"/>
                <w:u w:val="none"/>
              </w:rPr>
              <w:t>未经许可从事特种设备生产活动的，责令停</w:t>
            </w:r>
            <w:r>
              <w:rPr>
                <w:rFonts w:hint="eastAsia" w:ascii="宋体" w:hAnsi="宋体" w:eastAsia="宋体" w:cs="宋体"/>
                <w:color w:val="000000"/>
                <w:kern w:val="0"/>
                <w:sz w:val="24"/>
                <w:szCs w:val="24"/>
              </w:rPr>
              <w:t>止生产，没收违法制造的特种设备，处十万元以上五十万元以下罚款；有违法所得的，没收违法所得；已经实施安装、改造、修理的，责令恢复原状或者责令限期由取得许可的单位重新安装、改造、修理。</w:t>
            </w:r>
          </w:p>
        </w:tc>
        <w:tc>
          <w:tcPr>
            <w:tcW w:w="1132" w:type="dxa"/>
            <w:noWrap w:val="0"/>
            <w:vAlign w:val="center"/>
          </w:tcPr>
          <w:p w14:paraId="09E307B7">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1F927F25">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有下列情形之一的：</w:t>
            </w:r>
          </w:p>
          <w:p w14:paraId="042271CD">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⑴尚未交付使用的；</w:t>
            </w:r>
          </w:p>
          <w:p w14:paraId="5627481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rPr>
              <w:t>⑵已交付使用的，违法制造的特种设备金额在20万元以下的。</w:t>
            </w:r>
          </w:p>
        </w:tc>
        <w:tc>
          <w:tcPr>
            <w:tcW w:w="3251" w:type="dxa"/>
            <w:noWrap w:val="0"/>
            <w:vAlign w:val="center"/>
          </w:tcPr>
          <w:p w14:paraId="248BE3AC">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spacing w:val="-6"/>
                <w:kern w:val="0"/>
                <w:sz w:val="24"/>
                <w:szCs w:val="24"/>
              </w:rPr>
            </w:pPr>
            <w:r>
              <w:rPr>
                <w:rFonts w:hint="eastAsia" w:ascii="宋体" w:hAnsi="宋体" w:eastAsia="宋体" w:cs="宋体"/>
                <w:color w:val="000000"/>
                <w:spacing w:val="-6"/>
                <w:kern w:val="0"/>
                <w:sz w:val="24"/>
                <w:szCs w:val="24"/>
              </w:rPr>
              <w:t>责令停止生产，没收违法制造的特种设备，处10万元以上22万元以下罚款；有违法所得的，没收违法所得</w:t>
            </w:r>
            <w:r>
              <w:rPr>
                <w:rFonts w:hint="eastAsia" w:ascii="宋体" w:hAnsi="宋体" w:cs="宋体"/>
                <w:color w:val="000000"/>
                <w:spacing w:val="-6"/>
                <w:kern w:val="0"/>
                <w:sz w:val="24"/>
                <w:szCs w:val="24"/>
                <w:lang w:eastAsia="zh-CN"/>
              </w:rPr>
              <w:t>；</w:t>
            </w:r>
            <w:r>
              <w:rPr>
                <w:rFonts w:hint="eastAsia" w:ascii="宋体" w:hAnsi="宋体" w:eastAsia="宋体" w:cs="宋体"/>
                <w:color w:val="000000"/>
                <w:spacing w:val="-6"/>
                <w:kern w:val="0"/>
                <w:sz w:val="24"/>
                <w:szCs w:val="24"/>
              </w:rPr>
              <w:t>已经实施安装、改造、修理的，责令恢复原状或者责令限期由取得许可的单位重新安装、改造、修理。</w:t>
            </w:r>
          </w:p>
        </w:tc>
      </w:tr>
      <w:tr w14:paraId="4429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736" w:type="dxa"/>
            <w:vMerge w:val="continue"/>
            <w:noWrap w:val="0"/>
            <w:vAlign w:val="center"/>
          </w:tcPr>
          <w:p w14:paraId="181841A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299FB625">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05085278">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622DEF0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4D5DA8BE">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已交付使用的，违法制造的特种设备金额在20万元以上40万元以下的。</w:t>
            </w:r>
          </w:p>
        </w:tc>
        <w:tc>
          <w:tcPr>
            <w:tcW w:w="3251" w:type="dxa"/>
            <w:noWrap w:val="0"/>
            <w:vAlign w:val="center"/>
          </w:tcPr>
          <w:p w14:paraId="7CFFB30F">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spacing w:val="-6"/>
                <w:kern w:val="0"/>
                <w:sz w:val="24"/>
                <w:szCs w:val="24"/>
              </w:rPr>
            </w:pPr>
            <w:r>
              <w:rPr>
                <w:rFonts w:hint="eastAsia" w:ascii="宋体" w:hAnsi="宋体" w:eastAsia="宋体" w:cs="宋体"/>
                <w:color w:val="000000"/>
                <w:spacing w:val="-6"/>
                <w:kern w:val="0"/>
                <w:sz w:val="24"/>
                <w:szCs w:val="24"/>
              </w:rPr>
              <w:t>责令停止生产，没收违法制造的特种设备，处22万元以上38万元以下罚款；有违法所得的，没收违法所得；已经实施安装、改造、修理的，责令恢复原状或者责令限期由取得许可的单位重新安装、改造、修理。</w:t>
            </w:r>
          </w:p>
        </w:tc>
      </w:tr>
      <w:tr w14:paraId="2259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0" w:hRule="atLeast"/>
          <w:jc w:val="center"/>
        </w:trPr>
        <w:tc>
          <w:tcPr>
            <w:tcW w:w="736" w:type="dxa"/>
            <w:vMerge w:val="continue"/>
            <w:noWrap w:val="0"/>
            <w:vAlign w:val="center"/>
          </w:tcPr>
          <w:p w14:paraId="0F9DDBE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2F2A5CF5">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79C7434C">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583A488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1C5DBAC4">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有以下情形之一的：</w:t>
            </w:r>
          </w:p>
          <w:p w14:paraId="7C5BC69C">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r>
              <w:rPr>
                <w:rFonts w:hint="eastAsia" w:ascii="宋体" w:hAnsi="宋体" w:eastAsia="宋体" w:cs="宋体"/>
                <w:color w:val="000000"/>
                <w:kern w:val="0"/>
                <w:sz w:val="24"/>
                <w:szCs w:val="24"/>
              </w:rPr>
              <w:t>已交付使用的，违法制造的特种设备金额40万元以上的；</w:t>
            </w:r>
          </w:p>
          <w:p w14:paraId="19B70D69">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highlight w:val="none"/>
              </w:rPr>
              <w:t>(</w:t>
            </w:r>
            <w:r>
              <w:rPr>
                <w:rFonts w:hint="eastAsia" w:ascii="宋体" w:hAnsi="宋体" w:eastAsia="宋体" w:cs="宋体"/>
                <w:color w:val="000000"/>
                <w:kern w:val="0"/>
                <w:sz w:val="24"/>
                <w:szCs w:val="24"/>
                <w:highlight w:val="none"/>
                <w:lang w:val="en-US" w:eastAsia="zh-CN"/>
              </w:rPr>
              <w:t>2)</w:t>
            </w:r>
            <w:r>
              <w:rPr>
                <w:rFonts w:hint="eastAsia" w:ascii="宋体" w:hAnsi="宋体" w:eastAsia="宋体" w:cs="宋体"/>
                <w:color w:val="000000"/>
                <w:sz w:val="24"/>
                <w:szCs w:val="24"/>
                <w:highlight w:val="none"/>
              </w:rPr>
              <w:t>造成</w:t>
            </w:r>
            <w:r>
              <w:rPr>
                <w:rFonts w:hint="eastAsia" w:ascii="宋体" w:hAnsi="宋体" w:eastAsia="宋体" w:cs="宋体"/>
                <w:color w:val="000000"/>
                <w:sz w:val="24"/>
                <w:szCs w:val="24"/>
                <w:highlight w:val="none"/>
                <w:lang w:val="en-US" w:eastAsia="zh-CN"/>
              </w:rPr>
              <w:t>重大社会</w:t>
            </w:r>
            <w:r>
              <w:rPr>
                <w:rFonts w:hint="eastAsia" w:ascii="宋体" w:hAnsi="宋体" w:eastAsia="宋体" w:cs="宋体"/>
                <w:color w:val="000000"/>
                <w:sz w:val="24"/>
                <w:szCs w:val="24"/>
                <w:highlight w:val="none"/>
              </w:rPr>
              <w:t>影响。</w:t>
            </w:r>
          </w:p>
        </w:tc>
        <w:tc>
          <w:tcPr>
            <w:tcW w:w="3251" w:type="dxa"/>
            <w:noWrap w:val="0"/>
            <w:vAlign w:val="center"/>
          </w:tcPr>
          <w:p w14:paraId="394B35AF">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spacing w:val="-6"/>
                <w:kern w:val="0"/>
                <w:sz w:val="24"/>
                <w:szCs w:val="24"/>
              </w:rPr>
            </w:pPr>
            <w:r>
              <w:rPr>
                <w:rFonts w:hint="eastAsia" w:ascii="宋体" w:hAnsi="宋体" w:eastAsia="宋体" w:cs="宋体"/>
                <w:color w:val="000000"/>
                <w:spacing w:val="-6"/>
                <w:kern w:val="0"/>
                <w:sz w:val="24"/>
                <w:szCs w:val="24"/>
              </w:rPr>
              <w:t>责令停止生产，没收违法制造的特种设备，处38万元以上50万元以下罚款；有违法所得的，没收违法所得；已经实施安装、改造、修理的，责令恢复原状或者责令限期由取得许可的单位重新安装、改造、修理。</w:t>
            </w:r>
          </w:p>
        </w:tc>
      </w:tr>
      <w:tr w14:paraId="4C76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1" w:hRule="atLeast"/>
          <w:jc w:val="center"/>
        </w:trPr>
        <w:tc>
          <w:tcPr>
            <w:tcW w:w="736" w:type="dxa"/>
            <w:vMerge w:val="restart"/>
            <w:noWrap w:val="0"/>
            <w:vAlign w:val="center"/>
          </w:tcPr>
          <w:p w14:paraId="110F7BB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4</w:t>
            </w:r>
            <w:r>
              <w:rPr>
                <w:rFonts w:hint="eastAsia" w:ascii="宋体" w:hAnsi="宋体" w:cs="宋体"/>
                <w:b w:val="0"/>
                <w:bCs w:val="0"/>
                <w:color w:val="000000"/>
                <w:kern w:val="0"/>
                <w:sz w:val="24"/>
                <w:szCs w:val="24"/>
                <w:lang w:val="en-US" w:eastAsia="zh-CN"/>
              </w:rPr>
              <w:t>6</w:t>
            </w:r>
          </w:p>
        </w:tc>
        <w:tc>
          <w:tcPr>
            <w:tcW w:w="1748" w:type="dxa"/>
            <w:vMerge w:val="restart"/>
            <w:noWrap w:val="0"/>
            <w:vAlign w:val="center"/>
          </w:tcPr>
          <w:p w14:paraId="100E42C2">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4D6D3DF3">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第七十五条</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w:t>
            </w:r>
            <w:r>
              <w:rPr>
                <w:rFonts w:hint="eastAsia" w:ascii="宋体" w:hAnsi="宋体" w:eastAsia="宋体" w:cs="宋体"/>
                <w:b w:val="0"/>
                <w:bCs/>
                <w:color w:val="000000"/>
                <w:kern w:val="0"/>
                <w:sz w:val="24"/>
                <w:szCs w:val="24"/>
                <w:u w:val="none"/>
              </w:rPr>
              <w:t>特种设备的设计文件未经鉴定，擅自用于制造的，</w:t>
            </w:r>
            <w:r>
              <w:rPr>
                <w:rFonts w:hint="eastAsia" w:ascii="宋体" w:hAnsi="宋体" w:eastAsia="宋体" w:cs="宋体"/>
                <w:color w:val="000000"/>
                <w:kern w:val="0"/>
                <w:sz w:val="24"/>
                <w:szCs w:val="24"/>
              </w:rPr>
              <w:t>责令改正，没收违法制造的特种设备，处五万元以上五十万元以下罚款。</w:t>
            </w:r>
          </w:p>
        </w:tc>
        <w:tc>
          <w:tcPr>
            <w:tcW w:w="1132" w:type="dxa"/>
            <w:noWrap w:val="0"/>
            <w:vAlign w:val="center"/>
          </w:tcPr>
          <w:p w14:paraId="6D298031">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2F37763A">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有下列情形之一的：</w:t>
            </w:r>
          </w:p>
          <w:p w14:paraId="09256DF0">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⑴所制造的特种设备尚未交付使用的；</w:t>
            </w:r>
          </w:p>
          <w:p w14:paraId="4F476555">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⑵已交付使用的，所制造的特</w:t>
            </w:r>
            <w:r>
              <w:rPr>
                <w:rFonts w:hint="eastAsia" w:ascii="宋体" w:hAnsi="宋体" w:eastAsia="宋体" w:cs="宋体"/>
                <w:color w:val="000000"/>
                <w:spacing w:val="-11"/>
                <w:kern w:val="0"/>
                <w:sz w:val="24"/>
                <w:szCs w:val="24"/>
              </w:rPr>
              <w:t>种设备货值金额15万元以下的。</w:t>
            </w:r>
          </w:p>
        </w:tc>
        <w:tc>
          <w:tcPr>
            <w:tcW w:w="3251" w:type="dxa"/>
            <w:noWrap w:val="0"/>
            <w:vAlign w:val="center"/>
          </w:tcPr>
          <w:p w14:paraId="5733CBD8">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没收非法制造的产品，处5万元以上18.5万元以下罚款。</w:t>
            </w:r>
          </w:p>
        </w:tc>
      </w:tr>
      <w:tr w14:paraId="620A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36" w:type="dxa"/>
            <w:vMerge w:val="continue"/>
            <w:noWrap w:val="0"/>
            <w:vAlign w:val="center"/>
          </w:tcPr>
          <w:p w14:paraId="2D6BC0D4">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6AD90DFE">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1254C4BB">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7B20C6B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738B2DD0">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已交付使用的，所制造的特种设备货值金额在15万元以上30万元以下的</w:t>
            </w:r>
            <w:r>
              <w:rPr>
                <w:rFonts w:hint="eastAsia" w:ascii="宋体" w:hAnsi="宋体" w:cs="宋体"/>
                <w:color w:val="000000"/>
                <w:kern w:val="0"/>
                <w:sz w:val="24"/>
                <w:szCs w:val="24"/>
                <w:lang w:eastAsia="zh-CN"/>
              </w:rPr>
              <w:t>。</w:t>
            </w:r>
          </w:p>
        </w:tc>
        <w:tc>
          <w:tcPr>
            <w:tcW w:w="3251" w:type="dxa"/>
            <w:noWrap w:val="0"/>
            <w:vAlign w:val="center"/>
          </w:tcPr>
          <w:p w14:paraId="78FDD18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没收非法制造的产品，处18.5万元以上36.5万元以下罚款。</w:t>
            </w:r>
          </w:p>
        </w:tc>
      </w:tr>
      <w:tr w14:paraId="68A24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1" w:hRule="atLeast"/>
          <w:jc w:val="center"/>
        </w:trPr>
        <w:tc>
          <w:tcPr>
            <w:tcW w:w="736" w:type="dxa"/>
            <w:vMerge w:val="continue"/>
            <w:noWrap w:val="0"/>
            <w:vAlign w:val="center"/>
          </w:tcPr>
          <w:p w14:paraId="2DBA975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79C3534F">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7560F3EC">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34BA5F5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7EAB71FE">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有以下情形之一的：</w:t>
            </w:r>
          </w:p>
          <w:p w14:paraId="336D0769">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(1)已交付使用的，所制造的特种设备货值金额在30万元以上的；</w:t>
            </w:r>
          </w:p>
          <w:p w14:paraId="7DB80F0A">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r>
              <w:rPr>
                <w:rFonts w:hint="eastAsia" w:ascii="宋体" w:hAnsi="宋体" w:eastAsia="宋体" w:cs="宋体"/>
                <w:color w:val="000000"/>
                <w:sz w:val="24"/>
                <w:szCs w:val="24"/>
                <w:highlight w:val="none"/>
              </w:rPr>
              <w:t>造成</w:t>
            </w:r>
            <w:r>
              <w:rPr>
                <w:rFonts w:hint="eastAsia" w:ascii="宋体" w:hAnsi="宋体" w:eastAsia="宋体" w:cs="宋体"/>
                <w:color w:val="000000"/>
                <w:sz w:val="24"/>
                <w:szCs w:val="24"/>
                <w:highlight w:val="none"/>
                <w:lang w:val="en-US" w:eastAsia="zh-CN"/>
              </w:rPr>
              <w:t>重大社会</w:t>
            </w:r>
            <w:r>
              <w:rPr>
                <w:rFonts w:hint="eastAsia" w:ascii="宋体" w:hAnsi="宋体" w:eastAsia="宋体" w:cs="宋体"/>
                <w:color w:val="000000"/>
                <w:sz w:val="24"/>
                <w:szCs w:val="24"/>
                <w:highlight w:val="none"/>
              </w:rPr>
              <w:t>影响。</w:t>
            </w:r>
          </w:p>
        </w:tc>
        <w:tc>
          <w:tcPr>
            <w:tcW w:w="3251" w:type="dxa"/>
            <w:noWrap w:val="0"/>
            <w:vAlign w:val="center"/>
          </w:tcPr>
          <w:p w14:paraId="381128C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没收非法制造的产品，处36.5万元以上50万元以下罚款。</w:t>
            </w:r>
          </w:p>
        </w:tc>
      </w:tr>
      <w:tr w14:paraId="19AA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736" w:type="dxa"/>
            <w:vMerge w:val="restart"/>
            <w:noWrap w:val="0"/>
            <w:vAlign w:val="center"/>
          </w:tcPr>
          <w:p w14:paraId="5863019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4</w:t>
            </w:r>
            <w:r>
              <w:rPr>
                <w:rFonts w:hint="eastAsia" w:ascii="宋体" w:hAnsi="宋体" w:cs="宋体"/>
                <w:b w:val="0"/>
                <w:bCs w:val="0"/>
                <w:color w:val="000000"/>
                <w:kern w:val="0"/>
                <w:sz w:val="24"/>
                <w:szCs w:val="24"/>
                <w:lang w:val="en-US" w:eastAsia="zh-CN"/>
              </w:rPr>
              <w:t>7</w:t>
            </w:r>
          </w:p>
        </w:tc>
        <w:tc>
          <w:tcPr>
            <w:tcW w:w="1748" w:type="dxa"/>
            <w:vMerge w:val="restart"/>
            <w:noWrap w:val="0"/>
            <w:vAlign w:val="center"/>
          </w:tcPr>
          <w:p w14:paraId="0470846A">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4A0B86A5">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第七十六条</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w:t>
            </w:r>
            <w:r>
              <w:rPr>
                <w:rFonts w:hint="eastAsia" w:ascii="宋体" w:hAnsi="宋体" w:eastAsia="宋体" w:cs="宋体"/>
                <w:b w:val="0"/>
                <w:bCs/>
                <w:color w:val="000000"/>
                <w:kern w:val="0"/>
                <w:sz w:val="24"/>
                <w:szCs w:val="24"/>
                <w:u w:val="none"/>
              </w:rPr>
              <w:t>未进行型式试验的，</w:t>
            </w:r>
            <w:r>
              <w:rPr>
                <w:rFonts w:hint="eastAsia" w:ascii="宋体" w:hAnsi="宋体" w:eastAsia="宋体" w:cs="宋体"/>
                <w:color w:val="000000"/>
                <w:kern w:val="0"/>
                <w:sz w:val="24"/>
                <w:szCs w:val="24"/>
              </w:rPr>
              <w:t>责令限期改正；逾期未改正的，处三万元以上三十万元以下罚款。</w:t>
            </w:r>
          </w:p>
        </w:tc>
        <w:tc>
          <w:tcPr>
            <w:tcW w:w="1132" w:type="dxa"/>
            <w:noWrap w:val="0"/>
            <w:vAlign w:val="center"/>
          </w:tcPr>
          <w:p w14:paraId="4A77C247">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726B56FA">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尚未交付使用的。</w:t>
            </w:r>
          </w:p>
        </w:tc>
        <w:tc>
          <w:tcPr>
            <w:tcW w:w="3251" w:type="dxa"/>
            <w:noWrap w:val="0"/>
            <w:vAlign w:val="center"/>
          </w:tcPr>
          <w:p w14:paraId="3F54E750">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逾期未改正的，处3万元以上11.1万元以下罚款。</w:t>
            </w:r>
          </w:p>
        </w:tc>
      </w:tr>
      <w:tr w14:paraId="5D1A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736" w:type="dxa"/>
            <w:vMerge w:val="continue"/>
            <w:noWrap w:val="0"/>
            <w:vAlign w:val="center"/>
          </w:tcPr>
          <w:p w14:paraId="79CC502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4F3A85E5">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3FC5C5F2">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44650900">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6D26E239">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已交付使用的。</w:t>
            </w:r>
          </w:p>
        </w:tc>
        <w:tc>
          <w:tcPr>
            <w:tcW w:w="3251" w:type="dxa"/>
            <w:noWrap w:val="0"/>
            <w:vAlign w:val="center"/>
          </w:tcPr>
          <w:p w14:paraId="1873AC6E">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逾期未改正的，处11.1万元以上21.9万元以下罚款。</w:t>
            </w:r>
          </w:p>
        </w:tc>
      </w:tr>
      <w:tr w14:paraId="4B5D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736" w:type="dxa"/>
            <w:vMerge w:val="continue"/>
            <w:noWrap w:val="0"/>
            <w:vAlign w:val="center"/>
          </w:tcPr>
          <w:p w14:paraId="0BD5494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48261712">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03BC54E0">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39F9E67F">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1BE0DC8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已交付使用的，</w:t>
            </w:r>
            <w:r>
              <w:rPr>
                <w:rFonts w:hint="eastAsia" w:ascii="宋体" w:hAnsi="宋体" w:eastAsia="宋体" w:cs="宋体"/>
                <w:color w:val="000000"/>
                <w:kern w:val="0"/>
                <w:sz w:val="24"/>
                <w:szCs w:val="24"/>
                <w:highlight w:val="none"/>
                <w:lang w:val="en-US" w:eastAsia="zh-CN"/>
              </w:rPr>
              <w:t>危害</w:t>
            </w:r>
            <w:r>
              <w:rPr>
                <w:rFonts w:hint="eastAsia" w:ascii="宋体" w:hAnsi="宋体" w:eastAsia="宋体" w:cs="宋体"/>
                <w:color w:val="000000"/>
                <w:kern w:val="0"/>
                <w:sz w:val="24"/>
                <w:szCs w:val="24"/>
              </w:rPr>
              <w:t>人体健康或者</w:t>
            </w:r>
            <w:r>
              <w:rPr>
                <w:rFonts w:hint="eastAsia" w:ascii="宋体" w:hAnsi="宋体" w:eastAsia="宋体" w:cs="宋体"/>
                <w:color w:val="000000"/>
                <w:kern w:val="0"/>
                <w:sz w:val="24"/>
                <w:szCs w:val="24"/>
                <w:highlight w:val="none"/>
                <w:lang w:val="en-US" w:eastAsia="zh-CN"/>
              </w:rPr>
              <w:t>造成</w:t>
            </w:r>
            <w:r>
              <w:rPr>
                <w:rFonts w:hint="eastAsia" w:ascii="宋体" w:hAnsi="宋体" w:eastAsia="宋体" w:cs="宋体"/>
                <w:color w:val="000000"/>
                <w:kern w:val="0"/>
                <w:sz w:val="24"/>
                <w:szCs w:val="24"/>
              </w:rPr>
              <w:t>人身、财产损害尚未构成事故的。</w:t>
            </w:r>
          </w:p>
        </w:tc>
        <w:tc>
          <w:tcPr>
            <w:tcW w:w="3251" w:type="dxa"/>
            <w:noWrap w:val="0"/>
            <w:vAlign w:val="center"/>
          </w:tcPr>
          <w:p w14:paraId="4A2EBFE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逾期未改正的，处21.9万元以上30万元以下罚款。</w:t>
            </w:r>
          </w:p>
        </w:tc>
      </w:tr>
      <w:tr w14:paraId="08CB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736" w:type="dxa"/>
            <w:vMerge w:val="restart"/>
            <w:noWrap w:val="0"/>
            <w:vAlign w:val="center"/>
          </w:tcPr>
          <w:p w14:paraId="03C69FD1">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4</w:t>
            </w:r>
            <w:r>
              <w:rPr>
                <w:rFonts w:hint="eastAsia" w:ascii="宋体" w:hAnsi="宋体" w:cs="宋体"/>
                <w:b w:val="0"/>
                <w:bCs w:val="0"/>
                <w:color w:val="000000"/>
                <w:kern w:val="0"/>
                <w:sz w:val="24"/>
                <w:szCs w:val="24"/>
                <w:lang w:val="en-US" w:eastAsia="zh-CN"/>
              </w:rPr>
              <w:t>8</w:t>
            </w:r>
          </w:p>
        </w:tc>
        <w:tc>
          <w:tcPr>
            <w:tcW w:w="1748" w:type="dxa"/>
            <w:vMerge w:val="restart"/>
            <w:noWrap w:val="0"/>
            <w:vAlign w:val="center"/>
          </w:tcPr>
          <w:p w14:paraId="28741AAA">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4FE024F2">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第七十七条</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违反本法规定，特种设备</w:t>
            </w:r>
            <w:r>
              <w:rPr>
                <w:rFonts w:hint="eastAsia" w:ascii="宋体" w:hAnsi="宋体" w:eastAsia="宋体" w:cs="宋体"/>
                <w:b w:val="0"/>
                <w:bCs/>
                <w:color w:val="000000"/>
                <w:kern w:val="0"/>
                <w:sz w:val="24"/>
                <w:szCs w:val="24"/>
                <w:u w:val="none"/>
              </w:rPr>
              <w:t>出厂时，未按照安全技术规范的要求随附相关技术资料和文件的，</w:t>
            </w:r>
            <w:r>
              <w:rPr>
                <w:rFonts w:hint="eastAsia" w:ascii="宋体" w:hAnsi="宋体" w:eastAsia="宋体" w:cs="宋体"/>
                <w:color w:val="000000"/>
                <w:kern w:val="0"/>
                <w:sz w:val="24"/>
                <w:szCs w:val="24"/>
              </w:rPr>
              <w:t>责令限期改正；逾期未改正的，责令停止制造、销售，处二万元以上二十万元以下罚款；有违法所得的，没收违法所得。</w:t>
            </w:r>
          </w:p>
        </w:tc>
        <w:tc>
          <w:tcPr>
            <w:tcW w:w="1132" w:type="dxa"/>
            <w:noWrap w:val="0"/>
            <w:vAlign w:val="center"/>
          </w:tcPr>
          <w:p w14:paraId="79B3486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011BF19E">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已交付尚未使用的</w:t>
            </w:r>
            <w:r>
              <w:rPr>
                <w:rFonts w:hint="eastAsia" w:ascii="宋体" w:hAnsi="宋体" w:eastAsia="宋体" w:cs="宋体"/>
                <w:color w:val="000000"/>
                <w:kern w:val="0"/>
                <w:sz w:val="24"/>
                <w:szCs w:val="24"/>
                <w:lang w:eastAsia="zh-CN"/>
              </w:rPr>
              <w:t>。</w:t>
            </w:r>
          </w:p>
        </w:tc>
        <w:tc>
          <w:tcPr>
            <w:tcW w:w="3251" w:type="dxa"/>
            <w:noWrap w:val="0"/>
            <w:vAlign w:val="center"/>
          </w:tcPr>
          <w:p w14:paraId="4B020314">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逾期未改正的，责令停止制造、销售，处2万元以上7.4万元以下罚款；有违法所得的，没收违法所得</w:t>
            </w:r>
            <w:r>
              <w:rPr>
                <w:rFonts w:hint="eastAsia" w:ascii="宋体" w:hAnsi="宋体" w:eastAsia="宋体" w:cs="宋体"/>
                <w:color w:val="000000"/>
                <w:kern w:val="0"/>
                <w:sz w:val="24"/>
                <w:szCs w:val="24"/>
                <w:lang w:eastAsia="zh-CN"/>
              </w:rPr>
              <w:t>。</w:t>
            </w:r>
          </w:p>
        </w:tc>
      </w:tr>
      <w:tr w14:paraId="1E37B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736" w:type="dxa"/>
            <w:vMerge w:val="continue"/>
            <w:noWrap w:val="0"/>
            <w:vAlign w:val="center"/>
          </w:tcPr>
          <w:p w14:paraId="37A36C5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05DF1C45">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39C94136">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28E0ADE1">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3AAEB088">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已交付使用的，使用时间6个月以下的。</w:t>
            </w:r>
          </w:p>
        </w:tc>
        <w:tc>
          <w:tcPr>
            <w:tcW w:w="3251" w:type="dxa"/>
            <w:noWrap w:val="0"/>
            <w:vAlign w:val="center"/>
          </w:tcPr>
          <w:p w14:paraId="52A9465E">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逾期未改正的，责令停止制造、销售，处7.4万元以上14.6万元以下罚款；有违法所得的，没收违法所得。</w:t>
            </w:r>
          </w:p>
        </w:tc>
      </w:tr>
      <w:tr w14:paraId="17A11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736" w:type="dxa"/>
            <w:vMerge w:val="continue"/>
            <w:noWrap w:val="0"/>
            <w:vAlign w:val="center"/>
          </w:tcPr>
          <w:p w14:paraId="4F90ED3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7B80D449">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p>
        </w:tc>
        <w:tc>
          <w:tcPr>
            <w:tcW w:w="4140" w:type="dxa"/>
            <w:vMerge w:val="continue"/>
            <w:noWrap w:val="0"/>
            <w:vAlign w:val="center"/>
          </w:tcPr>
          <w:p w14:paraId="11D7C0D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p>
        </w:tc>
        <w:tc>
          <w:tcPr>
            <w:tcW w:w="1132" w:type="dxa"/>
            <w:noWrap w:val="0"/>
            <w:vAlign w:val="center"/>
          </w:tcPr>
          <w:p w14:paraId="51D6B14F">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0A3C822C">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已交付使用的，使用时间6个月以上。</w:t>
            </w:r>
          </w:p>
        </w:tc>
        <w:tc>
          <w:tcPr>
            <w:tcW w:w="3251" w:type="dxa"/>
            <w:noWrap w:val="0"/>
            <w:vAlign w:val="center"/>
          </w:tcPr>
          <w:p w14:paraId="193BA392">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逾期未改正的，责令停止制造、销售，处14.6万元以上20万元以下罚款；有违法所得的，没收违法所得。</w:t>
            </w:r>
          </w:p>
        </w:tc>
      </w:tr>
      <w:tr w14:paraId="4F41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736" w:type="dxa"/>
            <w:vMerge w:val="restart"/>
            <w:noWrap w:val="0"/>
            <w:vAlign w:val="center"/>
          </w:tcPr>
          <w:p w14:paraId="4DBC40E4">
            <w:pPr>
              <w:pageBreakBefore w:val="0"/>
              <w:widowControl/>
              <w:kinsoku/>
              <w:wordWrap/>
              <w:overflowPunct/>
              <w:topLinePunct w:val="0"/>
              <w:bidi w:val="0"/>
              <w:snapToGrid w:val="0"/>
              <w:spacing w:beforeAutospacing="0" w:afterAutospacing="0" w:line="380" w:lineRule="exact"/>
              <w:ind w:left="0"/>
              <w:jc w:val="center"/>
              <w:rPr>
                <w:rFonts w:hint="default"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cs="宋体"/>
                <w:b w:val="0"/>
                <w:bCs w:val="0"/>
                <w:color w:val="000000"/>
                <w:kern w:val="0"/>
                <w:sz w:val="24"/>
                <w:szCs w:val="24"/>
                <w:lang w:val="en-US" w:eastAsia="zh-CN"/>
              </w:rPr>
              <w:t>49</w:t>
            </w:r>
          </w:p>
        </w:tc>
        <w:tc>
          <w:tcPr>
            <w:tcW w:w="1748" w:type="dxa"/>
            <w:vMerge w:val="restart"/>
            <w:noWrap w:val="0"/>
            <w:vAlign w:val="center"/>
          </w:tcPr>
          <w:p w14:paraId="19463EEB">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078DF649">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第七十八条</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违反本法规定，特种设备安装、改造、修理的施工单位</w:t>
            </w:r>
            <w:r>
              <w:rPr>
                <w:rFonts w:hint="eastAsia" w:ascii="宋体" w:hAnsi="宋体" w:eastAsia="宋体" w:cs="宋体"/>
                <w:b w:val="0"/>
                <w:bCs/>
                <w:color w:val="000000"/>
                <w:kern w:val="0"/>
                <w:sz w:val="24"/>
                <w:szCs w:val="24"/>
                <w:u w:val="none"/>
              </w:rPr>
              <w:t>在施工前未书面告知负责特种设备安全监督管理的部门即行施工的，或者在验收后三十日内未将相关技术资料和文件移交特种设备使用单位的</w:t>
            </w:r>
            <w:r>
              <w:rPr>
                <w:rFonts w:hint="eastAsia" w:ascii="宋体" w:hAnsi="宋体" w:eastAsia="宋体" w:cs="宋体"/>
                <w:color w:val="000000"/>
                <w:kern w:val="0"/>
                <w:sz w:val="24"/>
                <w:szCs w:val="24"/>
              </w:rPr>
              <w:t>，责令限期改正；逾期未改正的，处一万元以上十万元以下罚款。</w:t>
            </w:r>
          </w:p>
        </w:tc>
        <w:tc>
          <w:tcPr>
            <w:tcW w:w="1132" w:type="dxa"/>
            <w:noWrap w:val="0"/>
            <w:vAlign w:val="center"/>
          </w:tcPr>
          <w:p w14:paraId="3479E8AF">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303C2C2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违法行为持续时间1个月以下</w:t>
            </w:r>
            <w:r>
              <w:rPr>
                <w:rFonts w:hint="eastAsia" w:ascii="宋体" w:hAnsi="宋体" w:eastAsia="宋体" w:cs="宋体"/>
                <w:color w:val="000000"/>
                <w:kern w:val="0"/>
                <w:sz w:val="24"/>
                <w:szCs w:val="24"/>
                <w:lang w:eastAsia="zh-CN"/>
              </w:rPr>
              <w:t>。</w:t>
            </w:r>
          </w:p>
        </w:tc>
        <w:tc>
          <w:tcPr>
            <w:tcW w:w="3251" w:type="dxa"/>
            <w:noWrap w:val="0"/>
            <w:vAlign w:val="center"/>
          </w:tcPr>
          <w:p w14:paraId="3AB505FD">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逾期未改正的，处1万元以上3.7万元以下罚款。</w:t>
            </w:r>
          </w:p>
        </w:tc>
      </w:tr>
      <w:tr w14:paraId="4904E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736" w:type="dxa"/>
            <w:vMerge w:val="continue"/>
            <w:noWrap w:val="0"/>
            <w:vAlign w:val="center"/>
          </w:tcPr>
          <w:p w14:paraId="2EE8F01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01FDE699">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274EE4CC">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35908D81">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39685335">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违法行为持续时间1个月以上3个月以下</w:t>
            </w:r>
            <w:r>
              <w:rPr>
                <w:rFonts w:hint="eastAsia" w:ascii="宋体" w:hAnsi="宋体" w:eastAsia="宋体" w:cs="宋体"/>
                <w:color w:val="000000"/>
                <w:kern w:val="0"/>
                <w:sz w:val="24"/>
                <w:szCs w:val="24"/>
                <w:lang w:eastAsia="zh-CN"/>
              </w:rPr>
              <w:t>。</w:t>
            </w:r>
          </w:p>
        </w:tc>
        <w:tc>
          <w:tcPr>
            <w:tcW w:w="3251" w:type="dxa"/>
            <w:noWrap w:val="0"/>
            <w:vAlign w:val="center"/>
          </w:tcPr>
          <w:p w14:paraId="7E13CE9D">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逾期未改正的，处3.7万元以上7.3万元以下罚款。</w:t>
            </w:r>
          </w:p>
        </w:tc>
      </w:tr>
      <w:tr w14:paraId="1C37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736" w:type="dxa"/>
            <w:vMerge w:val="continue"/>
            <w:noWrap w:val="0"/>
            <w:vAlign w:val="center"/>
          </w:tcPr>
          <w:p w14:paraId="283280E2">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2EE657CC">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1F2875A0">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08737B10">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2770578E">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违法行为持续时间3个月以上</w:t>
            </w:r>
            <w:r>
              <w:rPr>
                <w:rFonts w:hint="eastAsia" w:ascii="宋体" w:hAnsi="宋体" w:eastAsia="宋体" w:cs="宋体"/>
                <w:color w:val="000000"/>
                <w:kern w:val="0"/>
                <w:sz w:val="24"/>
                <w:szCs w:val="24"/>
                <w:lang w:eastAsia="zh-CN"/>
              </w:rPr>
              <w:t>。</w:t>
            </w:r>
          </w:p>
        </w:tc>
        <w:tc>
          <w:tcPr>
            <w:tcW w:w="3251" w:type="dxa"/>
            <w:noWrap w:val="0"/>
            <w:vAlign w:val="center"/>
          </w:tcPr>
          <w:p w14:paraId="1DF37185">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逾期未改正的，处7.3万元以上10万元以下罚款。</w:t>
            </w:r>
          </w:p>
        </w:tc>
      </w:tr>
      <w:tr w14:paraId="1757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736" w:type="dxa"/>
            <w:vMerge w:val="restart"/>
            <w:noWrap w:val="0"/>
            <w:vAlign w:val="center"/>
          </w:tcPr>
          <w:p w14:paraId="6E39772B">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5</w:t>
            </w:r>
            <w:r>
              <w:rPr>
                <w:rFonts w:hint="eastAsia" w:ascii="宋体" w:hAnsi="宋体" w:cs="宋体"/>
                <w:b w:val="0"/>
                <w:bCs w:val="0"/>
                <w:color w:val="000000"/>
                <w:kern w:val="0"/>
                <w:sz w:val="24"/>
                <w:szCs w:val="24"/>
                <w:lang w:val="en-US" w:eastAsia="zh-CN"/>
              </w:rPr>
              <w:t>0</w:t>
            </w:r>
          </w:p>
        </w:tc>
        <w:tc>
          <w:tcPr>
            <w:tcW w:w="1748" w:type="dxa"/>
            <w:vMerge w:val="restart"/>
            <w:noWrap w:val="0"/>
            <w:vAlign w:val="center"/>
          </w:tcPr>
          <w:p w14:paraId="59938F7F">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05DDE1D9">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第七十九条</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w:t>
            </w:r>
            <w:r>
              <w:rPr>
                <w:rFonts w:hint="eastAsia" w:ascii="宋体" w:hAnsi="宋体" w:eastAsia="宋体" w:cs="宋体"/>
                <w:b w:val="0"/>
                <w:bCs/>
                <w:color w:val="000000"/>
                <w:kern w:val="0"/>
                <w:sz w:val="24"/>
                <w:szCs w:val="24"/>
                <w:u w:val="none"/>
              </w:rPr>
              <w:t>特种设备的制造、安装、改造、重大修理以及锅炉清洗过程，未经监督检验的，</w:t>
            </w:r>
            <w:r>
              <w:rPr>
                <w:rFonts w:hint="eastAsia" w:ascii="宋体" w:hAnsi="宋体" w:eastAsia="宋体" w:cs="宋体"/>
                <w:color w:val="000000"/>
                <w:kern w:val="0"/>
                <w:sz w:val="24"/>
                <w:szCs w:val="24"/>
              </w:rPr>
              <w:t>责令限期改正；逾期未改正的，处五万元以上二十万元以下罚款；有违法所得的，没收违法所得；情节严重的，吊销生产许可证。</w:t>
            </w:r>
          </w:p>
        </w:tc>
        <w:tc>
          <w:tcPr>
            <w:tcW w:w="1132" w:type="dxa"/>
            <w:noWrap w:val="0"/>
            <w:vAlign w:val="center"/>
          </w:tcPr>
          <w:p w14:paraId="1DAB8E84">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483A19BC">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尚未交付使用的。</w:t>
            </w:r>
          </w:p>
          <w:p w14:paraId="37FEC663">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p>
        </w:tc>
        <w:tc>
          <w:tcPr>
            <w:tcW w:w="3251" w:type="dxa"/>
            <w:noWrap w:val="0"/>
            <w:vAlign w:val="center"/>
          </w:tcPr>
          <w:p w14:paraId="6BC2EAC0">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逾期未改正的，处5万元以上9.5万元以下罚款；有违法所得的，没收违法所得。</w:t>
            </w:r>
          </w:p>
        </w:tc>
      </w:tr>
      <w:tr w14:paraId="43FE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736" w:type="dxa"/>
            <w:vMerge w:val="continue"/>
            <w:noWrap w:val="0"/>
            <w:vAlign w:val="center"/>
          </w:tcPr>
          <w:p w14:paraId="2BFF104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67570D8C">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486439FC">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0B6B0EBA">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4B7C70FF">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已交付尚未使用的。</w:t>
            </w:r>
          </w:p>
          <w:p w14:paraId="0BD2B646">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p>
        </w:tc>
        <w:tc>
          <w:tcPr>
            <w:tcW w:w="3251" w:type="dxa"/>
            <w:noWrap w:val="0"/>
            <w:vAlign w:val="center"/>
          </w:tcPr>
          <w:p w14:paraId="409A1355">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逾期未改正的，处9.5万元以上15.5万元以下罚款；有违法所得的，没收违法所得。</w:t>
            </w:r>
          </w:p>
        </w:tc>
      </w:tr>
      <w:tr w14:paraId="0615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6" w:hRule="atLeast"/>
          <w:jc w:val="center"/>
        </w:trPr>
        <w:tc>
          <w:tcPr>
            <w:tcW w:w="736" w:type="dxa"/>
            <w:vMerge w:val="continue"/>
            <w:noWrap w:val="0"/>
            <w:vAlign w:val="center"/>
          </w:tcPr>
          <w:p w14:paraId="564E0421">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256E3FF1">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214F9DB3">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4CB8A379">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516B7073">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已交付使用的。</w:t>
            </w:r>
          </w:p>
        </w:tc>
        <w:tc>
          <w:tcPr>
            <w:tcW w:w="3251" w:type="dxa"/>
            <w:noWrap w:val="0"/>
            <w:vAlign w:val="center"/>
          </w:tcPr>
          <w:p w14:paraId="60F7CCE7">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逾期未改正的，处15.5万元以上20万元以下罚款；有违法所得的，没收违法所得；情节严重的，吊销生产许可证。</w:t>
            </w:r>
          </w:p>
        </w:tc>
      </w:tr>
      <w:tr w14:paraId="5BCDD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exact"/>
          <w:jc w:val="center"/>
        </w:trPr>
        <w:tc>
          <w:tcPr>
            <w:tcW w:w="736" w:type="dxa"/>
            <w:vMerge w:val="restart"/>
            <w:noWrap w:val="0"/>
            <w:vAlign w:val="center"/>
          </w:tcPr>
          <w:p w14:paraId="640DD7B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5</w:t>
            </w:r>
            <w:r>
              <w:rPr>
                <w:rFonts w:hint="eastAsia" w:ascii="宋体" w:hAnsi="宋体" w:cs="宋体"/>
                <w:b w:val="0"/>
                <w:bCs w:val="0"/>
                <w:color w:val="000000"/>
                <w:kern w:val="0"/>
                <w:sz w:val="24"/>
                <w:szCs w:val="24"/>
                <w:lang w:val="en-US" w:eastAsia="zh-CN"/>
              </w:rPr>
              <w:t>1</w:t>
            </w:r>
          </w:p>
        </w:tc>
        <w:tc>
          <w:tcPr>
            <w:tcW w:w="1748" w:type="dxa"/>
            <w:vMerge w:val="restart"/>
            <w:noWrap w:val="0"/>
            <w:vAlign w:val="center"/>
          </w:tcPr>
          <w:p w14:paraId="6F8DC146">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34934F61">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第八十条</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违反本法规定，电梯制造单位有下列情形之一的，责令限期改正；逾期未改正的，处一万元以上十万元以下罚款：</w:t>
            </w:r>
          </w:p>
          <w:p w14:paraId="22DF73CF">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（一）</w:t>
            </w:r>
            <w:r>
              <w:rPr>
                <w:rFonts w:hint="eastAsia" w:ascii="宋体" w:hAnsi="宋体" w:eastAsia="宋体" w:cs="宋体"/>
                <w:b w:val="0"/>
                <w:bCs/>
                <w:color w:val="000000"/>
                <w:kern w:val="0"/>
                <w:sz w:val="24"/>
                <w:szCs w:val="24"/>
                <w:u w:val="none"/>
              </w:rPr>
              <w:t>未按照安全技术规范的要求对电梯进行校验、调试的</w:t>
            </w:r>
            <w:r>
              <w:rPr>
                <w:rFonts w:hint="eastAsia" w:ascii="宋体" w:hAnsi="宋体" w:cs="宋体"/>
                <w:b w:val="0"/>
                <w:bCs/>
                <w:color w:val="000000"/>
                <w:kern w:val="0"/>
                <w:sz w:val="24"/>
                <w:szCs w:val="24"/>
                <w:u w:val="none"/>
                <w:lang w:eastAsia="zh-CN"/>
              </w:rPr>
              <w:t>。</w:t>
            </w:r>
          </w:p>
        </w:tc>
        <w:tc>
          <w:tcPr>
            <w:tcW w:w="1132" w:type="dxa"/>
            <w:noWrap w:val="0"/>
            <w:vAlign w:val="center"/>
          </w:tcPr>
          <w:p w14:paraId="5E018668">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2ABC294F">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尚未交付使用的。</w:t>
            </w:r>
          </w:p>
        </w:tc>
        <w:tc>
          <w:tcPr>
            <w:tcW w:w="3251" w:type="dxa"/>
            <w:noWrap w:val="0"/>
            <w:vAlign w:val="center"/>
          </w:tcPr>
          <w:p w14:paraId="5E52EF1E">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逾期未改正的，处1万元以上3.7万元以下罚款。</w:t>
            </w:r>
          </w:p>
        </w:tc>
      </w:tr>
      <w:tr w14:paraId="7215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exact"/>
          <w:jc w:val="center"/>
        </w:trPr>
        <w:tc>
          <w:tcPr>
            <w:tcW w:w="736" w:type="dxa"/>
            <w:vMerge w:val="continue"/>
            <w:noWrap w:val="0"/>
            <w:vAlign w:val="center"/>
          </w:tcPr>
          <w:p w14:paraId="3EEB196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092087CB">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0838C8A9">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both"/>
              <w:textAlignment w:val="auto"/>
              <w:rPr>
                <w:rFonts w:hint="eastAsia" w:ascii="宋体" w:hAnsi="宋体" w:eastAsia="宋体" w:cs="宋体"/>
                <w:color w:val="000000"/>
                <w:kern w:val="0"/>
                <w:sz w:val="24"/>
                <w:szCs w:val="24"/>
              </w:rPr>
            </w:pPr>
          </w:p>
        </w:tc>
        <w:tc>
          <w:tcPr>
            <w:tcW w:w="1132" w:type="dxa"/>
            <w:noWrap w:val="0"/>
            <w:vAlign w:val="center"/>
          </w:tcPr>
          <w:p w14:paraId="48C174AF">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0330E5B1">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已交付尚未使用的。</w:t>
            </w:r>
          </w:p>
        </w:tc>
        <w:tc>
          <w:tcPr>
            <w:tcW w:w="3251" w:type="dxa"/>
            <w:noWrap w:val="0"/>
            <w:vAlign w:val="center"/>
          </w:tcPr>
          <w:p w14:paraId="598BCD35">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逾期未改正的，处3.7万元以上7.3万元以下罚款。</w:t>
            </w:r>
          </w:p>
        </w:tc>
      </w:tr>
      <w:tr w14:paraId="111C4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exact"/>
          <w:jc w:val="center"/>
        </w:trPr>
        <w:tc>
          <w:tcPr>
            <w:tcW w:w="736" w:type="dxa"/>
            <w:vMerge w:val="continue"/>
            <w:noWrap w:val="0"/>
            <w:vAlign w:val="center"/>
          </w:tcPr>
          <w:p w14:paraId="749813F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5745EE65">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41B6E56A">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both"/>
              <w:textAlignment w:val="auto"/>
              <w:rPr>
                <w:rFonts w:hint="eastAsia" w:ascii="宋体" w:hAnsi="宋体" w:eastAsia="宋体" w:cs="宋体"/>
                <w:color w:val="000000"/>
                <w:kern w:val="0"/>
                <w:sz w:val="24"/>
                <w:szCs w:val="24"/>
              </w:rPr>
            </w:pPr>
          </w:p>
        </w:tc>
        <w:tc>
          <w:tcPr>
            <w:tcW w:w="1132" w:type="dxa"/>
            <w:noWrap w:val="0"/>
            <w:vAlign w:val="center"/>
          </w:tcPr>
          <w:p w14:paraId="0B539FE5">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33A217D5">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已交付使用的。</w:t>
            </w:r>
          </w:p>
        </w:tc>
        <w:tc>
          <w:tcPr>
            <w:tcW w:w="3251" w:type="dxa"/>
            <w:noWrap w:val="0"/>
            <w:vAlign w:val="center"/>
          </w:tcPr>
          <w:p w14:paraId="4F1B64BD">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逾期未改正的，处7.3万元以上10万元以下罚款。</w:t>
            </w:r>
          </w:p>
        </w:tc>
      </w:tr>
      <w:tr w14:paraId="2D3B0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736" w:type="dxa"/>
            <w:vMerge w:val="restart"/>
            <w:noWrap w:val="0"/>
            <w:vAlign w:val="center"/>
          </w:tcPr>
          <w:p w14:paraId="36814C0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15</w:t>
            </w:r>
            <w:r>
              <w:rPr>
                <w:rFonts w:hint="eastAsia" w:ascii="宋体" w:hAnsi="宋体" w:cs="宋体"/>
                <w:b w:val="0"/>
                <w:bCs w:val="0"/>
                <w:color w:val="000000"/>
                <w:kern w:val="0"/>
                <w:sz w:val="24"/>
                <w:szCs w:val="24"/>
                <w:lang w:val="en-US" w:eastAsia="zh-CN"/>
              </w:rPr>
              <w:t>2</w:t>
            </w:r>
          </w:p>
        </w:tc>
        <w:tc>
          <w:tcPr>
            <w:tcW w:w="1748" w:type="dxa"/>
            <w:vMerge w:val="restart"/>
            <w:noWrap w:val="0"/>
            <w:vAlign w:val="center"/>
          </w:tcPr>
          <w:p w14:paraId="4DC84BE5">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41E10814">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spacing w:val="0"/>
                <w:kern w:val="0"/>
                <w:sz w:val="24"/>
                <w:szCs w:val="24"/>
              </w:rPr>
            </w:pPr>
            <w:r>
              <w:rPr>
                <w:rFonts w:hint="eastAsia" w:ascii="宋体" w:hAnsi="宋体" w:eastAsia="宋体" w:cs="宋体"/>
                <w:color w:val="000000"/>
                <w:spacing w:val="-6"/>
                <w:kern w:val="0"/>
                <w:sz w:val="24"/>
                <w:szCs w:val="24"/>
              </w:rPr>
              <w:t>第</w:t>
            </w:r>
            <w:r>
              <w:rPr>
                <w:rFonts w:hint="eastAsia" w:ascii="宋体" w:hAnsi="宋体" w:eastAsia="宋体" w:cs="宋体"/>
                <w:color w:val="000000"/>
                <w:spacing w:val="0"/>
                <w:kern w:val="0"/>
                <w:sz w:val="24"/>
                <w:szCs w:val="24"/>
              </w:rPr>
              <w:t>八十条</w:t>
            </w:r>
            <w:r>
              <w:rPr>
                <w:rFonts w:hint="eastAsia" w:ascii="宋体" w:hAnsi="宋体" w:cs="宋体"/>
                <w:color w:val="000000"/>
                <w:spacing w:val="0"/>
                <w:kern w:val="0"/>
                <w:sz w:val="24"/>
                <w:szCs w:val="24"/>
                <w:lang w:val="en-US" w:eastAsia="zh-CN"/>
              </w:rPr>
              <w:t xml:space="preserve"> </w:t>
            </w:r>
            <w:r>
              <w:rPr>
                <w:rFonts w:hint="eastAsia" w:ascii="宋体" w:hAnsi="宋体" w:eastAsia="宋体" w:cs="宋体"/>
                <w:color w:val="000000"/>
                <w:spacing w:val="0"/>
                <w:kern w:val="0"/>
                <w:sz w:val="24"/>
                <w:szCs w:val="24"/>
              </w:rPr>
              <w:t>违反本法规定，电梯制造单位有下列情形之一的，责令限期改正；逾期未改正的，处一万元以上十万元以下罚款：</w:t>
            </w:r>
          </w:p>
          <w:p w14:paraId="0D8AD5CF">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spacing w:val="0"/>
                <w:kern w:val="0"/>
                <w:sz w:val="24"/>
                <w:szCs w:val="24"/>
              </w:rPr>
              <w:t>（二）对电梯的安全运行情况进行跟踪调查和了解时，</w:t>
            </w:r>
            <w:r>
              <w:rPr>
                <w:rFonts w:hint="eastAsia" w:ascii="宋体" w:hAnsi="宋体" w:eastAsia="宋体" w:cs="宋体"/>
                <w:b w:val="0"/>
                <w:bCs/>
                <w:color w:val="000000"/>
                <w:spacing w:val="0"/>
                <w:kern w:val="0"/>
                <w:sz w:val="24"/>
                <w:szCs w:val="24"/>
                <w:u w:val="none"/>
              </w:rPr>
              <w:t>发现存在严重事故隐患，未及时告知电梯使用单位并向负责特种设备安全监督管理的部门报告的。</w:t>
            </w:r>
          </w:p>
        </w:tc>
        <w:tc>
          <w:tcPr>
            <w:tcW w:w="1132" w:type="dxa"/>
            <w:noWrap w:val="0"/>
            <w:vAlign w:val="center"/>
          </w:tcPr>
          <w:p w14:paraId="2D756297">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3834E09B">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虽未告知、报告，但已消除事故隐患。</w:t>
            </w:r>
          </w:p>
        </w:tc>
        <w:tc>
          <w:tcPr>
            <w:tcW w:w="3251" w:type="dxa"/>
            <w:noWrap w:val="0"/>
            <w:vAlign w:val="center"/>
          </w:tcPr>
          <w:p w14:paraId="32181C50">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逾期未改正的，处1万元以上3.7万元以下罚款。</w:t>
            </w:r>
          </w:p>
        </w:tc>
      </w:tr>
      <w:tr w14:paraId="4EAE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736" w:type="dxa"/>
            <w:vMerge w:val="continue"/>
            <w:noWrap w:val="0"/>
            <w:vAlign w:val="center"/>
          </w:tcPr>
          <w:p w14:paraId="40AA8B11">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0DE22DBF">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77977218">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both"/>
              <w:textAlignment w:val="auto"/>
              <w:rPr>
                <w:rFonts w:hint="eastAsia" w:ascii="宋体" w:hAnsi="宋体" w:eastAsia="宋体" w:cs="宋体"/>
                <w:color w:val="000000"/>
                <w:kern w:val="0"/>
                <w:sz w:val="24"/>
                <w:szCs w:val="24"/>
              </w:rPr>
            </w:pPr>
          </w:p>
        </w:tc>
        <w:tc>
          <w:tcPr>
            <w:tcW w:w="1132" w:type="dxa"/>
            <w:noWrap w:val="0"/>
            <w:vAlign w:val="center"/>
          </w:tcPr>
          <w:p w14:paraId="65916137">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3B99FF5B">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未告知、报告，未消除事故隐患。</w:t>
            </w:r>
          </w:p>
        </w:tc>
        <w:tc>
          <w:tcPr>
            <w:tcW w:w="3251" w:type="dxa"/>
            <w:noWrap w:val="0"/>
            <w:vAlign w:val="center"/>
          </w:tcPr>
          <w:p w14:paraId="4CD50C8A">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逾期未改正的，处3.7万元以上7.3万元以下罚款。</w:t>
            </w:r>
          </w:p>
        </w:tc>
      </w:tr>
      <w:tr w14:paraId="6104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736" w:type="dxa"/>
            <w:vMerge w:val="continue"/>
            <w:noWrap w:val="0"/>
            <w:vAlign w:val="center"/>
          </w:tcPr>
          <w:p w14:paraId="506F6B8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7156B788">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41816594">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both"/>
              <w:textAlignment w:val="auto"/>
              <w:rPr>
                <w:rFonts w:hint="eastAsia" w:ascii="宋体" w:hAnsi="宋体" w:eastAsia="宋体" w:cs="宋体"/>
                <w:color w:val="000000"/>
                <w:kern w:val="0"/>
                <w:sz w:val="24"/>
                <w:szCs w:val="24"/>
              </w:rPr>
            </w:pPr>
          </w:p>
        </w:tc>
        <w:tc>
          <w:tcPr>
            <w:tcW w:w="1132" w:type="dxa"/>
            <w:noWrap w:val="0"/>
            <w:vAlign w:val="center"/>
          </w:tcPr>
          <w:p w14:paraId="5AA7571B">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2474EEB3">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未告知、报告，未消除安全隐患，且</w:t>
            </w:r>
            <w:r>
              <w:rPr>
                <w:rFonts w:hint="eastAsia" w:ascii="宋体" w:hAnsi="宋体" w:eastAsia="宋体" w:cs="宋体"/>
                <w:color w:val="000000"/>
                <w:kern w:val="0"/>
                <w:sz w:val="24"/>
                <w:szCs w:val="24"/>
                <w:highlight w:val="none"/>
                <w:lang w:val="en-US" w:eastAsia="zh-CN"/>
              </w:rPr>
              <w:t>危害</w:t>
            </w:r>
            <w:r>
              <w:rPr>
                <w:rFonts w:hint="eastAsia" w:ascii="宋体" w:hAnsi="宋体" w:eastAsia="宋体" w:cs="宋体"/>
                <w:color w:val="000000"/>
                <w:kern w:val="0"/>
                <w:sz w:val="24"/>
                <w:szCs w:val="24"/>
              </w:rPr>
              <w:t>人体健康或者</w:t>
            </w:r>
            <w:r>
              <w:rPr>
                <w:rFonts w:hint="eastAsia" w:ascii="宋体" w:hAnsi="宋体" w:eastAsia="宋体" w:cs="宋体"/>
                <w:color w:val="000000"/>
                <w:kern w:val="0"/>
                <w:sz w:val="24"/>
                <w:szCs w:val="24"/>
                <w:highlight w:val="none"/>
                <w:lang w:val="en-US" w:eastAsia="zh-CN"/>
              </w:rPr>
              <w:t>造成</w:t>
            </w:r>
            <w:r>
              <w:rPr>
                <w:rFonts w:hint="eastAsia" w:ascii="宋体" w:hAnsi="宋体" w:eastAsia="宋体" w:cs="宋体"/>
                <w:color w:val="000000"/>
                <w:kern w:val="0"/>
                <w:sz w:val="24"/>
                <w:szCs w:val="24"/>
              </w:rPr>
              <w:t>人身、财产损害尚未构成事故的。</w:t>
            </w:r>
          </w:p>
        </w:tc>
        <w:tc>
          <w:tcPr>
            <w:tcW w:w="3251" w:type="dxa"/>
            <w:noWrap w:val="0"/>
            <w:vAlign w:val="center"/>
          </w:tcPr>
          <w:p w14:paraId="2680F219">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逾期未改正的，处7.3万元以上10万元以下罚款。</w:t>
            </w:r>
          </w:p>
        </w:tc>
      </w:tr>
      <w:tr w14:paraId="153A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jc w:val="center"/>
        </w:trPr>
        <w:tc>
          <w:tcPr>
            <w:tcW w:w="736" w:type="dxa"/>
            <w:vMerge w:val="restart"/>
            <w:noWrap w:val="0"/>
            <w:vAlign w:val="center"/>
          </w:tcPr>
          <w:p w14:paraId="7A6B494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5</w:t>
            </w:r>
            <w:r>
              <w:rPr>
                <w:rFonts w:hint="eastAsia" w:ascii="宋体" w:hAnsi="宋体" w:cs="宋体"/>
                <w:b w:val="0"/>
                <w:bCs w:val="0"/>
                <w:color w:val="000000"/>
                <w:kern w:val="0"/>
                <w:sz w:val="24"/>
                <w:szCs w:val="24"/>
                <w:lang w:val="en-US" w:eastAsia="zh-CN"/>
              </w:rPr>
              <w:t>3</w:t>
            </w:r>
          </w:p>
        </w:tc>
        <w:tc>
          <w:tcPr>
            <w:tcW w:w="1748" w:type="dxa"/>
            <w:vMerge w:val="restart"/>
            <w:noWrap w:val="0"/>
            <w:vAlign w:val="center"/>
          </w:tcPr>
          <w:p w14:paraId="5CC98B28">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673024F0">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第八十一条第一款</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违反本法规定，特种设备生产单位有下列行为之一的，责令限期改正；逾期未改正的，责令停止生产，处五万元以上五十万元以下罚款；情节严重的，吊销生产许可证：</w:t>
            </w:r>
          </w:p>
          <w:p w14:paraId="70D397FD">
            <w:pPr>
              <w:spacing w:line="380" w:lineRule="exact"/>
              <w:rPr>
                <w:rFonts w:hint="eastAsia" w:ascii="宋体" w:hAnsi="宋体" w:eastAsia="宋体" w:cs="宋体"/>
                <w:sz w:val="24"/>
                <w:szCs w:val="24"/>
                <w:lang w:eastAsia="zh-CN"/>
              </w:rPr>
            </w:pPr>
            <w:r>
              <w:rPr>
                <w:rFonts w:hint="eastAsia" w:ascii="宋体" w:hAnsi="宋体" w:eastAsia="宋体" w:cs="宋体"/>
                <w:color w:val="000000"/>
                <w:kern w:val="0"/>
                <w:sz w:val="24"/>
                <w:szCs w:val="24"/>
              </w:rPr>
              <w:t>（</w:t>
            </w:r>
            <w:r>
              <w:rPr>
                <w:rFonts w:hint="eastAsia" w:ascii="宋体" w:hAnsi="宋体" w:eastAsia="宋体" w:cs="宋体"/>
                <w:color w:val="000000"/>
                <w:spacing w:val="-6"/>
                <w:kern w:val="0"/>
                <w:sz w:val="24"/>
                <w:szCs w:val="24"/>
              </w:rPr>
              <w:t>一）</w:t>
            </w:r>
            <w:r>
              <w:rPr>
                <w:rFonts w:hint="eastAsia" w:ascii="宋体" w:hAnsi="宋体" w:eastAsia="宋体" w:cs="宋体"/>
                <w:b w:val="0"/>
                <w:bCs/>
                <w:color w:val="000000"/>
                <w:spacing w:val="-6"/>
                <w:kern w:val="0"/>
                <w:sz w:val="24"/>
                <w:szCs w:val="24"/>
                <w:u w:val="none"/>
              </w:rPr>
              <w:t>不再具备生产条件、生产许可证已经过期或者超出许可范围生产的</w:t>
            </w:r>
            <w:r>
              <w:rPr>
                <w:rFonts w:hint="eastAsia" w:ascii="宋体" w:hAnsi="宋体" w:cs="宋体"/>
                <w:b w:val="0"/>
                <w:bCs/>
                <w:color w:val="000000"/>
                <w:spacing w:val="-6"/>
                <w:kern w:val="0"/>
                <w:sz w:val="24"/>
                <w:szCs w:val="24"/>
                <w:u w:val="none"/>
                <w:lang w:eastAsia="zh-CN"/>
              </w:rPr>
              <w:t>。</w:t>
            </w:r>
          </w:p>
        </w:tc>
        <w:tc>
          <w:tcPr>
            <w:tcW w:w="1132" w:type="dxa"/>
            <w:noWrap w:val="0"/>
            <w:vAlign w:val="center"/>
          </w:tcPr>
          <w:p w14:paraId="77B7080D">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5B381FC0">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尚未交付使用的。</w:t>
            </w:r>
          </w:p>
        </w:tc>
        <w:tc>
          <w:tcPr>
            <w:tcW w:w="3251" w:type="dxa"/>
            <w:noWrap w:val="0"/>
            <w:vAlign w:val="center"/>
          </w:tcPr>
          <w:p w14:paraId="222FC10D">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逾期未改正的，责令停止生产，处5万元以上18.5万元以下罚款；有违法所得的，没收违法所得。</w:t>
            </w:r>
          </w:p>
        </w:tc>
      </w:tr>
      <w:tr w14:paraId="20C3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736" w:type="dxa"/>
            <w:vMerge w:val="continue"/>
            <w:noWrap w:val="0"/>
            <w:vAlign w:val="center"/>
          </w:tcPr>
          <w:p w14:paraId="5857010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17D853E1">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39BD0676">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both"/>
              <w:textAlignment w:val="auto"/>
              <w:rPr>
                <w:rFonts w:hint="eastAsia" w:ascii="宋体" w:hAnsi="宋体" w:eastAsia="宋体" w:cs="宋体"/>
                <w:color w:val="000000"/>
                <w:kern w:val="0"/>
                <w:sz w:val="24"/>
                <w:szCs w:val="24"/>
              </w:rPr>
            </w:pPr>
          </w:p>
        </w:tc>
        <w:tc>
          <w:tcPr>
            <w:tcW w:w="1132" w:type="dxa"/>
            <w:noWrap w:val="0"/>
            <w:vAlign w:val="center"/>
          </w:tcPr>
          <w:p w14:paraId="4E926B64">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3E88E1AF">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已交付使用的。</w:t>
            </w:r>
          </w:p>
        </w:tc>
        <w:tc>
          <w:tcPr>
            <w:tcW w:w="3251" w:type="dxa"/>
            <w:noWrap w:val="0"/>
            <w:vAlign w:val="center"/>
          </w:tcPr>
          <w:p w14:paraId="25B555B8">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逾期未改正的，责令停止生产，处18.5万元以上36.5万元以下罚款；有违法所得的，没收违法所得。</w:t>
            </w:r>
          </w:p>
        </w:tc>
      </w:tr>
      <w:tr w14:paraId="3C634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6" w:hRule="atLeast"/>
          <w:jc w:val="center"/>
        </w:trPr>
        <w:tc>
          <w:tcPr>
            <w:tcW w:w="736" w:type="dxa"/>
            <w:vMerge w:val="continue"/>
            <w:noWrap w:val="0"/>
            <w:vAlign w:val="center"/>
          </w:tcPr>
          <w:p w14:paraId="48E84F1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2629B3A9">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5037521C">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451B274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79226EBD">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已交付使用的，</w:t>
            </w:r>
            <w:r>
              <w:rPr>
                <w:rFonts w:hint="eastAsia" w:ascii="宋体" w:hAnsi="宋体" w:eastAsia="宋体" w:cs="宋体"/>
                <w:color w:val="000000"/>
                <w:kern w:val="0"/>
                <w:sz w:val="24"/>
                <w:szCs w:val="24"/>
                <w:highlight w:val="none"/>
                <w:lang w:val="en-US" w:eastAsia="zh-CN"/>
              </w:rPr>
              <w:t>危害</w:t>
            </w:r>
            <w:r>
              <w:rPr>
                <w:rFonts w:hint="eastAsia" w:ascii="宋体" w:hAnsi="宋体" w:eastAsia="宋体" w:cs="宋体"/>
                <w:color w:val="000000"/>
                <w:kern w:val="0"/>
                <w:sz w:val="24"/>
                <w:szCs w:val="24"/>
              </w:rPr>
              <w:t>人体健康或者</w:t>
            </w:r>
            <w:r>
              <w:rPr>
                <w:rFonts w:hint="eastAsia" w:ascii="宋体" w:hAnsi="宋体" w:eastAsia="宋体" w:cs="宋体"/>
                <w:color w:val="000000"/>
                <w:kern w:val="0"/>
                <w:sz w:val="24"/>
                <w:szCs w:val="24"/>
                <w:highlight w:val="none"/>
                <w:lang w:val="en-US" w:eastAsia="zh-CN"/>
              </w:rPr>
              <w:t>造成</w:t>
            </w:r>
            <w:r>
              <w:rPr>
                <w:rFonts w:hint="eastAsia" w:ascii="宋体" w:hAnsi="宋体" w:eastAsia="宋体" w:cs="宋体"/>
                <w:color w:val="000000"/>
                <w:kern w:val="0"/>
                <w:sz w:val="24"/>
                <w:szCs w:val="24"/>
              </w:rPr>
              <w:t>人身、财产损害尚未构成事故的。</w:t>
            </w:r>
          </w:p>
        </w:tc>
        <w:tc>
          <w:tcPr>
            <w:tcW w:w="3251" w:type="dxa"/>
            <w:noWrap w:val="0"/>
            <w:vAlign w:val="center"/>
          </w:tcPr>
          <w:p w14:paraId="3E731CEA">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逾期未改正的，责令停止生产，处36.5万元以上50万元以下罚款；有违法所得的，没收违法所得并吊销生产许可证。</w:t>
            </w:r>
          </w:p>
        </w:tc>
      </w:tr>
      <w:tr w14:paraId="67685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jc w:val="center"/>
        </w:trPr>
        <w:tc>
          <w:tcPr>
            <w:tcW w:w="736" w:type="dxa"/>
            <w:vMerge w:val="restart"/>
            <w:noWrap w:val="0"/>
            <w:vAlign w:val="center"/>
          </w:tcPr>
          <w:p w14:paraId="310113AF">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5</w:t>
            </w:r>
            <w:r>
              <w:rPr>
                <w:rFonts w:hint="eastAsia" w:ascii="宋体" w:hAnsi="宋体" w:cs="宋体"/>
                <w:b w:val="0"/>
                <w:bCs w:val="0"/>
                <w:color w:val="000000"/>
                <w:kern w:val="0"/>
                <w:sz w:val="24"/>
                <w:szCs w:val="24"/>
                <w:lang w:val="en-US" w:eastAsia="zh-CN"/>
              </w:rPr>
              <w:t>4</w:t>
            </w:r>
          </w:p>
        </w:tc>
        <w:tc>
          <w:tcPr>
            <w:tcW w:w="1748" w:type="dxa"/>
            <w:vMerge w:val="restart"/>
            <w:noWrap w:val="0"/>
            <w:vAlign w:val="center"/>
          </w:tcPr>
          <w:p w14:paraId="2D04C3E2">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3A972839">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第八十一条第一款</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违反本法规定，特种设备生产单位有下列行为之一的，责令限期改正；逾期未改正的，责令停止生产，处五万元以上五十万元以下罚款；情节严重的，吊销生产许可证：</w:t>
            </w:r>
          </w:p>
          <w:p w14:paraId="3211A1BF">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（二）</w:t>
            </w:r>
            <w:r>
              <w:rPr>
                <w:rFonts w:hint="eastAsia" w:ascii="宋体" w:hAnsi="宋体" w:eastAsia="宋体" w:cs="宋体"/>
                <w:b w:val="0"/>
                <w:bCs/>
                <w:color w:val="000000"/>
                <w:kern w:val="0"/>
                <w:sz w:val="24"/>
                <w:szCs w:val="24"/>
                <w:u w:val="none"/>
              </w:rPr>
              <w:t>明知特种设备存在同一性缺陷，未立即停止生产并召回的。</w:t>
            </w:r>
          </w:p>
        </w:tc>
        <w:tc>
          <w:tcPr>
            <w:tcW w:w="1132" w:type="dxa"/>
            <w:noWrap w:val="0"/>
            <w:vAlign w:val="center"/>
          </w:tcPr>
          <w:p w14:paraId="7FC758E1">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0428C998">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有下列情形之一的：</w:t>
            </w:r>
          </w:p>
          <w:p w14:paraId="29A85A40">
            <w:pPr>
              <w:pageBreakBefore w:val="0"/>
              <w:widowControl/>
              <w:numPr>
                <w:ilvl w:val="-1"/>
                <w:numId w:val="0"/>
              </w:numPr>
              <w:kinsoku/>
              <w:wordWrap/>
              <w:overflowPunct/>
              <w:topLinePunct w:val="0"/>
              <w:bidi w:val="0"/>
              <w:snapToGrid w:val="0"/>
              <w:spacing w:beforeAutospacing="0" w:afterAutospacing="0" w:line="380" w:lineRule="exact"/>
              <w:ind w:left="0" w:firstLine="0"/>
              <w:rPr>
                <w:rFonts w:hint="eastAsia" w:ascii="宋体" w:hAnsi="宋体" w:eastAsia="宋体" w:cs="宋体"/>
                <w:color w:val="000000"/>
                <w:kern w:val="0"/>
                <w:sz w:val="24"/>
                <w:szCs w:val="24"/>
              </w:rPr>
            </w:pPr>
            <w:r>
              <w:rPr>
                <w:rFonts w:hint="eastAsia" w:ascii="宋体" w:hAnsi="宋体" w:cs="宋体"/>
                <w:color w:val="000000"/>
                <w:kern w:val="0"/>
                <w:sz w:val="24"/>
                <w:szCs w:val="24"/>
                <w:lang w:eastAsia="zh-CN"/>
              </w:rPr>
              <w:t>(1)</w:t>
            </w:r>
            <w:r>
              <w:rPr>
                <w:rFonts w:hint="eastAsia" w:ascii="宋体" w:hAnsi="宋体" w:eastAsia="宋体" w:cs="宋体"/>
                <w:color w:val="000000"/>
                <w:kern w:val="0"/>
                <w:sz w:val="24"/>
                <w:szCs w:val="24"/>
              </w:rPr>
              <w:t>尚未交付使用的；</w:t>
            </w:r>
          </w:p>
          <w:p w14:paraId="2DB581E9">
            <w:pPr>
              <w:pageBreakBefore w:val="0"/>
              <w:widowControl/>
              <w:numPr>
                <w:ilvl w:val="-1"/>
                <w:numId w:val="0"/>
              </w:numPr>
              <w:kinsoku/>
              <w:wordWrap/>
              <w:overflowPunct/>
              <w:topLinePunct w:val="0"/>
              <w:bidi w:val="0"/>
              <w:snapToGrid w:val="0"/>
              <w:spacing w:beforeAutospacing="0" w:afterAutospacing="0" w:line="380" w:lineRule="exact"/>
              <w:ind w:left="0" w:firstLine="0"/>
              <w:rPr>
                <w:rFonts w:hint="eastAsia" w:ascii="宋体" w:hAnsi="宋体" w:eastAsia="宋体" w:cs="宋体"/>
                <w:color w:val="000000"/>
                <w:kern w:val="0"/>
                <w:sz w:val="24"/>
                <w:szCs w:val="24"/>
              </w:rPr>
            </w:pPr>
            <w:r>
              <w:rPr>
                <w:rFonts w:hint="eastAsia" w:ascii="宋体" w:hAnsi="宋体" w:cs="宋体"/>
                <w:color w:val="000000"/>
                <w:kern w:val="0"/>
                <w:sz w:val="24"/>
                <w:szCs w:val="24"/>
                <w:lang w:eastAsia="zh-CN"/>
              </w:rPr>
              <w:t>(2)</w:t>
            </w:r>
            <w:r>
              <w:rPr>
                <w:rFonts w:hint="eastAsia" w:ascii="宋体" w:hAnsi="宋体" w:eastAsia="宋体" w:cs="宋体"/>
                <w:color w:val="000000"/>
                <w:kern w:val="0"/>
                <w:sz w:val="24"/>
                <w:szCs w:val="24"/>
              </w:rPr>
              <w:t>已交付尚未使用。</w:t>
            </w:r>
          </w:p>
        </w:tc>
        <w:tc>
          <w:tcPr>
            <w:tcW w:w="3251" w:type="dxa"/>
            <w:noWrap w:val="0"/>
            <w:vAlign w:val="center"/>
          </w:tcPr>
          <w:p w14:paraId="7FF52404">
            <w:pPr>
              <w:pageBreakBefore w:val="0"/>
              <w:widowControl/>
              <w:kinsoku/>
              <w:wordWrap/>
              <w:overflowPunct/>
              <w:topLinePunct w:val="0"/>
              <w:bidi w:val="0"/>
              <w:snapToGrid w:val="0"/>
              <w:spacing w:beforeAutospacing="0" w:afterAutospacing="0" w:line="34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逾期未改正的，责令停止生产，处5万元以上18.5万元以下罚款；有违法所得的，没收违法所得。</w:t>
            </w:r>
          </w:p>
        </w:tc>
      </w:tr>
      <w:tr w14:paraId="2019A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jc w:val="center"/>
        </w:trPr>
        <w:tc>
          <w:tcPr>
            <w:tcW w:w="736" w:type="dxa"/>
            <w:vMerge w:val="continue"/>
            <w:noWrap w:val="0"/>
            <w:vAlign w:val="center"/>
          </w:tcPr>
          <w:p w14:paraId="7A75010A">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11B0EE69">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344B7759">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655CD9EA">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3FB940D8">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已交付使用，部分召回的。</w:t>
            </w:r>
          </w:p>
        </w:tc>
        <w:tc>
          <w:tcPr>
            <w:tcW w:w="3251" w:type="dxa"/>
            <w:noWrap w:val="0"/>
            <w:vAlign w:val="center"/>
          </w:tcPr>
          <w:p w14:paraId="68352A99">
            <w:pPr>
              <w:pageBreakBefore w:val="0"/>
              <w:widowControl/>
              <w:kinsoku/>
              <w:wordWrap/>
              <w:overflowPunct/>
              <w:topLinePunct w:val="0"/>
              <w:bidi w:val="0"/>
              <w:snapToGrid w:val="0"/>
              <w:spacing w:beforeAutospacing="0" w:afterAutospacing="0" w:line="34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逾期未改正的，责令停止生产，处18.5万元以上36.5万元以下罚款；有违法所得的，没收违法所得。</w:t>
            </w:r>
          </w:p>
        </w:tc>
      </w:tr>
      <w:tr w14:paraId="1A031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exact"/>
          <w:jc w:val="center"/>
        </w:trPr>
        <w:tc>
          <w:tcPr>
            <w:tcW w:w="736" w:type="dxa"/>
            <w:vMerge w:val="continue"/>
            <w:noWrap w:val="0"/>
            <w:vAlign w:val="center"/>
          </w:tcPr>
          <w:p w14:paraId="363492D2">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2C026CAE">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2193BB79">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60638ED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46106B63">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已交付使用的，但未召回的。</w:t>
            </w:r>
          </w:p>
        </w:tc>
        <w:tc>
          <w:tcPr>
            <w:tcW w:w="3251" w:type="dxa"/>
            <w:noWrap w:val="0"/>
            <w:vAlign w:val="center"/>
          </w:tcPr>
          <w:p w14:paraId="67D55DB3">
            <w:pPr>
              <w:pageBreakBefore w:val="0"/>
              <w:widowControl/>
              <w:kinsoku/>
              <w:wordWrap/>
              <w:overflowPunct/>
              <w:topLinePunct w:val="0"/>
              <w:bidi w:val="0"/>
              <w:snapToGrid w:val="0"/>
              <w:spacing w:beforeAutospacing="0" w:afterAutospacing="0" w:line="34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逾期未改正的，责令停止生产，处36.5万元以上50万元以下罚款；有违法所得的，没收违法所得</w:t>
            </w:r>
            <w:r>
              <w:rPr>
                <w:rFonts w:hint="eastAsia" w:ascii="宋体" w:hAnsi="宋体" w:eastAsia="宋体" w:cs="宋体"/>
                <w:color w:val="000000"/>
                <w:kern w:val="0"/>
                <w:sz w:val="24"/>
                <w:szCs w:val="24"/>
                <w:lang w:eastAsia="zh-CN"/>
              </w:rPr>
              <w:t>。情节严重的，</w:t>
            </w:r>
            <w:r>
              <w:rPr>
                <w:rFonts w:hint="eastAsia" w:ascii="宋体" w:hAnsi="宋体" w:eastAsia="宋体" w:cs="宋体"/>
                <w:color w:val="000000"/>
                <w:kern w:val="0"/>
                <w:sz w:val="24"/>
                <w:szCs w:val="24"/>
              </w:rPr>
              <w:t>吊销生产许可证。</w:t>
            </w:r>
          </w:p>
        </w:tc>
      </w:tr>
      <w:tr w14:paraId="788F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exact"/>
          <w:jc w:val="center"/>
        </w:trPr>
        <w:tc>
          <w:tcPr>
            <w:tcW w:w="736" w:type="dxa"/>
            <w:vMerge w:val="restart"/>
            <w:noWrap w:val="0"/>
            <w:vAlign w:val="center"/>
          </w:tcPr>
          <w:p w14:paraId="5C0C41E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5</w:t>
            </w:r>
            <w:r>
              <w:rPr>
                <w:rFonts w:hint="eastAsia" w:ascii="宋体" w:hAnsi="宋体" w:cs="宋体"/>
                <w:b w:val="0"/>
                <w:bCs w:val="0"/>
                <w:color w:val="000000"/>
                <w:kern w:val="0"/>
                <w:sz w:val="24"/>
                <w:szCs w:val="24"/>
                <w:lang w:val="en-US" w:eastAsia="zh-CN"/>
              </w:rPr>
              <w:t>5</w:t>
            </w:r>
          </w:p>
        </w:tc>
        <w:tc>
          <w:tcPr>
            <w:tcW w:w="1748" w:type="dxa"/>
            <w:vMerge w:val="restart"/>
            <w:noWrap w:val="0"/>
            <w:vAlign w:val="center"/>
          </w:tcPr>
          <w:p w14:paraId="0125F4C0">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0ECBF922">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第八十一条第二款</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违反本法规定，特种设备生产单位</w:t>
            </w:r>
            <w:r>
              <w:rPr>
                <w:rFonts w:hint="eastAsia" w:ascii="宋体" w:hAnsi="宋体" w:eastAsia="宋体" w:cs="宋体"/>
                <w:b w:val="0"/>
                <w:bCs/>
                <w:color w:val="000000"/>
                <w:kern w:val="0"/>
                <w:sz w:val="24"/>
                <w:szCs w:val="24"/>
                <w:u w:val="none"/>
              </w:rPr>
              <w:t>生产、销售、交付国家明令淘汰的特种设备的，</w:t>
            </w:r>
            <w:r>
              <w:rPr>
                <w:rFonts w:hint="eastAsia" w:ascii="宋体" w:hAnsi="宋体" w:eastAsia="宋体" w:cs="宋体"/>
                <w:color w:val="000000"/>
                <w:kern w:val="0"/>
                <w:sz w:val="24"/>
                <w:szCs w:val="24"/>
              </w:rPr>
              <w:t>责令停止生产、销售，没收违法生产、销售、交付的特种设备，处三万元以上三十万元以下罚款；有违法所得的，没收违法所得。</w:t>
            </w:r>
          </w:p>
        </w:tc>
        <w:tc>
          <w:tcPr>
            <w:tcW w:w="1132" w:type="dxa"/>
            <w:noWrap w:val="0"/>
            <w:vAlign w:val="center"/>
          </w:tcPr>
          <w:p w14:paraId="58DDCDE7">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6CD17E04">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尚未销售的。</w:t>
            </w:r>
          </w:p>
        </w:tc>
        <w:tc>
          <w:tcPr>
            <w:tcW w:w="3251" w:type="dxa"/>
            <w:noWrap w:val="0"/>
            <w:vAlign w:val="center"/>
          </w:tcPr>
          <w:p w14:paraId="21EDD573">
            <w:pPr>
              <w:keepNext w:val="0"/>
              <w:keepLines w:val="0"/>
              <w:pageBreakBefore w:val="0"/>
              <w:widowControl/>
              <w:kinsoku/>
              <w:wordWrap/>
              <w:overflowPunct/>
              <w:topLinePunct w:val="0"/>
              <w:autoSpaceDE/>
              <w:autoSpaceDN/>
              <w:bidi w:val="0"/>
              <w:adjustRightInd/>
              <w:snapToGrid w:val="0"/>
              <w:spacing w:beforeAutospacing="0" w:afterAutospacing="0" w:line="34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责令停止生产，处3万元以上11.1万元以下罚款；有违法所得的，没收违法所得。</w:t>
            </w:r>
          </w:p>
        </w:tc>
      </w:tr>
      <w:tr w14:paraId="6C83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jc w:val="center"/>
        </w:trPr>
        <w:tc>
          <w:tcPr>
            <w:tcW w:w="736" w:type="dxa"/>
            <w:vMerge w:val="continue"/>
            <w:noWrap w:val="0"/>
            <w:vAlign w:val="center"/>
          </w:tcPr>
          <w:p w14:paraId="208A3A4F">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2AA8EF5F">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58392F26">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147F654F">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670F3D46">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已销售但未交付使用的。</w:t>
            </w:r>
          </w:p>
        </w:tc>
        <w:tc>
          <w:tcPr>
            <w:tcW w:w="3251" w:type="dxa"/>
            <w:noWrap w:val="0"/>
            <w:vAlign w:val="center"/>
          </w:tcPr>
          <w:p w14:paraId="51BAF0D2">
            <w:pPr>
              <w:keepNext w:val="0"/>
              <w:keepLines w:val="0"/>
              <w:pageBreakBefore w:val="0"/>
              <w:widowControl/>
              <w:kinsoku/>
              <w:wordWrap/>
              <w:overflowPunct/>
              <w:topLinePunct w:val="0"/>
              <w:autoSpaceDE/>
              <w:autoSpaceDN/>
              <w:bidi w:val="0"/>
              <w:adjustRightInd/>
              <w:snapToGrid w:val="0"/>
              <w:spacing w:beforeAutospacing="0" w:afterAutospacing="0" w:line="34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责令停止生产、销售和交付使用，处11.1万元以上21.9万元以下罚款；有违法所得的，没收违法所得。</w:t>
            </w:r>
          </w:p>
        </w:tc>
      </w:tr>
      <w:tr w14:paraId="0630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jc w:val="center"/>
        </w:trPr>
        <w:tc>
          <w:tcPr>
            <w:tcW w:w="736" w:type="dxa"/>
            <w:vMerge w:val="continue"/>
            <w:noWrap w:val="0"/>
            <w:vAlign w:val="center"/>
          </w:tcPr>
          <w:p w14:paraId="1C86910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4551CB59">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632E37B1">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7811715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7AE026F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rPr>
              <w:t>已交付使用的</w:t>
            </w:r>
            <w:r>
              <w:rPr>
                <w:rFonts w:hint="eastAsia" w:ascii="宋体" w:hAnsi="宋体" w:eastAsia="宋体" w:cs="宋体"/>
                <w:color w:val="000000"/>
                <w:kern w:val="0"/>
                <w:sz w:val="24"/>
                <w:szCs w:val="24"/>
                <w:lang w:eastAsia="zh-CN"/>
              </w:rPr>
              <w:t>。</w:t>
            </w:r>
          </w:p>
        </w:tc>
        <w:tc>
          <w:tcPr>
            <w:tcW w:w="3251" w:type="dxa"/>
            <w:noWrap w:val="0"/>
            <w:vAlign w:val="center"/>
          </w:tcPr>
          <w:p w14:paraId="7BCD613D">
            <w:pPr>
              <w:keepNext w:val="0"/>
              <w:keepLines w:val="0"/>
              <w:pageBreakBefore w:val="0"/>
              <w:widowControl/>
              <w:kinsoku/>
              <w:wordWrap/>
              <w:overflowPunct/>
              <w:topLinePunct w:val="0"/>
              <w:autoSpaceDE/>
              <w:autoSpaceDN/>
              <w:bidi w:val="0"/>
              <w:adjustRightInd/>
              <w:snapToGrid w:val="0"/>
              <w:spacing w:beforeAutospacing="0" w:afterAutospacing="0" w:line="34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责令停止生产、销售和交付使用，处21.9万元以上30万元以下罚款；有违法所得的，没收违法所得。</w:t>
            </w:r>
          </w:p>
        </w:tc>
      </w:tr>
      <w:tr w14:paraId="5A2CE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736" w:type="dxa"/>
            <w:vMerge w:val="restart"/>
            <w:noWrap w:val="0"/>
            <w:vAlign w:val="center"/>
          </w:tcPr>
          <w:p w14:paraId="4928A17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5</w:t>
            </w:r>
            <w:r>
              <w:rPr>
                <w:rFonts w:hint="eastAsia" w:ascii="宋体" w:hAnsi="宋体" w:cs="宋体"/>
                <w:b w:val="0"/>
                <w:bCs w:val="0"/>
                <w:color w:val="000000"/>
                <w:kern w:val="0"/>
                <w:sz w:val="24"/>
                <w:szCs w:val="24"/>
                <w:lang w:val="en-US" w:eastAsia="zh-CN"/>
              </w:rPr>
              <w:t>6</w:t>
            </w:r>
          </w:p>
        </w:tc>
        <w:tc>
          <w:tcPr>
            <w:tcW w:w="1748" w:type="dxa"/>
            <w:vMerge w:val="restart"/>
            <w:noWrap w:val="0"/>
            <w:vAlign w:val="center"/>
          </w:tcPr>
          <w:p w14:paraId="6AB06EB9">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2E4A89E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第八十一条第三款 特种设备生产单位</w:t>
            </w:r>
            <w:r>
              <w:rPr>
                <w:rFonts w:hint="eastAsia" w:ascii="宋体" w:hAnsi="宋体" w:eastAsia="宋体" w:cs="宋体"/>
                <w:b w:val="0"/>
                <w:bCs/>
                <w:color w:val="000000"/>
                <w:kern w:val="0"/>
                <w:sz w:val="24"/>
                <w:szCs w:val="24"/>
                <w:u w:val="none"/>
              </w:rPr>
              <w:t>涂改、倒卖、出租、出借生产许可证的</w:t>
            </w:r>
            <w:r>
              <w:rPr>
                <w:rFonts w:hint="eastAsia" w:ascii="宋体" w:hAnsi="宋体" w:eastAsia="宋体" w:cs="宋体"/>
                <w:color w:val="000000"/>
                <w:kern w:val="0"/>
                <w:sz w:val="24"/>
                <w:szCs w:val="24"/>
              </w:rPr>
              <w:t>，责令停止生产，处五万元以上五十万元以下罚款；情节严重的，吊销生产许可证。</w:t>
            </w:r>
          </w:p>
        </w:tc>
        <w:tc>
          <w:tcPr>
            <w:tcW w:w="1132" w:type="dxa"/>
            <w:noWrap w:val="0"/>
            <w:vAlign w:val="center"/>
          </w:tcPr>
          <w:p w14:paraId="14EBEF7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6E4ECFFC">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尚未交付使用的。</w:t>
            </w:r>
          </w:p>
        </w:tc>
        <w:tc>
          <w:tcPr>
            <w:tcW w:w="3251" w:type="dxa"/>
            <w:noWrap w:val="0"/>
            <w:vAlign w:val="center"/>
          </w:tcPr>
          <w:p w14:paraId="742C80C1">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责令停止生产，处5万元以上18.5万元以下罚款。</w:t>
            </w:r>
          </w:p>
        </w:tc>
      </w:tr>
      <w:tr w14:paraId="02EBA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736" w:type="dxa"/>
            <w:vMerge w:val="continue"/>
            <w:noWrap w:val="0"/>
            <w:vAlign w:val="center"/>
          </w:tcPr>
          <w:p w14:paraId="6E04E22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52A928A1">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0716D47B">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0052E3AA">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19EB8A35">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已交付使用的。</w:t>
            </w:r>
          </w:p>
        </w:tc>
        <w:tc>
          <w:tcPr>
            <w:tcW w:w="3251" w:type="dxa"/>
            <w:noWrap w:val="0"/>
            <w:vAlign w:val="center"/>
          </w:tcPr>
          <w:p w14:paraId="2DD8D49B">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责令停止生产，处18.5万元以上36.5万元以下罚款。</w:t>
            </w:r>
          </w:p>
        </w:tc>
      </w:tr>
      <w:tr w14:paraId="1614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exact"/>
          <w:jc w:val="center"/>
        </w:trPr>
        <w:tc>
          <w:tcPr>
            <w:tcW w:w="736" w:type="dxa"/>
            <w:vMerge w:val="continue"/>
            <w:noWrap w:val="0"/>
            <w:vAlign w:val="center"/>
          </w:tcPr>
          <w:p w14:paraId="66792062">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5D9EF748">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48613B2A">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74DAED4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0CDE08CE">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已交付使用的，造成人体健康或者人身、财产损害尚未构成事故的。</w:t>
            </w:r>
          </w:p>
        </w:tc>
        <w:tc>
          <w:tcPr>
            <w:tcW w:w="3251" w:type="dxa"/>
            <w:noWrap w:val="0"/>
            <w:vAlign w:val="center"/>
          </w:tcPr>
          <w:p w14:paraId="43A813F9">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spacing w:val="-6"/>
                <w:kern w:val="0"/>
                <w:sz w:val="24"/>
                <w:szCs w:val="24"/>
              </w:rPr>
              <w:t>责令停止生产，处36.5万元以上50万元以下罚款；情节严重的，吊销生产许可证</w:t>
            </w:r>
            <w:r>
              <w:rPr>
                <w:rFonts w:hint="eastAsia" w:ascii="宋体" w:hAnsi="宋体" w:eastAsia="宋体" w:cs="宋体"/>
                <w:color w:val="000000"/>
                <w:kern w:val="0"/>
                <w:sz w:val="24"/>
                <w:szCs w:val="24"/>
              </w:rPr>
              <w:t>。</w:t>
            </w:r>
          </w:p>
        </w:tc>
      </w:tr>
      <w:tr w14:paraId="50EC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1" w:hRule="exact"/>
          <w:jc w:val="center"/>
        </w:trPr>
        <w:tc>
          <w:tcPr>
            <w:tcW w:w="736" w:type="dxa"/>
            <w:vMerge w:val="restart"/>
            <w:noWrap w:val="0"/>
            <w:vAlign w:val="center"/>
          </w:tcPr>
          <w:p w14:paraId="0518CAE2">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5</w:t>
            </w:r>
            <w:r>
              <w:rPr>
                <w:rFonts w:hint="eastAsia" w:ascii="宋体" w:hAnsi="宋体" w:cs="宋体"/>
                <w:b w:val="0"/>
                <w:bCs w:val="0"/>
                <w:color w:val="000000"/>
                <w:kern w:val="0"/>
                <w:sz w:val="24"/>
                <w:szCs w:val="24"/>
                <w:lang w:val="en-US" w:eastAsia="zh-CN"/>
              </w:rPr>
              <w:t>7</w:t>
            </w:r>
          </w:p>
        </w:tc>
        <w:tc>
          <w:tcPr>
            <w:tcW w:w="1748" w:type="dxa"/>
            <w:vMerge w:val="restart"/>
            <w:noWrap w:val="0"/>
            <w:vAlign w:val="center"/>
          </w:tcPr>
          <w:p w14:paraId="445E7F4C">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1988BCEC">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第八十二条第一款</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违反本法规定，特种设备经营单位有下列行为之一的，责令停止经营，没收违法经营的特种设备，处三万元以上三十万元以下罚款；有违法所得的，没收违法所得：</w:t>
            </w:r>
          </w:p>
          <w:p w14:paraId="1E6BB41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eastAsia="zh-CN"/>
              </w:rPr>
            </w:pPr>
            <w:r>
              <w:rPr>
                <w:rFonts w:hint="eastAsia" w:ascii="宋体" w:hAnsi="宋体" w:eastAsia="宋体" w:cs="宋体"/>
                <w:color w:val="000000"/>
                <w:kern w:val="0"/>
                <w:sz w:val="24"/>
                <w:szCs w:val="24"/>
              </w:rPr>
              <w:t>（一）</w:t>
            </w:r>
            <w:r>
              <w:rPr>
                <w:rFonts w:hint="eastAsia" w:ascii="宋体" w:hAnsi="宋体" w:eastAsia="宋体" w:cs="宋体"/>
                <w:b w:val="0"/>
                <w:bCs/>
                <w:color w:val="000000"/>
                <w:kern w:val="0"/>
                <w:sz w:val="24"/>
                <w:szCs w:val="24"/>
                <w:u w:val="none"/>
              </w:rPr>
              <w:t>销售、出租未取得许可生产，未经检验或者检验不合格的特种设备的；</w:t>
            </w:r>
          </w:p>
          <w:p w14:paraId="173213AD">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b w:val="0"/>
                <w:bCs/>
                <w:color w:val="000000"/>
                <w:kern w:val="0"/>
                <w:sz w:val="24"/>
                <w:szCs w:val="24"/>
                <w:u w:val="none"/>
              </w:rPr>
              <w:t>（二）销售、出租国家明令淘汰、已经报废的特种设备，或者未按照安全技术规范的要求进行维护保养的特种设备的。</w:t>
            </w:r>
          </w:p>
        </w:tc>
        <w:tc>
          <w:tcPr>
            <w:tcW w:w="1132" w:type="dxa"/>
            <w:noWrap w:val="0"/>
            <w:vAlign w:val="center"/>
          </w:tcPr>
          <w:p w14:paraId="6868E97A">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3E95777C">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尚未交付使用的。</w:t>
            </w:r>
          </w:p>
        </w:tc>
        <w:tc>
          <w:tcPr>
            <w:tcW w:w="3251" w:type="dxa"/>
            <w:noWrap w:val="0"/>
            <w:vAlign w:val="center"/>
          </w:tcPr>
          <w:p w14:paraId="79AD9140">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责令停止经营，没收违法经营的特种设备，处3万元以上11.1万元以下罚款；有违法所得的，没收违法所得。</w:t>
            </w:r>
          </w:p>
        </w:tc>
      </w:tr>
      <w:tr w14:paraId="4CE9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7" w:hRule="exact"/>
          <w:jc w:val="center"/>
        </w:trPr>
        <w:tc>
          <w:tcPr>
            <w:tcW w:w="736" w:type="dxa"/>
            <w:vMerge w:val="continue"/>
            <w:noWrap w:val="0"/>
            <w:vAlign w:val="center"/>
          </w:tcPr>
          <w:p w14:paraId="51E8C27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4AD9C24F">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579D3F65">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43473E64">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09D310CD">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已交付使用的。</w:t>
            </w:r>
          </w:p>
        </w:tc>
        <w:tc>
          <w:tcPr>
            <w:tcW w:w="3251" w:type="dxa"/>
            <w:noWrap w:val="0"/>
            <w:vAlign w:val="center"/>
          </w:tcPr>
          <w:p w14:paraId="1782CE13">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责令停止经营，没收违法经营的特种设备，处11.1万元以上21.9万元以下罚款；有违法所得的，没收违法所得。</w:t>
            </w:r>
          </w:p>
        </w:tc>
      </w:tr>
      <w:tr w14:paraId="461C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exact"/>
          <w:jc w:val="center"/>
        </w:trPr>
        <w:tc>
          <w:tcPr>
            <w:tcW w:w="736" w:type="dxa"/>
            <w:vMerge w:val="continue"/>
            <w:noWrap w:val="0"/>
            <w:vAlign w:val="center"/>
          </w:tcPr>
          <w:p w14:paraId="050B7A6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2BC5325B">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2E770050">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42867AE4">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240C543C">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已交付使用的，</w:t>
            </w:r>
            <w:r>
              <w:rPr>
                <w:rFonts w:hint="eastAsia" w:ascii="宋体" w:hAnsi="宋体" w:eastAsia="宋体" w:cs="宋体"/>
                <w:color w:val="000000"/>
                <w:kern w:val="0"/>
                <w:sz w:val="24"/>
                <w:szCs w:val="24"/>
                <w:highlight w:val="none"/>
                <w:lang w:val="en-US" w:eastAsia="zh-CN"/>
              </w:rPr>
              <w:t>危害</w:t>
            </w:r>
            <w:r>
              <w:rPr>
                <w:rFonts w:hint="eastAsia" w:ascii="宋体" w:hAnsi="宋体" w:eastAsia="宋体" w:cs="宋体"/>
                <w:color w:val="000000"/>
                <w:kern w:val="0"/>
                <w:sz w:val="24"/>
                <w:szCs w:val="24"/>
              </w:rPr>
              <w:t>人体健康或者</w:t>
            </w:r>
            <w:r>
              <w:rPr>
                <w:rFonts w:hint="eastAsia" w:ascii="宋体" w:hAnsi="宋体" w:eastAsia="宋体" w:cs="宋体"/>
                <w:color w:val="000000"/>
                <w:kern w:val="0"/>
                <w:sz w:val="24"/>
                <w:szCs w:val="24"/>
                <w:highlight w:val="none"/>
                <w:lang w:val="en-US" w:eastAsia="zh-CN"/>
              </w:rPr>
              <w:t>造成</w:t>
            </w:r>
            <w:r>
              <w:rPr>
                <w:rFonts w:hint="eastAsia" w:ascii="宋体" w:hAnsi="宋体" w:eastAsia="宋体" w:cs="宋体"/>
                <w:color w:val="000000"/>
                <w:kern w:val="0"/>
                <w:sz w:val="24"/>
                <w:szCs w:val="24"/>
              </w:rPr>
              <w:t>人身、财产损害尚未构成事故的。</w:t>
            </w:r>
          </w:p>
        </w:tc>
        <w:tc>
          <w:tcPr>
            <w:tcW w:w="3251" w:type="dxa"/>
            <w:noWrap w:val="0"/>
            <w:vAlign w:val="center"/>
          </w:tcPr>
          <w:p w14:paraId="71C60998">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责令停止经营，没收违法经营的特种设备，处21.9万元以上30万元以下罚款；有违法所得的，没收违法所得。</w:t>
            </w:r>
          </w:p>
        </w:tc>
      </w:tr>
      <w:tr w14:paraId="0895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6" w:hRule="atLeast"/>
          <w:jc w:val="center"/>
        </w:trPr>
        <w:tc>
          <w:tcPr>
            <w:tcW w:w="736" w:type="dxa"/>
            <w:vMerge w:val="restart"/>
            <w:noWrap w:val="0"/>
            <w:vAlign w:val="center"/>
          </w:tcPr>
          <w:p w14:paraId="7B67B35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5</w:t>
            </w:r>
            <w:r>
              <w:rPr>
                <w:rFonts w:hint="eastAsia" w:ascii="宋体" w:hAnsi="宋体" w:cs="宋体"/>
                <w:b w:val="0"/>
                <w:bCs w:val="0"/>
                <w:color w:val="000000"/>
                <w:kern w:val="0"/>
                <w:sz w:val="24"/>
                <w:szCs w:val="24"/>
                <w:lang w:val="en-US" w:eastAsia="zh-CN"/>
              </w:rPr>
              <w:t>8</w:t>
            </w:r>
          </w:p>
        </w:tc>
        <w:tc>
          <w:tcPr>
            <w:tcW w:w="1748" w:type="dxa"/>
            <w:vMerge w:val="restart"/>
            <w:noWrap w:val="0"/>
            <w:vAlign w:val="center"/>
          </w:tcPr>
          <w:p w14:paraId="30B1DB6D">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3F954578">
            <w:pPr>
              <w:pageBreakBefore w:val="0"/>
              <w:widowControl/>
              <w:kinsoku/>
              <w:wordWrap/>
              <w:overflowPunct/>
              <w:topLinePunct w:val="0"/>
              <w:bidi w:val="0"/>
              <w:snapToGrid w:val="0"/>
              <w:spacing w:beforeAutospacing="0" w:afterAutospacing="0" w:line="40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第八十二条第二款</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违反本法规定，特种设备销售单位</w:t>
            </w:r>
            <w:r>
              <w:rPr>
                <w:rFonts w:hint="eastAsia" w:ascii="宋体" w:hAnsi="宋体" w:eastAsia="宋体" w:cs="宋体"/>
                <w:b w:val="0"/>
                <w:bCs/>
                <w:color w:val="000000"/>
                <w:kern w:val="0"/>
                <w:sz w:val="24"/>
                <w:szCs w:val="24"/>
                <w:u w:val="none"/>
              </w:rPr>
              <w:t>未建立检查验收和销售记录制度，或者进口特种设备未履行提前告知义务的</w:t>
            </w:r>
            <w:r>
              <w:rPr>
                <w:rFonts w:hint="eastAsia" w:ascii="宋体" w:hAnsi="宋体" w:eastAsia="宋体" w:cs="宋体"/>
                <w:color w:val="000000"/>
                <w:kern w:val="0"/>
                <w:sz w:val="24"/>
                <w:szCs w:val="24"/>
              </w:rPr>
              <w:t>，责令改正，处一万元以上十万元以下罚款。</w:t>
            </w:r>
          </w:p>
        </w:tc>
        <w:tc>
          <w:tcPr>
            <w:tcW w:w="1132" w:type="dxa"/>
            <w:noWrap w:val="0"/>
            <w:vAlign w:val="center"/>
          </w:tcPr>
          <w:p w14:paraId="04D05A7F">
            <w:pPr>
              <w:pageBreakBefore w:val="0"/>
              <w:widowControl/>
              <w:kinsoku/>
              <w:wordWrap/>
              <w:overflowPunct/>
              <w:topLinePunct w:val="0"/>
              <w:bidi w:val="0"/>
              <w:snapToGrid w:val="0"/>
              <w:spacing w:beforeAutospacing="0" w:afterAutospacing="0" w:line="40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42C002D5">
            <w:pPr>
              <w:pStyle w:val="17"/>
              <w:pageBreakBefore w:val="0"/>
              <w:kinsoku/>
              <w:wordWrap/>
              <w:overflowPunct/>
              <w:topLinePunct w:val="0"/>
              <w:bidi w:val="0"/>
              <w:snapToGrid w:val="0"/>
              <w:spacing w:beforeAutospacing="0" w:afterAutospacing="0" w:line="400" w:lineRule="exact"/>
              <w:ind w:left="0"/>
              <w:rPr>
                <w:rFonts w:hint="eastAsia" w:ascii="宋体" w:hAnsi="宋体" w:eastAsia="宋体" w:cs="宋体"/>
                <w:color w:val="000000"/>
                <w:spacing w:val="-1"/>
                <w:sz w:val="24"/>
                <w:szCs w:val="24"/>
              </w:rPr>
            </w:pPr>
            <w:r>
              <w:rPr>
                <w:rFonts w:hint="eastAsia" w:ascii="宋体" w:hAnsi="宋体" w:eastAsia="宋体" w:cs="宋体"/>
                <w:color w:val="000000"/>
                <w:sz w:val="24"/>
                <w:szCs w:val="24"/>
              </w:rPr>
              <w:t>未建立检查验收和销售记录制度3个月</w:t>
            </w:r>
            <w:r>
              <w:rPr>
                <w:rFonts w:hint="eastAsia" w:cs="宋体"/>
                <w:color w:val="000000"/>
                <w:sz w:val="24"/>
                <w:szCs w:val="24"/>
                <w:lang w:val="en-US" w:eastAsia="zh-CN"/>
              </w:rPr>
              <w:t>以</w:t>
            </w:r>
            <w:r>
              <w:rPr>
                <w:rFonts w:hint="eastAsia" w:ascii="宋体" w:hAnsi="宋体" w:eastAsia="宋体" w:cs="宋体"/>
                <w:color w:val="000000"/>
                <w:sz w:val="24"/>
                <w:szCs w:val="24"/>
              </w:rPr>
              <w:t>下的；进口特种设备未履行提前告知义务，涉案特种设备数量1台（套）以上5台（套）以下。</w:t>
            </w:r>
          </w:p>
        </w:tc>
        <w:tc>
          <w:tcPr>
            <w:tcW w:w="3251" w:type="dxa"/>
            <w:noWrap w:val="0"/>
            <w:vAlign w:val="center"/>
          </w:tcPr>
          <w:p w14:paraId="3D05DFD8">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处1万元以上3.7万元以下罚款。</w:t>
            </w:r>
          </w:p>
        </w:tc>
      </w:tr>
      <w:tr w14:paraId="1310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1" w:hRule="atLeast"/>
          <w:jc w:val="center"/>
        </w:trPr>
        <w:tc>
          <w:tcPr>
            <w:tcW w:w="736" w:type="dxa"/>
            <w:vMerge w:val="continue"/>
            <w:noWrap w:val="0"/>
            <w:vAlign w:val="center"/>
          </w:tcPr>
          <w:p w14:paraId="3D703D80">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4695A3DC">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72F806A5">
            <w:pPr>
              <w:pageBreakBefore w:val="0"/>
              <w:widowControl/>
              <w:kinsoku/>
              <w:wordWrap/>
              <w:overflowPunct/>
              <w:topLinePunct w:val="0"/>
              <w:bidi w:val="0"/>
              <w:snapToGrid w:val="0"/>
              <w:spacing w:beforeAutospacing="0" w:afterAutospacing="0" w:line="400" w:lineRule="exact"/>
              <w:ind w:left="0"/>
              <w:jc w:val="both"/>
              <w:rPr>
                <w:rFonts w:hint="eastAsia" w:ascii="宋体" w:hAnsi="宋体" w:eastAsia="宋体" w:cs="宋体"/>
                <w:color w:val="000000"/>
                <w:kern w:val="0"/>
                <w:sz w:val="24"/>
                <w:szCs w:val="24"/>
              </w:rPr>
            </w:pPr>
          </w:p>
        </w:tc>
        <w:tc>
          <w:tcPr>
            <w:tcW w:w="1132" w:type="dxa"/>
            <w:noWrap w:val="0"/>
            <w:vAlign w:val="center"/>
          </w:tcPr>
          <w:p w14:paraId="2BDD0294">
            <w:pPr>
              <w:pageBreakBefore w:val="0"/>
              <w:widowControl/>
              <w:kinsoku/>
              <w:wordWrap/>
              <w:overflowPunct/>
              <w:topLinePunct w:val="0"/>
              <w:bidi w:val="0"/>
              <w:snapToGrid w:val="0"/>
              <w:spacing w:beforeAutospacing="0" w:afterAutospacing="0" w:line="40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5A2559F4">
            <w:pPr>
              <w:pStyle w:val="17"/>
              <w:pageBreakBefore w:val="0"/>
              <w:kinsoku/>
              <w:wordWrap/>
              <w:overflowPunct/>
              <w:topLinePunct w:val="0"/>
              <w:bidi w:val="0"/>
              <w:snapToGrid w:val="0"/>
              <w:spacing w:beforeAutospacing="0" w:afterAutospacing="0" w:line="400" w:lineRule="exact"/>
              <w:ind w:left="0"/>
              <w:rPr>
                <w:rFonts w:hint="eastAsia" w:ascii="宋体" w:hAnsi="宋体" w:eastAsia="宋体" w:cs="宋体"/>
                <w:color w:val="000000"/>
                <w:sz w:val="24"/>
                <w:szCs w:val="24"/>
              </w:rPr>
            </w:pPr>
            <w:r>
              <w:rPr>
                <w:rFonts w:hint="eastAsia" w:ascii="宋体" w:hAnsi="宋体" w:eastAsia="宋体" w:cs="宋体"/>
                <w:color w:val="000000"/>
                <w:spacing w:val="-3"/>
                <w:sz w:val="24"/>
                <w:szCs w:val="24"/>
              </w:rPr>
              <w:t>未建立检查验收和销售记录制度3个月以上6个月以下的；进口特种设备未履行提前告知义务，</w:t>
            </w:r>
            <w:r>
              <w:rPr>
                <w:rFonts w:hint="eastAsia" w:ascii="宋体" w:hAnsi="宋体" w:eastAsia="宋体" w:cs="宋体"/>
                <w:color w:val="000000"/>
                <w:spacing w:val="1"/>
                <w:sz w:val="24"/>
                <w:szCs w:val="24"/>
              </w:rPr>
              <w:t>涉案特种设备数量</w:t>
            </w:r>
            <w:r>
              <w:rPr>
                <w:rFonts w:hint="eastAsia" w:ascii="宋体" w:hAnsi="宋体" w:eastAsia="宋体" w:cs="宋体"/>
                <w:color w:val="000000"/>
                <w:sz w:val="24"/>
                <w:szCs w:val="24"/>
              </w:rPr>
              <w:t>5</w:t>
            </w:r>
            <w:r>
              <w:rPr>
                <w:rFonts w:hint="eastAsia" w:ascii="宋体" w:hAnsi="宋体" w:eastAsia="宋体" w:cs="宋体"/>
                <w:color w:val="000000"/>
                <w:spacing w:val="2"/>
                <w:sz w:val="24"/>
                <w:szCs w:val="24"/>
              </w:rPr>
              <w:t>台</w:t>
            </w:r>
            <w:r>
              <w:rPr>
                <w:rFonts w:hint="eastAsia" w:ascii="宋体" w:hAnsi="宋体" w:eastAsia="宋体" w:cs="宋体"/>
                <w:color w:val="000000"/>
                <w:spacing w:val="-6"/>
                <w:sz w:val="24"/>
                <w:szCs w:val="24"/>
              </w:rPr>
              <w:t>（套）</w:t>
            </w:r>
            <w:r>
              <w:rPr>
                <w:rFonts w:hint="eastAsia" w:ascii="宋体" w:hAnsi="宋体" w:eastAsia="宋体" w:cs="宋体"/>
                <w:color w:val="000000"/>
                <w:spacing w:val="2"/>
                <w:sz w:val="24"/>
                <w:szCs w:val="24"/>
              </w:rPr>
              <w:t>以上</w:t>
            </w:r>
            <w:r>
              <w:rPr>
                <w:rFonts w:hint="eastAsia" w:ascii="宋体" w:hAnsi="宋体" w:eastAsia="宋体" w:cs="宋体"/>
                <w:color w:val="000000"/>
                <w:sz w:val="24"/>
                <w:szCs w:val="24"/>
              </w:rPr>
              <w:t>10</w:t>
            </w:r>
            <w:r>
              <w:rPr>
                <w:rFonts w:hint="eastAsia" w:ascii="宋体" w:hAnsi="宋体" w:eastAsia="宋体" w:cs="宋体"/>
                <w:color w:val="000000"/>
                <w:spacing w:val="-8"/>
                <w:sz w:val="24"/>
                <w:szCs w:val="24"/>
              </w:rPr>
              <w:t>台</w:t>
            </w:r>
            <w:r>
              <w:rPr>
                <w:rFonts w:hint="eastAsia" w:ascii="宋体" w:hAnsi="宋体" w:eastAsia="宋体" w:cs="宋体"/>
                <w:color w:val="000000"/>
                <w:spacing w:val="-6"/>
                <w:sz w:val="24"/>
                <w:szCs w:val="24"/>
              </w:rPr>
              <w:t>（套）</w:t>
            </w:r>
            <w:r>
              <w:rPr>
                <w:rFonts w:hint="eastAsia" w:ascii="宋体" w:hAnsi="宋体" w:eastAsia="宋体" w:cs="宋体"/>
                <w:color w:val="000000"/>
                <w:spacing w:val="-8"/>
                <w:sz w:val="24"/>
                <w:szCs w:val="24"/>
              </w:rPr>
              <w:t>以下。</w:t>
            </w:r>
          </w:p>
        </w:tc>
        <w:tc>
          <w:tcPr>
            <w:tcW w:w="3251" w:type="dxa"/>
            <w:noWrap w:val="0"/>
            <w:vAlign w:val="center"/>
          </w:tcPr>
          <w:p w14:paraId="1382FE3D">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处3.7万元以上7.3万元以下罚款。</w:t>
            </w:r>
          </w:p>
        </w:tc>
      </w:tr>
      <w:tr w14:paraId="323C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jc w:val="center"/>
        </w:trPr>
        <w:tc>
          <w:tcPr>
            <w:tcW w:w="736" w:type="dxa"/>
            <w:vMerge w:val="continue"/>
            <w:noWrap w:val="0"/>
            <w:vAlign w:val="center"/>
          </w:tcPr>
          <w:p w14:paraId="60C36187">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01E51C8F">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3897FAB7">
            <w:pPr>
              <w:pageBreakBefore w:val="0"/>
              <w:widowControl/>
              <w:kinsoku/>
              <w:wordWrap/>
              <w:overflowPunct/>
              <w:topLinePunct w:val="0"/>
              <w:bidi w:val="0"/>
              <w:snapToGrid w:val="0"/>
              <w:spacing w:beforeAutospacing="0" w:afterAutospacing="0" w:line="400" w:lineRule="exact"/>
              <w:ind w:left="0"/>
              <w:jc w:val="both"/>
              <w:rPr>
                <w:rFonts w:hint="eastAsia" w:ascii="宋体" w:hAnsi="宋体" w:eastAsia="宋体" w:cs="宋体"/>
                <w:color w:val="000000"/>
                <w:kern w:val="0"/>
                <w:sz w:val="24"/>
                <w:szCs w:val="24"/>
              </w:rPr>
            </w:pPr>
          </w:p>
        </w:tc>
        <w:tc>
          <w:tcPr>
            <w:tcW w:w="1132" w:type="dxa"/>
            <w:noWrap w:val="0"/>
            <w:vAlign w:val="center"/>
          </w:tcPr>
          <w:p w14:paraId="1336CB2E">
            <w:pPr>
              <w:pageBreakBefore w:val="0"/>
              <w:widowControl/>
              <w:kinsoku/>
              <w:wordWrap/>
              <w:overflowPunct/>
              <w:topLinePunct w:val="0"/>
              <w:bidi w:val="0"/>
              <w:snapToGrid w:val="0"/>
              <w:spacing w:beforeAutospacing="0" w:afterAutospacing="0" w:line="40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44CABFA3">
            <w:pPr>
              <w:pageBreakBefore w:val="0"/>
              <w:widowControl/>
              <w:kinsoku/>
              <w:wordWrap/>
              <w:overflowPunct/>
              <w:topLinePunct w:val="0"/>
              <w:bidi w:val="0"/>
              <w:snapToGrid w:val="0"/>
              <w:spacing w:beforeAutospacing="0" w:afterAutospacing="0" w:line="400" w:lineRule="exact"/>
              <w:ind w:left="0"/>
              <w:rPr>
                <w:rFonts w:hint="eastAsia" w:ascii="宋体" w:hAnsi="宋体" w:eastAsia="宋体" w:cs="宋体"/>
                <w:color w:val="000000"/>
                <w:kern w:val="0"/>
                <w:sz w:val="24"/>
                <w:szCs w:val="24"/>
              </w:rPr>
            </w:pPr>
            <w:r>
              <w:rPr>
                <w:rFonts w:hint="eastAsia" w:ascii="宋体" w:hAnsi="宋体" w:eastAsia="宋体" w:cs="宋体"/>
                <w:color w:val="000000"/>
                <w:spacing w:val="-3"/>
                <w:kern w:val="0"/>
                <w:sz w:val="24"/>
                <w:szCs w:val="24"/>
              </w:rPr>
              <w:t>未建立检查验收和销售记录制度</w:t>
            </w:r>
            <w:r>
              <w:rPr>
                <w:rFonts w:hint="eastAsia" w:ascii="宋体" w:hAnsi="宋体" w:eastAsia="宋体" w:cs="宋体"/>
                <w:color w:val="000000"/>
                <w:spacing w:val="-3"/>
                <w:sz w:val="24"/>
                <w:szCs w:val="24"/>
              </w:rPr>
              <w:t>6个月以上的；</w:t>
            </w:r>
            <w:r>
              <w:rPr>
                <w:rFonts w:hint="eastAsia" w:ascii="宋体" w:hAnsi="宋体" w:eastAsia="宋体" w:cs="宋体"/>
                <w:color w:val="000000"/>
                <w:spacing w:val="-3"/>
                <w:kern w:val="0"/>
                <w:sz w:val="24"/>
                <w:szCs w:val="24"/>
              </w:rPr>
              <w:t>进口特种设备未履行提前告知义务</w:t>
            </w:r>
            <w:r>
              <w:rPr>
                <w:rFonts w:hint="eastAsia" w:ascii="宋体" w:hAnsi="宋体" w:eastAsia="宋体" w:cs="宋体"/>
                <w:color w:val="000000"/>
                <w:spacing w:val="-3"/>
                <w:sz w:val="24"/>
                <w:szCs w:val="24"/>
              </w:rPr>
              <w:t>，</w:t>
            </w:r>
            <w:r>
              <w:rPr>
                <w:rFonts w:hint="eastAsia" w:ascii="宋体" w:hAnsi="宋体" w:eastAsia="宋体" w:cs="宋体"/>
                <w:color w:val="000000"/>
                <w:spacing w:val="-8"/>
                <w:sz w:val="24"/>
                <w:szCs w:val="24"/>
              </w:rPr>
              <w:t>涉案特种设备数量</w:t>
            </w:r>
            <w:r>
              <w:rPr>
                <w:rFonts w:hint="eastAsia" w:ascii="宋体" w:hAnsi="宋体" w:eastAsia="宋体" w:cs="宋体"/>
                <w:color w:val="000000"/>
                <w:spacing w:val="-1"/>
                <w:sz w:val="24"/>
                <w:szCs w:val="24"/>
              </w:rPr>
              <w:t>10</w:t>
            </w:r>
            <w:r>
              <w:rPr>
                <w:rFonts w:hint="eastAsia" w:ascii="宋体" w:hAnsi="宋体" w:eastAsia="宋体" w:cs="宋体"/>
                <w:color w:val="000000"/>
                <w:spacing w:val="-10"/>
                <w:sz w:val="24"/>
                <w:szCs w:val="24"/>
              </w:rPr>
              <w:t>台</w:t>
            </w:r>
            <w:r>
              <w:rPr>
                <w:rFonts w:hint="eastAsia" w:ascii="宋体" w:hAnsi="宋体" w:eastAsia="宋体" w:cs="宋体"/>
                <w:color w:val="000000"/>
                <w:spacing w:val="-6"/>
                <w:sz w:val="24"/>
                <w:szCs w:val="24"/>
              </w:rPr>
              <w:t>（套）</w:t>
            </w:r>
            <w:r>
              <w:rPr>
                <w:rFonts w:hint="eastAsia" w:ascii="宋体" w:hAnsi="宋体" w:eastAsia="宋体" w:cs="宋体"/>
                <w:color w:val="000000"/>
                <w:spacing w:val="-10"/>
                <w:sz w:val="24"/>
                <w:szCs w:val="24"/>
              </w:rPr>
              <w:t>以上。</w:t>
            </w:r>
          </w:p>
        </w:tc>
        <w:tc>
          <w:tcPr>
            <w:tcW w:w="3251" w:type="dxa"/>
            <w:noWrap w:val="0"/>
            <w:vAlign w:val="center"/>
          </w:tcPr>
          <w:p w14:paraId="3310C7B5">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处7.3万元以上10万元以下罚款。</w:t>
            </w:r>
          </w:p>
        </w:tc>
      </w:tr>
      <w:tr w14:paraId="0CB9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736" w:type="dxa"/>
            <w:vMerge w:val="restart"/>
            <w:noWrap w:val="0"/>
            <w:vAlign w:val="center"/>
          </w:tcPr>
          <w:p w14:paraId="79B48E91">
            <w:pPr>
              <w:pageBreakBefore w:val="0"/>
              <w:widowControl/>
              <w:kinsoku/>
              <w:wordWrap/>
              <w:overflowPunct/>
              <w:topLinePunct w:val="0"/>
              <w:bidi w:val="0"/>
              <w:snapToGrid w:val="0"/>
              <w:spacing w:beforeAutospacing="0" w:afterAutospacing="0" w:line="380" w:lineRule="exact"/>
              <w:ind w:left="0"/>
              <w:jc w:val="center"/>
              <w:rPr>
                <w:rFonts w:hint="default"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cs="宋体"/>
                <w:b w:val="0"/>
                <w:bCs w:val="0"/>
                <w:color w:val="000000"/>
                <w:kern w:val="0"/>
                <w:sz w:val="24"/>
                <w:szCs w:val="24"/>
                <w:lang w:val="en-US" w:eastAsia="zh-CN"/>
              </w:rPr>
              <w:t>59</w:t>
            </w:r>
          </w:p>
        </w:tc>
        <w:tc>
          <w:tcPr>
            <w:tcW w:w="1748" w:type="dxa"/>
            <w:vMerge w:val="restart"/>
            <w:noWrap w:val="0"/>
            <w:vAlign w:val="center"/>
          </w:tcPr>
          <w:p w14:paraId="6991F44D">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637897C2">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第八十三条</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违反本法规定，特种设备使用单位有下列行为之一的，责令限期改正；逾期未改正的，责令停止使用有关特种设备，处一万元以上十万元以下罚款：</w:t>
            </w:r>
          </w:p>
          <w:p w14:paraId="1FDBD808">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b w:val="0"/>
                <w:bCs/>
                <w:color w:val="000000"/>
                <w:kern w:val="0"/>
                <w:sz w:val="24"/>
                <w:szCs w:val="24"/>
                <w:u w:val="none"/>
              </w:rPr>
            </w:pPr>
            <w:r>
              <w:rPr>
                <w:rFonts w:hint="eastAsia" w:ascii="宋体" w:hAnsi="宋体" w:eastAsia="宋体" w:cs="宋体"/>
                <w:color w:val="000000"/>
                <w:kern w:val="0"/>
                <w:sz w:val="24"/>
                <w:szCs w:val="24"/>
              </w:rPr>
              <w:t>（一）</w:t>
            </w:r>
            <w:r>
              <w:rPr>
                <w:rFonts w:hint="eastAsia" w:ascii="宋体" w:hAnsi="宋体" w:eastAsia="宋体" w:cs="宋体"/>
                <w:b w:val="0"/>
                <w:bCs/>
                <w:color w:val="000000"/>
                <w:kern w:val="0"/>
                <w:sz w:val="24"/>
                <w:szCs w:val="24"/>
                <w:u w:val="none"/>
              </w:rPr>
              <w:t>使用特种设备未按照规定办理使用登记的；</w:t>
            </w:r>
          </w:p>
          <w:p w14:paraId="65CD06D5">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b w:val="0"/>
                <w:bCs/>
                <w:color w:val="000000"/>
                <w:kern w:val="0"/>
                <w:sz w:val="24"/>
                <w:szCs w:val="24"/>
                <w:u w:val="none"/>
              </w:rPr>
            </w:pPr>
            <w:r>
              <w:rPr>
                <w:rFonts w:hint="eastAsia" w:ascii="宋体" w:hAnsi="宋体" w:eastAsia="宋体" w:cs="宋体"/>
                <w:b w:val="0"/>
                <w:bCs/>
                <w:color w:val="000000"/>
                <w:kern w:val="0"/>
                <w:sz w:val="24"/>
                <w:szCs w:val="24"/>
                <w:u w:val="none"/>
              </w:rPr>
              <w:t>（二）未建立特种设备安全技术档案或者安全技术档案不符合规定要求，或者未依法设置使用登记标志、定期检验标志的；</w:t>
            </w:r>
          </w:p>
          <w:p w14:paraId="216D262A">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b w:val="0"/>
                <w:bCs/>
                <w:color w:val="000000"/>
                <w:kern w:val="0"/>
                <w:sz w:val="24"/>
                <w:szCs w:val="24"/>
                <w:u w:val="none"/>
              </w:rPr>
            </w:pPr>
            <w:r>
              <w:rPr>
                <w:rFonts w:hint="eastAsia" w:ascii="宋体" w:hAnsi="宋体" w:eastAsia="宋体" w:cs="宋体"/>
                <w:b w:val="0"/>
                <w:bCs/>
                <w:color w:val="000000"/>
                <w:kern w:val="0"/>
                <w:sz w:val="24"/>
                <w:szCs w:val="24"/>
                <w:u w:val="none"/>
              </w:rPr>
              <w:t>（三）未对其使用的特种设备进行经常性维护保养和定期自行检查，或者未对其使用的特种设备的安全附件、安全保护装置进行定期校验、检修，并作出记录的；</w:t>
            </w:r>
          </w:p>
          <w:p w14:paraId="52BFDC2C">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b w:val="0"/>
                <w:bCs/>
                <w:color w:val="000000"/>
                <w:kern w:val="0"/>
                <w:sz w:val="24"/>
                <w:szCs w:val="24"/>
                <w:u w:val="none"/>
              </w:rPr>
            </w:pPr>
            <w:r>
              <w:rPr>
                <w:rFonts w:hint="eastAsia" w:ascii="宋体" w:hAnsi="宋体" w:eastAsia="宋体" w:cs="宋体"/>
                <w:b w:val="0"/>
                <w:bCs/>
                <w:color w:val="000000"/>
                <w:kern w:val="0"/>
                <w:sz w:val="24"/>
                <w:szCs w:val="24"/>
                <w:u w:val="none"/>
              </w:rPr>
              <w:t>（四）未按照安全技术规范的要求及时申报并接受检验的；</w:t>
            </w:r>
          </w:p>
          <w:p w14:paraId="550D3D65">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b w:val="0"/>
                <w:bCs/>
                <w:color w:val="000000"/>
                <w:kern w:val="0"/>
                <w:sz w:val="24"/>
                <w:szCs w:val="24"/>
                <w:u w:val="none"/>
              </w:rPr>
            </w:pPr>
            <w:r>
              <w:rPr>
                <w:rFonts w:hint="eastAsia" w:ascii="宋体" w:hAnsi="宋体" w:eastAsia="宋体" w:cs="宋体"/>
                <w:color w:val="000000"/>
                <w:kern w:val="0"/>
                <w:sz w:val="24"/>
                <w:szCs w:val="24"/>
              </w:rPr>
              <w:t>（五）</w:t>
            </w:r>
            <w:r>
              <w:rPr>
                <w:rFonts w:hint="eastAsia" w:ascii="宋体" w:hAnsi="宋体" w:eastAsia="宋体" w:cs="宋体"/>
                <w:b w:val="0"/>
                <w:bCs/>
                <w:color w:val="000000"/>
                <w:kern w:val="0"/>
                <w:sz w:val="24"/>
                <w:szCs w:val="24"/>
                <w:u w:val="none"/>
              </w:rPr>
              <w:t>未按照安全技术规范的要求进行锅炉水（介）质处理的；</w:t>
            </w:r>
          </w:p>
          <w:p w14:paraId="2BAA2FB5">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b w:val="0"/>
                <w:bCs/>
                <w:color w:val="000000"/>
                <w:kern w:val="0"/>
                <w:sz w:val="24"/>
                <w:szCs w:val="24"/>
                <w:u w:val="none"/>
              </w:rPr>
              <w:t>（六）未制定特种设备事故应急专项预案的。</w:t>
            </w:r>
          </w:p>
        </w:tc>
        <w:tc>
          <w:tcPr>
            <w:tcW w:w="1132" w:type="dxa"/>
            <w:noWrap w:val="0"/>
            <w:vAlign w:val="center"/>
          </w:tcPr>
          <w:p w14:paraId="0FAA48FB">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6369B09E">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违法行为持续时间3个月以下。</w:t>
            </w:r>
          </w:p>
        </w:tc>
        <w:tc>
          <w:tcPr>
            <w:tcW w:w="3251" w:type="dxa"/>
            <w:noWrap w:val="0"/>
            <w:vAlign w:val="center"/>
          </w:tcPr>
          <w:p w14:paraId="75D43554">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逾期未改正的，责令停止使用有关特种设备，处1万元以上3.7万元以下罚款。</w:t>
            </w:r>
          </w:p>
        </w:tc>
      </w:tr>
      <w:tr w14:paraId="05F6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8" w:hRule="atLeast"/>
          <w:jc w:val="center"/>
        </w:trPr>
        <w:tc>
          <w:tcPr>
            <w:tcW w:w="736" w:type="dxa"/>
            <w:vMerge w:val="continue"/>
            <w:noWrap w:val="0"/>
            <w:vAlign w:val="center"/>
          </w:tcPr>
          <w:p w14:paraId="59562A8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14867D08">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11474EC4">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4E969E71">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6A9C5BA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违法行为持续时间3个月以上6个月以下。</w:t>
            </w:r>
          </w:p>
        </w:tc>
        <w:tc>
          <w:tcPr>
            <w:tcW w:w="3251" w:type="dxa"/>
            <w:noWrap w:val="0"/>
            <w:vAlign w:val="center"/>
          </w:tcPr>
          <w:p w14:paraId="513A093A">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逾期未改正的，责令停止使用有关特种设备，处3.7万元以上7.3万元以下罚款。</w:t>
            </w:r>
          </w:p>
        </w:tc>
      </w:tr>
      <w:tr w14:paraId="65D69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1" w:hRule="atLeast"/>
          <w:jc w:val="center"/>
        </w:trPr>
        <w:tc>
          <w:tcPr>
            <w:tcW w:w="736" w:type="dxa"/>
            <w:vMerge w:val="continue"/>
            <w:noWrap w:val="0"/>
            <w:vAlign w:val="center"/>
          </w:tcPr>
          <w:p w14:paraId="04865079">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4CFB26F7">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3697CFFE">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7389097F">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47F7266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违法行为持续时间6个月以上。</w:t>
            </w:r>
          </w:p>
        </w:tc>
        <w:tc>
          <w:tcPr>
            <w:tcW w:w="3251" w:type="dxa"/>
            <w:noWrap w:val="0"/>
            <w:vAlign w:val="center"/>
          </w:tcPr>
          <w:p w14:paraId="0F63E102">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逾期未改正的，责令停止使用有关特种设备，处7.3万元以上10万元以下罚款。</w:t>
            </w:r>
          </w:p>
        </w:tc>
      </w:tr>
      <w:tr w14:paraId="5CAA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8" w:hRule="atLeast"/>
          <w:jc w:val="center"/>
        </w:trPr>
        <w:tc>
          <w:tcPr>
            <w:tcW w:w="736" w:type="dxa"/>
            <w:vMerge w:val="restart"/>
            <w:noWrap w:val="0"/>
            <w:vAlign w:val="center"/>
          </w:tcPr>
          <w:p w14:paraId="5C3A3673">
            <w:pPr>
              <w:pageBreakBefore w:val="0"/>
              <w:widowControl/>
              <w:kinsoku/>
              <w:wordWrap/>
              <w:overflowPunct/>
              <w:topLinePunct w:val="0"/>
              <w:bidi w:val="0"/>
              <w:snapToGrid w:val="0"/>
              <w:spacing w:beforeAutospacing="0" w:afterAutospacing="0" w:line="380" w:lineRule="exact"/>
              <w:ind w:left="0"/>
              <w:jc w:val="center"/>
              <w:rPr>
                <w:rFonts w:hint="default"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1</w:t>
            </w:r>
            <w:r>
              <w:rPr>
                <w:rFonts w:hint="eastAsia" w:ascii="宋体" w:hAnsi="宋体" w:cs="宋体"/>
                <w:b w:val="0"/>
                <w:bCs w:val="0"/>
                <w:color w:val="000000"/>
                <w:kern w:val="0"/>
                <w:sz w:val="24"/>
                <w:szCs w:val="24"/>
                <w:lang w:val="en-US" w:eastAsia="zh-CN"/>
              </w:rPr>
              <w:t>60</w:t>
            </w:r>
          </w:p>
        </w:tc>
        <w:tc>
          <w:tcPr>
            <w:tcW w:w="1748" w:type="dxa"/>
            <w:vMerge w:val="restart"/>
            <w:noWrap w:val="0"/>
            <w:vAlign w:val="center"/>
          </w:tcPr>
          <w:p w14:paraId="66C7D5DC">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553A74A2">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第八十四条</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违反本法规定，特种设备使用单位有下列行为之一的，责令停止使用有关特种设备，处三万元以上三十万元以下罚款：</w:t>
            </w:r>
          </w:p>
          <w:p w14:paraId="2DDA67E1">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b w:val="0"/>
                <w:bCs/>
                <w:color w:val="000000"/>
                <w:kern w:val="0"/>
                <w:sz w:val="24"/>
                <w:szCs w:val="24"/>
                <w:u w:val="none"/>
              </w:rPr>
            </w:pPr>
            <w:r>
              <w:rPr>
                <w:rFonts w:hint="eastAsia" w:ascii="宋体" w:hAnsi="宋体" w:eastAsia="宋体" w:cs="宋体"/>
                <w:color w:val="000000"/>
                <w:kern w:val="0"/>
                <w:sz w:val="24"/>
                <w:szCs w:val="24"/>
              </w:rPr>
              <w:t>（一）</w:t>
            </w:r>
            <w:r>
              <w:rPr>
                <w:rFonts w:hint="eastAsia" w:ascii="宋体" w:hAnsi="宋体" w:eastAsia="宋体" w:cs="宋体"/>
                <w:b w:val="0"/>
                <w:bCs/>
                <w:color w:val="000000"/>
                <w:kern w:val="0"/>
                <w:sz w:val="24"/>
                <w:szCs w:val="24"/>
                <w:u w:val="none"/>
              </w:rPr>
              <w:t>使用未取得许可生产，未经检验或者检验不合格的特种设备，或者国家明令淘汰、已经报废的特种设备的；</w:t>
            </w:r>
          </w:p>
          <w:p w14:paraId="46EC06AA">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b w:val="0"/>
                <w:bCs/>
                <w:color w:val="000000"/>
                <w:kern w:val="0"/>
                <w:sz w:val="24"/>
                <w:szCs w:val="24"/>
                <w:u w:val="none"/>
              </w:rPr>
            </w:pPr>
            <w:r>
              <w:rPr>
                <w:rFonts w:hint="eastAsia" w:ascii="宋体" w:hAnsi="宋体" w:eastAsia="宋体" w:cs="宋体"/>
                <w:b w:val="0"/>
                <w:bCs/>
                <w:color w:val="000000"/>
                <w:kern w:val="0"/>
                <w:sz w:val="24"/>
                <w:szCs w:val="24"/>
                <w:u w:val="none"/>
              </w:rPr>
              <w:t>（二）特种设备出现故障或者发生异常情况，未对其进行全面检查、消除事故隐患，继续使用的；</w:t>
            </w:r>
          </w:p>
          <w:p w14:paraId="2B18F919">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b w:val="0"/>
                <w:bCs/>
                <w:color w:val="000000"/>
                <w:kern w:val="0"/>
                <w:sz w:val="24"/>
                <w:szCs w:val="24"/>
                <w:u w:val="none"/>
              </w:rPr>
              <w:t>（三）特种设备存在严重事故隐患，无改造、修理价值，或者达到安全技术规范规定的其他报废条件，未依法履行报废义务，并办理使用登记证书注销手续的。</w:t>
            </w:r>
          </w:p>
        </w:tc>
        <w:tc>
          <w:tcPr>
            <w:tcW w:w="1132" w:type="dxa"/>
            <w:noWrap w:val="0"/>
            <w:vAlign w:val="center"/>
          </w:tcPr>
          <w:p w14:paraId="1EA8204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68BFC13E">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auto"/>
                <w:sz w:val="24"/>
                <w:szCs w:val="24"/>
                <w:lang w:eastAsia="zh-CN"/>
              </w:rPr>
            </w:pPr>
            <w:r>
              <w:rPr>
                <w:rFonts w:hint="eastAsia" w:ascii="宋体" w:hAnsi="宋体" w:eastAsia="宋体" w:cs="宋体"/>
                <w:color w:val="auto"/>
                <w:kern w:val="0"/>
                <w:sz w:val="24"/>
                <w:szCs w:val="24"/>
              </w:rPr>
              <w:t>违法行为持续时间</w:t>
            </w:r>
            <w:r>
              <w:rPr>
                <w:rFonts w:hint="eastAsia" w:ascii="宋体" w:hAnsi="宋体" w:eastAsia="宋体" w:cs="宋体"/>
                <w:color w:val="auto"/>
                <w:kern w:val="0"/>
                <w:sz w:val="24"/>
                <w:szCs w:val="24"/>
                <w:lang w:val="en-US" w:eastAsia="zh-CN"/>
              </w:rPr>
              <w:t>6</w:t>
            </w:r>
            <w:r>
              <w:rPr>
                <w:rFonts w:hint="eastAsia" w:ascii="宋体" w:hAnsi="宋体" w:eastAsia="宋体" w:cs="宋体"/>
                <w:color w:val="auto"/>
                <w:kern w:val="0"/>
                <w:sz w:val="24"/>
                <w:szCs w:val="24"/>
              </w:rPr>
              <w:t>个月以下。</w:t>
            </w:r>
          </w:p>
        </w:tc>
        <w:tc>
          <w:tcPr>
            <w:tcW w:w="3251" w:type="dxa"/>
            <w:noWrap w:val="0"/>
            <w:vAlign w:val="center"/>
          </w:tcPr>
          <w:p w14:paraId="2CBB4A9E">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责令停止使用有关特种设备，处3万元以上11.1万元以下罚款。</w:t>
            </w:r>
          </w:p>
        </w:tc>
      </w:tr>
      <w:tr w14:paraId="1A79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3" w:hRule="atLeast"/>
          <w:jc w:val="center"/>
        </w:trPr>
        <w:tc>
          <w:tcPr>
            <w:tcW w:w="736" w:type="dxa"/>
            <w:vMerge w:val="continue"/>
            <w:noWrap w:val="0"/>
            <w:vAlign w:val="center"/>
          </w:tcPr>
          <w:p w14:paraId="37A303A7">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639D9260">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429CD1C2">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62076CFA">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2219A1B6">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违法行为持续时间</w:t>
            </w:r>
            <w:r>
              <w:rPr>
                <w:rFonts w:hint="eastAsia" w:ascii="宋体" w:hAnsi="宋体" w:eastAsia="宋体" w:cs="宋体"/>
                <w:color w:val="auto"/>
                <w:kern w:val="0"/>
                <w:sz w:val="24"/>
                <w:szCs w:val="24"/>
                <w:lang w:val="en-US" w:eastAsia="zh-CN"/>
              </w:rPr>
              <w:t>6</w:t>
            </w:r>
            <w:r>
              <w:rPr>
                <w:rFonts w:hint="eastAsia" w:ascii="宋体" w:hAnsi="宋体" w:eastAsia="宋体" w:cs="宋体"/>
                <w:color w:val="auto"/>
                <w:kern w:val="0"/>
                <w:sz w:val="24"/>
                <w:szCs w:val="24"/>
              </w:rPr>
              <w:t>个月以上</w:t>
            </w:r>
            <w:r>
              <w:rPr>
                <w:rFonts w:hint="eastAsia" w:ascii="宋体" w:hAnsi="宋体" w:eastAsia="宋体" w:cs="宋体"/>
                <w:color w:val="auto"/>
                <w:kern w:val="0"/>
                <w:sz w:val="24"/>
                <w:szCs w:val="24"/>
                <w:lang w:val="en-US" w:eastAsia="zh-CN"/>
              </w:rPr>
              <w:t>12</w:t>
            </w:r>
            <w:r>
              <w:rPr>
                <w:rFonts w:hint="eastAsia" w:ascii="宋体" w:hAnsi="宋体" w:eastAsia="宋体" w:cs="宋体"/>
                <w:color w:val="auto"/>
                <w:kern w:val="0"/>
                <w:sz w:val="24"/>
                <w:szCs w:val="24"/>
              </w:rPr>
              <w:t>个月以下。</w:t>
            </w:r>
          </w:p>
          <w:p w14:paraId="4185F334">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auto"/>
                <w:kern w:val="0"/>
                <w:sz w:val="24"/>
                <w:szCs w:val="24"/>
                <w:lang w:eastAsia="zh-CN"/>
              </w:rPr>
            </w:pPr>
          </w:p>
        </w:tc>
        <w:tc>
          <w:tcPr>
            <w:tcW w:w="3251" w:type="dxa"/>
            <w:noWrap w:val="0"/>
            <w:vAlign w:val="center"/>
          </w:tcPr>
          <w:p w14:paraId="0E7BD1B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责令停止使用有关特种设备，处11.1万元以上21.9万元以下罚款。</w:t>
            </w:r>
          </w:p>
        </w:tc>
      </w:tr>
      <w:tr w14:paraId="0144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4" w:hRule="atLeast"/>
          <w:jc w:val="center"/>
        </w:trPr>
        <w:tc>
          <w:tcPr>
            <w:tcW w:w="736" w:type="dxa"/>
            <w:vMerge w:val="continue"/>
            <w:noWrap w:val="0"/>
            <w:vAlign w:val="center"/>
          </w:tcPr>
          <w:p w14:paraId="4C16AA9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1287E8CE">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55DD3CE5">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67D0B56F">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39B0A55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违法行为持续时间</w:t>
            </w:r>
            <w:r>
              <w:rPr>
                <w:rFonts w:hint="eastAsia" w:ascii="宋体" w:hAnsi="宋体" w:eastAsia="宋体" w:cs="宋体"/>
                <w:color w:val="auto"/>
                <w:kern w:val="0"/>
                <w:sz w:val="24"/>
                <w:szCs w:val="24"/>
                <w:lang w:val="en-US" w:eastAsia="zh-CN"/>
              </w:rPr>
              <w:t>12</w:t>
            </w:r>
            <w:r>
              <w:rPr>
                <w:rFonts w:hint="eastAsia" w:ascii="宋体" w:hAnsi="宋体" w:eastAsia="宋体" w:cs="宋体"/>
                <w:color w:val="auto"/>
                <w:kern w:val="0"/>
                <w:sz w:val="24"/>
                <w:szCs w:val="24"/>
              </w:rPr>
              <w:t>个月以上。</w:t>
            </w:r>
          </w:p>
          <w:p w14:paraId="40AA844E">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auto"/>
                <w:kern w:val="0"/>
                <w:sz w:val="24"/>
                <w:szCs w:val="24"/>
                <w:lang w:eastAsia="zh-CN"/>
              </w:rPr>
            </w:pPr>
          </w:p>
        </w:tc>
        <w:tc>
          <w:tcPr>
            <w:tcW w:w="3251" w:type="dxa"/>
            <w:noWrap w:val="0"/>
            <w:vAlign w:val="center"/>
          </w:tcPr>
          <w:p w14:paraId="251D2AED">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责令停止使用有关特种设备，处21.9万元以上30万元以下罚款。</w:t>
            </w:r>
          </w:p>
        </w:tc>
      </w:tr>
      <w:tr w14:paraId="1A292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jc w:val="center"/>
        </w:trPr>
        <w:tc>
          <w:tcPr>
            <w:tcW w:w="736" w:type="dxa"/>
            <w:vMerge w:val="restart"/>
            <w:noWrap w:val="0"/>
            <w:vAlign w:val="center"/>
          </w:tcPr>
          <w:p w14:paraId="791D3AAB">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6</w:t>
            </w:r>
            <w:r>
              <w:rPr>
                <w:rFonts w:hint="eastAsia" w:ascii="宋体" w:hAnsi="宋体" w:cs="宋体"/>
                <w:b w:val="0"/>
                <w:bCs w:val="0"/>
                <w:color w:val="000000"/>
                <w:kern w:val="0"/>
                <w:sz w:val="24"/>
                <w:szCs w:val="24"/>
                <w:lang w:val="en-US" w:eastAsia="zh-CN"/>
              </w:rPr>
              <w:t>1</w:t>
            </w:r>
          </w:p>
        </w:tc>
        <w:tc>
          <w:tcPr>
            <w:tcW w:w="1748" w:type="dxa"/>
            <w:vMerge w:val="restart"/>
            <w:noWrap w:val="0"/>
            <w:vAlign w:val="center"/>
          </w:tcPr>
          <w:p w14:paraId="0293C0C9">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4EC70A7A">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第八十五条第一款</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违反本法规定，移动式压力容器、气瓶充装单位有下列行为之一的，责令改正，处二万元以上二十万元以下罚款；情节严重的，吊销充装许可证：</w:t>
            </w:r>
          </w:p>
          <w:p w14:paraId="1E301F15">
            <w:pPr>
              <w:spacing w:line="380" w:lineRule="exact"/>
              <w:rPr>
                <w:rFonts w:hint="eastAsia" w:ascii="宋体" w:hAnsi="宋体" w:eastAsia="宋体" w:cs="宋体"/>
                <w:sz w:val="24"/>
                <w:szCs w:val="24"/>
                <w:lang w:eastAsia="zh-CN"/>
              </w:rPr>
            </w:pPr>
            <w:r>
              <w:rPr>
                <w:rFonts w:hint="eastAsia" w:ascii="宋体" w:hAnsi="宋体" w:eastAsia="宋体" w:cs="宋体"/>
                <w:color w:val="000000"/>
                <w:kern w:val="0"/>
                <w:sz w:val="24"/>
                <w:szCs w:val="24"/>
              </w:rPr>
              <w:t>（一）</w:t>
            </w:r>
            <w:r>
              <w:rPr>
                <w:rFonts w:hint="eastAsia" w:ascii="宋体" w:hAnsi="宋体" w:eastAsia="宋体" w:cs="宋体"/>
                <w:b w:val="0"/>
                <w:bCs/>
                <w:color w:val="000000"/>
                <w:kern w:val="0"/>
                <w:sz w:val="24"/>
                <w:szCs w:val="24"/>
                <w:u w:val="none"/>
              </w:rPr>
              <w:t>未按照规定实施充装前后的检查、记录制度的</w:t>
            </w:r>
            <w:r>
              <w:rPr>
                <w:rFonts w:hint="eastAsia" w:ascii="宋体" w:hAnsi="宋体" w:cs="宋体"/>
                <w:b w:val="0"/>
                <w:bCs/>
                <w:color w:val="000000"/>
                <w:kern w:val="0"/>
                <w:sz w:val="24"/>
                <w:szCs w:val="24"/>
                <w:u w:val="none"/>
                <w:lang w:eastAsia="zh-CN"/>
              </w:rPr>
              <w:t>。</w:t>
            </w:r>
          </w:p>
        </w:tc>
        <w:tc>
          <w:tcPr>
            <w:tcW w:w="1132" w:type="dxa"/>
            <w:noWrap w:val="0"/>
            <w:vAlign w:val="center"/>
          </w:tcPr>
          <w:p w14:paraId="4186B0CC">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163A3673">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移动式压力容器5台</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以下；气瓶100支</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以下。</w:t>
            </w:r>
          </w:p>
        </w:tc>
        <w:tc>
          <w:tcPr>
            <w:tcW w:w="3251" w:type="dxa"/>
            <w:noWrap w:val="0"/>
            <w:vAlign w:val="center"/>
          </w:tcPr>
          <w:p w14:paraId="7572C6C9">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处2万元以上7.4万元以下罚款。</w:t>
            </w:r>
          </w:p>
        </w:tc>
      </w:tr>
      <w:tr w14:paraId="7569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jc w:val="center"/>
        </w:trPr>
        <w:tc>
          <w:tcPr>
            <w:tcW w:w="736" w:type="dxa"/>
            <w:vMerge w:val="continue"/>
            <w:noWrap w:val="0"/>
            <w:vAlign w:val="center"/>
          </w:tcPr>
          <w:p w14:paraId="6CC02847">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7501F959">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0C1EBC49">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both"/>
              <w:textAlignment w:val="auto"/>
              <w:rPr>
                <w:rFonts w:hint="eastAsia" w:ascii="宋体" w:hAnsi="宋体" w:eastAsia="宋体" w:cs="宋体"/>
                <w:color w:val="000000"/>
                <w:kern w:val="0"/>
                <w:sz w:val="24"/>
                <w:szCs w:val="24"/>
              </w:rPr>
            </w:pPr>
          </w:p>
        </w:tc>
        <w:tc>
          <w:tcPr>
            <w:tcW w:w="1132" w:type="dxa"/>
            <w:noWrap w:val="0"/>
            <w:vAlign w:val="center"/>
          </w:tcPr>
          <w:p w14:paraId="5293B83A">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47F2EE16">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移动式压力容器5台</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以上10台</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以下；气瓶100</w:t>
            </w:r>
            <w:r>
              <w:rPr>
                <w:rFonts w:hint="eastAsia" w:ascii="宋体" w:hAnsi="宋体" w:eastAsia="宋体" w:cs="宋体"/>
                <w:color w:val="000000"/>
                <w:spacing w:val="-6"/>
                <w:kern w:val="0"/>
                <w:sz w:val="24"/>
                <w:szCs w:val="24"/>
              </w:rPr>
              <w:t>支</w:t>
            </w:r>
            <w:r>
              <w:rPr>
                <w:rFonts w:hint="eastAsia" w:ascii="宋体" w:hAnsi="宋体" w:eastAsia="宋体" w:cs="宋体"/>
                <w:color w:val="000000"/>
                <w:spacing w:val="-6"/>
                <w:kern w:val="0"/>
                <w:sz w:val="24"/>
                <w:szCs w:val="24"/>
                <w:lang w:eastAsia="zh-CN"/>
              </w:rPr>
              <w:t>（</w:t>
            </w:r>
            <w:r>
              <w:rPr>
                <w:rFonts w:hint="eastAsia" w:ascii="宋体" w:hAnsi="宋体" w:eastAsia="宋体" w:cs="宋体"/>
                <w:color w:val="000000"/>
                <w:spacing w:val="-6"/>
                <w:kern w:val="0"/>
                <w:sz w:val="24"/>
                <w:szCs w:val="24"/>
                <w:lang w:val="en-US" w:eastAsia="zh-CN"/>
              </w:rPr>
              <w:t>次</w:t>
            </w:r>
            <w:r>
              <w:rPr>
                <w:rFonts w:hint="eastAsia" w:ascii="宋体" w:hAnsi="宋体" w:eastAsia="宋体" w:cs="宋体"/>
                <w:color w:val="000000"/>
                <w:spacing w:val="-6"/>
                <w:kern w:val="0"/>
                <w:sz w:val="24"/>
                <w:szCs w:val="24"/>
                <w:lang w:eastAsia="zh-CN"/>
              </w:rPr>
              <w:t>）</w:t>
            </w:r>
            <w:r>
              <w:rPr>
                <w:rFonts w:hint="eastAsia" w:ascii="宋体" w:hAnsi="宋体" w:eastAsia="宋体" w:cs="宋体"/>
                <w:color w:val="000000"/>
                <w:spacing w:val="-6"/>
                <w:kern w:val="0"/>
                <w:sz w:val="24"/>
                <w:szCs w:val="24"/>
              </w:rPr>
              <w:t>以上</w:t>
            </w:r>
            <w:r>
              <w:rPr>
                <w:rFonts w:hint="eastAsia" w:ascii="宋体" w:hAnsi="宋体" w:eastAsia="宋体" w:cs="宋体"/>
                <w:color w:val="000000"/>
                <w:spacing w:val="-6"/>
                <w:kern w:val="0"/>
                <w:sz w:val="24"/>
                <w:szCs w:val="24"/>
                <w:lang w:val="en-US" w:eastAsia="zh-CN"/>
              </w:rPr>
              <w:t>5</w:t>
            </w:r>
            <w:r>
              <w:rPr>
                <w:rFonts w:hint="eastAsia" w:ascii="宋体" w:hAnsi="宋体" w:eastAsia="宋体" w:cs="宋体"/>
                <w:color w:val="000000"/>
                <w:spacing w:val="-6"/>
                <w:kern w:val="0"/>
                <w:sz w:val="24"/>
                <w:szCs w:val="24"/>
              </w:rPr>
              <w:t>00支</w:t>
            </w:r>
            <w:r>
              <w:rPr>
                <w:rFonts w:hint="eastAsia" w:ascii="宋体" w:hAnsi="宋体" w:eastAsia="宋体" w:cs="宋体"/>
                <w:color w:val="000000"/>
                <w:spacing w:val="-6"/>
                <w:kern w:val="0"/>
                <w:sz w:val="24"/>
                <w:szCs w:val="24"/>
                <w:lang w:eastAsia="zh-CN"/>
              </w:rPr>
              <w:t>（</w:t>
            </w:r>
            <w:r>
              <w:rPr>
                <w:rFonts w:hint="eastAsia" w:ascii="宋体" w:hAnsi="宋体" w:eastAsia="宋体" w:cs="宋体"/>
                <w:color w:val="000000"/>
                <w:spacing w:val="-6"/>
                <w:kern w:val="0"/>
                <w:sz w:val="24"/>
                <w:szCs w:val="24"/>
                <w:lang w:val="en-US" w:eastAsia="zh-CN"/>
              </w:rPr>
              <w:t>次</w:t>
            </w:r>
            <w:r>
              <w:rPr>
                <w:rFonts w:hint="eastAsia" w:ascii="宋体" w:hAnsi="宋体" w:eastAsia="宋体" w:cs="宋体"/>
                <w:color w:val="000000"/>
                <w:spacing w:val="-6"/>
                <w:kern w:val="0"/>
                <w:sz w:val="24"/>
                <w:szCs w:val="24"/>
                <w:lang w:eastAsia="zh-CN"/>
              </w:rPr>
              <w:t>）</w:t>
            </w:r>
            <w:r>
              <w:rPr>
                <w:rFonts w:hint="eastAsia" w:ascii="宋体" w:hAnsi="宋体" w:eastAsia="宋体" w:cs="宋体"/>
                <w:color w:val="000000"/>
                <w:spacing w:val="-6"/>
                <w:kern w:val="0"/>
                <w:sz w:val="24"/>
                <w:szCs w:val="24"/>
              </w:rPr>
              <w:t>以下。</w:t>
            </w:r>
          </w:p>
        </w:tc>
        <w:tc>
          <w:tcPr>
            <w:tcW w:w="3251" w:type="dxa"/>
            <w:noWrap w:val="0"/>
            <w:vAlign w:val="center"/>
          </w:tcPr>
          <w:p w14:paraId="75B437D7">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处7.4万元以上14.6万元以下罚款。</w:t>
            </w:r>
          </w:p>
        </w:tc>
      </w:tr>
      <w:tr w14:paraId="2257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exact"/>
          <w:jc w:val="center"/>
        </w:trPr>
        <w:tc>
          <w:tcPr>
            <w:tcW w:w="736" w:type="dxa"/>
            <w:vMerge w:val="continue"/>
            <w:noWrap w:val="0"/>
            <w:vAlign w:val="center"/>
          </w:tcPr>
          <w:p w14:paraId="4E8DFEE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71858C7A">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51AFFBB9">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both"/>
              <w:textAlignment w:val="auto"/>
              <w:rPr>
                <w:rFonts w:hint="eastAsia" w:ascii="宋体" w:hAnsi="宋体" w:eastAsia="宋体" w:cs="宋体"/>
                <w:color w:val="000000"/>
                <w:kern w:val="0"/>
                <w:sz w:val="24"/>
                <w:szCs w:val="24"/>
              </w:rPr>
            </w:pPr>
          </w:p>
        </w:tc>
        <w:tc>
          <w:tcPr>
            <w:tcW w:w="1132" w:type="dxa"/>
            <w:noWrap w:val="0"/>
            <w:vAlign w:val="center"/>
          </w:tcPr>
          <w:p w14:paraId="4CC8D536">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36292A6B">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移动式压力容器10台</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以上；气瓶</w:t>
            </w: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rPr>
              <w:t>00支</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以上。</w:t>
            </w:r>
          </w:p>
        </w:tc>
        <w:tc>
          <w:tcPr>
            <w:tcW w:w="3251" w:type="dxa"/>
            <w:noWrap w:val="0"/>
            <w:vAlign w:val="center"/>
          </w:tcPr>
          <w:p w14:paraId="636B92A1">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处14.6万元以上20万元以下罚款；情节严重的，吊销充装许可证。</w:t>
            </w:r>
          </w:p>
        </w:tc>
      </w:tr>
      <w:tr w14:paraId="2C28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jc w:val="center"/>
        </w:trPr>
        <w:tc>
          <w:tcPr>
            <w:tcW w:w="736" w:type="dxa"/>
            <w:vMerge w:val="restart"/>
            <w:noWrap w:val="0"/>
            <w:vAlign w:val="center"/>
          </w:tcPr>
          <w:p w14:paraId="7849D7CF">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6</w:t>
            </w:r>
            <w:r>
              <w:rPr>
                <w:rFonts w:hint="eastAsia" w:ascii="宋体" w:hAnsi="宋体" w:cs="宋体"/>
                <w:b w:val="0"/>
                <w:bCs w:val="0"/>
                <w:color w:val="000000"/>
                <w:kern w:val="0"/>
                <w:sz w:val="24"/>
                <w:szCs w:val="24"/>
                <w:lang w:val="en-US" w:eastAsia="zh-CN"/>
              </w:rPr>
              <w:t>2</w:t>
            </w:r>
          </w:p>
        </w:tc>
        <w:tc>
          <w:tcPr>
            <w:tcW w:w="1748" w:type="dxa"/>
            <w:vMerge w:val="restart"/>
            <w:noWrap w:val="0"/>
            <w:vAlign w:val="center"/>
          </w:tcPr>
          <w:p w14:paraId="2371ACB2">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4836F2EC">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第八十五条第一款</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违反本法规定，移动式压力容器、气瓶充装单位有下列行为之一的，责令改正，处二万元以上二十万元以下罚款；情节严重的，吊销充装许可证：</w:t>
            </w:r>
          </w:p>
          <w:p w14:paraId="38A2359D">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（二）</w:t>
            </w:r>
            <w:r>
              <w:rPr>
                <w:rFonts w:hint="eastAsia" w:ascii="宋体" w:hAnsi="宋体" w:eastAsia="宋体" w:cs="宋体"/>
                <w:b w:val="0"/>
                <w:bCs/>
                <w:color w:val="000000"/>
                <w:kern w:val="0"/>
                <w:sz w:val="24"/>
                <w:szCs w:val="24"/>
                <w:u w:val="none"/>
              </w:rPr>
              <w:t>对不符合安全技术规范要求的移动式压力容器和气瓶进行充装的。</w:t>
            </w:r>
          </w:p>
        </w:tc>
        <w:tc>
          <w:tcPr>
            <w:tcW w:w="1132" w:type="dxa"/>
            <w:noWrap w:val="0"/>
            <w:vAlign w:val="center"/>
          </w:tcPr>
          <w:p w14:paraId="119A19CF">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37C918F0">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移动式压力容器2台</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以下；气瓶5支</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以下。</w:t>
            </w:r>
          </w:p>
        </w:tc>
        <w:tc>
          <w:tcPr>
            <w:tcW w:w="3251" w:type="dxa"/>
            <w:noWrap w:val="0"/>
            <w:vAlign w:val="center"/>
          </w:tcPr>
          <w:p w14:paraId="71705336">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处2万元以上7.4万元以下罚款。</w:t>
            </w:r>
          </w:p>
        </w:tc>
      </w:tr>
      <w:tr w14:paraId="4962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jc w:val="center"/>
        </w:trPr>
        <w:tc>
          <w:tcPr>
            <w:tcW w:w="736" w:type="dxa"/>
            <w:vMerge w:val="continue"/>
            <w:noWrap w:val="0"/>
            <w:vAlign w:val="center"/>
          </w:tcPr>
          <w:p w14:paraId="76175B92">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1FAB9E7A">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55FA38D3">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12B1ABD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4C0BD440">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移动式压力容器2台</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以上5台</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以下；气瓶5支</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以上10支</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以下。</w:t>
            </w:r>
          </w:p>
        </w:tc>
        <w:tc>
          <w:tcPr>
            <w:tcW w:w="3251" w:type="dxa"/>
            <w:noWrap w:val="0"/>
            <w:vAlign w:val="center"/>
          </w:tcPr>
          <w:p w14:paraId="3AFBC6A4">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处7.4万元以上14.6万元以下罚款。</w:t>
            </w:r>
          </w:p>
        </w:tc>
      </w:tr>
      <w:tr w14:paraId="015E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jc w:val="center"/>
        </w:trPr>
        <w:tc>
          <w:tcPr>
            <w:tcW w:w="736" w:type="dxa"/>
            <w:vMerge w:val="continue"/>
            <w:noWrap w:val="0"/>
            <w:vAlign w:val="center"/>
          </w:tcPr>
          <w:p w14:paraId="1F63E39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0B276181">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5A095CAE">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7AD684D0">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6BA061A9">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移动式压力容器5台</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以上；气瓶10支</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以上。</w:t>
            </w:r>
          </w:p>
        </w:tc>
        <w:tc>
          <w:tcPr>
            <w:tcW w:w="3251" w:type="dxa"/>
            <w:noWrap w:val="0"/>
            <w:vAlign w:val="center"/>
          </w:tcPr>
          <w:p w14:paraId="3E6B8912">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处14.6万元以上20万元以下罚款；情节严重的，吊销充装许可证。</w:t>
            </w:r>
          </w:p>
        </w:tc>
      </w:tr>
      <w:tr w14:paraId="12FD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736" w:type="dxa"/>
            <w:vMerge w:val="restart"/>
            <w:noWrap w:val="0"/>
            <w:vAlign w:val="center"/>
          </w:tcPr>
          <w:p w14:paraId="630BC7E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6</w:t>
            </w:r>
            <w:r>
              <w:rPr>
                <w:rFonts w:hint="eastAsia" w:ascii="宋体" w:hAnsi="宋体" w:cs="宋体"/>
                <w:b w:val="0"/>
                <w:bCs w:val="0"/>
                <w:color w:val="000000"/>
                <w:kern w:val="0"/>
                <w:sz w:val="24"/>
                <w:szCs w:val="24"/>
                <w:lang w:val="en-US" w:eastAsia="zh-CN"/>
              </w:rPr>
              <w:t>3</w:t>
            </w:r>
          </w:p>
        </w:tc>
        <w:tc>
          <w:tcPr>
            <w:tcW w:w="1748" w:type="dxa"/>
            <w:vMerge w:val="restart"/>
            <w:noWrap w:val="0"/>
            <w:vAlign w:val="center"/>
          </w:tcPr>
          <w:p w14:paraId="5454E185">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3516A918">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第八十五条第二款</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w:t>
            </w:r>
            <w:r>
              <w:rPr>
                <w:rFonts w:hint="eastAsia" w:ascii="宋体" w:hAnsi="宋体" w:eastAsia="宋体" w:cs="宋体"/>
                <w:b w:val="0"/>
                <w:bCs/>
                <w:color w:val="000000"/>
                <w:kern w:val="0"/>
                <w:sz w:val="24"/>
                <w:szCs w:val="24"/>
                <w:u w:val="none"/>
              </w:rPr>
              <w:t>未经许可，擅自从事移动式压力容器或者气瓶充装活动的，</w:t>
            </w:r>
            <w:r>
              <w:rPr>
                <w:rFonts w:hint="eastAsia" w:ascii="宋体" w:hAnsi="宋体" w:eastAsia="宋体" w:cs="宋体"/>
                <w:color w:val="000000"/>
                <w:kern w:val="0"/>
                <w:sz w:val="24"/>
                <w:szCs w:val="24"/>
              </w:rPr>
              <w:t>予以取缔，没收违法充装的气瓶，处十万元以上五十万元以下罚款；有违法所得的，没收违法所得。</w:t>
            </w:r>
          </w:p>
          <w:p w14:paraId="45500C8F">
            <w:pPr>
              <w:pStyle w:val="16"/>
              <w:pageBreakBefore w:val="0"/>
              <w:kinsoku/>
              <w:wordWrap/>
              <w:overflowPunct/>
              <w:topLinePunct w:val="0"/>
              <w:bidi w:val="0"/>
              <w:snapToGrid w:val="0"/>
              <w:spacing w:beforeAutospacing="0" w:afterAutospacing="0" w:line="380" w:lineRule="exact"/>
              <w:ind w:left="0"/>
              <w:rPr>
                <w:rFonts w:hint="eastAsia" w:ascii="宋体" w:hAnsi="宋体" w:eastAsia="宋体" w:cs="宋体"/>
                <w:sz w:val="24"/>
                <w:szCs w:val="24"/>
                <w:lang w:eastAsia="zh-CN"/>
              </w:rPr>
            </w:pPr>
          </w:p>
        </w:tc>
        <w:tc>
          <w:tcPr>
            <w:tcW w:w="1132" w:type="dxa"/>
            <w:noWrap w:val="0"/>
            <w:vAlign w:val="center"/>
          </w:tcPr>
          <w:p w14:paraId="63E643B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5453EF67">
            <w:pPr>
              <w:keepNext w:val="0"/>
              <w:keepLines w:val="0"/>
              <w:pageBreakBefore w:val="0"/>
              <w:widowControl/>
              <w:kinsoku/>
              <w:wordWrap/>
              <w:overflowPunct/>
              <w:topLinePunct w:val="0"/>
              <w:autoSpaceDE/>
              <w:autoSpaceDN/>
              <w:bidi w:val="0"/>
              <w:adjustRightInd/>
              <w:snapToGrid w:val="0"/>
              <w:spacing w:beforeAutospacing="0" w:afterAutospacing="0" w:line="36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移动式压力容器2台</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以下；充装气瓶100</w:t>
            </w:r>
            <w:r>
              <w:rPr>
                <w:rFonts w:hint="eastAsia" w:ascii="宋体" w:hAnsi="宋体" w:eastAsia="宋体" w:cs="宋体"/>
                <w:color w:val="000000"/>
                <w:kern w:val="0"/>
                <w:sz w:val="24"/>
                <w:szCs w:val="24"/>
                <w:lang w:val="en-US" w:eastAsia="zh-CN"/>
              </w:rPr>
              <w:t>支</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以下的。</w:t>
            </w:r>
          </w:p>
        </w:tc>
        <w:tc>
          <w:tcPr>
            <w:tcW w:w="3251" w:type="dxa"/>
            <w:noWrap w:val="0"/>
            <w:vAlign w:val="center"/>
          </w:tcPr>
          <w:p w14:paraId="54BB102F">
            <w:pPr>
              <w:keepNext w:val="0"/>
              <w:keepLines w:val="0"/>
              <w:pageBreakBefore w:val="0"/>
              <w:widowControl/>
              <w:kinsoku/>
              <w:wordWrap/>
              <w:overflowPunct/>
              <w:topLinePunct w:val="0"/>
              <w:autoSpaceDE/>
              <w:autoSpaceDN/>
              <w:bidi w:val="0"/>
              <w:adjustRightInd/>
              <w:snapToGrid w:val="0"/>
              <w:spacing w:beforeAutospacing="0" w:afterAutospacing="0" w:line="36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予以取缔，没收违法充装的气瓶，处10万元以上22万元以下罚款；有违法所得的，没收违法所得。</w:t>
            </w:r>
          </w:p>
        </w:tc>
      </w:tr>
      <w:tr w14:paraId="0F0E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jc w:val="center"/>
        </w:trPr>
        <w:tc>
          <w:tcPr>
            <w:tcW w:w="736" w:type="dxa"/>
            <w:vMerge w:val="continue"/>
            <w:noWrap w:val="0"/>
            <w:vAlign w:val="center"/>
          </w:tcPr>
          <w:p w14:paraId="7460BD5B">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04AAEF1A">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7B52EFDB">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3D532FC0">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47C818CA">
            <w:pPr>
              <w:keepNext w:val="0"/>
              <w:keepLines w:val="0"/>
              <w:pageBreakBefore w:val="0"/>
              <w:widowControl/>
              <w:kinsoku/>
              <w:wordWrap/>
              <w:overflowPunct/>
              <w:topLinePunct w:val="0"/>
              <w:autoSpaceDE/>
              <w:autoSpaceDN/>
              <w:bidi w:val="0"/>
              <w:adjustRightInd/>
              <w:snapToGrid w:val="0"/>
              <w:spacing w:beforeAutospacing="0" w:afterAutospacing="0" w:line="36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移动式压力容器2台</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以上5台</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以下；充装气瓶100只</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以上300</w:t>
            </w:r>
            <w:r>
              <w:rPr>
                <w:rFonts w:hint="eastAsia" w:ascii="宋体" w:hAnsi="宋体" w:eastAsia="宋体" w:cs="宋体"/>
                <w:color w:val="000000"/>
                <w:kern w:val="0"/>
                <w:sz w:val="24"/>
                <w:szCs w:val="24"/>
                <w:lang w:val="en-US" w:eastAsia="zh-CN"/>
              </w:rPr>
              <w:t>支</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以下的。</w:t>
            </w:r>
          </w:p>
        </w:tc>
        <w:tc>
          <w:tcPr>
            <w:tcW w:w="3251" w:type="dxa"/>
            <w:noWrap w:val="0"/>
            <w:vAlign w:val="center"/>
          </w:tcPr>
          <w:p w14:paraId="6443CDDC">
            <w:pPr>
              <w:keepNext w:val="0"/>
              <w:keepLines w:val="0"/>
              <w:pageBreakBefore w:val="0"/>
              <w:widowControl/>
              <w:kinsoku/>
              <w:wordWrap/>
              <w:overflowPunct/>
              <w:topLinePunct w:val="0"/>
              <w:autoSpaceDE/>
              <w:autoSpaceDN/>
              <w:bidi w:val="0"/>
              <w:adjustRightInd/>
              <w:snapToGrid w:val="0"/>
              <w:spacing w:beforeAutospacing="0" w:afterAutospacing="0" w:line="36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予以取缔，没收违法充装的气瓶，处22万元以上38万元以下罚款；有违法所得的，没收违法所得。</w:t>
            </w:r>
          </w:p>
        </w:tc>
      </w:tr>
      <w:tr w14:paraId="655A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736" w:type="dxa"/>
            <w:vMerge w:val="continue"/>
            <w:noWrap w:val="0"/>
            <w:vAlign w:val="center"/>
          </w:tcPr>
          <w:p w14:paraId="6EFD6CD4">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27777541">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242092AC">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4FAEF07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791C3202">
            <w:pPr>
              <w:keepNext w:val="0"/>
              <w:keepLines w:val="0"/>
              <w:pageBreakBefore w:val="0"/>
              <w:widowControl/>
              <w:kinsoku/>
              <w:wordWrap/>
              <w:overflowPunct/>
              <w:topLinePunct w:val="0"/>
              <w:autoSpaceDE/>
              <w:autoSpaceDN/>
              <w:bidi w:val="0"/>
              <w:adjustRightInd/>
              <w:snapToGrid w:val="0"/>
              <w:spacing w:beforeAutospacing="0" w:afterAutospacing="0" w:line="36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移动式压力容器5台</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以上；充装气瓶300</w:t>
            </w:r>
            <w:r>
              <w:rPr>
                <w:rFonts w:hint="eastAsia" w:ascii="宋体" w:hAnsi="宋体" w:eastAsia="宋体" w:cs="宋体"/>
                <w:color w:val="000000"/>
                <w:kern w:val="0"/>
                <w:sz w:val="24"/>
                <w:szCs w:val="24"/>
                <w:lang w:val="en-US" w:eastAsia="zh-CN"/>
              </w:rPr>
              <w:t>支</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次</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以上。</w:t>
            </w:r>
          </w:p>
        </w:tc>
        <w:tc>
          <w:tcPr>
            <w:tcW w:w="3251" w:type="dxa"/>
            <w:noWrap w:val="0"/>
            <w:vAlign w:val="center"/>
          </w:tcPr>
          <w:p w14:paraId="73A2436F">
            <w:pPr>
              <w:keepNext w:val="0"/>
              <w:keepLines w:val="0"/>
              <w:pageBreakBefore w:val="0"/>
              <w:widowControl/>
              <w:kinsoku/>
              <w:wordWrap/>
              <w:overflowPunct/>
              <w:topLinePunct w:val="0"/>
              <w:autoSpaceDE/>
              <w:autoSpaceDN/>
              <w:bidi w:val="0"/>
              <w:adjustRightInd/>
              <w:snapToGrid w:val="0"/>
              <w:spacing w:beforeAutospacing="0" w:afterAutospacing="0" w:line="36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予以取缔，没收违法充装的气瓶，处38万元以上50万元以下罚款；有违法所得的，没收违法所得。</w:t>
            </w:r>
          </w:p>
        </w:tc>
      </w:tr>
      <w:tr w14:paraId="57DC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736" w:type="dxa"/>
            <w:vMerge w:val="restart"/>
            <w:noWrap w:val="0"/>
            <w:vAlign w:val="center"/>
          </w:tcPr>
          <w:p w14:paraId="70CAF889">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6</w:t>
            </w:r>
            <w:r>
              <w:rPr>
                <w:rFonts w:hint="eastAsia" w:ascii="宋体" w:hAnsi="宋体" w:cs="宋体"/>
                <w:b w:val="0"/>
                <w:bCs w:val="0"/>
                <w:color w:val="000000"/>
                <w:kern w:val="0"/>
                <w:sz w:val="24"/>
                <w:szCs w:val="24"/>
                <w:lang w:val="en-US" w:eastAsia="zh-CN"/>
              </w:rPr>
              <w:t>4</w:t>
            </w:r>
          </w:p>
        </w:tc>
        <w:tc>
          <w:tcPr>
            <w:tcW w:w="1748" w:type="dxa"/>
            <w:vMerge w:val="restart"/>
            <w:noWrap w:val="0"/>
            <w:vAlign w:val="center"/>
          </w:tcPr>
          <w:p w14:paraId="35147037">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7B3AE517">
            <w:pPr>
              <w:keepNext w:val="0"/>
              <w:keepLines w:val="0"/>
              <w:pageBreakBefore w:val="0"/>
              <w:widowControl/>
              <w:kinsoku/>
              <w:wordWrap/>
              <w:overflowPunct/>
              <w:topLinePunct w:val="0"/>
              <w:autoSpaceDE/>
              <w:autoSpaceDN/>
              <w:bidi w:val="0"/>
              <w:adjustRightInd/>
              <w:snapToGrid w:val="0"/>
              <w:spacing w:beforeAutospacing="0" w:afterAutospacing="0" w:line="350" w:lineRule="exact"/>
              <w:ind w:left="0"/>
              <w:textAlignment w:val="auto"/>
              <w:rPr>
                <w:rFonts w:hint="eastAsia" w:ascii="宋体" w:hAnsi="宋体" w:eastAsia="宋体" w:cs="宋体"/>
                <w:color w:val="000000"/>
                <w:spacing w:val="-6"/>
                <w:kern w:val="0"/>
                <w:sz w:val="24"/>
                <w:szCs w:val="24"/>
                <w:lang w:eastAsia="zh-CN"/>
              </w:rPr>
            </w:pPr>
            <w:r>
              <w:rPr>
                <w:rFonts w:hint="eastAsia" w:ascii="宋体" w:hAnsi="宋体" w:eastAsia="宋体" w:cs="宋体"/>
                <w:color w:val="000000"/>
                <w:kern w:val="0"/>
                <w:sz w:val="24"/>
                <w:szCs w:val="24"/>
              </w:rPr>
              <w:t>第八十六条</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spacing w:val="-6"/>
                <w:kern w:val="0"/>
                <w:sz w:val="24"/>
                <w:szCs w:val="24"/>
              </w:rPr>
              <w:t>违反本法规定，特种设备生产、经营、使用单位有下列情形之一的，责令限期改正；逾期未改正的，责令停止使用有关特种设备或者停产停业整顿，处一万元以上五万元以下罚款：</w:t>
            </w:r>
          </w:p>
          <w:p w14:paraId="3C60E824">
            <w:pPr>
              <w:keepNext w:val="0"/>
              <w:keepLines w:val="0"/>
              <w:pageBreakBefore w:val="0"/>
              <w:widowControl/>
              <w:kinsoku/>
              <w:wordWrap/>
              <w:overflowPunct/>
              <w:topLinePunct w:val="0"/>
              <w:autoSpaceDE/>
              <w:autoSpaceDN/>
              <w:bidi w:val="0"/>
              <w:adjustRightInd/>
              <w:snapToGrid w:val="0"/>
              <w:spacing w:beforeAutospacing="0" w:afterAutospacing="0" w:line="350" w:lineRule="exact"/>
              <w:ind w:left="0"/>
              <w:textAlignment w:val="auto"/>
              <w:rPr>
                <w:rFonts w:hint="eastAsia" w:ascii="宋体" w:hAnsi="宋体" w:eastAsia="宋体" w:cs="宋体"/>
                <w:b w:val="0"/>
                <w:bCs/>
                <w:color w:val="000000"/>
                <w:spacing w:val="-6"/>
                <w:kern w:val="0"/>
                <w:sz w:val="24"/>
                <w:szCs w:val="24"/>
                <w:u w:val="none"/>
                <w:lang w:eastAsia="zh-CN"/>
              </w:rPr>
            </w:pPr>
            <w:r>
              <w:rPr>
                <w:rFonts w:hint="eastAsia" w:ascii="宋体" w:hAnsi="宋体" w:eastAsia="宋体" w:cs="宋体"/>
                <w:color w:val="000000"/>
                <w:kern w:val="0"/>
                <w:sz w:val="24"/>
                <w:szCs w:val="24"/>
              </w:rPr>
              <w:t>（一）</w:t>
            </w:r>
            <w:r>
              <w:rPr>
                <w:rFonts w:hint="eastAsia" w:ascii="宋体" w:hAnsi="宋体" w:eastAsia="宋体" w:cs="宋体"/>
                <w:b w:val="0"/>
                <w:bCs/>
                <w:color w:val="000000"/>
                <w:spacing w:val="-6"/>
                <w:kern w:val="0"/>
                <w:sz w:val="24"/>
                <w:szCs w:val="24"/>
                <w:u w:val="none"/>
              </w:rPr>
              <w:t>未配备具有相应资格的特种设备安全管理人员、检测人员和作业人员的；</w:t>
            </w:r>
          </w:p>
          <w:p w14:paraId="3568D001">
            <w:pPr>
              <w:pageBreakBefore w:val="0"/>
              <w:widowControl/>
              <w:kinsoku/>
              <w:wordWrap/>
              <w:overflowPunct/>
              <w:topLinePunct w:val="0"/>
              <w:bidi w:val="0"/>
              <w:snapToGrid w:val="0"/>
              <w:spacing w:beforeAutospacing="0" w:afterAutospacing="0" w:line="350" w:lineRule="exact"/>
              <w:ind w:left="0"/>
              <w:rPr>
                <w:rFonts w:hint="eastAsia" w:ascii="宋体" w:hAnsi="宋体" w:eastAsia="宋体" w:cs="宋体"/>
                <w:b w:val="0"/>
                <w:bCs/>
                <w:color w:val="000000"/>
                <w:kern w:val="0"/>
                <w:sz w:val="24"/>
                <w:szCs w:val="24"/>
                <w:u w:val="none"/>
                <w:lang w:eastAsia="zh-CN"/>
              </w:rPr>
            </w:pPr>
            <w:r>
              <w:rPr>
                <w:rFonts w:hint="eastAsia" w:ascii="宋体" w:hAnsi="宋体" w:eastAsia="宋体" w:cs="宋体"/>
                <w:b w:val="0"/>
                <w:bCs/>
                <w:color w:val="000000"/>
                <w:kern w:val="0"/>
                <w:sz w:val="24"/>
                <w:szCs w:val="24"/>
                <w:u w:val="none"/>
              </w:rPr>
              <w:t>（二）使用未取得相应资格的人员从事特种设备安全管理、检测和作业的；</w:t>
            </w:r>
          </w:p>
          <w:p w14:paraId="79B234E1">
            <w:pPr>
              <w:pageBreakBefore w:val="0"/>
              <w:widowControl/>
              <w:kinsoku/>
              <w:wordWrap/>
              <w:overflowPunct/>
              <w:topLinePunct w:val="0"/>
              <w:bidi w:val="0"/>
              <w:snapToGrid w:val="0"/>
              <w:spacing w:beforeAutospacing="0" w:afterAutospacing="0" w:line="350" w:lineRule="exact"/>
              <w:ind w:left="0"/>
              <w:rPr>
                <w:rFonts w:hint="eastAsia" w:ascii="宋体" w:hAnsi="宋体" w:eastAsia="宋体" w:cs="宋体"/>
                <w:color w:val="000000"/>
                <w:kern w:val="0"/>
                <w:sz w:val="24"/>
                <w:szCs w:val="24"/>
              </w:rPr>
            </w:pPr>
            <w:r>
              <w:rPr>
                <w:rFonts w:hint="eastAsia" w:ascii="宋体" w:hAnsi="宋体" w:eastAsia="宋体" w:cs="宋体"/>
                <w:b w:val="0"/>
                <w:bCs/>
                <w:color w:val="000000"/>
                <w:kern w:val="0"/>
                <w:sz w:val="24"/>
                <w:szCs w:val="24"/>
                <w:u w:val="none"/>
              </w:rPr>
              <w:t>（三）未对特种设备安全管理人员、检测人员和作业人员进行安全教育和技能培训的。</w:t>
            </w:r>
          </w:p>
        </w:tc>
        <w:tc>
          <w:tcPr>
            <w:tcW w:w="1132" w:type="dxa"/>
            <w:noWrap w:val="0"/>
            <w:vAlign w:val="center"/>
          </w:tcPr>
          <w:p w14:paraId="541BA7AA">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7BA5E9CB">
            <w:pPr>
              <w:pageBreakBefore w:val="0"/>
              <w:widowControl/>
              <w:kinsoku/>
              <w:wordWrap/>
              <w:overflowPunct/>
              <w:topLinePunct w:val="0"/>
              <w:bidi w:val="0"/>
              <w:snapToGrid w:val="0"/>
              <w:spacing w:beforeAutospacing="0" w:afterAutospacing="0" w:line="380" w:lineRule="exact"/>
              <w:ind w:left="0" w:leftChars="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违法行为持续时间</w:t>
            </w:r>
            <w:r>
              <w:rPr>
                <w:rFonts w:hint="eastAsia" w:ascii="宋体" w:hAnsi="宋体" w:eastAsia="宋体" w:cs="宋体"/>
                <w:color w:val="auto"/>
                <w:kern w:val="0"/>
                <w:sz w:val="24"/>
                <w:szCs w:val="24"/>
                <w:lang w:val="en-US" w:eastAsia="zh-CN"/>
              </w:rPr>
              <w:t>6</w:t>
            </w:r>
            <w:r>
              <w:rPr>
                <w:rFonts w:hint="eastAsia" w:ascii="宋体" w:hAnsi="宋体" w:eastAsia="宋体" w:cs="宋体"/>
                <w:color w:val="auto"/>
                <w:kern w:val="0"/>
                <w:sz w:val="24"/>
                <w:szCs w:val="24"/>
              </w:rPr>
              <w:t>个月以下。</w:t>
            </w:r>
          </w:p>
        </w:tc>
        <w:tc>
          <w:tcPr>
            <w:tcW w:w="3251" w:type="dxa"/>
            <w:noWrap w:val="0"/>
            <w:vAlign w:val="center"/>
          </w:tcPr>
          <w:p w14:paraId="1DB5254A">
            <w:pPr>
              <w:keepNext w:val="0"/>
              <w:keepLines w:val="0"/>
              <w:pageBreakBefore w:val="0"/>
              <w:widowControl/>
              <w:kinsoku/>
              <w:wordWrap/>
              <w:overflowPunct/>
              <w:topLinePunct w:val="0"/>
              <w:autoSpaceDE/>
              <w:autoSpaceDN/>
              <w:bidi w:val="0"/>
              <w:adjustRightInd/>
              <w:snapToGrid w:val="0"/>
              <w:spacing w:beforeAutospacing="0" w:afterAutospacing="0" w:line="36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逾期未改正的，责令停止使用或者停产停业整顿，处1万元以上2.2万元以下罚款。</w:t>
            </w:r>
          </w:p>
        </w:tc>
      </w:tr>
      <w:tr w14:paraId="16FC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6" w:type="dxa"/>
            <w:vMerge w:val="continue"/>
            <w:noWrap w:val="0"/>
            <w:vAlign w:val="center"/>
          </w:tcPr>
          <w:p w14:paraId="3F20767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3B68E991">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09A27851">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27D317C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15B0EB70">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违法行为持续时间</w:t>
            </w:r>
            <w:r>
              <w:rPr>
                <w:rFonts w:hint="eastAsia" w:ascii="宋体" w:hAnsi="宋体" w:eastAsia="宋体" w:cs="宋体"/>
                <w:color w:val="auto"/>
                <w:kern w:val="0"/>
                <w:sz w:val="24"/>
                <w:szCs w:val="24"/>
                <w:lang w:val="en-US" w:eastAsia="zh-CN"/>
              </w:rPr>
              <w:t>6</w:t>
            </w:r>
            <w:r>
              <w:rPr>
                <w:rFonts w:hint="eastAsia" w:ascii="宋体" w:hAnsi="宋体" w:eastAsia="宋体" w:cs="宋体"/>
                <w:color w:val="auto"/>
                <w:kern w:val="0"/>
                <w:sz w:val="24"/>
                <w:szCs w:val="24"/>
              </w:rPr>
              <w:t>个月以上</w:t>
            </w:r>
            <w:r>
              <w:rPr>
                <w:rFonts w:hint="eastAsia" w:ascii="宋体" w:hAnsi="宋体" w:eastAsia="宋体" w:cs="宋体"/>
                <w:color w:val="auto"/>
                <w:kern w:val="0"/>
                <w:sz w:val="24"/>
                <w:szCs w:val="24"/>
                <w:lang w:val="en-US" w:eastAsia="zh-CN"/>
              </w:rPr>
              <w:t>12</w:t>
            </w:r>
            <w:r>
              <w:rPr>
                <w:rFonts w:hint="eastAsia" w:ascii="宋体" w:hAnsi="宋体" w:eastAsia="宋体" w:cs="宋体"/>
                <w:color w:val="auto"/>
                <w:kern w:val="0"/>
                <w:sz w:val="24"/>
                <w:szCs w:val="24"/>
              </w:rPr>
              <w:t>个月以下。</w:t>
            </w:r>
          </w:p>
          <w:p w14:paraId="24EBD6FF">
            <w:pPr>
              <w:pageBreakBefore w:val="0"/>
              <w:widowControl/>
              <w:kinsoku/>
              <w:wordWrap/>
              <w:overflowPunct/>
              <w:topLinePunct w:val="0"/>
              <w:bidi w:val="0"/>
              <w:snapToGrid w:val="0"/>
              <w:spacing w:beforeAutospacing="0" w:afterAutospacing="0" w:line="380" w:lineRule="exact"/>
              <w:ind w:left="0" w:leftChars="0"/>
              <w:rPr>
                <w:rFonts w:hint="eastAsia" w:ascii="宋体" w:hAnsi="宋体" w:eastAsia="宋体" w:cs="宋体"/>
                <w:color w:val="auto"/>
                <w:kern w:val="0"/>
                <w:sz w:val="24"/>
                <w:szCs w:val="24"/>
              </w:rPr>
            </w:pPr>
          </w:p>
        </w:tc>
        <w:tc>
          <w:tcPr>
            <w:tcW w:w="3251" w:type="dxa"/>
            <w:noWrap w:val="0"/>
            <w:vAlign w:val="center"/>
          </w:tcPr>
          <w:p w14:paraId="424B2EDE">
            <w:pPr>
              <w:keepNext w:val="0"/>
              <w:keepLines w:val="0"/>
              <w:pageBreakBefore w:val="0"/>
              <w:widowControl/>
              <w:kinsoku/>
              <w:wordWrap/>
              <w:overflowPunct/>
              <w:topLinePunct w:val="0"/>
              <w:autoSpaceDE/>
              <w:autoSpaceDN/>
              <w:bidi w:val="0"/>
              <w:adjustRightInd/>
              <w:snapToGrid w:val="0"/>
              <w:spacing w:beforeAutospacing="0" w:afterAutospacing="0" w:line="36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逾期未改正的，责令停止使用或者停产停业整顿，处2.2万元以上3.8万元以下罚款。</w:t>
            </w:r>
          </w:p>
        </w:tc>
      </w:tr>
      <w:tr w14:paraId="1BA26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736" w:type="dxa"/>
            <w:vMerge w:val="continue"/>
            <w:noWrap w:val="0"/>
            <w:vAlign w:val="center"/>
          </w:tcPr>
          <w:p w14:paraId="748B93EA">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1FDF7756">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2B847169">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3D7A8B1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5683B06C">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违法行为持续时间</w:t>
            </w:r>
            <w:r>
              <w:rPr>
                <w:rFonts w:hint="eastAsia" w:ascii="宋体" w:hAnsi="宋体" w:eastAsia="宋体" w:cs="宋体"/>
                <w:color w:val="auto"/>
                <w:kern w:val="0"/>
                <w:sz w:val="24"/>
                <w:szCs w:val="24"/>
                <w:lang w:val="en-US" w:eastAsia="zh-CN"/>
              </w:rPr>
              <w:t>12</w:t>
            </w:r>
            <w:r>
              <w:rPr>
                <w:rFonts w:hint="eastAsia" w:ascii="宋体" w:hAnsi="宋体" w:eastAsia="宋体" w:cs="宋体"/>
                <w:color w:val="auto"/>
                <w:kern w:val="0"/>
                <w:sz w:val="24"/>
                <w:szCs w:val="24"/>
              </w:rPr>
              <w:t>个月以上。</w:t>
            </w:r>
          </w:p>
          <w:p w14:paraId="27DDBAE6">
            <w:pPr>
              <w:pageBreakBefore w:val="0"/>
              <w:widowControl/>
              <w:kinsoku/>
              <w:wordWrap/>
              <w:overflowPunct/>
              <w:topLinePunct w:val="0"/>
              <w:bidi w:val="0"/>
              <w:snapToGrid w:val="0"/>
              <w:spacing w:beforeAutospacing="0" w:afterAutospacing="0" w:line="380" w:lineRule="exact"/>
              <w:ind w:left="0" w:leftChars="0"/>
              <w:rPr>
                <w:rFonts w:hint="eastAsia" w:ascii="宋体" w:hAnsi="宋体" w:eastAsia="宋体" w:cs="宋体"/>
                <w:color w:val="auto"/>
                <w:kern w:val="0"/>
                <w:sz w:val="24"/>
                <w:szCs w:val="24"/>
              </w:rPr>
            </w:pPr>
          </w:p>
        </w:tc>
        <w:tc>
          <w:tcPr>
            <w:tcW w:w="3251" w:type="dxa"/>
            <w:noWrap w:val="0"/>
            <w:vAlign w:val="center"/>
          </w:tcPr>
          <w:p w14:paraId="313A7B66">
            <w:pPr>
              <w:keepNext w:val="0"/>
              <w:keepLines w:val="0"/>
              <w:pageBreakBefore w:val="0"/>
              <w:widowControl/>
              <w:kinsoku/>
              <w:wordWrap/>
              <w:overflowPunct/>
              <w:topLinePunct w:val="0"/>
              <w:autoSpaceDE/>
              <w:autoSpaceDN/>
              <w:bidi w:val="0"/>
              <w:adjustRightInd/>
              <w:snapToGrid w:val="0"/>
              <w:spacing w:beforeAutospacing="0" w:afterAutospacing="0" w:line="36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逾期未改正的，责令停止使用或者停产停业整顿，处3.8万元以上5万元以下罚款。</w:t>
            </w:r>
          </w:p>
        </w:tc>
      </w:tr>
      <w:tr w14:paraId="7A59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736" w:type="dxa"/>
            <w:vMerge w:val="restart"/>
            <w:noWrap w:val="0"/>
            <w:vAlign w:val="center"/>
          </w:tcPr>
          <w:p w14:paraId="43E04FA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6</w:t>
            </w:r>
            <w:r>
              <w:rPr>
                <w:rFonts w:hint="eastAsia" w:ascii="宋体" w:hAnsi="宋体" w:cs="宋体"/>
                <w:b w:val="0"/>
                <w:bCs w:val="0"/>
                <w:color w:val="000000"/>
                <w:kern w:val="0"/>
                <w:sz w:val="24"/>
                <w:szCs w:val="24"/>
                <w:lang w:val="en-US" w:eastAsia="zh-CN"/>
              </w:rPr>
              <w:t>5</w:t>
            </w:r>
          </w:p>
        </w:tc>
        <w:tc>
          <w:tcPr>
            <w:tcW w:w="1748" w:type="dxa"/>
            <w:vMerge w:val="restart"/>
            <w:noWrap w:val="0"/>
            <w:vAlign w:val="center"/>
          </w:tcPr>
          <w:p w14:paraId="00349D55">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348C8F80">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第八十七条</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违反本法规定，电梯、客运索道、大型游乐设施的运营使用单位有下列情形之一的，责令限期改正；逾期未改正的，责令停止使用有关特种设备或者停产停业整顿，处二万元以上十万元以下罚款：</w:t>
            </w:r>
          </w:p>
          <w:p w14:paraId="278CEB73">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b w:val="0"/>
                <w:bCs/>
                <w:color w:val="000000"/>
                <w:kern w:val="0"/>
                <w:sz w:val="24"/>
                <w:szCs w:val="24"/>
                <w:u w:val="none"/>
              </w:rPr>
            </w:pPr>
            <w:r>
              <w:rPr>
                <w:rFonts w:hint="eastAsia" w:ascii="宋体" w:hAnsi="宋体" w:eastAsia="宋体" w:cs="宋体"/>
                <w:color w:val="000000"/>
                <w:kern w:val="0"/>
                <w:sz w:val="24"/>
                <w:szCs w:val="24"/>
              </w:rPr>
              <w:t>（一）</w:t>
            </w:r>
            <w:r>
              <w:rPr>
                <w:rFonts w:hint="eastAsia" w:ascii="宋体" w:hAnsi="宋体" w:eastAsia="宋体" w:cs="宋体"/>
                <w:b w:val="0"/>
                <w:bCs/>
                <w:color w:val="000000"/>
                <w:kern w:val="0"/>
                <w:sz w:val="24"/>
                <w:szCs w:val="24"/>
                <w:u w:val="none"/>
              </w:rPr>
              <w:t>未设置特种设备安全管理机构或者配备专职的特种设备安全管理人员的；</w:t>
            </w:r>
          </w:p>
          <w:p w14:paraId="69E3BA94">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b w:val="0"/>
                <w:bCs/>
                <w:color w:val="000000"/>
                <w:kern w:val="0"/>
                <w:sz w:val="24"/>
                <w:szCs w:val="24"/>
                <w:u w:val="none"/>
              </w:rPr>
            </w:pPr>
            <w:r>
              <w:rPr>
                <w:rFonts w:hint="eastAsia" w:ascii="宋体" w:hAnsi="宋体" w:eastAsia="宋体" w:cs="宋体"/>
                <w:b w:val="0"/>
                <w:bCs/>
                <w:color w:val="000000"/>
                <w:kern w:val="0"/>
                <w:sz w:val="24"/>
                <w:szCs w:val="24"/>
                <w:u w:val="none"/>
              </w:rPr>
              <w:t>（二）客运索道、大型游乐设施每日投入使用前，未进行试运行和例行安全检查，未对安全附件和安全保护装置进行检查确认的；</w:t>
            </w:r>
          </w:p>
          <w:p w14:paraId="698D4C8D">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b w:val="0"/>
                <w:bCs/>
                <w:color w:val="000000"/>
                <w:kern w:val="0"/>
                <w:sz w:val="24"/>
                <w:szCs w:val="24"/>
                <w:u w:val="none"/>
              </w:rPr>
              <w:t>（三）未将电梯、客运索道、大型游乐设施的安全使用说明、安全注意事项和警示标志置于易于为乘客注意的显著位置的。</w:t>
            </w:r>
          </w:p>
        </w:tc>
        <w:tc>
          <w:tcPr>
            <w:tcW w:w="1132" w:type="dxa"/>
            <w:noWrap w:val="0"/>
            <w:vAlign w:val="center"/>
          </w:tcPr>
          <w:p w14:paraId="0D33E84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705EB2F0">
            <w:pPr>
              <w:pageBreakBefore w:val="0"/>
              <w:widowControl/>
              <w:kinsoku/>
              <w:wordWrap/>
              <w:overflowPunct/>
              <w:topLinePunct w:val="0"/>
              <w:bidi w:val="0"/>
              <w:snapToGrid w:val="0"/>
              <w:spacing w:beforeAutospacing="0" w:afterAutospacing="0" w:line="40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违法行为持续时间3个月以下。</w:t>
            </w:r>
          </w:p>
        </w:tc>
        <w:tc>
          <w:tcPr>
            <w:tcW w:w="3251" w:type="dxa"/>
            <w:noWrap w:val="0"/>
            <w:vAlign w:val="center"/>
          </w:tcPr>
          <w:p w14:paraId="534E84BE">
            <w:pPr>
              <w:pageBreakBefore w:val="0"/>
              <w:widowControl/>
              <w:kinsoku/>
              <w:wordWrap/>
              <w:overflowPunct/>
              <w:topLinePunct w:val="0"/>
              <w:bidi w:val="0"/>
              <w:snapToGrid w:val="0"/>
              <w:spacing w:beforeAutospacing="0" w:afterAutospacing="0" w:line="40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逾期未改正的，责令停止使用或者停产停业整顿，处2万元以上4.4万元以下罚款。</w:t>
            </w:r>
          </w:p>
        </w:tc>
      </w:tr>
      <w:tr w14:paraId="3FBE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jc w:val="center"/>
        </w:trPr>
        <w:tc>
          <w:tcPr>
            <w:tcW w:w="736" w:type="dxa"/>
            <w:vMerge w:val="continue"/>
            <w:noWrap w:val="0"/>
            <w:vAlign w:val="center"/>
          </w:tcPr>
          <w:p w14:paraId="2C56504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0DCC6730">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3B4FE195">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4D262F8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798A2282">
            <w:pPr>
              <w:pageBreakBefore w:val="0"/>
              <w:widowControl/>
              <w:kinsoku/>
              <w:wordWrap/>
              <w:overflowPunct/>
              <w:topLinePunct w:val="0"/>
              <w:bidi w:val="0"/>
              <w:snapToGrid w:val="0"/>
              <w:spacing w:beforeAutospacing="0" w:afterAutospacing="0" w:line="40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违法行为持续时间3个月以上6个月以下。</w:t>
            </w:r>
          </w:p>
        </w:tc>
        <w:tc>
          <w:tcPr>
            <w:tcW w:w="3251" w:type="dxa"/>
            <w:noWrap w:val="0"/>
            <w:vAlign w:val="center"/>
          </w:tcPr>
          <w:p w14:paraId="5343D4F0">
            <w:pPr>
              <w:pageBreakBefore w:val="0"/>
              <w:widowControl/>
              <w:kinsoku/>
              <w:wordWrap/>
              <w:overflowPunct/>
              <w:topLinePunct w:val="0"/>
              <w:bidi w:val="0"/>
              <w:snapToGrid w:val="0"/>
              <w:spacing w:beforeAutospacing="0" w:afterAutospacing="0" w:line="40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逾期未改正的，责令停止使用或者停产停业整顿，处4.4万元以上7.6万元以下罚款。</w:t>
            </w:r>
          </w:p>
        </w:tc>
      </w:tr>
      <w:tr w14:paraId="1574B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2" w:hRule="atLeast"/>
          <w:jc w:val="center"/>
        </w:trPr>
        <w:tc>
          <w:tcPr>
            <w:tcW w:w="736" w:type="dxa"/>
            <w:vMerge w:val="continue"/>
            <w:noWrap w:val="0"/>
            <w:vAlign w:val="center"/>
          </w:tcPr>
          <w:p w14:paraId="22E6A0F1">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39406A16">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458544DF">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28E29D34">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5425616F">
            <w:pPr>
              <w:pageBreakBefore w:val="0"/>
              <w:widowControl/>
              <w:kinsoku/>
              <w:wordWrap/>
              <w:overflowPunct/>
              <w:topLinePunct w:val="0"/>
              <w:bidi w:val="0"/>
              <w:snapToGrid w:val="0"/>
              <w:spacing w:beforeAutospacing="0" w:afterAutospacing="0" w:line="40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违法行为持续时间6个月以上。</w:t>
            </w:r>
          </w:p>
        </w:tc>
        <w:tc>
          <w:tcPr>
            <w:tcW w:w="3251" w:type="dxa"/>
            <w:noWrap w:val="0"/>
            <w:vAlign w:val="center"/>
          </w:tcPr>
          <w:p w14:paraId="5682DFB4">
            <w:pPr>
              <w:pageBreakBefore w:val="0"/>
              <w:widowControl/>
              <w:kinsoku/>
              <w:wordWrap/>
              <w:overflowPunct/>
              <w:topLinePunct w:val="0"/>
              <w:bidi w:val="0"/>
              <w:snapToGrid w:val="0"/>
              <w:spacing w:beforeAutospacing="0" w:afterAutospacing="0" w:line="40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逾期未改正的，责令停止使用或者停产停业整顿，处7.6万元以上10万元以下罚款。</w:t>
            </w:r>
          </w:p>
        </w:tc>
      </w:tr>
      <w:tr w14:paraId="021B4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736" w:type="dxa"/>
            <w:vMerge w:val="restart"/>
            <w:noWrap w:val="0"/>
            <w:vAlign w:val="center"/>
          </w:tcPr>
          <w:p w14:paraId="461D326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6</w:t>
            </w:r>
            <w:r>
              <w:rPr>
                <w:rFonts w:hint="eastAsia" w:ascii="宋体" w:hAnsi="宋体" w:cs="宋体"/>
                <w:b w:val="0"/>
                <w:bCs w:val="0"/>
                <w:color w:val="000000"/>
                <w:kern w:val="0"/>
                <w:sz w:val="24"/>
                <w:szCs w:val="24"/>
                <w:lang w:val="en-US" w:eastAsia="zh-CN"/>
              </w:rPr>
              <w:t>6</w:t>
            </w:r>
          </w:p>
        </w:tc>
        <w:tc>
          <w:tcPr>
            <w:tcW w:w="1748" w:type="dxa"/>
            <w:vMerge w:val="restart"/>
            <w:noWrap w:val="0"/>
            <w:vAlign w:val="center"/>
          </w:tcPr>
          <w:p w14:paraId="0AC21B33">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426B3B24">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val="0"/>
                <w:color w:val="000000"/>
                <w:kern w:val="0"/>
                <w:sz w:val="24"/>
                <w:szCs w:val="24"/>
                <w:u w:val="none"/>
                <w:lang w:eastAsia="zh-CN"/>
              </w:rPr>
            </w:pPr>
            <w:r>
              <w:rPr>
                <w:rFonts w:hint="eastAsia" w:ascii="宋体" w:hAnsi="宋体" w:eastAsia="宋体" w:cs="宋体"/>
                <w:color w:val="000000"/>
                <w:kern w:val="0"/>
                <w:sz w:val="24"/>
                <w:szCs w:val="24"/>
              </w:rPr>
              <w:t>第八十八条</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w:t>
            </w:r>
            <w:r>
              <w:rPr>
                <w:rFonts w:hint="eastAsia" w:ascii="宋体" w:hAnsi="宋体" w:eastAsia="宋体" w:cs="宋体"/>
                <w:b w:val="0"/>
                <w:bCs/>
                <w:color w:val="000000"/>
                <w:kern w:val="0"/>
                <w:sz w:val="24"/>
                <w:szCs w:val="24"/>
                <w:u w:val="none"/>
              </w:rPr>
              <w:t>未经许可，擅自从事电梯维护保养的，</w:t>
            </w:r>
            <w:r>
              <w:rPr>
                <w:rFonts w:hint="eastAsia" w:ascii="宋体" w:hAnsi="宋体" w:eastAsia="宋体" w:cs="宋体"/>
                <w:color w:val="000000"/>
                <w:kern w:val="0"/>
                <w:sz w:val="24"/>
                <w:szCs w:val="24"/>
              </w:rPr>
              <w:t>责令</w:t>
            </w:r>
            <w:r>
              <w:rPr>
                <w:rFonts w:hint="eastAsia" w:ascii="宋体" w:hAnsi="宋体" w:eastAsia="宋体" w:cs="宋体"/>
                <w:b w:val="0"/>
                <w:bCs w:val="0"/>
                <w:color w:val="000000"/>
                <w:kern w:val="0"/>
                <w:sz w:val="24"/>
                <w:szCs w:val="24"/>
                <w:u w:val="none"/>
              </w:rPr>
              <w:t>停止违法行为，处一万元以上十万元以下罚款；有违法所得的，没收违法所得。</w:t>
            </w:r>
          </w:p>
          <w:p w14:paraId="1493C50E">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b w:val="0"/>
                <w:bCs w:val="0"/>
                <w:color w:val="000000"/>
                <w:kern w:val="0"/>
                <w:sz w:val="24"/>
                <w:szCs w:val="24"/>
                <w:u w:val="none"/>
              </w:rPr>
              <w:t>电梯的维护保养单位未按照本法规定以及安全技术规范的要求，进行电梯维护保养的，依照前款规定处罚。</w:t>
            </w:r>
          </w:p>
        </w:tc>
        <w:tc>
          <w:tcPr>
            <w:tcW w:w="1132" w:type="dxa"/>
            <w:noWrap w:val="0"/>
            <w:vAlign w:val="center"/>
          </w:tcPr>
          <w:p w14:paraId="328CBCE0">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32C4DE79">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10部以下的。</w:t>
            </w:r>
          </w:p>
        </w:tc>
        <w:tc>
          <w:tcPr>
            <w:tcW w:w="3251" w:type="dxa"/>
            <w:noWrap w:val="0"/>
            <w:vAlign w:val="center"/>
          </w:tcPr>
          <w:p w14:paraId="6A98B0A4">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spacing w:val="0"/>
                <w:kern w:val="0"/>
                <w:sz w:val="24"/>
                <w:szCs w:val="24"/>
              </w:rPr>
              <w:t>责令停止违法行为，处1万元以上3.7万元以下罚款；有违法所得的，没收违法所得。</w:t>
            </w:r>
          </w:p>
        </w:tc>
      </w:tr>
      <w:tr w14:paraId="0664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736" w:type="dxa"/>
            <w:vMerge w:val="continue"/>
            <w:noWrap w:val="0"/>
            <w:vAlign w:val="center"/>
          </w:tcPr>
          <w:p w14:paraId="18F81E0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67CA2916">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6095076D">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24CB11D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298A79C2">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10部以上20部以下的。</w:t>
            </w:r>
          </w:p>
        </w:tc>
        <w:tc>
          <w:tcPr>
            <w:tcW w:w="3251" w:type="dxa"/>
            <w:noWrap w:val="0"/>
            <w:vAlign w:val="center"/>
          </w:tcPr>
          <w:p w14:paraId="638A6D4B">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责令停止违法行为，处3.7万元以上7.3万元以下罚款；有违法所得的，没收违法所得</w:t>
            </w:r>
            <w:r>
              <w:rPr>
                <w:rFonts w:hint="eastAsia" w:ascii="宋体" w:hAnsi="宋体" w:eastAsia="宋体" w:cs="宋体"/>
                <w:color w:val="000000"/>
                <w:kern w:val="0"/>
                <w:sz w:val="24"/>
                <w:szCs w:val="24"/>
                <w:lang w:eastAsia="zh-CN"/>
              </w:rPr>
              <w:t>。</w:t>
            </w:r>
          </w:p>
        </w:tc>
      </w:tr>
      <w:tr w14:paraId="52DC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736" w:type="dxa"/>
            <w:vMerge w:val="continue"/>
            <w:noWrap w:val="0"/>
            <w:vAlign w:val="center"/>
          </w:tcPr>
          <w:p w14:paraId="5D2DD8AF">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278C524F">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7F4A13BD">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3D6E8E21">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74B97EF4">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20部以上的。</w:t>
            </w:r>
          </w:p>
        </w:tc>
        <w:tc>
          <w:tcPr>
            <w:tcW w:w="3251" w:type="dxa"/>
            <w:noWrap w:val="0"/>
            <w:vAlign w:val="center"/>
          </w:tcPr>
          <w:p w14:paraId="6DBEA59C">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spacing w:val="0"/>
                <w:kern w:val="0"/>
                <w:sz w:val="24"/>
                <w:szCs w:val="24"/>
                <w:lang w:eastAsia="zh-CN"/>
              </w:rPr>
            </w:pPr>
            <w:r>
              <w:rPr>
                <w:rFonts w:hint="eastAsia" w:ascii="宋体" w:hAnsi="宋体" w:eastAsia="宋体" w:cs="宋体"/>
                <w:color w:val="000000"/>
                <w:spacing w:val="0"/>
                <w:kern w:val="0"/>
                <w:sz w:val="24"/>
                <w:szCs w:val="24"/>
              </w:rPr>
              <w:t>责令停止违法行为，处7.3万元以上10万元以下罚款；有违法所得的，没收违法所得</w:t>
            </w:r>
            <w:r>
              <w:rPr>
                <w:rFonts w:hint="eastAsia" w:ascii="宋体" w:hAnsi="宋体" w:eastAsia="宋体" w:cs="宋体"/>
                <w:color w:val="000000"/>
                <w:spacing w:val="0"/>
                <w:kern w:val="0"/>
                <w:sz w:val="24"/>
                <w:szCs w:val="24"/>
                <w:lang w:eastAsia="zh-CN"/>
              </w:rPr>
              <w:t>。</w:t>
            </w:r>
          </w:p>
        </w:tc>
      </w:tr>
      <w:tr w14:paraId="60B2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736" w:type="dxa"/>
            <w:vMerge w:val="restart"/>
            <w:noWrap w:val="0"/>
            <w:vAlign w:val="center"/>
          </w:tcPr>
          <w:p w14:paraId="66E139E2">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6</w:t>
            </w:r>
            <w:r>
              <w:rPr>
                <w:rFonts w:hint="eastAsia" w:ascii="宋体" w:hAnsi="宋体" w:cs="宋体"/>
                <w:b w:val="0"/>
                <w:bCs w:val="0"/>
                <w:color w:val="000000"/>
                <w:kern w:val="0"/>
                <w:sz w:val="24"/>
                <w:szCs w:val="24"/>
                <w:lang w:val="en-US" w:eastAsia="zh-CN"/>
              </w:rPr>
              <w:t>7</w:t>
            </w:r>
          </w:p>
        </w:tc>
        <w:tc>
          <w:tcPr>
            <w:tcW w:w="1748" w:type="dxa"/>
            <w:vMerge w:val="restart"/>
            <w:noWrap w:val="0"/>
            <w:vAlign w:val="center"/>
          </w:tcPr>
          <w:p w14:paraId="28DA86E6">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3A82F3EB">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第八十九条</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发生特种设备事故，有下列情形之一的，对单位处五万元以上二十万元以下罚款；对主要负责人处一万元以上五万元以下罚款；主要负责人属于国家工作人员的，并依法给予处分：</w:t>
            </w:r>
          </w:p>
          <w:p w14:paraId="58F0594B">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b w:val="0"/>
                <w:bCs/>
                <w:color w:val="000000"/>
                <w:kern w:val="0"/>
                <w:sz w:val="24"/>
                <w:szCs w:val="24"/>
                <w:u w:val="none"/>
                <w:lang w:eastAsia="zh-CN"/>
              </w:rPr>
            </w:pPr>
            <w:r>
              <w:rPr>
                <w:rFonts w:hint="eastAsia" w:ascii="宋体" w:hAnsi="宋体" w:eastAsia="宋体" w:cs="宋体"/>
                <w:color w:val="000000"/>
                <w:kern w:val="0"/>
                <w:sz w:val="24"/>
                <w:szCs w:val="24"/>
              </w:rPr>
              <w:t>（一）</w:t>
            </w:r>
            <w:r>
              <w:rPr>
                <w:rFonts w:hint="eastAsia" w:ascii="宋体" w:hAnsi="宋体" w:eastAsia="宋体" w:cs="宋体"/>
                <w:b w:val="0"/>
                <w:bCs/>
                <w:color w:val="000000"/>
                <w:kern w:val="0"/>
                <w:sz w:val="24"/>
                <w:szCs w:val="24"/>
                <w:u w:val="none"/>
              </w:rPr>
              <w:t>发生特种设备事故时，不立即组织抢救或者在事故调查处理期间擅离职守或者逃匿的；</w:t>
            </w:r>
          </w:p>
          <w:p w14:paraId="4DEB7391">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b w:val="0"/>
                <w:bCs/>
                <w:color w:val="000000"/>
                <w:kern w:val="0"/>
                <w:sz w:val="24"/>
                <w:szCs w:val="24"/>
                <w:u w:val="none"/>
              </w:rPr>
              <w:t>（二）对特种设备事故迟报、谎报或者瞒报的。</w:t>
            </w:r>
          </w:p>
        </w:tc>
        <w:tc>
          <w:tcPr>
            <w:tcW w:w="1132" w:type="dxa"/>
            <w:noWrap w:val="0"/>
            <w:vAlign w:val="center"/>
          </w:tcPr>
          <w:p w14:paraId="034C75A7">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7568912B">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发生一般事故的。</w:t>
            </w:r>
          </w:p>
        </w:tc>
        <w:tc>
          <w:tcPr>
            <w:tcW w:w="3251" w:type="dxa"/>
            <w:noWrap w:val="0"/>
            <w:vAlign w:val="center"/>
          </w:tcPr>
          <w:p w14:paraId="575E373A">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对单位，处5万元以上9.5万元以下罚款；对主要负责人，</w:t>
            </w:r>
            <w:r>
              <w:rPr>
                <w:rFonts w:hint="eastAsia" w:ascii="宋体" w:hAnsi="宋体" w:eastAsia="宋体" w:cs="宋体"/>
                <w:color w:val="000000"/>
                <w:spacing w:val="-6"/>
                <w:kern w:val="0"/>
                <w:sz w:val="24"/>
                <w:szCs w:val="24"/>
              </w:rPr>
              <w:t>处1万元以上2.2万元以下罚款。</w:t>
            </w:r>
          </w:p>
        </w:tc>
      </w:tr>
      <w:tr w14:paraId="0375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736" w:type="dxa"/>
            <w:vMerge w:val="continue"/>
            <w:noWrap w:val="0"/>
            <w:vAlign w:val="center"/>
          </w:tcPr>
          <w:p w14:paraId="45D80A74">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4A35FC4E">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23B3A385">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both"/>
              <w:textAlignment w:val="auto"/>
              <w:rPr>
                <w:rFonts w:hint="eastAsia" w:ascii="宋体" w:hAnsi="宋体" w:eastAsia="宋体" w:cs="宋体"/>
                <w:color w:val="000000"/>
                <w:kern w:val="0"/>
                <w:sz w:val="24"/>
                <w:szCs w:val="24"/>
              </w:rPr>
            </w:pPr>
          </w:p>
        </w:tc>
        <w:tc>
          <w:tcPr>
            <w:tcW w:w="1132" w:type="dxa"/>
            <w:noWrap w:val="0"/>
            <w:vAlign w:val="center"/>
          </w:tcPr>
          <w:p w14:paraId="287F525C">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033ECB5B">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发生较大事故的。</w:t>
            </w:r>
          </w:p>
        </w:tc>
        <w:tc>
          <w:tcPr>
            <w:tcW w:w="3251" w:type="dxa"/>
            <w:noWrap w:val="0"/>
            <w:vAlign w:val="center"/>
          </w:tcPr>
          <w:p w14:paraId="776FAC66">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对单位，处9.5万元以上15.5万元以下罚款；对主要负责人，处2.2万元以上3.8万元以下罚款。</w:t>
            </w:r>
          </w:p>
        </w:tc>
      </w:tr>
      <w:tr w14:paraId="5DBF7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736" w:type="dxa"/>
            <w:vMerge w:val="continue"/>
            <w:noWrap w:val="0"/>
            <w:vAlign w:val="center"/>
          </w:tcPr>
          <w:p w14:paraId="01C65A51">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3EB92954">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0EC92F8E">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both"/>
              <w:textAlignment w:val="auto"/>
              <w:rPr>
                <w:rFonts w:hint="eastAsia" w:ascii="宋体" w:hAnsi="宋体" w:eastAsia="宋体" w:cs="宋体"/>
                <w:color w:val="000000"/>
                <w:kern w:val="0"/>
                <w:sz w:val="24"/>
                <w:szCs w:val="24"/>
              </w:rPr>
            </w:pPr>
          </w:p>
        </w:tc>
        <w:tc>
          <w:tcPr>
            <w:tcW w:w="1132" w:type="dxa"/>
            <w:noWrap w:val="0"/>
            <w:vAlign w:val="center"/>
          </w:tcPr>
          <w:p w14:paraId="358B913C">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6B43A3FF">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发生重大事故或特别重大事故的。</w:t>
            </w:r>
          </w:p>
        </w:tc>
        <w:tc>
          <w:tcPr>
            <w:tcW w:w="3251" w:type="dxa"/>
            <w:noWrap w:val="0"/>
            <w:vAlign w:val="center"/>
          </w:tcPr>
          <w:p w14:paraId="439855F5">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对单位，处15.5万元以上20万元以下罚款；对主要负责人，处3.8万元以上5万元以下罚款。</w:t>
            </w:r>
          </w:p>
        </w:tc>
      </w:tr>
      <w:tr w14:paraId="51BAC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exact"/>
          <w:jc w:val="center"/>
        </w:trPr>
        <w:tc>
          <w:tcPr>
            <w:tcW w:w="736" w:type="dxa"/>
            <w:vMerge w:val="restart"/>
            <w:noWrap w:val="0"/>
            <w:vAlign w:val="center"/>
          </w:tcPr>
          <w:p w14:paraId="559DA1E7">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6</w:t>
            </w:r>
            <w:r>
              <w:rPr>
                <w:rFonts w:hint="eastAsia" w:ascii="宋体" w:hAnsi="宋体" w:cs="宋体"/>
                <w:b w:val="0"/>
                <w:bCs w:val="0"/>
                <w:color w:val="000000"/>
                <w:kern w:val="0"/>
                <w:sz w:val="24"/>
                <w:szCs w:val="24"/>
                <w:lang w:val="en-US" w:eastAsia="zh-CN"/>
              </w:rPr>
              <w:t>8</w:t>
            </w:r>
          </w:p>
        </w:tc>
        <w:tc>
          <w:tcPr>
            <w:tcW w:w="1748" w:type="dxa"/>
            <w:vMerge w:val="restart"/>
            <w:noWrap w:val="0"/>
            <w:vAlign w:val="center"/>
          </w:tcPr>
          <w:p w14:paraId="19F0E033">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6005CEC4">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both"/>
              <w:textAlignment w:val="auto"/>
              <w:rPr>
                <w:rFonts w:hint="eastAsia" w:ascii="宋体" w:hAnsi="宋体" w:eastAsia="宋体" w:cs="宋体"/>
                <w:color w:val="000000"/>
                <w:spacing w:val="-108"/>
                <w:sz w:val="24"/>
                <w:szCs w:val="24"/>
              </w:rPr>
            </w:pPr>
            <w:r>
              <w:rPr>
                <w:rFonts w:hint="eastAsia" w:ascii="宋体" w:hAnsi="宋体" w:eastAsia="宋体" w:cs="宋体"/>
                <w:b w:val="0"/>
                <w:bCs/>
                <w:color w:val="000000"/>
                <w:sz w:val="24"/>
                <w:szCs w:val="24"/>
              </w:rPr>
              <w:t>第九十条</w:t>
            </w:r>
            <w:r>
              <w:rPr>
                <w:rFonts w:hint="eastAsia" w:ascii="宋体" w:hAnsi="宋体" w:cs="宋体"/>
                <w:b/>
                <w:color w:val="000000"/>
                <w:sz w:val="24"/>
                <w:szCs w:val="24"/>
                <w:lang w:val="en-US" w:eastAsia="zh-CN"/>
              </w:rPr>
              <w:t xml:space="preserve"> </w:t>
            </w:r>
            <w:r>
              <w:rPr>
                <w:rFonts w:hint="eastAsia" w:ascii="宋体" w:hAnsi="宋体" w:eastAsia="宋体" w:cs="宋体"/>
                <w:color w:val="000000"/>
                <w:sz w:val="24"/>
                <w:szCs w:val="24"/>
              </w:rPr>
              <w:t>发生事故</w:t>
            </w:r>
            <w:r>
              <w:rPr>
                <w:rFonts w:hint="eastAsia" w:ascii="宋体" w:hAnsi="宋体" w:eastAsia="宋体" w:cs="宋体"/>
                <w:color w:val="000000"/>
                <w:spacing w:val="-51"/>
                <w:sz w:val="24"/>
                <w:szCs w:val="24"/>
              </w:rPr>
              <w:t>，</w:t>
            </w:r>
            <w:r>
              <w:rPr>
                <w:rFonts w:hint="eastAsia" w:ascii="宋体" w:hAnsi="宋体" w:eastAsia="宋体" w:cs="宋体"/>
                <w:color w:val="000000"/>
                <w:sz w:val="24"/>
                <w:szCs w:val="24"/>
              </w:rPr>
              <w:t>对负有责任的单位除要求其依法承担相应的赔偿等责任外，</w:t>
            </w:r>
            <w:r>
              <w:rPr>
                <w:rFonts w:hint="eastAsia" w:ascii="宋体" w:hAnsi="宋体" w:eastAsia="宋体" w:cs="宋体"/>
                <w:color w:val="000000"/>
                <w:spacing w:val="-102"/>
                <w:sz w:val="24"/>
                <w:szCs w:val="24"/>
              </w:rPr>
              <w:t xml:space="preserve"> </w:t>
            </w:r>
            <w:r>
              <w:rPr>
                <w:rFonts w:hint="eastAsia" w:ascii="宋体" w:hAnsi="宋体" w:eastAsia="宋体" w:cs="宋体"/>
                <w:color w:val="000000"/>
                <w:sz w:val="24"/>
                <w:szCs w:val="24"/>
              </w:rPr>
              <w:t>依照</w:t>
            </w:r>
            <w:r>
              <w:rPr>
                <w:rFonts w:hint="eastAsia" w:ascii="宋体" w:hAnsi="宋体" w:eastAsia="宋体" w:cs="宋体"/>
                <w:color w:val="000000"/>
                <w:spacing w:val="-3"/>
                <w:sz w:val="24"/>
                <w:szCs w:val="24"/>
              </w:rPr>
              <w:t>下</w:t>
            </w:r>
            <w:r>
              <w:rPr>
                <w:rFonts w:hint="eastAsia" w:ascii="宋体" w:hAnsi="宋体" w:eastAsia="宋体" w:cs="宋体"/>
                <w:color w:val="000000"/>
                <w:sz w:val="24"/>
                <w:szCs w:val="24"/>
              </w:rPr>
              <w:t>列</w:t>
            </w:r>
            <w:r>
              <w:rPr>
                <w:rFonts w:hint="eastAsia" w:ascii="宋体" w:hAnsi="宋体" w:eastAsia="宋体" w:cs="宋体"/>
                <w:color w:val="000000"/>
                <w:spacing w:val="-3"/>
                <w:sz w:val="24"/>
                <w:szCs w:val="24"/>
              </w:rPr>
              <w:t>规</w:t>
            </w:r>
            <w:r>
              <w:rPr>
                <w:rFonts w:hint="eastAsia" w:ascii="宋体" w:hAnsi="宋体" w:eastAsia="宋体" w:cs="宋体"/>
                <w:color w:val="000000"/>
                <w:sz w:val="24"/>
                <w:szCs w:val="24"/>
              </w:rPr>
              <w:t>定</w:t>
            </w:r>
            <w:r>
              <w:rPr>
                <w:rFonts w:hint="eastAsia" w:ascii="宋体" w:hAnsi="宋体" w:eastAsia="宋体" w:cs="宋体"/>
                <w:color w:val="000000"/>
                <w:spacing w:val="-3"/>
                <w:sz w:val="24"/>
                <w:szCs w:val="24"/>
              </w:rPr>
              <w:t>处</w:t>
            </w:r>
            <w:r>
              <w:rPr>
                <w:rFonts w:hint="eastAsia" w:ascii="宋体" w:hAnsi="宋体" w:eastAsia="宋体" w:cs="宋体"/>
                <w:color w:val="000000"/>
                <w:sz w:val="24"/>
                <w:szCs w:val="24"/>
              </w:rPr>
              <w:t>以</w:t>
            </w:r>
            <w:r>
              <w:rPr>
                <w:rFonts w:hint="eastAsia" w:ascii="宋体" w:hAnsi="宋体" w:eastAsia="宋体" w:cs="宋体"/>
                <w:color w:val="000000"/>
                <w:spacing w:val="-3"/>
                <w:sz w:val="24"/>
                <w:szCs w:val="24"/>
              </w:rPr>
              <w:t>罚</w:t>
            </w:r>
            <w:r>
              <w:rPr>
                <w:rFonts w:hint="eastAsia" w:ascii="宋体" w:hAnsi="宋体" w:eastAsia="宋体" w:cs="宋体"/>
                <w:color w:val="000000"/>
                <w:sz w:val="24"/>
                <w:szCs w:val="24"/>
              </w:rPr>
              <w:t>款</w:t>
            </w:r>
            <w:r>
              <w:rPr>
                <w:rFonts w:hint="eastAsia" w:ascii="宋体" w:hAnsi="宋体" w:eastAsia="宋体" w:cs="宋体"/>
                <w:color w:val="000000"/>
                <w:spacing w:val="-108"/>
                <w:sz w:val="24"/>
                <w:szCs w:val="24"/>
              </w:rPr>
              <w:t>：</w:t>
            </w:r>
          </w:p>
          <w:p w14:paraId="7B056F93">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both"/>
              <w:textAlignment w:val="auto"/>
              <w:rPr>
                <w:rFonts w:hint="eastAsia" w:ascii="宋体" w:hAnsi="宋体" w:eastAsia="宋体" w:cs="宋体"/>
                <w:color w:val="000000"/>
                <w:kern w:val="0"/>
                <w:sz w:val="24"/>
                <w:szCs w:val="24"/>
              </w:rPr>
            </w:pPr>
            <w:r>
              <w:rPr>
                <w:rFonts w:hint="eastAsia" w:ascii="宋体" w:hAnsi="宋体" w:eastAsia="宋体" w:cs="宋体"/>
                <w:color w:val="000000"/>
                <w:spacing w:val="-3"/>
                <w:sz w:val="24"/>
                <w:szCs w:val="24"/>
              </w:rPr>
              <w:t>（</w:t>
            </w:r>
            <w:r>
              <w:rPr>
                <w:rFonts w:hint="eastAsia" w:ascii="宋体" w:hAnsi="宋体" w:eastAsia="宋体" w:cs="宋体"/>
                <w:color w:val="000000"/>
                <w:sz w:val="24"/>
                <w:szCs w:val="24"/>
              </w:rPr>
              <w:t>一）</w:t>
            </w:r>
            <w:r>
              <w:rPr>
                <w:rFonts w:hint="eastAsia" w:ascii="宋体" w:hAnsi="宋体" w:eastAsia="宋体" w:cs="宋体"/>
                <w:b w:val="0"/>
                <w:bCs/>
                <w:color w:val="000000"/>
                <w:spacing w:val="-3"/>
                <w:sz w:val="24"/>
                <w:szCs w:val="24"/>
                <w:u w:val="none"/>
              </w:rPr>
              <w:t>发</w:t>
            </w:r>
            <w:r>
              <w:rPr>
                <w:rFonts w:hint="eastAsia" w:ascii="宋体" w:hAnsi="宋体" w:eastAsia="宋体" w:cs="宋体"/>
                <w:b w:val="0"/>
                <w:bCs/>
                <w:color w:val="000000"/>
                <w:sz w:val="24"/>
                <w:szCs w:val="24"/>
                <w:u w:val="none"/>
              </w:rPr>
              <w:t>生</w:t>
            </w:r>
            <w:r>
              <w:rPr>
                <w:rFonts w:hint="eastAsia" w:ascii="宋体" w:hAnsi="宋体" w:eastAsia="宋体" w:cs="宋体"/>
                <w:b w:val="0"/>
                <w:bCs/>
                <w:color w:val="000000"/>
                <w:spacing w:val="-3"/>
                <w:sz w:val="24"/>
                <w:szCs w:val="24"/>
                <w:u w:val="none"/>
              </w:rPr>
              <w:t>一</w:t>
            </w:r>
            <w:r>
              <w:rPr>
                <w:rFonts w:hint="eastAsia" w:ascii="宋体" w:hAnsi="宋体" w:eastAsia="宋体" w:cs="宋体"/>
                <w:b w:val="0"/>
                <w:bCs/>
                <w:color w:val="000000"/>
                <w:sz w:val="24"/>
                <w:szCs w:val="24"/>
                <w:u w:val="none"/>
              </w:rPr>
              <w:t>般</w:t>
            </w:r>
            <w:r>
              <w:rPr>
                <w:rFonts w:hint="eastAsia" w:ascii="宋体" w:hAnsi="宋体" w:eastAsia="宋体" w:cs="宋体"/>
                <w:b w:val="0"/>
                <w:bCs/>
                <w:color w:val="000000"/>
                <w:spacing w:val="-3"/>
                <w:sz w:val="24"/>
                <w:szCs w:val="24"/>
                <w:u w:val="none"/>
              </w:rPr>
              <w:t>事</w:t>
            </w:r>
            <w:r>
              <w:rPr>
                <w:rFonts w:hint="eastAsia" w:ascii="宋体" w:hAnsi="宋体" w:eastAsia="宋体" w:cs="宋体"/>
                <w:b w:val="0"/>
                <w:bCs/>
                <w:color w:val="000000"/>
                <w:sz w:val="24"/>
                <w:szCs w:val="24"/>
                <w:u w:val="none"/>
              </w:rPr>
              <w:t>故</w:t>
            </w:r>
            <w:r>
              <w:rPr>
                <w:rFonts w:hint="eastAsia" w:ascii="宋体" w:hAnsi="宋体" w:eastAsia="宋体" w:cs="宋体"/>
                <w:b w:val="0"/>
                <w:bCs/>
                <w:color w:val="000000"/>
                <w:spacing w:val="-3"/>
                <w:sz w:val="24"/>
                <w:szCs w:val="24"/>
                <w:u w:val="none"/>
              </w:rPr>
              <w:t>，</w:t>
            </w:r>
            <w:r>
              <w:rPr>
                <w:rFonts w:hint="eastAsia" w:ascii="宋体" w:hAnsi="宋体" w:eastAsia="宋体" w:cs="宋体"/>
                <w:b w:val="0"/>
                <w:bCs/>
                <w:color w:val="000000"/>
                <w:sz w:val="24"/>
                <w:szCs w:val="24"/>
                <w:u w:val="none"/>
              </w:rPr>
              <w:t>处</w:t>
            </w:r>
            <w:r>
              <w:rPr>
                <w:rFonts w:hint="eastAsia" w:ascii="宋体" w:hAnsi="宋体" w:eastAsia="宋体" w:cs="宋体"/>
                <w:b w:val="0"/>
                <w:bCs/>
                <w:color w:val="000000"/>
                <w:spacing w:val="-3"/>
                <w:sz w:val="24"/>
                <w:szCs w:val="24"/>
                <w:u w:val="none"/>
              </w:rPr>
              <w:t>十</w:t>
            </w:r>
            <w:r>
              <w:rPr>
                <w:rFonts w:hint="eastAsia" w:ascii="宋体" w:hAnsi="宋体" w:eastAsia="宋体" w:cs="宋体"/>
                <w:b w:val="0"/>
                <w:bCs/>
                <w:color w:val="000000"/>
                <w:sz w:val="24"/>
                <w:szCs w:val="24"/>
                <w:u w:val="none"/>
              </w:rPr>
              <w:t>万元</w:t>
            </w:r>
            <w:r>
              <w:rPr>
                <w:rFonts w:hint="eastAsia" w:ascii="宋体" w:hAnsi="宋体" w:eastAsia="宋体" w:cs="宋体"/>
                <w:b w:val="0"/>
                <w:bCs/>
                <w:color w:val="000000"/>
                <w:spacing w:val="-3"/>
                <w:sz w:val="24"/>
                <w:szCs w:val="24"/>
                <w:u w:val="none"/>
              </w:rPr>
              <w:t>以</w:t>
            </w:r>
            <w:r>
              <w:rPr>
                <w:rFonts w:hint="eastAsia" w:ascii="宋体" w:hAnsi="宋体" w:eastAsia="宋体" w:cs="宋体"/>
                <w:b w:val="0"/>
                <w:bCs/>
                <w:color w:val="000000"/>
                <w:sz w:val="24"/>
                <w:szCs w:val="24"/>
                <w:u w:val="none"/>
              </w:rPr>
              <w:t>上</w:t>
            </w:r>
            <w:r>
              <w:rPr>
                <w:rFonts w:hint="eastAsia" w:ascii="宋体" w:hAnsi="宋体" w:eastAsia="宋体" w:cs="宋体"/>
                <w:b w:val="0"/>
                <w:bCs/>
                <w:color w:val="000000"/>
                <w:spacing w:val="-3"/>
                <w:sz w:val="24"/>
                <w:szCs w:val="24"/>
                <w:u w:val="none"/>
              </w:rPr>
              <w:t>二</w:t>
            </w:r>
            <w:r>
              <w:rPr>
                <w:rFonts w:hint="eastAsia" w:ascii="宋体" w:hAnsi="宋体" w:eastAsia="宋体" w:cs="宋体"/>
                <w:b w:val="0"/>
                <w:bCs/>
                <w:color w:val="000000"/>
                <w:sz w:val="24"/>
                <w:szCs w:val="24"/>
                <w:u w:val="none"/>
              </w:rPr>
              <w:t>十</w:t>
            </w:r>
            <w:r>
              <w:rPr>
                <w:rFonts w:hint="eastAsia" w:ascii="宋体" w:hAnsi="宋体" w:eastAsia="宋体" w:cs="宋体"/>
                <w:b w:val="0"/>
                <w:bCs/>
                <w:color w:val="000000"/>
                <w:spacing w:val="-3"/>
                <w:sz w:val="24"/>
                <w:szCs w:val="24"/>
                <w:u w:val="none"/>
              </w:rPr>
              <w:t>万</w:t>
            </w:r>
            <w:r>
              <w:rPr>
                <w:rFonts w:hint="eastAsia" w:ascii="宋体" w:hAnsi="宋体" w:eastAsia="宋体" w:cs="宋体"/>
                <w:b w:val="0"/>
                <w:bCs/>
                <w:color w:val="000000"/>
                <w:sz w:val="24"/>
                <w:szCs w:val="24"/>
                <w:u w:val="none"/>
              </w:rPr>
              <w:t>元</w:t>
            </w:r>
            <w:r>
              <w:rPr>
                <w:rFonts w:hint="eastAsia" w:ascii="宋体" w:hAnsi="宋体" w:eastAsia="宋体" w:cs="宋体"/>
                <w:b w:val="0"/>
                <w:bCs/>
                <w:color w:val="000000"/>
                <w:spacing w:val="-3"/>
                <w:sz w:val="24"/>
                <w:szCs w:val="24"/>
                <w:u w:val="none"/>
              </w:rPr>
              <w:t>以</w:t>
            </w:r>
            <w:r>
              <w:rPr>
                <w:rFonts w:hint="eastAsia" w:ascii="宋体" w:hAnsi="宋体" w:eastAsia="宋体" w:cs="宋体"/>
                <w:b w:val="0"/>
                <w:bCs/>
                <w:color w:val="000000"/>
                <w:sz w:val="24"/>
                <w:szCs w:val="24"/>
                <w:u w:val="none"/>
              </w:rPr>
              <w:t>下</w:t>
            </w:r>
            <w:r>
              <w:rPr>
                <w:rFonts w:hint="eastAsia" w:ascii="宋体" w:hAnsi="宋体" w:eastAsia="宋体" w:cs="宋体"/>
                <w:b w:val="0"/>
                <w:bCs/>
                <w:color w:val="000000"/>
                <w:spacing w:val="-3"/>
                <w:sz w:val="24"/>
                <w:szCs w:val="24"/>
                <w:u w:val="none"/>
              </w:rPr>
              <w:t>罚</w:t>
            </w:r>
            <w:r>
              <w:rPr>
                <w:rFonts w:hint="eastAsia" w:ascii="宋体" w:hAnsi="宋体" w:eastAsia="宋体" w:cs="宋体"/>
                <w:b w:val="0"/>
                <w:bCs/>
                <w:color w:val="000000"/>
                <w:spacing w:val="-1"/>
                <w:sz w:val="24"/>
                <w:szCs w:val="24"/>
                <w:u w:val="none"/>
              </w:rPr>
              <w:t>款</w:t>
            </w:r>
            <w:r>
              <w:rPr>
                <w:rFonts w:hint="eastAsia" w:ascii="宋体" w:hAnsi="宋体" w:eastAsia="宋体" w:cs="宋体"/>
                <w:b w:val="0"/>
                <w:bCs/>
                <w:color w:val="000000"/>
                <w:sz w:val="24"/>
                <w:szCs w:val="24"/>
                <w:u w:val="none"/>
              </w:rPr>
              <w:t>。</w:t>
            </w:r>
          </w:p>
        </w:tc>
        <w:tc>
          <w:tcPr>
            <w:tcW w:w="1132" w:type="dxa"/>
            <w:noWrap w:val="0"/>
            <w:vAlign w:val="center"/>
          </w:tcPr>
          <w:p w14:paraId="0D8C1A05">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28C7DAA4">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一般事故标准30%以下</w:t>
            </w:r>
            <w:r>
              <w:rPr>
                <w:rFonts w:hint="eastAsia" w:ascii="宋体" w:hAnsi="宋体" w:eastAsia="宋体" w:cs="宋体"/>
                <w:color w:val="000000"/>
                <w:kern w:val="0"/>
                <w:sz w:val="24"/>
                <w:szCs w:val="24"/>
                <w:lang w:eastAsia="zh-CN"/>
              </w:rPr>
              <w:t>。</w:t>
            </w:r>
          </w:p>
        </w:tc>
        <w:tc>
          <w:tcPr>
            <w:tcW w:w="3251" w:type="dxa"/>
            <w:noWrap w:val="0"/>
            <w:vAlign w:val="center"/>
          </w:tcPr>
          <w:p w14:paraId="32191CAB">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处</w:t>
            </w:r>
            <w:r>
              <w:rPr>
                <w:rFonts w:hint="eastAsia" w:ascii="宋体" w:hAnsi="宋体" w:eastAsia="宋体" w:cs="宋体"/>
                <w:color w:val="000000"/>
                <w:sz w:val="24"/>
                <w:szCs w:val="24"/>
              </w:rPr>
              <w:t>以</w:t>
            </w:r>
            <w:r>
              <w:rPr>
                <w:rFonts w:hint="eastAsia" w:ascii="宋体" w:hAnsi="宋体" w:eastAsia="宋体" w:cs="宋体"/>
                <w:color w:val="000000"/>
                <w:kern w:val="0"/>
                <w:sz w:val="24"/>
                <w:szCs w:val="24"/>
              </w:rPr>
              <w:t>10万元以上13万元以下的罚款</w:t>
            </w:r>
            <w:r>
              <w:rPr>
                <w:rFonts w:hint="eastAsia" w:ascii="宋体" w:hAnsi="宋体" w:eastAsia="宋体" w:cs="宋体"/>
                <w:color w:val="000000"/>
                <w:kern w:val="0"/>
                <w:sz w:val="24"/>
                <w:szCs w:val="24"/>
                <w:lang w:eastAsia="zh-CN"/>
              </w:rPr>
              <w:t>。</w:t>
            </w:r>
          </w:p>
        </w:tc>
      </w:tr>
      <w:tr w14:paraId="4FF3E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exact"/>
          <w:jc w:val="center"/>
        </w:trPr>
        <w:tc>
          <w:tcPr>
            <w:tcW w:w="736" w:type="dxa"/>
            <w:vMerge w:val="continue"/>
            <w:noWrap w:val="0"/>
            <w:vAlign w:val="center"/>
          </w:tcPr>
          <w:p w14:paraId="0ED6EDB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5BED64F7">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5D6A86F2">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both"/>
              <w:textAlignment w:val="auto"/>
              <w:rPr>
                <w:rFonts w:hint="eastAsia" w:ascii="宋体" w:hAnsi="宋体" w:eastAsia="宋体" w:cs="宋体"/>
                <w:color w:val="000000"/>
                <w:kern w:val="0"/>
                <w:sz w:val="24"/>
                <w:szCs w:val="24"/>
              </w:rPr>
            </w:pPr>
          </w:p>
        </w:tc>
        <w:tc>
          <w:tcPr>
            <w:tcW w:w="1132" w:type="dxa"/>
            <w:noWrap w:val="0"/>
            <w:vAlign w:val="center"/>
          </w:tcPr>
          <w:p w14:paraId="7F21104E">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5C7C0A88">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一般事故标准30%以上70%以下。</w:t>
            </w:r>
          </w:p>
        </w:tc>
        <w:tc>
          <w:tcPr>
            <w:tcW w:w="3251" w:type="dxa"/>
            <w:noWrap w:val="0"/>
            <w:vAlign w:val="center"/>
          </w:tcPr>
          <w:p w14:paraId="765D746D">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处</w:t>
            </w:r>
            <w:r>
              <w:rPr>
                <w:rFonts w:hint="eastAsia" w:ascii="宋体" w:hAnsi="宋体" w:eastAsia="宋体" w:cs="宋体"/>
                <w:color w:val="000000"/>
                <w:sz w:val="24"/>
                <w:szCs w:val="24"/>
              </w:rPr>
              <w:t>以</w:t>
            </w:r>
            <w:r>
              <w:rPr>
                <w:rFonts w:hint="eastAsia" w:ascii="宋体" w:hAnsi="宋体" w:eastAsia="宋体" w:cs="宋体"/>
                <w:color w:val="000000"/>
                <w:kern w:val="0"/>
                <w:sz w:val="24"/>
                <w:szCs w:val="24"/>
              </w:rPr>
              <w:t>13万元以上到17万元以下的罚款</w:t>
            </w:r>
            <w:r>
              <w:rPr>
                <w:rFonts w:hint="eastAsia" w:ascii="宋体" w:hAnsi="宋体" w:eastAsia="宋体" w:cs="宋体"/>
                <w:color w:val="000000"/>
                <w:kern w:val="0"/>
                <w:sz w:val="24"/>
                <w:szCs w:val="24"/>
                <w:lang w:eastAsia="zh-CN"/>
              </w:rPr>
              <w:t>。</w:t>
            </w:r>
          </w:p>
        </w:tc>
      </w:tr>
      <w:tr w14:paraId="1488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exact"/>
          <w:jc w:val="center"/>
        </w:trPr>
        <w:tc>
          <w:tcPr>
            <w:tcW w:w="736" w:type="dxa"/>
            <w:vMerge w:val="continue"/>
            <w:noWrap w:val="0"/>
            <w:vAlign w:val="center"/>
          </w:tcPr>
          <w:p w14:paraId="7E0F7FB9">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6171FA8A">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6D545E87">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both"/>
              <w:textAlignment w:val="auto"/>
              <w:rPr>
                <w:rFonts w:hint="eastAsia" w:ascii="宋体" w:hAnsi="宋体" w:eastAsia="宋体" w:cs="宋体"/>
                <w:color w:val="000000"/>
                <w:kern w:val="0"/>
                <w:sz w:val="24"/>
                <w:szCs w:val="24"/>
              </w:rPr>
            </w:pPr>
          </w:p>
        </w:tc>
        <w:tc>
          <w:tcPr>
            <w:tcW w:w="1132" w:type="dxa"/>
            <w:noWrap w:val="0"/>
            <w:vAlign w:val="center"/>
          </w:tcPr>
          <w:p w14:paraId="55231F7A">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16F22808">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一般事故标准70%以上。</w:t>
            </w:r>
          </w:p>
        </w:tc>
        <w:tc>
          <w:tcPr>
            <w:tcW w:w="3251" w:type="dxa"/>
            <w:noWrap w:val="0"/>
            <w:vAlign w:val="center"/>
          </w:tcPr>
          <w:p w14:paraId="3950D910">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处</w:t>
            </w:r>
            <w:r>
              <w:rPr>
                <w:rFonts w:hint="eastAsia" w:ascii="宋体" w:hAnsi="宋体" w:eastAsia="宋体" w:cs="宋体"/>
                <w:color w:val="000000"/>
                <w:sz w:val="24"/>
                <w:szCs w:val="24"/>
              </w:rPr>
              <w:t>以</w:t>
            </w:r>
            <w:r>
              <w:rPr>
                <w:rFonts w:hint="eastAsia" w:ascii="宋体" w:hAnsi="宋体" w:eastAsia="宋体" w:cs="宋体"/>
                <w:color w:val="000000"/>
                <w:kern w:val="0"/>
                <w:sz w:val="24"/>
                <w:szCs w:val="24"/>
              </w:rPr>
              <w:t>17万元以上20万元以下的罚款</w:t>
            </w:r>
            <w:r>
              <w:rPr>
                <w:rFonts w:hint="eastAsia" w:ascii="宋体" w:hAnsi="宋体" w:eastAsia="宋体" w:cs="宋体"/>
                <w:color w:val="000000"/>
                <w:kern w:val="0"/>
                <w:sz w:val="24"/>
                <w:szCs w:val="24"/>
                <w:lang w:eastAsia="zh-CN"/>
              </w:rPr>
              <w:t>。</w:t>
            </w:r>
          </w:p>
        </w:tc>
      </w:tr>
      <w:tr w14:paraId="267C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exact"/>
          <w:jc w:val="center"/>
        </w:trPr>
        <w:tc>
          <w:tcPr>
            <w:tcW w:w="736" w:type="dxa"/>
            <w:vMerge w:val="restart"/>
            <w:noWrap w:val="0"/>
            <w:vAlign w:val="center"/>
          </w:tcPr>
          <w:p w14:paraId="33AFC6F8">
            <w:pPr>
              <w:pageBreakBefore w:val="0"/>
              <w:widowControl/>
              <w:kinsoku/>
              <w:wordWrap/>
              <w:overflowPunct/>
              <w:topLinePunct w:val="0"/>
              <w:bidi w:val="0"/>
              <w:snapToGrid w:val="0"/>
              <w:spacing w:beforeAutospacing="0" w:afterAutospacing="0" w:line="380" w:lineRule="exact"/>
              <w:ind w:left="0"/>
              <w:jc w:val="center"/>
              <w:rPr>
                <w:rFonts w:hint="default"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1</w:t>
            </w:r>
            <w:r>
              <w:rPr>
                <w:rFonts w:hint="eastAsia" w:ascii="宋体" w:hAnsi="宋体" w:cs="宋体"/>
                <w:b w:val="0"/>
                <w:bCs w:val="0"/>
                <w:color w:val="000000"/>
                <w:kern w:val="0"/>
                <w:sz w:val="24"/>
                <w:szCs w:val="24"/>
                <w:lang w:val="en-US" w:eastAsia="zh-CN"/>
              </w:rPr>
              <w:t>69</w:t>
            </w:r>
          </w:p>
        </w:tc>
        <w:tc>
          <w:tcPr>
            <w:tcW w:w="1748" w:type="dxa"/>
            <w:vMerge w:val="restart"/>
            <w:noWrap w:val="0"/>
            <w:vAlign w:val="center"/>
          </w:tcPr>
          <w:p w14:paraId="427C3017">
            <w:pPr>
              <w:pageBreakBefore w:val="0"/>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7D9461EE">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both"/>
              <w:textAlignment w:val="auto"/>
              <w:rPr>
                <w:rFonts w:hint="eastAsia" w:ascii="宋体" w:hAnsi="宋体" w:eastAsia="宋体" w:cs="宋体"/>
                <w:color w:val="000000"/>
                <w:spacing w:val="-108"/>
                <w:sz w:val="24"/>
                <w:szCs w:val="24"/>
              </w:rPr>
            </w:pPr>
            <w:r>
              <w:rPr>
                <w:rFonts w:hint="eastAsia" w:ascii="宋体" w:hAnsi="宋体" w:eastAsia="宋体" w:cs="宋体"/>
                <w:b w:val="0"/>
                <w:bCs/>
                <w:color w:val="000000"/>
                <w:sz w:val="24"/>
                <w:szCs w:val="24"/>
              </w:rPr>
              <w:t>第九十条</w:t>
            </w:r>
            <w:r>
              <w:rPr>
                <w:rFonts w:hint="eastAsia" w:ascii="宋体" w:hAnsi="宋体" w:cs="宋体"/>
                <w:b w:val="0"/>
                <w:bCs/>
                <w:color w:val="000000"/>
                <w:sz w:val="24"/>
                <w:szCs w:val="24"/>
                <w:lang w:val="en-US" w:eastAsia="zh-CN"/>
              </w:rPr>
              <w:t xml:space="preserve"> </w:t>
            </w:r>
            <w:r>
              <w:rPr>
                <w:rFonts w:hint="eastAsia" w:ascii="宋体" w:hAnsi="宋体" w:eastAsia="宋体" w:cs="宋体"/>
                <w:color w:val="000000"/>
                <w:sz w:val="24"/>
                <w:szCs w:val="24"/>
              </w:rPr>
              <w:t>发生事故</w:t>
            </w:r>
            <w:r>
              <w:rPr>
                <w:rFonts w:hint="eastAsia" w:ascii="宋体" w:hAnsi="宋体" w:eastAsia="宋体" w:cs="宋体"/>
                <w:color w:val="000000"/>
                <w:spacing w:val="-51"/>
                <w:sz w:val="24"/>
                <w:szCs w:val="24"/>
              </w:rPr>
              <w:t>，</w:t>
            </w:r>
            <w:r>
              <w:rPr>
                <w:rFonts w:hint="eastAsia" w:ascii="宋体" w:hAnsi="宋体" w:eastAsia="宋体" w:cs="宋体"/>
                <w:color w:val="000000"/>
                <w:sz w:val="24"/>
                <w:szCs w:val="24"/>
              </w:rPr>
              <w:t>对负有责任的单位除要求其依法承担相应的赔偿等责任外，</w:t>
            </w:r>
            <w:r>
              <w:rPr>
                <w:rFonts w:hint="eastAsia" w:ascii="宋体" w:hAnsi="宋体" w:eastAsia="宋体" w:cs="宋体"/>
                <w:color w:val="000000"/>
                <w:spacing w:val="-102"/>
                <w:sz w:val="24"/>
                <w:szCs w:val="24"/>
              </w:rPr>
              <w:t xml:space="preserve"> </w:t>
            </w:r>
            <w:r>
              <w:rPr>
                <w:rFonts w:hint="eastAsia" w:ascii="宋体" w:hAnsi="宋体" w:eastAsia="宋体" w:cs="宋体"/>
                <w:color w:val="000000"/>
                <w:sz w:val="24"/>
                <w:szCs w:val="24"/>
              </w:rPr>
              <w:t>依照</w:t>
            </w:r>
            <w:r>
              <w:rPr>
                <w:rFonts w:hint="eastAsia" w:ascii="宋体" w:hAnsi="宋体" w:eastAsia="宋体" w:cs="宋体"/>
                <w:color w:val="000000"/>
                <w:spacing w:val="-3"/>
                <w:sz w:val="24"/>
                <w:szCs w:val="24"/>
              </w:rPr>
              <w:t>下</w:t>
            </w:r>
            <w:r>
              <w:rPr>
                <w:rFonts w:hint="eastAsia" w:ascii="宋体" w:hAnsi="宋体" w:eastAsia="宋体" w:cs="宋体"/>
                <w:color w:val="000000"/>
                <w:sz w:val="24"/>
                <w:szCs w:val="24"/>
              </w:rPr>
              <w:t>列</w:t>
            </w:r>
            <w:r>
              <w:rPr>
                <w:rFonts w:hint="eastAsia" w:ascii="宋体" w:hAnsi="宋体" w:eastAsia="宋体" w:cs="宋体"/>
                <w:color w:val="000000"/>
                <w:spacing w:val="-3"/>
                <w:sz w:val="24"/>
                <w:szCs w:val="24"/>
              </w:rPr>
              <w:t>规</w:t>
            </w:r>
            <w:r>
              <w:rPr>
                <w:rFonts w:hint="eastAsia" w:ascii="宋体" w:hAnsi="宋体" w:eastAsia="宋体" w:cs="宋体"/>
                <w:color w:val="000000"/>
                <w:sz w:val="24"/>
                <w:szCs w:val="24"/>
              </w:rPr>
              <w:t>定</w:t>
            </w:r>
            <w:r>
              <w:rPr>
                <w:rFonts w:hint="eastAsia" w:ascii="宋体" w:hAnsi="宋体" w:eastAsia="宋体" w:cs="宋体"/>
                <w:color w:val="000000"/>
                <w:spacing w:val="-3"/>
                <w:sz w:val="24"/>
                <w:szCs w:val="24"/>
              </w:rPr>
              <w:t>处</w:t>
            </w:r>
            <w:r>
              <w:rPr>
                <w:rFonts w:hint="eastAsia" w:ascii="宋体" w:hAnsi="宋体" w:eastAsia="宋体" w:cs="宋体"/>
                <w:color w:val="000000"/>
                <w:sz w:val="24"/>
                <w:szCs w:val="24"/>
              </w:rPr>
              <w:t>以</w:t>
            </w:r>
            <w:r>
              <w:rPr>
                <w:rFonts w:hint="eastAsia" w:ascii="宋体" w:hAnsi="宋体" w:eastAsia="宋体" w:cs="宋体"/>
                <w:color w:val="000000"/>
                <w:spacing w:val="-3"/>
                <w:sz w:val="24"/>
                <w:szCs w:val="24"/>
              </w:rPr>
              <w:t>罚</w:t>
            </w:r>
            <w:r>
              <w:rPr>
                <w:rFonts w:hint="eastAsia" w:ascii="宋体" w:hAnsi="宋体" w:eastAsia="宋体" w:cs="宋体"/>
                <w:color w:val="000000"/>
                <w:sz w:val="24"/>
                <w:szCs w:val="24"/>
              </w:rPr>
              <w:t>款</w:t>
            </w:r>
            <w:r>
              <w:rPr>
                <w:rFonts w:hint="eastAsia" w:ascii="宋体" w:hAnsi="宋体" w:eastAsia="宋体" w:cs="宋体"/>
                <w:color w:val="000000"/>
                <w:spacing w:val="-108"/>
                <w:sz w:val="24"/>
                <w:szCs w:val="24"/>
              </w:rPr>
              <w:t>：</w:t>
            </w:r>
          </w:p>
          <w:p w14:paraId="365FF419">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both"/>
              <w:textAlignment w:val="auto"/>
              <w:rPr>
                <w:rFonts w:hint="eastAsia" w:ascii="宋体" w:hAnsi="宋体" w:eastAsia="宋体" w:cs="宋体"/>
                <w:color w:val="000000"/>
                <w:kern w:val="0"/>
                <w:sz w:val="24"/>
                <w:szCs w:val="24"/>
              </w:rPr>
            </w:pPr>
            <w:r>
              <w:rPr>
                <w:rFonts w:hint="eastAsia" w:ascii="宋体" w:hAnsi="宋体" w:eastAsia="宋体" w:cs="宋体"/>
                <w:color w:val="000000"/>
                <w:spacing w:val="-3"/>
                <w:sz w:val="24"/>
                <w:szCs w:val="24"/>
              </w:rPr>
              <w:t>（</w:t>
            </w:r>
            <w:r>
              <w:rPr>
                <w:rFonts w:hint="eastAsia" w:ascii="宋体" w:hAnsi="宋体" w:eastAsia="宋体" w:cs="宋体"/>
                <w:color w:val="000000"/>
                <w:sz w:val="24"/>
                <w:szCs w:val="24"/>
              </w:rPr>
              <w:t>二）</w:t>
            </w:r>
            <w:r>
              <w:rPr>
                <w:rFonts w:hint="eastAsia" w:ascii="宋体" w:hAnsi="宋体" w:eastAsia="宋体" w:cs="宋体"/>
                <w:b w:val="0"/>
                <w:bCs/>
                <w:color w:val="000000"/>
                <w:spacing w:val="-3"/>
                <w:sz w:val="24"/>
                <w:szCs w:val="24"/>
                <w:u w:val="none"/>
              </w:rPr>
              <w:t>发</w:t>
            </w:r>
            <w:r>
              <w:rPr>
                <w:rFonts w:hint="eastAsia" w:ascii="宋体" w:hAnsi="宋体" w:eastAsia="宋体" w:cs="宋体"/>
                <w:b w:val="0"/>
                <w:bCs/>
                <w:color w:val="000000"/>
                <w:sz w:val="24"/>
                <w:szCs w:val="24"/>
                <w:u w:val="none"/>
              </w:rPr>
              <w:t>生</w:t>
            </w:r>
            <w:r>
              <w:rPr>
                <w:rFonts w:hint="eastAsia" w:ascii="宋体" w:hAnsi="宋体" w:eastAsia="宋体" w:cs="宋体"/>
                <w:b w:val="0"/>
                <w:bCs/>
                <w:color w:val="000000"/>
                <w:spacing w:val="-3"/>
                <w:sz w:val="24"/>
                <w:szCs w:val="24"/>
                <w:u w:val="none"/>
              </w:rPr>
              <w:t>较</w:t>
            </w:r>
            <w:r>
              <w:rPr>
                <w:rFonts w:hint="eastAsia" w:ascii="宋体" w:hAnsi="宋体" w:eastAsia="宋体" w:cs="宋体"/>
                <w:b w:val="0"/>
                <w:bCs/>
                <w:color w:val="000000"/>
                <w:sz w:val="24"/>
                <w:szCs w:val="24"/>
                <w:u w:val="none"/>
              </w:rPr>
              <w:t>大</w:t>
            </w:r>
            <w:r>
              <w:rPr>
                <w:rFonts w:hint="eastAsia" w:ascii="宋体" w:hAnsi="宋体" w:eastAsia="宋体" w:cs="宋体"/>
                <w:b w:val="0"/>
                <w:bCs/>
                <w:color w:val="000000"/>
                <w:spacing w:val="-3"/>
                <w:sz w:val="24"/>
                <w:szCs w:val="24"/>
                <w:u w:val="none"/>
              </w:rPr>
              <w:t>事</w:t>
            </w:r>
            <w:r>
              <w:rPr>
                <w:rFonts w:hint="eastAsia" w:ascii="宋体" w:hAnsi="宋体" w:eastAsia="宋体" w:cs="宋体"/>
                <w:b w:val="0"/>
                <w:bCs/>
                <w:color w:val="000000"/>
                <w:sz w:val="24"/>
                <w:szCs w:val="24"/>
                <w:u w:val="none"/>
              </w:rPr>
              <w:t>故</w:t>
            </w:r>
            <w:r>
              <w:rPr>
                <w:rFonts w:hint="eastAsia" w:ascii="宋体" w:hAnsi="宋体" w:eastAsia="宋体" w:cs="宋体"/>
                <w:b w:val="0"/>
                <w:bCs/>
                <w:color w:val="000000"/>
                <w:spacing w:val="-3"/>
                <w:sz w:val="24"/>
                <w:szCs w:val="24"/>
                <w:u w:val="none"/>
              </w:rPr>
              <w:t>，</w:t>
            </w:r>
            <w:r>
              <w:rPr>
                <w:rFonts w:hint="eastAsia" w:ascii="宋体" w:hAnsi="宋体" w:eastAsia="宋体" w:cs="宋体"/>
                <w:b w:val="0"/>
                <w:bCs/>
                <w:color w:val="000000"/>
                <w:sz w:val="24"/>
                <w:szCs w:val="24"/>
                <w:u w:val="none"/>
              </w:rPr>
              <w:t>处</w:t>
            </w:r>
            <w:r>
              <w:rPr>
                <w:rFonts w:hint="eastAsia" w:ascii="宋体" w:hAnsi="宋体" w:eastAsia="宋体" w:cs="宋体"/>
                <w:b w:val="0"/>
                <w:bCs/>
                <w:color w:val="000000"/>
                <w:spacing w:val="-3"/>
                <w:sz w:val="24"/>
                <w:szCs w:val="24"/>
                <w:u w:val="none"/>
              </w:rPr>
              <w:t>二</w:t>
            </w:r>
            <w:r>
              <w:rPr>
                <w:rFonts w:hint="eastAsia" w:ascii="宋体" w:hAnsi="宋体" w:eastAsia="宋体" w:cs="宋体"/>
                <w:b w:val="0"/>
                <w:bCs/>
                <w:color w:val="000000"/>
                <w:sz w:val="24"/>
                <w:szCs w:val="24"/>
                <w:u w:val="none"/>
              </w:rPr>
              <w:t>十万</w:t>
            </w:r>
            <w:r>
              <w:rPr>
                <w:rFonts w:hint="eastAsia" w:ascii="宋体" w:hAnsi="宋体" w:eastAsia="宋体" w:cs="宋体"/>
                <w:b w:val="0"/>
                <w:bCs/>
                <w:color w:val="000000"/>
                <w:spacing w:val="-3"/>
                <w:sz w:val="24"/>
                <w:szCs w:val="24"/>
                <w:u w:val="none"/>
              </w:rPr>
              <w:t>元</w:t>
            </w:r>
            <w:r>
              <w:rPr>
                <w:rFonts w:hint="eastAsia" w:ascii="宋体" w:hAnsi="宋体" w:eastAsia="宋体" w:cs="宋体"/>
                <w:b w:val="0"/>
                <w:bCs/>
                <w:color w:val="000000"/>
                <w:sz w:val="24"/>
                <w:szCs w:val="24"/>
                <w:u w:val="none"/>
              </w:rPr>
              <w:t>以</w:t>
            </w:r>
            <w:r>
              <w:rPr>
                <w:rFonts w:hint="eastAsia" w:ascii="宋体" w:hAnsi="宋体" w:eastAsia="宋体" w:cs="宋体"/>
                <w:b w:val="0"/>
                <w:bCs/>
                <w:color w:val="000000"/>
                <w:spacing w:val="-3"/>
                <w:sz w:val="24"/>
                <w:szCs w:val="24"/>
                <w:u w:val="none"/>
              </w:rPr>
              <w:t>上</w:t>
            </w:r>
            <w:r>
              <w:rPr>
                <w:rFonts w:hint="eastAsia" w:ascii="宋体" w:hAnsi="宋体" w:eastAsia="宋体" w:cs="宋体"/>
                <w:b w:val="0"/>
                <w:bCs/>
                <w:color w:val="000000"/>
                <w:sz w:val="24"/>
                <w:szCs w:val="24"/>
                <w:u w:val="none"/>
              </w:rPr>
              <w:t>五</w:t>
            </w:r>
            <w:r>
              <w:rPr>
                <w:rFonts w:hint="eastAsia" w:ascii="宋体" w:hAnsi="宋体" w:eastAsia="宋体" w:cs="宋体"/>
                <w:b w:val="0"/>
                <w:bCs/>
                <w:color w:val="000000"/>
                <w:spacing w:val="-3"/>
                <w:sz w:val="24"/>
                <w:szCs w:val="24"/>
                <w:u w:val="none"/>
              </w:rPr>
              <w:t>十</w:t>
            </w:r>
            <w:r>
              <w:rPr>
                <w:rFonts w:hint="eastAsia" w:ascii="宋体" w:hAnsi="宋体" w:eastAsia="宋体" w:cs="宋体"/>
                <w:b w:val="0"/>
                <w:bCs/>
                <w:color w:val="000000"/>
                <w:sz w:val="24"/>
                <w:szCs w:val="24"/>
                <w:u w:val="none"/>
              </w:rPr>
              <w:t>万</w:t>
            </w:r>
            <w:r>
              <w:rPr>
                <w:rFonts w:hint="eastAsia" w:ascii="宋体" w:hAnsi="宋体" w:eastAsia="宋体" w:cs="宋体"/>
                <w:b w:val="0"/>
                <w:bCs/>
                <w:color w:val="000000"/>
                <w:spacing w:val="-3"/>
                <w:sz w:val="24"/>
                <w:szCs w:val="24"/>
                <w:u w:val="none"/>
              </w:rPr>
              <w:t>元</w:t>
            </w:r>
            <w:r>
              <w:rPr>
                <w:rFonts w:hint="eastAsia" w:ascii="宋体" w:hAnsi="宋体" w:eastAsia="宋体" w:cs="宋体"/>
                <w:b w:val="0"/>
                <w:bCs/>
                <w:color w:val="000000"/>
                <w:sz w:val="24"/>
                <w:szCs w:val="24"/>
                <w:u w:val="none"/>
              </w:rPr>
              <w:t>以</w:t>
            </w:r>
            <w:r>
              <w:rPr>
                <w:rFonts w:hint="eastAsia" w:ascii="宋体" w:hAnsi="宋体" w:eastAsia="宋体" w:cs="宋体"/>
                <w:b w:val="0"/>
                <w:bCs/>
                <w:color w:val="000000"/>
                <w:spacing w:val="-3"/>
                <w:sz w:val="24"/>
                <w:szCs w:val="24"/>
                <w:u w:val="none"/>
              </w:rPr>
              <w:t>下</w:t>
            </w:r>
            <w:r>
              <w:rPr>
                <w:rFonts w:hint="eastAsia" w:ascii="宋体" w:hAnsi="宋体" w:eastAsia="宋体" w:cs="宋体"/>
                <w:b w:val="0"/>
                <w:bCs/>
                <w:color w:val="000000"/>
                <w:sz w:val="24"/>
                <w:szCs w:val="24"/>
                <w:u w:val="none"/>
              </w:rPr>
              <w:t>罚</w:t>
            </w:r>
            <w:r>
              <w:rPr>
                <w:rFonts w:hint="eastAsia" w:ascii="宋体" w:hAnsi="宋体" w:eastAsia="宋体" w:cs="宋体"/>
                <w:b w:val="0"/>
                <w:bCs/>
                <w:color w:val="000000"/>
                <w:spacing w:val="-1"/>
                <w:sz w:val="24"/>
                <w:szCs w:val="24"/>
                <w:u w:val="none"/>
              </w:rPr>
              <w:t>款</w:t>
            </w:r>
            <w:r>
              <w:rPr>
                <w:rFonts w:hint="eastAsia" w:ascii="宋体" w:hAnsi="宋体" w:eastAsia="宋体" w:cs="宋体"/>
                <w:b w:val="0"/>
                <w:bCs/>
                <w:color w:val="000000"/>
                <w:sz w:val="24"/>
                <w:szCs w:val="24"/>
                <w:u w:val="none"/>
              </w:rPr>
              <w:t>。</w:t>
            </w:r>
          </w:p>
        </w:tc>
        <w:tc>
          <w:tcPr>
            <w:tcW w:w="1132" w:type="dxa"/>
            <w:noWrap w:val="0"/>
            <w:vAlign w:val="center"/>
          </w:tcPr>
          <w:p w14:paraId="5F608ECF">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66DDCC1F">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较大事故标准30%以下</w:t>
            </w:r>
            <w:r>
              <w:rPr>
                <w:rFonts w:hint="eastAsia" w:ascii="宋体" w:hAnsi="宋体" w:cs="宋体"/>
                <w:color w:val="000000"/>
                <w:kern w:val="0"/>
                <w:sz w:val="24"/>
                <w:szCs w:val="24"/>
                <w:lang w:eastAsia="zh-CN"/>
              </w:rPr>
              <w:t>。</w:t>
            </w:r>
          </w:p>
        </w:tc>
        <w:tc>
          <w:tcPr>
            <w:tcW w:w="3251" w:type="dxa"/>
            <w:noWrap w:val="0"/>
            <w:vAlign w:val="center"/>
          </w:tcPr>
          <w:p w14:paraId="6A4982A3">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处</w:t>
            </w:r>
            <w:r>
              <w:rPr>
                <w:rFonts w:hint="eastAsia" w:ascii="宋体" w:hAnsi="宋体" w:eastAsia="宋体" w:cs="宋体"/>
                <w:color w:val="000000"/>
                <w:sz w:val="24"/>
                <w:szCs w:val="24"/>
              </w:rPr>
              <w:t>以</w:t>
            </w:r>
            <w:r>
              <w:rPr>
                <w:rFonts w:hint="eastAsia" w:ascii="宋体" w:hAnsi="宋体" w:eastAsia="宋体" w:cs="宋体"/>
                <w:color w:val="000000"/>
                <w:kern w:val="0"/>
                <w:sz w:val="24"/>
                <w:szCs w:val="24"/>
              </w:rPr>
              <w:t>20万元以上29万元以下的罚款</w:t>
            </w:r>
            <w:r>
              <w:rPr>
                <w:rFonts w:hint="eastAsia" w:ascii="宋体" w:hAnsi="宋体" w:eastAsia="宋体" w:cs="宋体"/>
                <w:color w:val="000000"/>
                <w:kern w:val="0"/>
                <w:sz w:val="24"/>
                <w:szCs w:val="24"/>
                <w:lang w:eastAsia="zh-CN"/>
              </w:rPr>
              <w:t>。</w:t>
            </w:r>
          </w:p>
        </w:tc>
      </w:tr>
      <w:tr w14:paraId="52ED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exact"/>
          <w:jc w:val="center"/>
        </w:trPr>
        <w:tc>
          <w:tcPr>
            <w:tcW w:w="736" w:type="dxa"/>
            <w:vMerge w:val="continue"/>
            <w:noWrap w:val="0"/>
            <w:vAlign w:val="center"/>
          </w:tcPr>
          <w:p w14:paraId="58F72C9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50A2C50B">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102A32B7">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both"/>
              <w:textAlignment w:val="auto"/>
              <w:rPr>
                <w:rFonts w:hint="eastAsia" w:ascii="宋体" w:hAnsi="宋体" w:eastAsia="宋体" w:cs="宋体"/>
                <w:color w:val="000000"/>
                <w:kern w:val="0"/>
                <w:sz w:val="24"/>
                <w:szCs w:val="24"/>
              </w:rPr>
            </w:pPr>
          </w:p>
        </w:tc>
        <w:tc>
          <w:tcPr>
            <w:tcW w:w="1132" w:type="dxa"/>
            <w:noWrap w:val="0"/>
            <w:vAlign w:val="center"/>
          </w:tcPr>
          <w:p w14:paraId="61F0545E">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25D28B06">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较大事故标准30%以上70%以下。</w:t>
            </w:r>
          </w:p>
        </w:tc>
        <w:tc>
          <w:tcPr>
            <w:tcW w:w="3251" w:type="dxa"/>
            <w:noWrap w:val="0"/>
            <w:vAlign w:val="center"/>
          </w:tcPr>
          <w:p w14:paraId="66DA0172">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处</w:t>
            </w:r>
            <w:r>
              <w:rPr>
                <w:rFonts w:hint="eastAsia" w:ascii="宋体" w:hAnsi="宋体" w:eastAsia="宋体" w:cs="宋体"/>
                <w:color w:val="000000"/>
                <w:sz w:val="24"/>
                <w:szCs w:val="24"/>
              </w:rPr>
              <w:t>以</w:t>
            </w:r>
            <w:r>
              <w:rPr>
                <w:rFonts w:hint="eastAsia" w:ascii="宋体" w:hAnsi="宋体" w:eastAsia="宋体" w:cs="宋体"/>
                <w:color w:val="000000"/>
                <w:kern w:val="0"/>
                <w:sz w:val="24"/>
                <w:szCs w:val="24"/>
              </w:rPr>
              <w:t>29万元以上到41万元以下的罚款</w:t>
            </w:r>
            <w:r>
              <w:rPr>
                <w:rFonts w:hint="eastAsia" w:ascii="宋体" w:hAnsi="宋体" w:eastAsia="宋体" w:cs="宋体"/>
                <w:color w:val="000000"/>
                <w:kern w:val="0"/>
                <w:sz w:val="24"/>
                <w:szCs w:val="24"/>
                <w:lang w:eastAsia="zh-CN"/>
              </w:rPr>
              <w:t>。</w:t>
            </w:r>
          </w:p>
        </w:tc>
      </w:tr>
      <w:tr w14:paraId="7E3A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exact"/>
          <w:jc w:val="center"/>
        </w:trPr>
        <w:tc>
          <w:tcPr>
            <w:tcW w:w="736" w:type="dxa"/>
            <w:vMerge w:val="continue"/>
            <w:noWrap w:val="0"/>
            <w:vAlign w:val="center"/>
          </w:tcPr>
          <w:p w14:paraId="4A2F4A8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408ABD3B">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093A97A7">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both"/>
              <w:textAlignment w:val="auto"/>
              <w:rPr>
                <w:rFonts w:hint="eastAsia" w:ascii="宋体" w:hAnsi="宋体" w:eastAsia="宋体" w:cs="宋体"/>
                <w:color w:val="000000"/>
                <w:kern w:val="0"/>
                <w:sz w:val="24"/>
                <w:szCs w:val="24"/>
              </w:rPr>
            </w:pPr>
          </w:p>
        </w:tc>
        <w:tc>
          <w:tcPr>
            <w:tcW w:w="1132" w:type="dxa"/>
            <w:noWrap w:val="0"/>
            <w:vAlign w:val="center"/>
          </w:tcPr>
          <w:p w14:paraId="5D96E681">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4116DF70">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较大事故标准70%以上。</w:t>
            </w:r>
          </w:p>
        </w:tc>
        <w:tc>
          <w:tcPr>
            <w:tcW w:w="3251" w:type="dxa"/>
            <w:noWrap w:val="0"/>
            <w:vAlign w:val="center"/>
          </w:tcPr>
          <w:p w14:paraId="34BB1D5C">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处</w:t>
            </w:r>
            <w:r>
              <w:rPr>
                <w:rFonts w:hint="eastAsia" w:ascii="宋体" w:hAnsi="宋体" w:eastAsia="宋体" w:cs="宋体"/>
                <w:color w:val="000000"/>
                <w:sz w:val="24"/>
                <w:szCs w:val="24"/>
              </w:rPr>
              <w:t>以</w:t>
            </w:r>
            <w:r>
              <w:rPr>
                <w:rFonts w:hint="eastAsia" w:ascii="宋体" w:hAnsi="宋体" w:eastAsia="宋体" w:cs="宋体"/>
                <w:color w:val="000000"/>
                <w:kern w:val="0"/>
                <w:sz w:val="24"/>
                <w:szCs w:val="24"/>
              </w:rPr>
              <w:t>41万元以上50万元以下的罚款</w:t>
            </w:r>
            <w:r>
              <w:rPr>
                <w:rFonts w:hint="eastAsia" w:ascii="宋体" w:hAnsi="宋体" w:eastAsia="宋体" w:cs="宋体"/>
                <w:color w:val="000000"/>
                <w:kern w:val="0"/>
                <w:sz w:val="24"/>
                <w:szCs w:val="24"/>
                <w:lang w:eastAsia="zh-CN"/>
              </w:rPr>
              <w:t>。</w:t>
            </w:r>
          </w:p>
        </w:tc>
      </w:tr>
      <w:tr w14:paraId="1109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jc w:val="center"/>
        </w:trPr>
        <w:tc>
          <w:tcPr>
            <w:tcW w:w="736" w:type="dxa"/>
            <w:vMerge w:val="restart"/>
            <w:noWrap w:val="0"/>
            <w:vAlign w:val="center"/>
          </w:tcPr>
          <w:p w14:paraId="5B2E0C3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7</w:t>
            </w:r>
            <w:r>
              <w:rPr>
                <w:rFonts w:hint="eastAsia" w:ascii="宋体" w:hAnsi="宋体" w:cs="宋体"/>
                <w:b w:val="0"/>
                <w:bCs w:val="0"/>
                <w:color w:val="000000"/>
                <w:kern w:val="0"/>
                <w:sz w:val="24"/>
                <w:szCs w:val="24"/>
                <w:lang w:val="en-US" w:eastAsia="zh-CN"/>
              </w:rPr>
              <w:t>0</w:t>
            </w:r>
          </w:p>
        </w:tc>
        <w:tc>
          <w:tcPr>
            <w:tcW w:w="1748" w:type="dxa"/>
            <w:vMerge w:val="restart"/>
            <w:noWrap w:val="0"/>
            <w:vAlign w:val="center"/>
          </w:tcPr>
          <w:p w14:paraId="0B222595">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7D26B4E5">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第九十三条第一款 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w:t>
            </w:r>
          </w:p>
          <w:p w14:paraId="218028D4">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eastAsia="zh-CN"/>
              </w:rPr>
            </w:pPr>
            <w:r>
              <w:rPr>
                <w:rFonts w:hint="eastAsia" w:ascii="宋体" w:hAnsi="宋体" w:eastAsia="宋体" w:cs="宋体"/>
                <w:color w:val="000000"/>
                <w:kern w:val="0"/>
                <w:sz w:val="24"/>
                <w:szCs w:val="24"/>
              </w:rPr>
              <w:t>（一）</w:t>
            </w:r>
            <w:r>
              <w:rPr>
                <w:rFonts w:hint="eastAsia" w:ascii="宋体" w:hAnsi="宋体" w:eastAsia="宋体" w:cs="宋体"/>
                <w:b w:val="0"/>
                <w:bCs/>
                <w:color w:val="000000"/>
                <w:kern w:val="0"/>
                <w:sz w:val="24"/>
                <w:szCs w:val="24"/>
                <w:u w:val="none"/>
              </w:rPr>
              <w:t>未经核准或者超出核准范围、使用未取得相应资格的人员从事检验、检测的；</w:t>
            </w:r>
          </w:p>
          <w:p w14:paraId="118552D5">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eastAsia="zh-CN"/>
              </w:rPr>
            </w:pPr>
            <w:r>
              <w:rPr>
                <w:rFonts w:hint="eastAsia" w:ascii="宋体" w:hAnsi="宋体" w:eastAsia="宋体" w:cs="宋体"/>
                <w:b w:val="0"/>
                <w:bCs/>
                <w:color w:val="000000"/>
                <w:kern w:val="0"/>
                <w:sz w:val="24"/>
                <w:szCs w:val="24"/>
                <w:u w:val="none"/>
              </w:rPr>
              <w:t>（二）未按照安全技术规范的要求进行检验、检测的</w:t>
            </w:r>
            <w:r>
              <w:rPr>
                <w:rFonts w:hint="eastAsia" w:ascii="宋体" w:hAnsi="宋体" w:cs="宋体"/>
                <w:b w:val="0"/>
                <w:bCs/>
                <w:color w:val="000000"/>
                <w:kern w:val="0"/>
                <w:sz w:val="24"/>
                <w:szCs w:val="24"/>
                <w:u w:val="none"/>
                <w:lang w:eastAsia="zh-CN"/>
              </w:rPr>
              <w:t>。</w:t>
            </w:r>
          </w:p>
        </w:tc>
        <w:tc>
          <w:tcPr>
            <w:tcW w:w="1132" w:type="dxa"/>
            <w:noWrap w:val="0"/>
            <w:vAlign w:val="center"/>
          </w:tcPr>
          <w:p w14:paraId="2B59F1C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0AA3D0AF">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违法</w:t>
            </w:r>
            <w:r>
              <w:rPr>
                <w:rFonts w:hint="eastAsia" w:ascii="宋体" w:hAnsi="宋体" w:eastAsia="宋体" w:cs="宋体"/>
                <w:color w:val="auto"/>
                <w:kern w:val="0"/>
                <w:sz w:val="24"/>
                <w:szCs w:val="24"/>
              </w:rPr>
              <w:t>检验、检测3次以下</w:t>
            </w:r>
            <w:r>
              <w:rPr>
                <w:rFonts w:hint="eastAsia" w:ascii="宋体" w:hAnsi="宋体" w:eastAsia="宋体" w:cs="宋体"/>
                <w:color w:val="auto"/>
                <w:kern w:val="0"/>
                <w:sz w:val="24"/>
                <w:szCs w:val="24"/>
                <w:lang w:eastAsia="zh-CN"/>
              </w:rPr>
              <w:t>（气瓶按批次计）。</w:t>
            </w:r>
          </w:p>
        </w:tc>
        <w:tc>
          <w:tcPr>
            <w:tcW w:w="3251" w:type="dxa"/>
            <w:noWrap w:val="0"/>
            <w:vAlign w:val="center"/>
          </w:tcPr>
          <w:p w14:paraId="06528C1B">
            <w:pPr>
              <w:pageBreakBefore w:val="0"/>
              <w:widowControl/>
              <w:kinsoku/>
              <w:wordWrap/>
              <w:overflowPunct/>
              <w:topLinePunct w:val="0"/>
              <w:bidi w:val="0"/>
              <w:snapToGrid w:val="0"/>
              <w:spacing w:beforeAutospacing="0" w:afterAutospacing="0" w:line="40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对检验检测机构处5万元以上9.5万元以下罚款；对直接负责的主管人员和其他直接责任人员处5000元以上1.85万元以下罚款。</w:t>
            </w:r>
          </w:p>
        </w:tc>
      </w:tr>
      <w:tr w14:paraId="10C7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4" w:hRule="atLeast"/>
          <w:jc w:val="center"/>
        </w:trPr>
        <w:tc>
          <w:tcPr>
            <w:tcW w:w="736" w:type="dxa"/>
            <w:vMerge w:val="continue"/>
            <w:noWrap w:val="0"/>
            <w:vAlign w:val="center"/>
          </w:tcPr>
          <w:p w14:paraId="167F3AF1">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4FD4B5CF">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6ADB47BB">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55F9012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7845F20C">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违法</w:t>
            </w:r>
            <w:r>
              <w:rPr>
                <w:rFonts w:hint="eastAsia" w:ascii="宋体" w:hAnsi="宋体" w:eastAsia="宋体" w:cs="宋体"/>
                <w:color w:val="auto"/>
                <w:kern w:val="0"/>
                <w:sz w:val="24"/>
                <w:szCs w:val="24"/>
              </w:rPr>
              <w:t>检验、检测3次以上6次以下</w:t>
            </w:r>
            <w:r>
              <w:rPr>
                <w:rFonts w:hint="eastAsia" w:ascii="宋体" w:hAnsi="宋体" w:eastAsia="宋体" w:cs="宋体"/>
                <w:color w:val="auto"/>
                <w:kern w:val="0"/>
                <w:sz w:val="24"/>
                <w:szCs w:val="24"/>
                <w:lang w:eastAsia="zh-CN"/>
              </w:rPr>
              <w:t>（气瓶按批次计）。</w:t>
            </w:r>
          </w:p>
        </w:tc>
        <w:tc>
          <w:tcPr>
            <w:tcW w:w="3251" w:type="dxa"/>
            <w:noWrap w:val="0"/>
            <w:vAlign w:val="center"/>
          </w:tcPr>
          <w:p w14:paraId="07F1047F">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对检验检测机构处9.5万元以上15.5万元以下罚款；对直接负责的主管人员和其他直接责任人员处1.85万元以上3.65万元以下罚款。</w:t>
            </w:r>
          </w:p>
        </w:tc>
      </w:tr>
      <w:tr w14:paraId="0221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3" w:hRule="atLeast"/>
          <w:jc w:val="center"/>
        </w:trPr>
        <w:tc>
          <w:tcPr>
            <w:tcW w:w="736" w:type="dxa"/>
            <w:vMerge w:val="continue"/>
            <w:noWrap w:val="0"/>
            <w:vAlign w:val="center"/>
          </w:tcPr>
          <w:p w14:paraId="3B20F4E2">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0F2AA2D2">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5032CD5D">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0C5EEE21">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001CFD61">
            <w:pPr>
              <w:spacing w:line="380" w:lineRule="exact"/>
              <w:rPr>
                <w:rFonts w:hint="eastAsia" w:ascii="宋体" w:hAnsi="宋体" w:cs="宋体"/>
                <w:color w:val="auto"/>
                <w:sz w:val="24"/>
              </w:rPr>
            </w:pPr>
            <w:r>
              <w:rPr>
                <w:rFonts w:hint="eastAsia" w:ascii="宋体" w:hAnsi="宋体" w:eastAsia="宋体" w:cs="宋体"/>
                <w:color w:val="auto"/>
                <w:kern w:val="0"/>
                <w:sz w:val="24"/>
                <w:szCs w:val="24"/>
                <w:lang w:val="en-US" w:eastAsia="zh-CN"/>
              </w:rPr>
              <w:t>违法</w:t>
            </w:r>
            <w:r>
              <w:rPr>
                <w:rFonts w:hint="eastAsia" w:ascii="宋体" w:hAnsi="宋体" w:eastAsia="宋体" w:cs="宋体"/>
                <w:color w:val="auto"/>
                <w:kern w:val="0"/>
                <w:sz w:val="24"/>
                <w:szCs w:val="24"/>
              </w:rPr>
              <w:t>检验、检测6次以上</w:t>
            </w:r>
          </w:p>
          <w:p w14:paraId="29BB10CC">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（气瓶按批次计）。</w:t>
            </w:r>
          </w:p>
        </w:tc>
        <w:tc>
          <w:tcPr>
            <w:tcW w:w="3251" w:type="dxa"/>
            <w:noWrap w:val="0"/>
            <w:vAlign w:val="center"/>
          </w:tcPr>
          <w:p w14:paraId="47FB9F41">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对检验检测机构处15.5万元以上20万元以下罚款；对直接负责的主管人员和其他直接责任人员处3.65万元以上5万元以下罚款；情节严重的，吊销机构资质和有关人员的资格。</w:t>
            </w:r>
          </w:p>
        </w:tc>
      </w:tr>
      <w:tr w14:paraId="77A5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4" w:hRule="exact"/>
          <w:jc w:val="center"/>
        </w:trPr>
        <w:tc>
          <w:tcPr>
            <w:tcW w:w="736" w:type="dxa"/>
            <w:vMerge w:val="restart"/>
            <w:noWrap w:val="0"/>
            <w:vAlign w:val="center"/>
          </w:tcPr>
          <w:p w14:paraId="2B73F61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7</w:t>
            </w:r>
            <w:r>
              <w:rPr>
                <w:rFonts w:hint="eastAsia" w:ascii="宋体" w:hAnsi="宋体" w:cs="宋体"/>
                <w:b w:val="0"/>
                <w:bCs w:val="0"/>
                <w:color w:val="000000"/>
                <w:kern w:val="0"/>
                <w:sz w:val="24"/>
                <w:szCs w:val="24"/>
                <w:lang w:val="en-US" w:eastAsia="zh-CN"/>
              </w:rPr>
              <w:t>1</w:t>
            </w:r>
          </w:p>
        </w:tc>
        <w:tc>
          <w:tcPr>
            <w:tcW w:w="1748" w:type="dxa"/>
            <w:vMerge w:val="restart"/>
            <w:noWrap w:val="0"/>
            <w:vAlign w:val="center"/>
          </w:tcPr>
          <w:p w14:paraId="7EA42E25">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78584FE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第九十三条第一款</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w:t>
            </w:r>
          </w:p>
          <w:p w14:paraId="7A64F5DC">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（三）</w:t>
            </w:r>
            <w:r>
              <w:rPr>
                <w:rFonts w:hint="eastAsia" w:ascii="宋体" w:hAnsi="宋体" w:eastAsia="宋体" w:cs="宋体"/>
                <w:b w:val="0"/>
                <w:bCs/>
                <w:i w:val="0"/>
                <w:iCs w:val="0"/>
                <w:color w:val="000000"/>
                <w:kern w:val="0"/>
                <w:sz w:val="24"/>
                <w:szCs w:val="24"/>
                <w:u w:val="none"/>
              </w:rPr>
              <w:t>出具虚假的检验、检测结果和鉴定结论或者检验、检测结果和鉴定结论严重失实的</w:t>
            </w:r>
            <w:r>
              <w:rPr>
                <w:rFonts w:hint="eastAsia" w:ascii="宋体" w:hAnsi="宋体" w:cs="宋体"/>
                <w:b w:val="0"/>
                <w:bCs/>
                <w:i w:val="0"/>
                <w:iCs w:val="0"/>
                <w:color w:val="000000"/>
                <w:kern w:val="0"/>
                <w:sz w:val="24"/>
                <w:szCs w:val="24"/>
                <w:u w:val="none"/>
                <w:lang w:eastAsia="zh-CN"/>
              </w:rPr>
              <w:t>。</w:t>
            </w:r>
          </w:p>
        </w:tc>
        <w:tc>
          <w:tcPr>
            <w:tcW w:w="1132" w:type="dxa"/>
            <w:noWrap w:val="0"/>
            <w:vAlign w:val="center"/>
          </w:tcPr>
          <w:p w14:paraId="5AED215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40362E59">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出具3份以下虚假或者失实的检验检测结果、鉴定结论</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 xml:space="preserve"> </w:t>
            </w:r>
          </w:p>
        </w:tc>
        <w:tc>
          <w:tcPr>
            <w:tcW w:w="3251" w:type="dxa"/>
            <w:noWrap w:val="0"/>
            <w:vAlign w:val="center"/>
          </w:tcPr>
          <w:p w14:paraId="28634BA2">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对检验检测机构处5万元以上9.5万元以下罚款；对直接负责的主管人员和其他直接责任人员处5000元以上1.85万元以下罚款。</w:t>
            </w:r>
          </w:p>
        </w:tc>
      </w:tr>
      <w:tr w14:paraId="78AA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4" w:hRule="exact"/>
          <w:jc w:val="center"/>
        </w:trPr>
        <w:tc>
          <w:tcPr>
            <w:tcW w:w="736" w:type="dxa"/>
            <w:vMerge w:val="continue"/>
            <w:noWrap w:val="0"/>
            <w:vAlign w:val="center"/>
          </w:tcPr>
          <w:p w14:paraId="13F7EE2F">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7383E187">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1DFD767E">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0562FD0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17174217">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出具3份以上10</w:t>
            </w:r>
            <w:r>
              <w:rPr>
                <w:rFonts w:hint="eastAsia" w:ascii="宋体" w:hAnsi="宋体" w:eastAsia="宋体" w:cs="宋体"/>
                <w:color w:val="000000"/>
                <w:kern w:val="0"/>
                <w:sz w:val="24"/>
                <w:szCs w:val="24"/>
                <w:lang w:val="en-US" w:eastAsia="zh-CN"/>
              </w:rPr>
              <w:t>份</w:t>
            </w:r>
            <w:r>
              <w:rPr>
                <w:rFonts w:hint="eastAsia" w:ascii="宋体" w:hAnsi="宋体" w:eastAsia="宋体" w:cs="宋体"/>
                <w:color w:val="000000"/>
                <w:kern w:val="0"/>
                <w:sz w:val="24"/>
                <w:szCs w:val="24"/>
              </w:rPr>
              <w:t>以下虚假或者失实的检验检测结果、鉴定结论</w:t>
            </w:r>
            <w:r>
              <w:rPr>
                <w:rFonts w:hint="eastAsia" w:ascii="宋体" w:hAnsi="宋体" w:eastAsia="宋体" w:cs="宋体"/>
                <w:color w:val="000000"/>
                <w:kern w:val="0"/>
                <w:sz w:val="24"/>
                <w:szCs w:val="24"/>
                <w:lang w:eastAsia="zh-CN"/>
              </w:rPr>
              <w:t>。</w:t>
            </w:r>
          </w:p>
        </w:tc>
        <w:tc>
          <w:tcPr>
            <w:tcW w:w="3251" w:type="dxa"/>
            <w:noWrap w:val="0"/>
            <w:vAlign w:val="center"/>
          </w:tcPr>
          <w:p w14:paraId="5143FE0B">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对检验检测机构处9.5万元以上15.5万元以下罚款；对直接负责的主管人员和其他直接责任人员处1.85万元以上3.65万元以下罚款。</w:t>
            </w:r>
          </w:p>
        </w:tc>
      </w:tr>
      <w:tr w14:paraId="6D7D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4" w:hRule="exact"/>
          <w:jc w:val="center"/>
        </w:trPr>
        <w:tc>
          <w:tcPr>
            <w:tcW w:w="736" w:type="dxa"/>
            <w:vMerge w:val="continue"/>
            <w:noWrap w:val="0"/>
            <w:vAlign w:val="center"/>
          </w:tcPr>
          <w:p w14:paraId="793FA4C0">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0B044CD3">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53B39B19">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27FFDCBF">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669C2C2F">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出具10</w:t>
            </w:r>
            <w:r>
              <w:rPr>
                <w:rFonts w:hint="eastAsia" w:ascii="宋体" w:hAnsi="宋体" w:eastAsia="宋体" w:cs="宋体"/>
                <w:color w:val="000000"/>
                <w:kern w:val="0"/>
                <w:sz w:val="24"/>
                <w:szCs w:val="24"/>
                <w:lang w:val="en-US" w:eastAsia="zh-CN"/>
              </w:rPr>
              <w:t>份</w:t>
            </w:r>
            <w:r>
              <w:rPr>
                <w:rFonts w:hint="eastAsia" w:ascii="宋体" w:hAnsi="宋体" w:eastAsia="宋体" w:cs="宋体"/>
                <w:color w:val="000000"/>
                <w:kern w:val="0"/>
                <w:sz w:val="24"/>
                <w:szCs w:val="24"/>
              </w:rPr>
              <w:t>以上虚假或者失实的检验检测结果、鉴定结论</w:t>
            </w:r>
            <w:r>
              <w:rPr>
                <w:rFonts w:hint="eastAsia" w:ascii="宋体" w:hAnsi="宋体" w:eastAsia="宋体" w:cs="宋体"/>
                <w:color w:val="000000"/>
                <w:kern w:val="0"/>
                <w:sz w:val="24"/>
                <w:szCs w:val="24"/>
                <w:lang w:eastAsia="zh-CN"/>
              </w:rPr>
              <w:t>。</w:t>
            </w:r>
          </w:p>
        </w:tc>
        <w:tc>
          <w:tcPr>
            <w:tcW w:w="3251" w:type="dxa"/>
            <w:noWrap w:val="0"/>
            <w:vAlign w:val="center"/>
          </w:tcPr>
          <w:p w14:paraId="2B546825">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对检验检测机构处15.5万元以上20万元以下罚款；对直接负责的主管人员和其他直接责任人员处3.65万元以上5万元以下罚款；情节严重的，吊销机构资质和有关人员的资格。</w:t>
            </w:r>
          </w:p>
        </w:tc>
      </w:tr>
      <w:tr w14:paraId="01D8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1" w:hRule="exact"/>
          <w:jc w:val="center"/>
        </w:trPr>
        <w:tc>
          <w:tcPr>
            <w:tcW w:w="736" w:type="dxa"/>
            <w:vMerge w:val="restart"/>
            <w:noWrap w:val="0"/>
            <w:vAlign w:val="center"/>
          </w:tcPr>
          <w:p w14:paraId="455B01C0">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7</w:t>
            </w:r>
            <w:r>
              <w:rPr>
                <w:rFonts w:hint="eastAsia" w:ascii="宋体" w:hAnsi="宋体" w:cs="宋体"/>
                <w:b w:val="0"/>
                <w:bCs w:val="0"/>
                <w:color w:val="000000"/>
                <w:kern w:val="0"/>
                <w:sz w:val="24"/>
                <w:szCs w:val="24"/>
                <w:lang w:val="en-US" w:eastAsia="zh-CN"/>
              </w:rPr>
              <w:t>2</w:t>
            </w:r>
          </w:p>
        </w:tc>
        <w:tc>
          <w:tcPr>
            <w:tcW w:w="1748" w:type="dxa"/>
            <w:vMerge w:val="restart"/>
            <w:noWrap w:val="0"/>
            <w:vAlign w:val="center"/>
          </w:tcPr>
          <w:p w14:paraId="7CBF4D01">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37C1E840">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第九十三条第一款</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w:t>
            </w:r>
          </w:p>
          <w:p w14:paraId="6BA6DCD9">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（四）</w:t>
            </w:r>
            <w:r>
              <w:rPr>
                <w:rFonts w:hint="eastAsia" w:ascii="宋体" w:hAnsi="宋体" w:eastAsia="宋体" w:cs="宋体"/>
                <w:b w:val="0"/>
                <w:bCs/>
                <w:color w:val="000000"/>
                <w:kern w:val="0"/>
                <w:sz w:val="24"/>
                <w:szCs w:val="24"/>
                <w:u w:val="none"/>
              </w:rPr>
              <w:t>发现特种设备存在严重事故隐患，未及时告知相关单位，并立即向负责特种设备安全监督管理的部门报告的</w:t>
            </w:r>
            <w:r>
              <w:rPr>
                <w:rFonts w:hint="eastAsia" w:ascii="宋体" w:hAnsi="宋体" w:cs="宋体"/>
                <w:b w:val="0"/>
                <w:bCs/>
                <w:color w:val="000000"/>
                <w:kern w:val="0"/>
                <w:sz w:val="24"/>
                <w:szCs w:val="24"/>
                <w:u w:val="none"/>
                <w:lang w:eastAsia="zh-CN"/>
              </w:rPr>
              <w:t>。</w:t>
            </w:r>
          </w:p>
        </w:tc>
        <w:tc>
          <w:tcPr>
            <w:tcW w:w="1132" w:type="dxa"/>
            <w:noWrap w:val="0"/>
            <w:vAlign w:val="center"/>
          </w:tcPr>
          <w:p w14:paraId="5A16536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3FF79C35">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违法行为持续时间1个月以下。</w:t>
            </w:r>
          </w:p>
        </w:tc>
        <w:tc>
          <w:tcPr>
            <w:tcW w:w="3251" w:type="dxa"/>
            <w:noWrap w:val="0"/>
            <w:vAlign w:val="center"/>
          </w:tcPr>
          <w:p w14:paraId="6A2BD844">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对检验检测机构处5万元以上9.5万元以下罚款；对直接负责的主管人员和其他直接责任人员处5000元以上1.85万元以下罚款。</w:t>
            </w:r>
          </w:p>
        </w:tc>
      </w:tr>
      <w:tr w14:paraId="5786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exact"/>
          <w:jc w:val="center"/>
        </w:trPr>
        <w:tc>
          <w:tcPr>
            <w:tcW w:w="736" w:type="dxa"/>
            <w:vMerge w:val="continue"/>
            <w:noWrap w:val="0"/>
            <w:vAlign w:val="center"/>
          </w:tcPr>
          <w:p w14:paraId="5E70C1A2">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04F5264A">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731FD742">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2C364180">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4768C220">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违法行为持续时间1个月以上3个月以下。</w:t>
            </w:r>
          </w:p>
        </w:tc>
        <w:tc>
          <w:tcPr>
            <w:tcW w:w="3251" w:type="dxa"/>
            <w:noWrap w:val="0"/>
            <w:vAlign w:val="center"/>
          </w:tcPr>
          <w:p w14:paraId="0A41750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对检验检测机构处9.5万元以上15.5万元以下罚款；对直接负责的主管人员和其他直接责任人员处1.85万元以上3.65万元以下罚款。</w:t>
            </w:r>
          </w:p>
        </w:tc>
      </w:tr>
      <w:tr w14:paraId="2DB0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6" w:hRule="exact"/>
          <w:jc w:val="center"/>
        </w:trPr>
        <w:tc>
          <w:tcPr>
            <w:tcW w:w="736" w:type="dxa"/>
            <w:vMerge w:val="continue"/>
            <w:noWrap w:val="0"/>
            <w:vAlign w:val="center"/>
          </w:tcPr>
          <w:p w14:paraId="4584E902">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4F1A10A7">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5CDACE9C">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60CCBE49">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232287A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违法行为持续时间3个月以上。</w:t>
            </w:r>
          </w:p>
        </w:tc>
        <w:tc>
          <w:tcPr>
            <w:tcW w:w="3251" w:type="dxa"/>
            <w:noWrap w:val="0"/>
            <w:vAlign w:val="center"/>
          </w:tcPr>
          <w:p w14:paraId="33FB3CD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对检验检测机构处15.5万元以上20万元以下罚款；；对直接负责的主管人员和其他直接责任人员处3.65万元以上5万元以下罚款；情节严重的，吊销机构资质和有关人员的资格。</w:t>
            </w:r>
          </w:p>
        </w:tc>
      </w:tr>
      <w:tr w14:paraId="140F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exact"/>
          <w:jc w:val="center"/>
        </w:trPr>
        <w:tc>
          <w:tcPr>
            <w:tcW w:w="736" w:type="dxa"/>
            <w:vMerge w:val="restart"/>
            <w:noWrap w:val="0"/>
            <w:vAlign w:val="center"/>
          </w:tcPr>
          <w:p w14:paraId="5E2504B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7</w:t>
            </w:r>
            <w:r>
              <w:rPr>
                <w:rFonts w:hint="eastAsia" w:ascii="宋体" w:hAnsi="宋体" w:cs="宋体"/>
                <w:b w:val="0"/>
                <w:bCs w:val="0"/>
                <w:color w:val="000000"/>
                <w:kern w:val="0"/>
                <w:sz w:val="24"/>
                <w:szCs w:val="24"/>
                <w:lang w:val="en-US" w:eastAsia="zh-CN"/>
              </w:rPr>
              <w:t>3</w:t>
            </w:r>
          </w:p>
        </w:tc>
        <w:tc>
          <w:tcPr>
            <w:tcW w:w="1748" w:type="dxa"/>
            <w:vMerge w:val="restart"/>
            <w:noWrap w:val="0"/>
            <w:vAlign w:val="center"/>
          </w:tcPr>
          <w:p w14:paraId="4E852B72">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6724917F">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第九十三条第一款</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w:t>
            </w:r>
          </w:p>
          <w:p w14:paraId="75566FFE">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（五）</w:t>
            </w:r>
            <w:r>
              <w:rPr>
                <w:rFonts w:hint="eastAsia" w:ascii="宋体" w:hAnsi="宋体" w:eastAsia="宋体" w:cs="宋体"/>
                <w:b w:val="0"/>
                <w:bCs/>
                <w:color w:val="000000"/>
                <w:kern w:val="0"/>
                <w:sz w:val="24"/>
                <w:szCs w:val="24"/>
                <w:u w:val="none"/>
              </w:rPr>
              <w:t>泄露检验、检测过程中知悉的商业秘密的</w:t>
            </w:r>
            <w:r>
              <w:rPr>
                <w:rFonts w:hint="eastAsia" w:ascii="宋体" w:hAnsi="宋体" w:cs="宋体"/>
                <w:b w:val="0"/>
                <w:bCs/>
                <w:color w:val="000000"/>
                <w:kern w:val="0"/>
                <w:sz w:val="24"/>
                <w:szCs w:val="24"/>
                <w:u w:val="none"/>
                <w:lang w:eastAsia="zh-CN"/>
              </w:rPr>
              <w:t>。</w:t>
            </w:r>
          </w:p>
        </w:tc>
        <w:tc>
          <w:tcPr>
            <w:tcW w:w="1132" w:type="dxa"/>
            <w:noWrap w:val="0"/>
            <w:vAlign w:val="center"/>
          </w:tcPr>
          <w:p w14:paraId="0071B39B">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783752D9">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给相关单位造成10万元以下经济损失的。</w:t>
            </w:r>
          </w:p>
        </w:tc>
        <w:tc>
          <w:tcPr>
            <w:tcW w:w="3251" w:type="dxa"/>
            <w:noWrap w:val="0"/>
            <w:vAlign w:val="center"/>
          </w:tcPr>
          <w:p w14:paraId="1DF86744">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对检验检测机构处5万元以上9.5万元以下罚款；对直接负责的主管人员和其他直接责任人员处5000元以上1.85万元以下罚款。</w:t>
            </w:r>
          </w:p>
        </w:tc>
      </w:tr>
      <w:tr w14:paraId="51C60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exact"/>
          <w:jc w:val="center"/>
        </w:trPr>
        <w:tc>
          <w:tcPr>
            <w:tcW w:w="736" w:type="dxa"/>
            <w:vMerge w:val="continue"/>
            <w:noWrap w:val="0"/>
            <w:vAlign w:val="center"/>
          </w:tcPr>
          <w:p w14:paraId="44867F4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5A3715CB">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1CF44AD1">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306729D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072D76D0">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给相关单位造成10万元以上50万元经济损失的。</w:t>
            </w:r>
          </w:p>
        </w:tc>
        <w:tc>
          <w:tcPr>
            <w:tcW w:w="3251" w:type="dxa"/>
            <w:noWrap w:val="0"/>
            <w:vAlign w:val="center"/>
          </w:tcPr>
          <w:p w14:paraId="114DAFC4">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对检验检测机构处9.5万元以上15.5万元以下罚款；对直接负责的主管人员和其他直接责任人员处1.85万元以上3.65万元以下罚款。</w:t>
            </w:r>
          </w:p>
        </w:tc>
      </w:tr>
      <w:tr w14:paraId="377B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0" w:hRule="exact"/>
          <w:jc w:val="center"/>
        </w:trPr>
        <w:tc>
          <w:tcPr>
            <w:tcW w:w="736" w:type="dxa"/>
            <w:vMerge w:val="continue"/>
            <w:noWrap w:val="0"/>
            <w:vAlign w:val="center"/>
          </w:tcPr>
          <w:p w14:paraId="50263C0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4F87D48B">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044E06A3">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4990CBE7">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72BD100E">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给相关单位造成50万元以上经济损失的。</w:t>
            </w:r>
          </w:p>
        </w:tc>
        <w:tc>
          <w:tcPr>
            <w:tcW w:w="3251" w:type="dxa"/>
            <w:noWrap w:val="0"/>
            <w:vAlign w:val="center"/>
          </w:tcPr>
          <w:p w14:paraId="732C8389">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对检验检测机构处15.5万元以上20万元以下罚款；；对直接负责的主管人员和其他直接责任人员处3.65万元以上5万元以下罚款；情节严重的，吊销机构资质和有关人员的资格。</w:t>
            </w:r>
          </w:p>
        </w:tc>
      </w:tr>
      <w:tr w14:paraId="3EF9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exact"/>
          <w:jc w:val="center"/>
        </w:trPr>
        <w:tc>
          <w:tcPr>
            <w:tcW w:w="736" w:type="dxa"/>
            <w:vMerge w:val="restart"/>
            <w:noWrap w:val="0"/>
            <w:vAlign w:val="center"/>
          </w:tcPr>
          <w:p w14:paraId="7E23E68A">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7</w:t>
            </w:r>
            <w:r>
              <w:rPr>
                <w:rFonts w:hint="eastAsia" w:ascii="宋体" w:hAnsi="宋体" w:cs="宋体"/>
                <w:b w:val="0"/>
                <w:bCs w:val="0"/>
                <w:color w:val="000000"/>
                <w:kern w:val="0"/>
                <w:sz w:val="24"/>
                <w:szCs w:val="24"/>
                <w:lang w:val="en-US" w:eastAsia="zh-CN"/>
              </w:rPr>
              <w:t>4</w:t>
            </w:r>
          </w:p>
        </w:tc>
        <w:tc>
          <w:tcPr>
            <w:tcW w:w="1748" w:type="dxa"/>
            <w:vMerge w:val="restart"/>
            <w:noWrap w:val="0"/>
            <w:vAlign w:val="center"/>
          </w:tcPr>
          <w:p w14:paraId="4AB9DC88">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10DFA469">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第九十三条第一款</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w:t>
            </w:r>
          </w:p>
          <w:p w14:paraId="30DF0D17">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eastAsia="zh-CN"/>
              </w:rPr>
            </w:pPr>
            <w:r>
              <w:rPr>
                <w:rFonts w:hint="eastAsia" w:ascii="宋体" w:hAnsi="宋体" w:eastAsia="宋体" w:cs="宋体"/>
                <w:color w:val="000000"/>
                <w:kern w:val="0"/>
                <w:sz w:val="24"/>
                <w:szCs w:val="24"/>
              </w:rPr>
              <w:t>（六）</w:t>
            </w:r>
            <w:r>
              <w:rPr>
                <w:rFonts w:hint="eastAsia" w:ascii="宋体" w:hAnsi="宋体" w:eastAsia="宋体" w:cs="宋体"/>
                <w:b w:val="0"/>
                <w:bCs/>
                <w:color w:val="000000"/>
                <w:kern w:val="0"/>
                <w:sz w:val="24"/>
                <w:szCs w:val="24"/>
                <w:u w:val="none"/>
              </w:rPr>
              <w:t>从事有关特种设备的生产、经营活动的；</w:t>
            </w:r>
          </w:p>
          <w:p w14:paraId="4CA4C663">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b w:val="0"/>
                <w:bCs/>
                <w:color w:val="000000"/>
                <w:kern w:val="0"/>
                <w:sz w:val="24"/>
                <w:szCs w:val="24"/>
                <w:u w:val="none"/>
              </w:rPr>
              <w:t>（七）推荐或者监制、监销特种设备的</w:t>
            </w:r>
            <w:r>
              <w:rPr>
                <w:rFonts w:hint="eastAsia" w:ascii="宋体" w:hAnsi="宋体" w:cs="宋体"/>
                <w:b w:val="0"/>
                <w:bCs/>
                <w:color w:val="000000"/>
                <w:kern w:val="0"/>
                <w:sz w:val="24"/>
                <w:szCs w:val="24"/>
                <w:u w:val="none"/>
                <w:lang w:eastAsia="zh-CN"/>
              </w:rPr>
              <w:t>。</w:t>
            </w:r>
          </w:p>
        </w:tc>
        <w:tc>
          <w:tcPr>
            <w:tcW w:w="1132" w:type="dxa"/>
            <w:noWrap w:val="0"/>
            <w:vAlign w:val="center"/>
          </w:tcPr>
          <w:p w14:paraId="1B1AB93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36A6115A">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违法所得10万元以下。</w:t>
            </w:r>
          </w:p>
        </w:tc>
        <w:tc>
          <w:tcPr>
            <w:tcW w:w="3251" w:type="dxa"/>
            <w:noWrap w:val="0"/>
            <w:vAlign w:val="center"/>
          </w:tcPr>
          <w:p w14:paraId="08F2DAC7">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对检验检测机构处5万元以上9.5万元以下罚款；对直接负责的主管人员和其他直接责任人员处5000元以上1.85万元以下罚款。</w:t>
            </w:r>
          </w:p>
        </w:tc>
      </w:tr>
      <w:tr w14:paraId="4110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exact"/>
          <w:jc w:val="center"/>
        </w:trPr>
        <w:tc>
          <w:tcPr>
            <w:tcW w:w="736" w:type="dxa"/>
            <w:vMerge w:val="continue"/>
            <w:noWrap w:val="0"/>
            <w:vAlign w:val="center"/>
          </w:tcPr>
          <w:p w14:paraId="758C6D0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48758A20">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773C6D24">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42A92090">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0441C34A">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违法所得10万元以上20万元以下。</w:t>
            </w:r>
          </w:p>
        </w:tc>
        <w:tc>
          <w:tcPr>
            <w:tcW w:w="3251" w:type="dxa"/>
            <w:noWrap w:val="0"/>
            <w:vAlign w:val="center"/>
          </w:tcPr>
          <w:p w14:paraId="5E14C649">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对检验检测机构处9.5万元以上15.5万元以下罚款；对直接负责的主管人员和其他直接责任人员处1.85万元以上3.65万元以下罚款。</w:t>
            </w:r>
          </w:p>
        </w:tc>
      </w:tr>
      <w:tr w14:paraId="6124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3" w:hRule="exact"/>
          <w:jc w:val="center"/>
        </w:trPr>
        <w:tc>
          <w:tcPr>
            <w:tcW w:w="736" w:type="dxa"/>
            <w:vMerge w:val="continue"/>
            <w:noWrap w:val="0"/>
            <w:vAlign w:val="center"/>
          </w:tcPr>
          <w:p w14:paraId="1BB2DE4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549D2755">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709F7B45">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53190860">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4EEDBC7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违法所得20万元以上。</w:t>
            </w:r>
          </w:p>
        </w:tc>
        <w:tc>
          <w:tcPr>
            <w:tcW w:w="3251" w:type="dxa"/>
            <w:noWrap w:val="0"/>
            <w:vAlign w:val="center"/>
          </w:tcPr>
          <w:p w14:paraId="2BC3B10A">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对检验检测机构处15.5万元以上20万元以下罚款；对直接负责的主管人员和其他直接责任人员处3.65万元以上5万元以下罚款；情节严重的，吊销机构资质和有关人员的资格。</w:t>
            </w:r>
          </w:p>
        </w:tc>
      </w:tr>
      <w:tr w14:paraId="78E3E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3" w:hRule="atLeast"/>
          <w:jc w:val="center"/>
        </w:trPr>
        <w:tc>
          <w:tcPr>
            <w:tcW w:w="736" w:type="dxa"/>
            <w:vMerge w:val="restart"/>
            <w:noWrap w:val="0"/>
            <w:vAlign w:val="center"/>
          </w:tcPr>
          <w:p w14:paraId="5A5CE57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7</w:t>
            </w:r>
            <w:r>
              <w:rPr>
                <w:rFonts w:hint="eastAsia" w:ascii="宋体" w:hAnsi="宋体" w:cs="宋体"/>
                <w:b w:val="0"/>
                <w:bCs w:val="0"/>
                <w:color w:val="000000"/>
                <w:kern w:val="0"/>
                <w:sz w:val="24"/>
                <w:szCs w:val="24"/>
                <w:lang w:val="en-US" w:eastAsia="zh-CN"/>
              </w:rPr>
              <w:t>5</w:t>
            </w:r>
          </w:p>
        </w:tc>
        <w:tc>
          <w:tcPr>
            <w:tcW w:w="1748" w:type="dxa"/>
            <w:vMerge w:val="restart"/>
            <w:noWrap w:val="0"/>
            <w:vAlign w:val="center"/>
          </w:tcPr>
          <w:p w14:paraId="1EA99090">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3AF69735">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第九十三条第一款</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特种设备检验、检测机构及其检验、检测人员有下列行为之一的，责令改正，对机构处五万元以上二十万元以下罚款，对直接负责的主管人员和其他直接责任人员处五千元以上五万元以下罚款；情节严重的，吊销机构资质和有关人员的资格：</w:t>
            </w:r>
          </w:p>
          <w:p w14:paraId="7214C29C">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（八）</w:t>
            </w:r>
            <w:r>
              <w:rPr>
                <w:rFonts w:hint="eastAsia" w:ascii="宋体" w:hAnsi="宋体" w:eastAsia="宋体" w:cs="宋体"/>
                <w:b w:val="0"/>
                <w:bCs/>
                <w:color w:val="000000"/>
                <w:kern w:val="0"/>
                <w:sz w:val="24"/>
                <w:szCs w:val="24"/>
                <w:u w:val="none"/>
              </w:rPr>
              <w:t>利用检验工作故意刁难相关单位的。</w:t>
            </w:r>
          </w:p>
        </w:tc>
        <w:tc>
          <w:tcPr>
            <w:tcW w:w="1132" w:type="dxa"/>
            <w:noWrap w:val="0"/>
            <w:vAlign w:val="center"/>
          </w:tcPr>
          <w:p w14:paraId="46594D09">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3EE4759D">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刁难相关单位</w:t>
            </w:r>
            <w:r>
              <w:rPr>
                <w:rFonts w:hint="eastAsia" w:ascii="宋体" w:hAnsi="宋体" w:eastAsia="宋体" w:cs="宋体"/>
                <w:color w:val="000000"/>
                <w:kern w:val="0"/>
                <w:sz w:val="24"/>
                <w:szCs w:val="24"/>
              </w:rPr>
              <w:t>3户以下。</w:t>
            </w:r>
          </w:p>
        </w:tc>
        <w:tc>
          <w:tcPr>
            <w:tcW w:w="3251" w:type="dxa"/>
            <w:noWrap w:val="0"/>
            <w:vAlign w:val="center"/>
          </w:tcPr>
          <w:p w14:paraId="60B7E749">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对检验检测机构处5万元以上9.5万元以下罚款；对直接负责的主管人员和其他直接责任人员处5000元以上1.85万元以下罚款。</w:t>
            </w:r>
          </w:p>
        </w:tc>
      </w:tr>
      <w:tr w14:paraId="0494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7" w:hRule="atLeast"/>
          <w:jc w:val="center"/>
        </w:trPr>
        <w:tc>
          <w:tcPr>
            <w:tcW w:w="736" w:type="dxa"/>
            <w:vMerge w:val="continue"/>
            <w:noWrap w:val="0"/>
            <w:vAlign w:val="center"/>
          </w:tcPr>
          <w:p w14:paraId="31CBB2C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55788C36">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37E4AB36">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25E4066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480BC773">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刁难相关单位</w:t>
            </w:r>
            <w:r>
              <w:rPr>
                <w:rFonts w:hint="eastAsia" w:ascii="宋体" w:hAnsi="宋体" w:eastAsia="宋体" w:cs="宋体"/>
                <w:color w:val="000000"/>
                <w:kern w:val="0"/>
                <w:sz w:val="24"/>
                <w:szCs w:val="24"/>
              </w:rPr>
              <w:t>3户以上5户以下。</w:t>
            </w:r>
          </w:p>
        </w:tc>
        <w:tc>
          <w:tcPr>
            <w:tcW w:w="3251" w:type="dxa"/>
            <w:noWrap w:val="0"/>
            <w:vAlign w:val="center"/>
          </w:tcPr>
          <w:p w14:paraId="728E9E3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对检验检测机构处9.5万元以上15.5万元以下罚款；对直接负责的主管人员和其他直接责任人员处1.85万元以上3.65万元以下罚款。</w:t>
            </w:r>
          </w:p>
        </w:tc>
      </w:tr>
      <w:tr w14:paraId="59E8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3" w:hRule="atLeast"/>
          <w:jc w:val="center"/>
        </w:trPr>
        <w:tc>
          <w:tcPr>
            <w:tcW w:w="736" w:type="dxa"/>
            <w:vMerge w:val="continue"/>
            <w:noWrap w:val="0"/>
            <w:vAlign w:val="center"/>
          </w:tcPr>
          <w:p w14:paraId="47EEC15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4DB57269">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5BA50091">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66593A04">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450028C9">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刁难相关单位</w:t>
            </w:r>
            <w:r>
              <w:rPr>
                <w:rFonts w:hint="eastAsia" w:ascii="宋体" w:hAnsi="宋体" w:eastAsia="宋体" w:cs="宋体"/>
                <w:color w:val="000000"/>
                <w:kern w:val="0"/>
                <w:sz w:val="24"/>
                <w:szCs w:val="24"/>
              </w:rPr>
              <w:t>5户以上。</w:t>
            </w:r>
          </w:p>
        </w:tc>
        <w:tc>
          <w:tcPr>
            <w:tcW w:w="3251" w:type="dxa"/>
            <w:noWrap w:val="0"/>
            <w:vAlign w:val="center"/>
          </w:tcPr>
          <w:p w14:paraId="0C812180">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对检验检测机构处15.5万元以上20万元以下罚款；对直接负责的主管人员和其他直接责任人员处3.65万元以上5万元以下罚款；情节严重的，吊销机构资质和有关人员的资格。</w:t>
            </w:r>
          </w:p>
        </w:tc>
      </w:tr>
      <w:tr w14:paraId="2C4B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736" w:type="dxa"/>
            <w:vMerge w:val="restart"/>
            <w:noWrap w:val="0"/>
            <w:vAlign w:val="center"/>
          </w:tcPr>
          <w:p w14:paraId="5223E63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7</w:t>
            </w:r>
            <w:r>
              <w:rPr>
                <w:rFonts w:hint="eastAsia" w:ascii="宋体" w:hAnsi="宋体" w:cs="宋体"/>
                <w:b w:val="0"/>
                <w:bCs w:val="0"/>
                <w:color w:val="000000"/>
                <w:kern w:val="0"/>
                <w:sz w:val="24"/>
                <w:szCs w:val="24"/>
                <w:lang w:val="en-US" w:eastAsia="zh-CN"/>
              </w:rPr>
              <w:t>6</w:t>
            </w:r>
          </w:p>
        </w:tc>
        <w:tc>
          <w:tcPr>
            <w:tcW w:w="1748" w:type="dxa"/>
            <w:vMerge w:val="restart"/>
            <w:noWrap w:val="0"/>
            <w:vAlign w:val="center"/>
          </w:tcPr>
          <w:p w14:paraId="37800925">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71A3D7E2">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第九十三条第二款</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w:t>
            </w:r>
            <w:r>
              <w:rPr>
                <w:rFonts w:hint="eastAsia" w:ascii="宋体" w:hAnsi="宋体" w:eastAsia="宋体" w:cs="宋体"/>
                <w:b w:val="0"/>
                <w:bCs/>
                <w:color w:val="000000"/>
                <w:kern w:val="0"/>
                <w:sz w:val="24"/>
                <w:szCs w:val="24"/>
                <w:u w:val="none"/>
              </w:rPr>
              <w:t>特种设备检验、检测机构的检验、检测人员同时在两个以上检验、检测机构中执业的，</w:t>
            </w:r>
            <w:r>
              <w:rPr>
                <w:rFonts w:hint="eastAsia" w:ascii="宋体" w:hAnsi="宋体" w:eastAsia="宋体" w:cs="宋体"/>
                <w:color w:val="000000"/>
                <w:kern w:val="0"/>
                <w:sz w:val="24"/>
                <w:szCs w:val="24"/>
              </w:rPr>
              <w:t>处五千元以上五万元以下罚款；情节严重的，吊销其资格。</w:t>
            </w:r>
          </w:p>
        </w:tc>
        <w:tc>
          <w:tcPr>
            <w:tcW w:w="1132" w:type="dxa"/>
            <w:noWrap w:val="0"/>
            <w:vAlign w:val="center"/>
          </w:tcPr>
          <w:p w14:paraId="3D8A1DB0">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797862F5">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同时在</w:t>
            </w:r>
            <w:r>
              <w:rPr>
                <w:rFonts w:hint="eastAsia" w:ascii="宋体" w:hAnsi="宋体" w:eastAsia="宋体" w:cs="宋体"/>
                <w:color w:val="000000"/>
                <w:kern w:val="0"/>
                <w:sz w:val="24"/>
                <w:szCs w:val="24"/>
                <w:lang w:val="en"/>
              </w:rPr>
              <w:t>2</w:t>
            </w:r>
            <w:r>
              <w:rPr>
                <w:rFonts w:hint="eastAsia" w:ascii="宋体" w:hAnsi="宋体" w:eastAsia="宋体" w:cs="宋体"/>
                <w:color w:val="000000"/>
                <w:kern w:val="0"/>
                <w:sz w:val="24"/>
                <w:szCs w:val="24"/>
              </w:rPr>
              <w:t>个检验、检测机构中执业。</w:t>
            </w:r>
          </w:p>
        </w:tc>
        <w:tc>
          <w:tcPr>
            <w:tcW w:w="3251" w:type="dxa"/>
            <w:noWrap w:val="0"/>
            <w:vAlign w:val="center"/>
          </w:tcPr>
          <w:p w14:paraId="12EA068C">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处5000元以上1.85万元以下罚款。</w:t>
            </w:r>
          </w:p>
        </w:tc>
      </w:tr>
      <w:tr w14:paraId="4B0F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736" w:type="dxa"/>
            <w:vMerge w:val="continue"/>
            <w:noWrap w:val="0"/>
            <w:vAlign w:val="center"/>
          </w:tcPr>
          <w:p w14:paraId="3C3E089B">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37AA9631">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60CE77BE">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5823F651">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07D05198">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同时在</w:t>
            </w:r>
            <w:r>
              <w:rPr>
                <w:rFonts w:hint="eastAsia" w:ascii="宋体" w:hAnsi="宋体" w:eastAsia="宋体" w:cs="宋体"/>
                <w:color w:val="000000"/>
                <w:kern w:val="0"/>
                <w:sz w:val="24"/>
                <w:szCs w:val="24"/>
                <w:lang w:val="en"/>
              </w:rPr>
              <w:t>3</w:t>
            </w:r>
            <w:r>
              <w:rPr>
                <w:rFonts w:hint="eastAsia" w:ascii="宋体" w:hAnsi="宋体" w:eastAsia="宋体" w:cs="宋体"/>
                <w:color w:val="000000"/>
                <w:kern w:val="0"/>
                <w:sz w:val="24"/>
                <w:szCs w:val="24"/>
              </w:rPr>
              <w:t>个以上</w:t>
            </w:r>
            <w:r>
              <w:rPr>
                <w:rFonts w:hint="eastAsia" w:ascii="宋体" w:hAnsi="宋体" w:eastAsia="宋体" w:cs="宋体"/>
                <w:color w:val="000000"/>
                <w:kern w:val="0"/>
                <w:sz w:val="24"/>
                <w:szCs w:val="24"/>
                <w:lang w:val="en"/>
              </w:rPr>
              <w:t>5</w:t>
            </w:r>
            <w:r>
              <w:rPr>
                <w:rFonts w:hint="eastAsia" w:ascii="宋体" w:hAnsi="宋体" w:eastAsia="宋体" w:cs="宋体"/>
                <w:color w:val="000000"/>
                <w:kern w:val="0"/>
                <w:sz w:val="24"/>
                <w:szCs w:val="24"/>
              </w:rPr>
              <w:t>个以下检验、检测机构中执业的。</w:t>
            </w:r>
          </w:p>
        </w:tc>
        <w:tc>
          <w:tcPr>
            <w:tcW w:w="3251" w:type="dxa"/>
            <w:noWrap w:val="0"/>
            <w:vAlign w:val="center"/>
          </w:tcPr>
          <w:p w14:paraId="41A2306D">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处1.85万元以上3.65万元以下罚款并吊销其资格。</w:t>
            </w:r>
          </w:p>
        </w:tc>
      </w:tr>
      <w:tr w14:paraId="6A20A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jc w:val="center"/>
        </w:trPr>
        <w:tc>
          <w:tcPr>
            <w:tcW w:w="736" w:type="dxa"/>
            <w:vMerge w:val="continue"/>
            <w:noWrap w:val="0"/>
            <w:vAlign w:val="center"/>
          </w:tcPr>
          <w:p w14:paraId="12BE09C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18388548">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045D5069">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122F27AA">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59DAF486">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同时在</w:t>
            </w:r>
            <w:r>
              <w:rPr>
                <w:rFonts w:hint="eastAsia" w:ascii="宋体" w:hAnsi="宋体" w:eastAsia="宋体" w:cs="宋体"/>
                <w:color w:val="000000"/>
                <w:kern w:val="0"/>
                <w:sz w:val="24"/>
                <w:szCs w:val="24"/>
                <w:lang w:val="en"/>
              </w:rPr>
              <w:t>5</w:t>
            </w:r>
            <w:r>
              <w:rPr>
                <w:rFonts w:hint="eastAsia" w:ascii="宋体" w:hAnsi="宋体" w:eastAsia="宋体" w:cs="宋体"/>
                <w:color w:val="000000"/>
                <w:kern w:val="0"/>
                <w:sz w:val="24"/>
                <w:szCs w:val="24"/>
              </w:rPr>
              <w:t>个以上检验、检测机构中执业</w:t>
            </w:r>
            <w:r>
              <w:rPr>
                <w:rFonts w:hint="eastAsia" w:ascii="宋体" w:hAnsi="宋体" w:eastAsia="宋体" w:cs="宋体"/>
                <w:color w:val="000000"/>
                <w:kern w:val="0"/>
                <w:sz w:val="24"/>
                <w:szCs w:val="24"/>
                <w:lang w:eastAsia="zh-CN"/>
              </w:rPr>
              <w:t>。</w:t>
            </w:r>
          </w:p>
        </w:tc>
        <w:tc>
          <w:tcPr>
            <w:tcW w:w="3251" w:type="dxa"/>
            <w:noWrap w:val="0"/>
            <w:vAlign w:val="center"/>
          </w:tcPr>
          <w:p w14:paraId="015A00A2">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处3.65万元以上5万元以下罚款并吊销其资格；情节严重的，吊销机构资质和有关人员的资格。</w:t>
            </w:r>
          </w:p>
        </w:tc>
      </w:tr>
      <w:tr w14:paraId="73EA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 w:hRule="atLeast"/>
          <w:jc w:val="center"/>
        </w:trPr>
        <w:tc>
          <w:tcPr>
            <w:tcW w:w="736" w:type="dxa"/>
            <w:vMerge w:val="restart"/>
            <w:noWrap w:val="0"/>
            <w:vAlign w:val="center"/>
          </w:tcPr>
          <w:p w14:paraId="633DF51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7</w:t>
            </w:r>
            <w:r>
              <w:rPr>
                <w:rFonts w:hint="eastAsia" w:ascii="宋体" w:hAnsi="宋体" w:cs="宋体"/>
                <w:b w:val="0"/>
                <w:bCs w:val="0"/>
                <w:color w:val="000000"/>
                <w:kern w:val="0"/>
                <w:sz w:val="24"/>
                <w:szCs w:val="24"/>
                <w:lang w:val="en-US" w:eastAsia="zh-CN"/>
              </w:rPr>
              <w:t>7</w:t>
            </w:r>
          </w:p>
        </w:tc>
        <w:tc>
          <w:tcPr>
            <w:tcW w:w="1748" w:type="dxa"/>
            <w:vMerge w:val="restart"/>
            <w:noWrap w:val="0"/>
            <w:vAlign w:val="center"/>
          </w:tcPr>
          <w:p w14:paraId="02BBAC2C">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132A9509">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第九十五条第一款</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违反本法规定，特种设备生产、经营、使用单位或者检验、检测机构</w:t>
            </w:r>
            <w:r>
              <w:rPr>
                <w:rFonts w:hint="eastAsia" w:ascii="宋体" w:hAnsi="宋体" w:eastAsia="宋体" w:cs="宋体"/>
                <w:b w:val="0"/>
                <w:bCs/>
                <w:color w:val="000000"/>
                <w:kern w:val="0"/>
                <w:sz w:val="24"/>
                <w:szCs w:val="24"/>
                <w:u w:val="none"/>
              </w:rPr>
              <w:t>拒不接受负责特种设备安全监督管理的部门依法实施的监督检查的，</w:t>
            </w:r>
            <w:r>
              <w:rPr>
                <w:rFonts w:hint="eastAsia" w:ascii="宋体" w:hAnsi="宋体" w:eastAsia="宋体" w:cs="宋体"/>
                <w:color w:val="000000"/>
                <w:kern w:val="0"/>
                <w:sz w:val="24"/>
                <w:szCs w:val="24"/>
              </w:rPr>
              <w:t>责令限期改正；逾期未改正的，责令停产停业整顿，处二万元以上二十万元以下罚款。</w:t>
            </w:r>
          </w:p>
        </w:tc>
        <w:tc>
          <w:tcPr>
            <w:tcW w:w="1132" w:type="dxa"/>
            <w:noWrap w:val="0"/>
            <w:vAlign w:val="center"/>
          </w:tcPr>
          <w:p w14:paraId="0DDA774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448374D9">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strike w:val="0"/>
                <w:color w:val="000000"/>
                <w:kern w:val="0"/>
                <w:sz w:val="24"/>
                <w:szCs w:val="24"/>
                <w:highlight w:val="none"/>
              </w:rPr>
            </w:pPr>
            <w:r>
              <w:rPr>
                <w:rFonts w:hint="eastAsia" w:ascii="宋体" w:hAnsi="宋体" w:eastAsia="宋体" w:cs="宋体"/>
                <w:strike w:val="0"/>
                <w:color w:val="000000"/>
                <w:kern w:val="0"/>
                <w:sz w:val="24"/>
                <w:szCs w:val="24"/>
                <w:highlight w:val="none"/>
                <w:lang w:eastAsia="zh-CN"/>
              </w:rPr>
              <w:t>初次违法的</w:t>
            </w:r>
            <w:r>
              <w:rPr>
                <w:rFonts w:hint="eastAsia" w:ascii="宋体" w:hAnsi="宋体" w:eastAsia="宋体" w:cs="宋体"/>
                <w:strike w:val="0"/>
                <w:color w:val="000000"/>
                <w:kern w:val="0"/>
                <w:sz w:val="24"/>
                <w:szCs w:val="24"/>
                <w:highlight w:val="none"/>
              </w:rPr>
              <w:t>。</w:t>
            </w:r>
          </w:p>
        </w:tc>
        <w:tc>
          <w:tcPr>
            <w:tcW w:w="3251" w:type="dxa"/>
            <w:noWrap w:val="0"/>
            <w:vAlign w:val="center"/>
          </w:tcPr>
          <w:p w14:paraId="183FF09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w:t>
            </w:r>
            <w:r>
              <w:rPr>
                <w:rFonts w:hint="eastAsia" w:ascii="宋体" w:hAnsi="宋体" w:cs="宋体"/>
                <w:color w:val="000000"/>
                <w:kern w:val="0"/>
                <w:sz w:val="24"/>
                <w:szCs w:val="24"/>
                <w:lang w:val="en-US" w:eastAsia="zh-CN"/>
              </w:rPr>
              <w:t>正</w:t>
            </w:r>
            <w:r>
              <w:rPr>
                <w:rFonts w:hint="eastAsia" w:ascii="宋体" w:hAnsi="宋体" w:eastAsia="宋体" w:cs="宋体"/>
                <w:color w:val="000000"/>
                <w:kern w:val="0"/>
                <w:sz w:val="24"/>
                <w:szCs w:val="24"/>
              </w:rPr>
              <w:t>的，责令停产停业整顿，处2万元以上7.4万元以下罚款。</w:t>
            </w:r>
          </w:p>
        </w:tc>
      </w:tr>
      <w:tr w14:paraId="066F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7" w:hRule="atLeast"/>
          <w:jc w:val="center"/>
        </w:trPr>
        <w:tc>
          <w:tcPr>
            <w:tcW w:w="736" w:type="dxa"/>
            <w:vMerge w:val="continue"/>
            <w:noWrap w:val="0"/>
            <w:vAlign w:val="center"/>
          </w:tcPr>
          <w:p w14:paraId="3AB3465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333E37D2">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235A3425">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7869E7A7">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074F8C14">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strike w:val="0"/>
                <w:color w:val="000000"/>
                <w:kern w:val="0"/>
                <w:sz w:val="24"/>
                <w:szCs w:val="24"/>
                <w:highlight w:val="none"/>
              </w:rPr>
            </w:pPr>
            <w:r>
              <w:rPr>
                <w:rFonts w:hint="eastAsia" w:ascii="宋体" w:hAnsi="宋体" w:eastAsia="宋体" w:cs="宋体"/>
                <w:strike w:val="0"/>
                <w:color w:val="000000"/>
                <w:kern w:val="0"/>
                <w:sz w:val="24"/>
                <w:szCs w:val="24"/>
                <w:highlight w:val="none"/>
                <w:lang w:eastAsia="zh-CN"/>
              </w:rPr>
              <w:t>再次违法的</w:t>
            </w:r>
            <w:r>
              <w:rPr>
                <w:rFonts w:hint="eastAsia" w:ascii="宋体" w:hAnsi="宋体" w:eastAsia="宋体" w:cs="宋体"/>
                <w:strike w:val="0"/>
                <w:color w:val="000000"/>
                <w:kern w:val="0"/>
                <w:sz w:val="24"/>
                <w:szCs w:val="24"/>
                <w:highlight w:val="none"/>
              </w:rPr>
              <w:t>。</w:t>
            </w:r>
          </w:p>
        </w:tc>
        <w:tc>
          <w:tcPr>
            <w:tcW w:w="3251" w:type="dxa"/>
            <w:noWrap w:val="0"/>
            <w:vAlign w:val="center"/>
          </w:tcPr>
          <w:p w14:paraId="5B227D04">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w:t>
            </w:r>
            <w:r>
              <w:rPr>
                <w:rFonts w:hint="eastAsia" w:ascii="宋体" w:hAnsi="宋体" w:cs="宋体"/>
                <w:color w:val="000000"/>
                <w:kern w:val="0"/>
                <w:sz w:val="24"/>
                <w:szCs w:val="24"/>
                <w:lang w:val="en-US" w:eastAsia="zh-CN"/>
              </w:rPr>
              <w:t>正</w:t>
            </w:r>
            <w:r>
              <w:rPr>
                <w:rFonts w:hint="eastAsia" w:ascii="宋体" w:hAnsi="宋体" w:eastAsia="宋体" w:cs="宋体"/>
                <w:color w:val="000000"/>
                <w:kern w:val="0"/>
                <w:sz w:val="24"/>
                <w:szCs w:val="24"/>
              </w:rPr>
              <w:t>的，责令停产停业整顿，处7.4万元以上14.6万元以下罚款。</w:t>
            </w:r>
          </w:p>
        </w:tc>
      </w:tr>
      <w:tr w14:paraId="106C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736" w:type="dxa"/>
            <w:vMerge w:val="continue"/>
            <w:noWrap w:val="0"/>
            <w:vAlign w:val="center"/>
          </w:tcPr>
          <w:p w14:paraId="518EF0E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1F31DE04">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1DCEAE95">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14A7B1B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6EFB0E36">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strike w:val="0"/>
                <w:color w:val="000000"/>
                <w:kern w:val="0"/>
                <w:sz w:val="24"/>
                <w:szCs w:val="24"/>
                <w:highlight w:val="none"/>
              </w:rPr>
            </w:pPr>
            <w:r>
              <w:rPr>
                <w:rFonts w:hint="eastAsia" w:ascii="宋体" w:hAnsi="宋体" w:eastAsia="宋体" w:cs="宋体"/>
                <w:strike w:val="0"/>
                <w:color w:val="000000"/>
                <w:kern w:val="0"/>
                <w:sz w:val="24"/>
                <w:szCs w:val="24"/>
                <w:highlight w:val="none"/>
                <w:lang w:val="en-US" w:eastAsia="zh-CN"/>
              </w:rPr>
              <w:t>情节严重的</w:t>
            </w:r>
            <w:r>
              <w:rPr>
                <w:rFonts w:hint="eastAsia" w:ascii="宋体" w:hAnsi="宋体" w:eastAsia="宋体" w:cs="宋体"/>
                <w:strike w:val="0"/>
                <w:color w:val="000000"/>
                <w:kern w:val="0"/>
                <w:sz w:val="24"/>
                <w:szCs w:val="24"/>
                <w:highlight w:val="none"/>
              </w:rPr>
              <w:t>。</w:t>
            </w:r>
          </w:p>
        </w:tc>
        <w:tc>
          <w:tcPr>
            <w:tcW w:w="3251" w:type="dxa"/>
            <w:noWrap w:val="0"/>
            <w:vAlign w:val="center"/>
          </w:tcPr>
          <w:p w14:paraId="11505FA6">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w:t>
            </w:r>
            <w:r>
              <w:rPr>
                <w:rFonts w:hint="eastAsia" w:ascii="宋体" w:hAnsi="宋体" w:cs="宋体"/>
                <w:color w:val="000000"/>
                <w:kern w:val="0"/>
                <w:sz w:val="24"/>
                <w:szCs w:val="24"/>
                <w:lang w:val="en-US" w:eastAsia="zh-CN"/>
              </w:rPr>
              <w:t>正</w:t>
            </w:r>
            <w:r>
              <w:rPr>
                <w:rFonts w:hint="eastAsia" w:ascii="宋体" w:hAnsi="宋体" w:eastAsia="宋体" w:cs="宋体"/>
                <w:color w:val="000000"/>
                <w:kern w:val="0"/>
                <w:sz w:val="24"/>
                <w:szCs w:val="24"/>
              </w:rPr>
              <w:t>的，责令停产停业整顿，处14.6万元以上20万元以下罚款。</w:t>
            </w:r>
          </w:p>
        </w:tc>
      </w:tr>
      <w:tr w14:paraId="0C12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736" w:type="dxa"/>
            <w:vMerge w:val="restart"/>
            <w:noWrap w:val="0"/>
            <w:vAlign w:val="center"/>
          </w:tcPr>
          <w:p w14:paraId="15FA5F3F">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rPr>
              <w:t>1</w:t>
            </w:r>
            <w:r>
              <w:rPr>
                <w:rFonts w:hint="eastAsia" w:ascii="宋体" w:hAnsi="宋体" w:eastAsia="宋体" w:cs="宋体"/>
                <w:b w:val="0"/>
                <w:bCs w:val="0"/>
                <w:color w:val="000000"/>
                <w:kern w:val="0"/>
                <w:sz w:val="24"/>
                <w:szCs w:val="24"/>
                <w:lang w:val="en-US" w:eastAsia="zh-CN"/>
              </w:rPr>
              <w:t>7</w:t>
            </w:r>
            <w:r>
              <w:rPr>
                <w:rFonts w:hint="eastAsia" w:ascii="宋体" w:hAnsi="宋体" w:cs="宋体"/>
                <w:b w:val="0"/>
                <w:bCs w:val="0"/>
                <w:color w:val="000000"/>
                <w:kern w:val="0"/>
                <w:sz w:val="24"/>
                <w:szCs w:val="24"/>
                <w:lang w:val="en-US" w:eastAsia="zh-CN"/>
              </w:rPr>
              <w:t>8</w:t>
            </w:r>
          </w:p>
        </w:tc>
        <w:tc>
          <w:tcPr>
            <w:tcW w:w="1748" w:type="dxa"/>
            <w:vMerge w:val="restart"/>
            <w:noWrap w:val="0"/>
            <w:vAlign w:val="center"/>
          </w:tcPr>
          <w:p w14:paraId="19ADC884">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《中华人民共和国特种设备安全法》</w:t>
            </w:r>
          </w:p>
        </w:tc>
        <w:tc>
          <w:tcPr>
            <w:tcW w:w="4140" w:type="dxa"/>
            <w:vMerge w:val="restart"/>
            <w:noWrap w:val="0"/>
            <w:vAlign w:val="center"/>
          </w:tcPr>
          <w:p w14:paraId="1055678D">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第九十五条第二款</w:t>
            </w:r>
            <w:r>
              <w:rPr>
                <w:rFonts w:hint="eastAsia" w:ascii="宋体"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特种设备生产、经营、使用单位</w:t>
            </w:r>
            <w:r>
              <w:rPr>
                <w:rFonts w:hint="eastAsia" w:ascii="宋体" w:hAnsi="宋体" w:eastAsia="宋体" w:cs="宋体"/>
                <w:b w:val="0"/>
                <w:bCs/>
                <w:color w:val="000000"/>
                <w:kern w:val="0"/>
                <w:sz w:val="24"/>
                <w:szCs w:val="24"/>
                <w:u w:val="none"/>
              </w:rPr>
              <w:t>擅自动用、调换、转移、损毁被查封、扣押的特种设备或者其主要部件的，</w:t>
            </w:r>
            <w:r>
              <w:rPr>
                <w:rFonts w:hint="eastAsia" w:ascii="宋体" w:hAnsi="宋体" w:eastAsia="宋体" w:cs="宋体"/>
                <w:color w:val="000000"/>
                <w:kern w:val="0"/>
                <w:sz w:val="24"/>
                <w:szCs w:val="24"/>
              </w:rPr>
              <w:t>责令改正，处五万元以上二十万元以下罚款；情节严重的，吊销生产许可证，注销特种设备使用登记证书。</w:t>
            </w:r>
          </w:p>
        </w:tc>
        <w:tc>
          <w:tcPr>
            <w:tcW w:w="1132" w:type="dxa"/>
            <w:noWrap w:val="0"/>
            <w:vAlign w:val="center"/>
          </w:tcPr>
          <w:p w14:paraId="6D9EF98F">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5C2334E0">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主动恢复原状的。</w:t>
            </w:r>
          </w:p>
        </w:tc>
        <w:tc>
          <w:tcPr>
            <w:tcW w:w="3251" w:type="dxa"/>
            <w:noWrap w:val="0"/>
            <w:vAlign w:val="center"/>
          </w:tcPr>
          <w:p w14:paraId="13237A86">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处5万元以上9.5万元以下罚款。</w:t>
            </w:r>
          </w:p>
        </w:tc>
      </w:tr>
      <w:tr w14:paraId="6275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736" w:type="dxa"/>
            <w:vMerge w:val="continue"/>
            <w:noWrap w:val="0"/>
            <w:vAlign w:val="center"/>
          </w:tcPr>
          <w:p w14:paraId="4F2D05E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58C32CF0">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4207DF84">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3097599F">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73BAD51A">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主动恢复但无法恢复原状的。</w:t>
            </w:r>
          </w:p>
        </w:tc>
        <w:tc>
          <w:tcPr>
            <w:tcW w:w="3251" w:type="dxa"/>
            <w:noWrap w:val="0"/>
            <w:vAlign w:val="center"/>
          </w:tcPr>
          <w:p w14:paraId="76DB47D7">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处9.5万元以上15.5万元以下罚款。</w:t>
            </w:r>
          </w:p>
        </w:tc>
      </w:tr>
      <w:tr w14:paraId="3BBB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736" w:type="dxa"/>
            <w:vMerge w:val="continue"/>
            <w:noWrap w:val="0"/>
            <w:vAlign w:val="center"/>
          </w:tcPr>
          <w:p w14:paraId="09C1EE52">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16ECED10">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78DB5BF4">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06DAEF2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68CC7B46">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拒不恢复原状的。</w:t>
            </w:r>
          </w:p>
        </w:tc>
        <w:tc>
          <w:tcPr>
            <w:tcW w:w="3251" w:type="dxa"/>
            <w:noWrap w:val="0"/>
            <w:vAlign w:val="center"/>
          </w:tcPr>
          <w:p w14:paraId="06011F78">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处15.5万元以上20万元以下罚款。</w:t>
            </w:r>
          </w:p>
        </w:tc>
      </w:tr>
      <w:tr w14:paraId="6F2F9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3" w:hRule="atLeast"/>
          <w:jc w:val="center"/>
        </w:trPr>
        <w:tc>
          <w:tcPr>
            <w:tcW w:w="736" w:type="dxa"/>
            <w:vMerge w:val="restart"/>
            <w:noWrap w:val="0"/>
            <w:vAlign w:val="center"/>
          </w:tcPr>
          <w:p w14:paraId="434E4A0E">
            <w:pPr>
              <w:pageBreakBefore w:val="0"/>
              <w:widowControl/>
              <w:kinsoku/>
              <w:wordWrap/>
              <w:overflowPunct/>
              <w:topLinePunct w:val="0"/>
              <w:bidi w:val="0"/>
              <w:snapToGrid w:val="0"/>
              <w:spacing w:beforeAutospacing="0" w:afterAutospacing="0" w:line="380" w:lineRule="exact"/>
              <w:ind w:left="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1</w:t>
            </w:r>
            <w:r>
              <w:rPr>
                <w:rFonts w:hint="eastAsia" w:ascii="宋体" w:hAnsi="宋体" w:cs="宋体"/>
                <w:b w:val="0"/>
                <w:bCs w:val="0"/>
                <w:color w:val="000000"/>
                <w:kern w:val="0"/>
                <w:sz w:val="24"/>
                <w:szCs w:val="24"/>
                <w:lang w:val="en-US" w:eastAsia="zh-CN"/>
              </w:rPr>
              <w:t>79</w:t>
            </w:r>
          </w:p>
        </w:tc>
        <w:tc>
          <w:tcPr>
            <w:tcW w:w="1748" w:type="dxa"/>
            <w:vMerge w:val="restart"/>
            <w:noWrap w:val="0"/>
            <w:vAlign w:val="center"/>
          </w:tcPr>
          <w:p w14:paraId="4961D391">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80" w:lineRule="exact"/>
              <w:ind w:left="42" w:leftChars="20"/>
              <w:jc w:val="both"/>
              <w:textAlignment w:val="auto"/>
              <w:outlineLvl w:val="2"/>
              <w:rPr>
                <w:rFonts w:hint="eastAsia" w:ascii="宋体" w:hAnsi="宋体" w:eastAsia="宋体" w:cs="宋体"/>
                <w:b w:val="0"/>
                <w:bCs/>
                <w:color w:val="000000"/>
                <w:kern w:val="0"/>
                <w:sz w:val="24"/>
                <w:szCs w:val="24"/>
                <w:u w:val="none"/>
                <w:lang w:val="en-US" w:eastAsia="zh-CN" w:bidi="ar-SA"/>
              </w:rPr>
            </w:pPr>
            <w:bookmarkStart w:id="232" w:name="_Toc30491"/>
            <w:bookmarkStart w:id="233" w:name="_Toc20873"/>
            <w:bookmarkStart w:id="234" w:name="_Toc26443"/>
            <w:bookmarkStart w:id="235" w:name="_Toc12841"/>
            <w:bookmarkStart w:id="236" w:name="_Toc29333"/>
            <w:r>
              <w:rPr>
                <w:rFonts w:hint="eastAsia" w:ascii="宋体" w:hAnsi="宋体" w:eastAsia="宋体" w:cs="宋体"/>
                <w:b w:val="0"/>
                <w:bCs/>
                <w:color w:val="000000"/>
                <w:kern w:val="0"/>
                <w:sz w:val="24"/>
                <w:szCs w:val="24"/>
                <w:u w:val="none"/>
                <w:lang w:val="en-US" w:eastAsia="zh-CN" w:bidi="ar-SA"/>
              </w:rPr>
              <w:t>《特种设备安全监察条例》</w:t>
            </w:r>
            <w:bookmarkEnd w:id="232"/>
            <w:bookmarkEnd w:id="233"/>
            <w:bookmarkEnd w:id="234"/>
            <w:bookmarkEnd w:id="235"/>
            <w:bookmarkEnd w:id="236"/>
          </w:p>
          <w:p w14:paraId="70BD03EC">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42" w:leftChars="20"/>
              <w:jc w:val="both"/>
              <w:outlineLvl w:val="2"/>
              <w:rPr>
                <w:rFonts w:hint="eastAsia" w:ascii="宋体" w:hAnsi="宋体" w:eastAsia="宋体" w:cs="宋体"/>
                <w:b w:val="0"/>
                <w:bCs/>
                <w:color w:val="000000"/>
                <w:kern w:val="0"/>
                <w:sz w:val="24"/>
                <w:szCs w:val="24"/>
                <w:u w:val="none"/>
                <w:lang w:val="en-US" w:eastAsia="zh-CN" w:bidi="ar-SA"/>
              </w:rPr>
            </w:pPr>
            <w:bookmarkStart w:id="237" w:name="_Toc8711"/>
            <w:r>
              <w:rPr>
                <w:rFonts w:hint="eastAsia" w:ascii="宋体" w:hAnsi="宋体" w:eastAsia="宋体" w:cs="宋体"/>
                <w:b w:val="0"/>
                <w:bCs/>
                <w:color w:val="000000"/>
                <w:kern w:val="0"/>
                <w:sz w:val="24"/>
                <w:szCs w:val="24"/>
                <w:u w:val="none"/>
                <w:lang w:val="en-US" w:eastAsia="zh-CN" w:bidi="ar-SA"/>
              </w:rPr>
              <w:t>(2009年1月24日)</w:t>
            </w:r>
            <w:bookmarkEnd w:id="237"/>
          </w:p>
        </w:tc>
        <w:tc>
          <w:tcPr>
            <w:tcW w:w="4140" w:type="dxa"/>
            <w:vMerge w:val="restart"/>
            <w:noWrap w:val="0"/>
            <w:vAlign w:val="center"/>
          </w:tcPr>
          <w:p w14:paraId="41F591FB">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jc w:val="both"/>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第七十二条</w:t>
            </w:r>
            <w:r>
              <w:rPr>
                <w:rFonts w:hint="eastAsia" w:ascii="宋体" w:hAnsi="宋体" w:cs="宋体"/>
                <w:b w:val="0"/>
                <w:bCs/>
                <w:color w:val="000000"/>
                <w:kern w:val="0"/>
                <w:sz w:val="24"/>
                <w:szCs w:val="24"/>
                <w:u w:val="none"/>
                <w:lang w:val="en-US" w:eastAsia="zh-CN" w:bidi="ar-SA"/>
              </w:rPr>
              <w:t xml:space="preserve"> </w:t>
            </w:r>
            <w:r>
              <w:rPr>
                <w:rFonts w:hint="eastAsia" w:ascii="宋体" w:hAnsi="宋体" w:eastAsia="宋体" w:cs="宋体"/>
                <w:b w:val="0"/>
                <w:bCs/>
                <w:color w:val="000000"/>
                <w:kern w:val="0"/>
                <w:sz w:val="24"/>
                <w:szCs w:val="24"/>
                <w:u w:val="none"/>
                <w:lang w:val="en-US" w:eastAsia="zh-CN" w:bidi="ar-SA"/>
              </w:rPr>
              <w:t>未经许可，擅自从事压力容器设计活动的，由特种设备安全监督管理部门予以取缔，处5万元以上20万元以下罚款；有违法所得的，没收违法所得；触犯刑律的，对负有责任的主管人员和其他直接责任人员依照刑法关于非法经营罪或者其他罪的规定，依法追究刑事责任。</w:t>
            </w:r>
          </w:p>
          <w:p w14:paraId="6E05B027">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jc w:val="both"/>
              <w:rPr>
                <w:rFonts w:hint="eastAsia" w:ascii="宋体" w:hAnsi="宋体" w:eastAsia="宋体" w:cs="宋体"/>
                <w:b w:val="0"/>
                <w:bCs/>
                <w:color w:val="000000"/>
                <w:kern w:val="0"/>
                <w:sz w:val="24"/>
                <w:szCs w:val="24"/>
                <w:u w:val="none"/>
                <w:lang w:val="en-US" w:eastAsia="zh-CN" w:bidi="ar-SA"/>
              </w:rPr>
            </w:pPr>
          </w:p>
        </w:tc>
        <w:tc>
          <w:tcPr>
            <w:tcW w:w="1132" w:type="dxa"/>
            <w:noWrap w:val="0"/>
            <w:vAlign w:val="center"/>
          </w:tcPr>
          <w:p w14:paraId="425C0030">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3C7AC930">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有下列情形之一的：</w:t>
            </w:r>
          </w:p>
          <w:p w14:paraId="6E3F9EA7">
            <w:pPr>
              <w:pStyle w:val="16"/>
              <w:pageBreakBefore w:val="0"/>
              <w:numPr>
                <w:ilvl w:val="0"/>
                <w:numId w:val="0"/>
              </w:numPr>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cs="宋体"/>
                <w:b w:val="0"/>
                <w:bCs/>
                <w:color w:val="000000"/>
                <w:kern w:val="0"/>
                <w:sz w:val="24"/>
                <w:szCs w:val="24"/>
                <w:lang w:val="en-US" w:eastAsia="zh-CN" w:bidi="ar-SA"/>
              </w:rPr>
              <w:t>(</w:t>
            </w:r>
            <w:r>
              <w:rPr>
                <w:rFonts w:hint="eastAsia" w:ascii="宋体" w:hAnsi="宋体" w:eastAsia="宋体" w:cs="宋体"/>
                <w:b w:val="0"/>
                <w:bCs/>
                <w:color w:val="000000"/>
                <w:kern w:val="0"/>
                <w:sz w:val="24"/>
                <w:szCs w:val="24"/>
                <w:lang w:val="en-US" w:eastAsia="zh-CN" w:bidi="ar-SA"/>
              </w:rPr>
              <w:t>1</w:t>
            </w:r>
            <w:r>
              <w:rPr>
                <w:rFonts w:hint="eastAsia" w:ascii="宋体" w:hAnsi="宋体" w:cs="宋体"/>
                <w:b w:val="0"/>
                <w:bCs/>
                <w:color w:val="000000"/>
                <w:kern w:val="0"/>
                <w:sz w:val="24"/>
                <w:szCs w:val="24"/>
                <w:lang w:val="en-US" w:eastAsia="zh-CN" w:bidi="ar-SA"/>
              </w:rPr>
              <w:t>)</w:t>
            </w:r>
            <w:r>
              <w:rPr>
                <w:rFonts w:hint="eastAsia" w:ascii="宋体" w:hAnsi="宋体" w:eastAsia="宋体" w:cs="宋体"/>
                <w:b w:val="0"/>
                <w:bCs/>
                <w:color w:val="000000"/>
                <w:kern w:val="0"/>
                <w:sz w:val="24"/>
                <w:szCs w:val="24"/>
                <w:u w:val="none"/>
                <w:lang w:val="en-US" w:eastAsia="zh-CN" w:bidi="ar-SA"/>
              </w:rPr>
              <w:t>设计文件尚未交付制造单位投入生产的；</w:t>
            </w:r>
          </w:p>
          <w:p w14:paraId="603F53B3">
            <w:pPr>
              <w:pageBreakBefore w:val="0"/>
              <w:numPr>
                <w:ilvl w:val="0"/>
                <w:numId w:val="0"/>
              </w:numPr>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cs="宋体"/>
                <w:b w:val="0"/>
                <w:bCs/>
                <w:color w:val="000000"/>
                <w:kern w:val="0"/>
                <w:sz w:val="24"/>
                <w:szCs w:val="24"/>
                <w:lang w:val="en-US" w:eastAsia="zh-CN" w:bidi="ar-SA"/>
              </w:rPr>
              <w:t>(</w:t>
            </w:r>
            <w:r>
              <w:rPr>
                <w:rFonts w:hint="eastAsia" w:ascii="宋体" w:hAnsi="宋体" w:eastAsia="宋体" w:cs="宋体"/>
                <w:b w:val="0"/>
                <w:bCs/>
                <w:color w:val="000000"/>
                <w:kern w:val="0"/>
                <w:sz w:val="24"/>
                <w:szCs w:val="24"/>
                <w:lang w:val="en-US" w:eastAsia="zh-CN" w:bidi="ar-SA"/>
              </w:rPr>
              <w:t>2</w:t>
            </w:r>
            <w:r>
              <w:rPr>
                <w:rFonts w:hint="eastAsia" w:ascii="宋体" w:hAnsi="宋体" w:cs="宋体"/>
                <w:b w:val="0"/>
                <w:bCs/>
                <w:color w:val="000000"/>
                <w:kern w:val="0"/>
                <w:sz w:val="24"/>
                <w:szCs w:val="24"/>
                <w:lang w:val="en-US" w:eastAsia="zh-CN" w:bidi="ar-SA"/>
              </w:rPr>
              <w:t>)</w:t>
            </w:r>
            <w:r>
              <w:rPr>
                <w:rFonts w:hint="eastAsia" w:ascii="宋体" w:hAnsi="宋体" w:eastAsia="宋体" w:cs="宋体"/>
                <w:b w:val="0"/>
                <w:bCs/>
                <w:color w:val="000000"/>
                <w:kern w:val="0"/>
                <w:sz w:val="24"/>
                <w:szCs w:val="24"/>
                <w:u w:val="none"/>
                <w:lang w:val="en-US" w:eastAsia="zh-CN" w:bidi="ar-SA"/>
              </w:rPr>
              <w:t>设计的压力容器属于第</w:t>
            </w:r>
            <w:r>
              <w:rPr>
                <w:rFonts w:hint="eastAsia" w:ascii="宋体" w:hAnsi="宋体" w:eastAsia="宋体" w:cs="宋体"/>
                <w:b w:val="0"/>
                <w:bCs/>
                <w:color w:val="000000"/>
                <w:kern w:val="0"/>
                <w:sz w:val="24"/>
                <w:szCs w:val="24"/>
                <w:u w:val="none"/>
                <w:lang w:val="en-US" w:eastAsia="zh-CN" w:bidi="ar-SA"/>
              </w:rPr>
              <w:fldChar w:fldCharType="begin"/>
            </w:r>
            <w:r>
              <w:rPr>
                <w:rFonts w:hint="eastAsia" w:ascii="宋体" w:hAnsi="宋体" w:eastAsia="宋体" w:cs="宋体"/>
                <w:b w:val="0"/>
                <w:bCs/>
                <w:color w:val="000000"/>
                <w:kern w:val="0"/>
                <w:sz w:val="24"/>
                <w:szCs w:val="24"/>
                <w:u w:val="none"/>
                <w:lang w:val="en-US" w:eastAsia="zh-CN" w:bidi="ar-SA"/>
              </w:rPr>
              <w:instrText xml:space="preserve"> = 1 \* ROMAN \* MERGEFORMAT </w:instrText>
            </w:r>
            <w:r>
              <w:rPr>
                <w:rFonts w:hint="eastAsia" w:ascii="宋体" w:hAnsi="宋体" w:eastAsia="宋体" w:cs="宋体"/>
                <w:b w:val="0"/>
                <w:bCs/>
                <w:color w:val="000000"/>
                <w:kern w:val="0"/>
                <w:sz w:val="24"/>
                <w:szCs w:val="24"/>
                <w:u w:val="none"/>
                <w:lang w:val="en-US" w:eastAsia="zh-CN" w:bidi="ar-SA"/>
              </w:rPr>
              <w:fldChar w:fldCharType="separate"/>
            </w:r>
            <w:r>
              <w:rPr>
                <w:rFonts w:hint="eastAsia" w:ascii="宋体" w:hAnsi="宋体" w:eastAsia="宋体" w:cs="宋体"/>
                <w:sz w:val="24"/>
                <w:szCs w:val="24"/>
              </w:rPr>
              <w:t>I</w:t>
            </w:r>
            <w:r>
              <w:rPr>
                <w:rFonts w:hint="eastAsia" w:ascii="宋体" w:hAnsi="宋体" w:eastAsia="宋体" w:cs="宋体"/>
                <w:b w:val="0"/>
                <w:bCs/>
                <w:color w:val="000000"/>
                <w:kern w:val="0"/>
                <w:sz w:val="24"/>
                <w:szCs w:val="24"/>
                <w:u w:val="none"/>
                <w:lang w:val="en-US" w:eastAsia="zh-CN" w:bidi="ar-SA"/>
              </w:rPr>
              <w:fldChar w:fldCharType="end"/>
            </w:r>
            <w:r>
              <w:rPr>
                <w:rFonts w:hint="eastAsia" w:ascii="宋体" w:hAnsi="宋体" w:eastAsia="宋体" w:cs="宋体"/>
                <w:b w:val="0"/>
                <w:bCs/>
                <w:color w:val="000000"/>
                <w:kern w:val="0"/>
                <w:sz w:val="24"/>
                <w:szCs w:val="24"/>
                <w:u w:val="none"/>
                <w:lang w:val="en-US" w:eastAsia="zh-CN" w:bidi="ar-SA"/>
              </w:rPr>
              <w:t>类压力容器的。</w:t>
            </w:r>
          </w:p>
        </w:tc>
        <w:tc>
          <w:tcPr>
            <w:tcW w:w="3251" w:type="dxa"/>
            <w:noWrap w:val="0"/>
            <w:vAlign w:val="center"/>
          </w:tcPr>
          <w:p w14:paraId="3408FDF5">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予以取缔，处5万元以9.5万元以下罚款；有违法所得的，没收违法所得。</w:t>
            </w:r>
          </w:p>
        </w:tc>
      </w:tr>
      <w:tr w14:paraId="5D872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736" w:type="dxa"/>
            <w:vMerge w:val="continue"/>
            <w:noWrap w:val="0"/>
            <w:vAlign w:val="center"/>
          </w:tcPr>
          <w:p w14:paraId="0539F510">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2BFCF035">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42" w:leftChars="20"/>
              <w:jc w:val="both"/>
              <w:rPr>
                <w:rFonts w:hint="eastAsia" w:ascii="宋体" w:hAnsi="宋体" w:eastAsia="宋体" w:cs="宋体"/>
                <w:b w:val="0"/>
                <w:bCs/>
                <w:color w:val="000000"/>
                <w:kern w:val="0"/>
                <w:sz w:val="24"/>
                <w:szCs w:val="24"/>
                <w:u w:val="none"/>
                <w:lang w:val="en-US" w:eastAsia="zh-CN" w:bidi="ar-SA"/>
              </w:rPr>
            </w:pPr>
          </w:p>
        </w:tc>
        <w:tc>
          <w:tcPr>
            <w:tcW w:w="4140" w:type="dxa"/>
            <w:vMerge w:val="continue"/>
            <w:noWrap w:val="0"/>
            <w:vAlign w:val="center"/>
          </w:tcPr>
          <w:p w14:paraId="4FBCDF70">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jc w:val="both"/>
              <w:rPr>
                <w:rFonts w:hint="eastAsia" w:ascii="宋体" w:hAnsi="宋体" w:eastAsia="宋体" w:cs="宋体"/>
                <w:b w:val="0"/>
                <w:bCs/>
                <w:color w:val="000000"/>
                <w:kern w:val="0"/>
                <w:sz w:val="24"/>
                <w:szCs w:val="24"/>
                <w:u w:val="none"/>
                <w:lang w:val="en-US" w:eastAsia="zh-CN" w:bidi="ar-SA"/>
              </w:rPr>
            </w:pPr>
          </w:p>
        </w:tc>
        <w:tc>
          <w:tcPr>
            <w:tcW w:w="1132" w:type="dxa"/>
            <w:noWrap w:val="0"/>
            <w:vAlign w:val="center"/>
          </w:tcPr>
          <w:p w14:paraId="66BABCF1">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3946102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设计的压力容器属于第</w:t>
            </w:r>
            <w:r>
              <w:rPr>
                <w:rFonts w:hint="eastAsia" w:ascii="宋体" w:hAnsi="宋体" w:eastAsia="宋体" w:cs="宋体"/>
                <w:b w:val="0"/>
                <w:bCs/>
                <w:color w:val="000000"/>
                <w:kern w:val="0"/>
                <w:sz w:val="24"/>
                <w:szCs w:val="24"/>
                <w:u w:val="none"/>
                <w:lang w:val="en-US" w:eastAsia="zh-CN" w:bidi="ar-SA"/>
              </w:rPr>
              <w:fldChar w:fldCharType="begin"/>
            </w:r>
            <w:r>
              <w:rPr>
                <w:rFonts w:hint="eastAsia" w:ascii="宋体" w:hAnsi="宋体" w:eastAsia="宋体" w:cs="宋体"/>
                <w:b w:val="0"/>
                <w:bCs/>
                <w:color w:val="000000"/>
                <w:kern w:val="0"/>
                <w:sz w:val="24"/>
                <w:szCs w:val="24"/>
                <w:u w:val="none"/>
                <w:lang w:val="en-US" w:eastAsia="zh-CN" w:bidi="ar-SA"/>
              </w:rPr>
              <w:instrText xml:space="preserve"> = 2 \* ROMAN \* MERGEFORMAT </w:instrText>
            </w:r>
            <w:r>
              <w:rPr>
                <w:rFonts w:hint="eastAsia" w:ascii="宋体" w:hAnsi="宋体" w:eastAsia="宋体" w:cs="宋体"/>
                <w:b w:val="0"/>
                <w:bCs/>
                <w:color w:val="000000"/>
                <w:kern w:val="0"/>
                <w:sz w:val="24"/>
                <w:szCs w:val="24"/>
                <w:u w:val="none"/>
                <w:lang w:val="en-US" w:eastAsia="zh-CN" w:bidi="ar-SA"/>
              </w:rPr>
              <w:fldChar w:fldCharType="separate"/>
            </w:r>
            <w:r>
              <w:rPr>
                <w:rFonts w:hint="eastAsia" w:ascii="宋体" w:hAnsi="宋体" w:eastAsia="宋体" w:cs="宋体"/>
                <w:b w:val="0"/>
                <w:bCs/>
                <w:color w:val="000000"/>
                <w:kern w:val="0"/>
                <w:sz w:val="24"/>
                <w:szCs w:val="24"/>
                <w:u w:val="none"/>
                <w:lang w:val="en-US" w:eastAsia="zh-CN" w:bidi="ar-SA"/>
              </w:rPr>
              <w:t>II</w:t>
            </w:r>
            <w:r>
              <w:rPr>
                <w:rFonts w:hint="eastAsia" w:ascii="宋体" w:hAnsi="宋体" w:eastAsia="宋体" w:cs="宋体"/>
                <w:b w:val="0"/>
                <w:bCs/>
                <w:color w:val="000000"/>
                <w:kern w:val="0"/>
                <w:sz w:val="24"/>
                <w:szCs w:val="24"/>
                <w:u w:val="none"/>
                <w:lang w:val="en-US" w:eastAsia="zh-CN" w:bidi="ar-SA"/>
              </w:rPr>
              <w:fldChar w:fldCharType="end"/>
            </w:r>
            <w:r>
              <w:rPr>
                <w:rFonts w:hint="eastAsia" w:ascii="宋体" w:hAnsi="宋体" w:eastAsia="宋体" w:cs="宋体"/>
                <w:b w:val="0"/>
                <w:bCs/>
                <w:color w:val="000000"/>
                <w:kern w:val="0"/>
                <w:sz w:val="24"/>
                <w:szCs w:val="24"/>
                <w:u w:val="none"/>
                <w:lang w:val="en-US" w:eastAsia="zh-CN" w:bidi="ar-SA"/>
              </w:rPr>
              <w:t>类压力容器的。</w:t>
            </w:r>
          </w:p>
        </w:tc>
        <w:tc>
          <w:tcPr>
            <w:tcW w:w="3251" w:type="dxa"/>
            <w:noWrap w:val="0"/>
            <w:vAlign w:val="center"/>
          </w:tcPr>
          <w:p w14:paraId="5D653AE3">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予以取缔，处9.5万元以上15.5万元以下罚款；有违法所得的，没收违法所得。</w:t>
            </w:r>
          </w:p>
        </w:tc>
      </w:tr>
      <w:tr w14:paraId="65A1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7" w:hRule="atLeast"/>
          <w:jc w:val="center"/>
        </w:trPr>
        <w:tc>
          <w:tcPr>
            <w:tcW w:w="736" w:type="dxa"/>
            <w:vMerge w:val="continue"/>
            <w:noWrap w:val="0"/>
            <w:vAlign w:val="center"/>
          </w:tcPr>
          <w:p w14:paraId="2EB777E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30E236E7">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42" w:leftChars="20"/>
              <w:jc w:val="both"/>
              <w:rPr>
                <w:rFonts w:hint="eastAsia" w:ascii="宋体" w:hAnsi="宋体" w:eastAsia="宋体" w:cs="宋体"/>
                <w:b w:val="0"/>
                <w:bCs/>
                <w:color w:val="000000"/>
                <w:kern w:val="0"/>
                <w:sz w:val="24"/>
                <w:szCs w:val="24"/>
                <w:u w:val="none"/>
                <w:lang w:val="en-US" w:eastAsia="zh-CN" w:bidi="ar-SA"/>
              </w:rPr>
            </w:pPr>
          </w:p>
        </w:tc>
        <w:tc>
          <w:tcPr>
            <w:tcW w:w="4140" w:type="dxa"/>
            <w:vMerge w:val="continue"/>
            <w:noWrap w:val="0"/>
            <w:vAlign w:val="center"/>
          </w:tcPr>
          <w:p w14:paraId="0A0E519E">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jc w:val="both"/>
              <w:rPr>
                <w:rFonts w:hint="eastAsia" w:ascii="宋体" w:hAnsi="宋体" w:eastAsia="宋体" w:cs="宋体"/>
                <w:b w:val="0"/>
                <w:bCs/>
                <w:color w:val="000000"/>
                <w:kern w:val="0"/>
                <w:sz w:val="24"/>
                <w:szCs w:val="24"/>
                <w:u w:val="none"/>
                <w:lang w:val="en-US" w:eastAsia="zh-CN" w:bidi="ar-SA"/>
              </w:rPr>
            </w:pPr>
          </w:p>
        </w:tc>
        <w:tc>
          <w:tcPr>
            <w:tcW w:w="1132" w:type="dxa"/>
            <w:noWrap w:val="0"/>
            <w:vAlign w:val="center"/>
          </w:tcPr>
          <w:p w14:paraId="51839AEF">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2B5390DE">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设计的压力容器属于第</w:t>
            </w:r>
            <w:r>
              <w:rPr>
                <w:rFonts w:hint="eastAsia" w:ascii="宋体" w:hAnsi="宋体" w:eastAsia="宋体" w:cs="宋体"/>
                <w:b w:val="0"/>
                <w:bCs/>
                <w:color w:val="000000"/>
                <w:kern w:val="0"/>
                <w:sz w:val="24"/>
                <w:szCs w:val="24"/>
                <w:u w:val="none"/>
                <w:lang w:val="en-US" w:eastAsia="zh-CN" w:bidi="ar-SA"/>
              </w:rPr>
              <w:fldChar w:fldCharType="begin"/>
            </w:r>
            <w:r>
              <w:rPr>
                <w:rFonts w:hint="eastAsia" w:ascii="宋体" w:hAnsi="宋体" w:eastAsia="宋体" w:cs="宋体"/>
                <w:b w:val="0"/>
                <w:bCs/>
                <w:color w:val="000000"/>
                <w:kern w:val="0"/>
                <w:sz w:val="24"/>
                <w:szCs w:val="24"/>
                <w:u w:val="none"/>
                <w:lang w:val="en-US" w:eastAsia="zh-CN" w:bidi="ar-SA"/>
              </w:rPr>
              <w:instrText xml:space="preserve"> = 3 \* ROMAN \* MERGEFORMAT </w:instrText>
            </w:r>
            <w:r>
              <w:rPr>
                <w:rFonts w:hint="eastAsia" w:ascii="宋体" w:hAnsi="宋体" w:eastAsia="宋体" w:cs="宋体"/>
                <w:b w:val="0"/>
                <w:bCs/>
                <w:color w:val="000000"/>
                <w:kern w:val="0"/>
                <w:sz w:val="24"/>
                <w:szCs w:val="24"/>
                <w:u w:val="none"/>
                <w:lang w:val="en-US" w:eastAsia="zh-CN" w:bidi="ar-SA"/>
              </w:rPr>
              <w:fldChar w:fldCharType="separate"/>
            </w:r>
            <w:r>
              <w:rPr>
                <w:rFonts w:hint="eastAsia" w:ascii="宋体" w:hAnsi="宋体" w:eastAsia="宋体" w:cs="宋体"/>
                <w:b w:val="0"/>
                <w:bCs/>
                <w:color w:val="000000"/>
                <w:kern w:val="0"/>
                <w:sz w:val="24"/>
                <w:szCs w:val="24"/>
                <w:u w:val="none"/>
                <w:lang w:val="en-US" w:eastAsia="zh-CN" w:bidi="ar-SA"/>
              </w:rPr>
              <w:t>III</w:t>
            </w:r>
            <w:r>
              <w:rPr>
                <w:rFonts w:hint="eastAsia" w:ascii="宋体" w:hAnsi="宋体" w:eastAsia="宋体" w:cs="宋体"/>
                <w:b w:val="0"/>
                <w:bCs/>
                <w:color w:val="000000"/>
                <w:kern w:val="0"/>
                <w:sz w:val="24"/>
                <w:szCs w:val="24"/>
                <w:u w:val="none"/>
                <w:lang w:val="en-US" w:eastAsia="zh-CN" w:bidi="ar-SA"/>
              </w:rPr>
              <w:fldChar w:fldCharType="end"/>
            </w:r>
            <w:r>
              <w:rPr>
                <w:rFonts w:hint="eastAsia" w:ascii="宋体" w:hAnsi="宋体" w:eastAsia="宋体" w:cs="宋体"/>
                <w:b w:val="0"/>
                <w:bCs/>
                <w:color w:val="000000"/>
                <w:kern w:val="0"/>
                <w:sz w:val="24"/>
                <w:szCs w:val="24"/>
                <w:u w:val="none"/>
                <w:lang w:val="en-US" w:eastAsia="zh-CN" w:bidi="ar-SA"/>
              </w:rPr>
              <w:t>类压力容器的。</w:t>
            </w:r>
          </w:p>
        </w:tc>
        <w:tc>
          <w:tcPr>
            <w:tcW w:w="3251" w:type="dxa"/>
            <w:noWrap w:val="0"/>
            <w:vAlign w:val="center"/>
          </w:tcPr>
          <w:p w14:paraId="288895F8">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予以取缔，处15.5万元以上20万元以下罚款；有违法所得的，没收违法所得。</w:t>
            </w:r>
          </w:p>
        </w:tc>
      </w:tr>
      <w:tr w14:paraId="77BFD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736" w:type="dxa"/>
            <w:vMerge w:val="restart"/>
            <w:noWrap w:val="0"/>
            <w:vAlign w:val="center"/>
          </w:tcPr>
          <w:p w14:paraId="748B22E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lang w:val="en"/>
              </w:rPr>
            </w:pPr>
            <w:r>
              <w:rPr>
                <w:rFonts w:hint="eastAsia" w:ascii="宋体" w:hAnsi="宋体" w:eastAsia="宋体" w:cs="宋体"/>
                <w:b w:val="0"/>
                <w:bCs w:val="0"/>
                <w:color w:val="000000"/>
                <w:kern w:val="0"/>
                <w:sz w:val="24"/>
                <w:szCs w:val="24"/>
                <w:lang w:val="en"/>
              </w:rPr>
              <w:t>1</w:t>
            </w:r>
            <w:r>
              <w:rPr>
                <w:rFonts w:hint="eastAsia" w:ascii="宋体" w:hAnsi="宋体" w:eastAsia="宋体" w:cs="宋体"/>
                <w:b w:val="0"/>
                <w:bCs w:val="0"/>
                <w:color w:val="000000"/>
                <w:kern w:val="0"/>
                <w:sz w:val="24"/>
                <w:szCs w:val="24"/>
                <w:lang w:val="en-US" w:eastAsia="zh-CN"/>
              </w:rPr>
              <w:t>8</w:t>
            </w:r>
            <w:r>
              <w:rPr>
                <w:rFonts w:hint="eastAsia" w:ascii="宋体" w:hAnsi="宋体" w:cs="宋体"/>
                <w:b w:val="0"/>
                <w:bCs w:val="0"/>
                <w:color w:val="000000"/>
                <w:kern w:val="0"/>
                <w:sz w:val="24"/>
                <w:szCs w:val="24"/>
                <w:lang w:val="en-US" w:eastAsia="zh-CN"/>
              </w:rPr>
              <w:t>0</w:t>
            </w:r>
          </w:p>
        </w:tc>
        <w:tc>
          <w:tcPr>
            <w:tcW w:w="1748" w:type="dxa"/>
            <w:vMerge w:val="restart"/>
            <w:noWrap w:val="0"/>
            <w:vAlign w:val="center"/>
          </w:tcPr>
          <w:p w14:paraId="49D4A29B">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42" w:leftChars="20"/>
              <w:jc w:val="both"/>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《特种设备安全监察条例》</w:t>
            </w:r>
          </w:p>
        </w:tc>
        <w:tc>
          <w:tcPr>
            <w:tcW w:w="4140" w:type="dxa"/>
            <w:vMerge w:val="restart"/>
            <w:noWrap w:val="0"/>
            <w:vAlign w:val="center"/>
          </w:tcPr>
          <w:p w14:paraId="7B1985E8">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jc w:val="both"/>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第七十三条</w:t>
            </w:r>
            <w:r>
              <w:rPr>
                <w:rFonts w:hint="eastAsia" w:ascii="宋体" w:hAnsi="宋体" w:cs="宋体"/>
                <w:b w:val="0"/>
                <w:bCs/>
                <w:color w:val="000000"/>
                <w:kern w:val="0"/>
                <w:sz w:val="24"/>
                <w:szCs w:val="24"/>
                <w:u w:val="none"/>
                <w:lang w:val="en-US" w:eastAsia="zh-CN" w:bidi="ar-SA"/>
              </w:rPr>
              <w:t xml:space="preserve"> </w:t>
            </w:r>
            <w:r>
              <w:rPr>
                <w:rFonts w:hint="eastAsia" w:ascii="宋体" w:hAnsi="宋体" w:eastAsia="宋体" w:cs="宋体"/>
                <w:b w:val="0"/>
                <w:bCs/>
                <w:color w:val="000000"/>
                <w:kern w:val="0"/>
                <w:sz w:val="24"/>
                <w:szCs w:val="24"/>
                <w:u w:val="none"/>
                <w:lang w:val="en-US" w:eastAsia="zh-CN" w:bidi="ar-SA"/>
              </w:rPr>
              <w:t>锅炉、气瓶、氧舱和客运索道、大型游乐设施以及高耗能特种设备的设计文件，未经国务院特种设备安全监督管理部门核准的检验检测机构鉴定，擅自用于制造的，由特种设备安全监督管理部门责令改正，没收非法制造的产品，处5万元以上20万元以下罚款；触犯刑律的，对负有责任的主管人员和其他直接责任人员依照刑法关于生产、销售伪劣产品罪、非法经营罪或者其他罪的规定，依法追究刑事责任。</w:t>
            </w:r>
          </w:p>
        </w:tc>
        <w:tc>
          <w:tcPr>
            <w:tcW w:w="1132" w:type="dxa"/>
            <w:noWrap w:val="0"/>
            <w:vAlign w:val="center"/>
          </w:tcPr>
          <w:p w14:paraId="68B7600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65A50A6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有下列情形之一的：</w:t>
            </w:r>
          </w:p>
          <w:p w14:paraId="719DB13A">
            <w:pPr>
              <w:pStyle w:val="16"/>
              <w:pageBreakBefore w:val="0"/>
              <w:numPr>
                <w:ilvl w:val="0"/>
                <w:numId w:val="0"/>
              </w:numPr>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cs="宋体"/>
                <w:b w:val="0"/>
                <w:bCs/>
                <w:color w:val="000000"/>
                <w:kern w:val="0"/>
                <w:sz w:val="24"/>
                <w:szCs w:val="24"/>
                <w:u w:val="none"/>
                <w:lang w:val="en-US" w:eastAsia="zh-CN" w:bidi="ar-SA"/>
              </w:rPr>
              <w:t>(1)</w:t>
            </w:r>
            <w:r>
              <w:rPr>
                <w:rFonts w:hint="eastAsia" w:ascii="宋体" w:hAnsi="宋体" w:eastAsia="宋体" w:cs="宋体"/>
                <w:b w:val="0"/>
                <w:bCs/>
                <w:color w:val="000000"/>
                <w:kern w:val="0"/>
                <w:sz w:val="24"/>
                <w:szCs w:val="24"/>
                <w:u w:val="none"/>
                <w:lang w:val="en-US" w:eastAsia="zh-CN" w:bidi="ar-SA"/>
              </w:rPr>
              <w:t>所制造的特种设备尚未交付使用的；</w:t>
            </w:r>
          </w:p>
          <w:p w14:paraId="5426BB94">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cs="宋体"/>
                <w:b w:val="0"/>
                <w:bCs/>
                <w:color w:val="000000"/>
                <w:kern w:val="0"/>
                <w:sz w:val="24"/>
                <w:szCs w:val="24"/>
                <w:u w:val="none"/>
                <w:lang w:val="en-US" w:eastAsia="zh-CN" w:bidi="ar-SA"/>
              </w:rPr>
              <w:t>(2)</w:t>
            </w:r>
            <w:r>
              <w:rPr>
                <w:rFonts w:hint="eastAsia" w:ascii="宋体" w:hAnsi="宋体" w:eastAsia="宋体" w:cs="宋体"/>
                <w:b w:val="0"/>
                <w:bCs/>
                <w:color w:val="000000"/>
                <w:kern w:val="0"/>
                <w:sz w:val="24"/>
                <w:szCs w:val="24"/>
                <w:u w:val="none"/>
                <w:lang w:val="en-US" w:eastAsia="zh-CN" w:bidi="ar-SA"/>
              </w:rPr>
              <w:t>所制造的特种设备货值金额10万元以下的。</w:t>
            </w:r>
          </w:p>
        </w:tc>
        <w:tc>
          <w:tcPr>
            <w:tcW w:w="3251" w:type="dxa"/>
            <w:noWrap w:val="0"/>
            <w:vAlign w:val="center"/>
          </w:tcPr>
          <w:p w14:paraId="1833813A">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没收非法制造的产品，处5万元以上9.5万元以下罚款。</w:t>
            </w:r>
          </w:p>
        </w:tc>
      </w:tr>
      <w:tr w14:paraId="4842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736" w:type="dxa"/>
            <w:vMerge w:val="continue"/>
            <w:noWrap w:val="0"/>
            <w:vAlign w:val="center"/>
          </w:tcPr>
          <w:p w14:paraId="35DA754A">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419AC8F2">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5BA83B12">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19D7EA7F">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41BFC6CF">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所制造的特种设备货值金额10万元以上15万元以下的。</w:t>
            </w:r>
          </w:p>
        </w:tc>
        <w:tc>
          <w:tcPr>
            <w:tcW w:w="3251" w:type="dxa"/>
            <w:noWrap w:val="0"/>
            <w:vAlign w:val="center"/>
          </w:tcPr>
          <w:p w14:paraId="6D3CE597">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没收非法制造的产品，处9.5万元以上15.5万元以下罚款。</w:t>
            </w:r>
          </w:p>
        </w:tc>
      </w:tr>
      <w:tr w14:paraId="1A74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6" w:hRule="atLeast"/>
          <w:jc w:val="center"/>
        </w:trPr>
        <w:tc>
          <w:tcPr>
            <w:tcW w:w="736" w:type="dxa"/>
            <w:vMerge w:val="continue"/>
            <w:noWrap w:val="0"/>
            <w:vAlign w:val="center"/>
          </w:tcPr>
          <w:p w14:paraId="6D7B853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64F2EFE8">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3658DDD1">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24284E6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6B4B88E2">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所制造的特种设备货值金额15万元以上的。</w:t>
            </w:r>
          </w:p>
        </w:tc>
        <w:tc>
          <w:tcPr>
            <w:tcW w:w="3251" w:type="dxa"/>
            <w:noWrap w:val="0"/>
            <w:vAlign w:val="center"/>
          </w:tcPr>
          <w:p w14:paraId="4C6A87CA">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没收非法制造的产品，处15.5万元以上20万元以下罚款。</w:t>
            </w:r>
          </w:p>
        </w:tc>
      </w:tr>
      <w:tr w14:paraId="7FE8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736" w:type="dxa"/>
            <w:vMerge w:val="restart"/>
            <w:noWrap w:val="0"/>
            <w:vAlign w:val="center"/>
          </w:tcPr>
          <w:p w14:paraId="4E045670">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
              </w:rPr>
            </w:pPr>
            <w:r>
              <w:rPr>
                <w:rFonts w:hint="eastAsia" w:ascii="宋体" w:hAnsi="宋体" w:eastAsia="宋体" w:cs="宋体"/>
                <w:b w:val="0"/>
                <w:bCs w:val="0"/>
                <w:color w:val="000000"/>
                <w:kern w:val="0"/>
                <w:sz w:val="24"/>
                <w:szCs w:val="24"/>
                <w:lang w:val="en"/>
              </w:rPr>
              <w:t>1</w:t>
            </w:r>
            <w:r>
              <w:rPr>
                <w:rFonts w:hint="eastAsia" w:ascii="宋体" w:hAnsi="宋体" w:eastAsia="宋体" w:cs="宋体"/>
                <w:b w:val="0"/>
                <w:bCs w:val="0"/>
                <w:color w:val="000000"/>
                <w:kern w:val="0"/>
                <w:sz w:val="24"/>
                <w:szCs w:val="24"/>
                <w:lang w:val="en-US" w:eastAsia="zh-CN"/>
              </w:rPr>
              <w:t>8</w:t>
            </w:r>
            <w:r>
              <w:rPr>
                <w:rFonts w:hint="eastAsia" w:ascii="宋体" w:hAnsi="宋体" w:cs="宋体"/>
                <w:b w:val="0"/>
                <w:bCs w:val="0"/>
                <w:color w:val="000000"/>
                <w:kern w:val="0"/>
                <w:sz w:val="24"/>
                <w:szCs w:val="24"/>
                <w:lang w:val="en-US" w:eastAsia="zh-CN"/>
              </w:rPr>
              <w:t>1</w:t>
            </w:r>
          </w:p>
        </w:tc>
        <w:tc>
          <w:tcPr>
            <w:tcW w:w="1748" w:type="dxa"/>
            <w:vMerge w:val="restart"/>
            <w:noWrap w:val="0"/>
            <w:vAlign w:val="center"/>
          </w:tcPr>
          <w:p w14:paraId="15933986">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b w:val="0"/>
                <w:bCs/>
                <w:color w:val="000000"/>
                <w:kern w:val="0"/>
                <w:sz w:val="24"/>
                <w:szCs w:val="24"/>
                <w:u w:val="none"/>
                <w:lang w:val="en-US" w:eastAsia="zh-CN" w:bidi="ar-SA"/>
              </w:rPr>
              <w:t>《特种设备安全监察条例》</w:t>
            </w:r>
          </w:p>
        </w:tc>
        <w:tc>
          <w:tcPr>
            <w:tcW w:w="4140" w:type="dxa"/>
            <w:vMerge w:val="restart"/>
            <w:noWrap w:val="0"/>
            <w:vAlign w:val="center"/>
          </w:tcPr>
          <w:p w14:paraId="5BF2BCB7">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jc w:val="both"/>
              <w:rPr>
                <w:rFonts w:hint="eastAsia" w:ascii="宋体" w:hAnsi="宋体" w:eastAsia="宋体" w:cs="宋体"/>
                <w:color w:val="000000"/>
                <w:kern w:val="0"/>
                <w:sz w:val="24"/>
                <w:szCs w:val="24"/>
              </w:rPr>
            </w:pPr>
            <w:r>
              <w:rPr>
                <w:rFonts w:hint="eastAsia" w:ascii="宋体" w:hAnsi="宋体" w:eastAsia="宋体" w:cs="宋体"/>
                <w:b w:val="0"/>
                <w:bCs/>
                <w:color w:val="000000"/>
                <w:kern w:val="0"/>
                <w:sz w:val="24"/>
                <w:szCs w:val="24"/>
                <w:u w:val="none"/>
                <w:lang w:val="en-US" w:eastAsia="zh-CN" w:bidi="ar-SA"/>
              </w:rPr>
              <w:t>第七十四条</w:t>
            </w:r>
            <w:r>
              <w:rPr>
                <w:rFonts w:hint="eastAsia" w:ascii="宋体" w:hAnsi="宋体" w:cs="宋体"/>
                <w:b w:val="0"/>
                <w:bCs/>
                <w:color w:val="000000"/>
                <w:kern w:val="0"/>
                <w:sz w:val="24"/>
                <w:szCs w:val="24"/>
                <w:u w:val="none"/>
                <w:lang w:val="en-US" w:eastAsia="zh-CN" w:bidi="ar-SA"/>
              </w:rPr>
              <w:t xml:space="preserve"> </w:t>
            </w:r>
            <w:r>
              <w:rPr>
                <w:rFonts w:hint="eastAsia" w:ascii="宋体" w:hAnsi="宋体" w:eastAsia="宋体" w:cs="宋体"/>
                <w:b w:val="0"/>
                <w:bCs/>
                <w:color w:val="000000"/>
                <w:kern w:val="0"/>
                <w:sz w:val="24"/>
                <w:szCs w:val="24"/>
                <w:u w:val="none"/>
                <w:lang w:val="en-US" w:eastAsia="zh-CN" w:bidi="ar-SA"/>
              </w:rPr>
              <w:t>按照安全技术规范的要求应当进行型式试验的特种设备产品、部件或者试制特种设备新产品、新部件，未进行整机或者部件型式试验的，由特种设备安全监督管理部门责令限期改正；逾期未改正的，处2万元以上10万元以下罚款。</w:t>
            </w:r>
          </w:p>
        </w:tc>
        <w:tc>
          <w:tcPr>
            <w:tcW w:w="1132" w:type="dxa"/>
            <w:noWrap w:val="0"/>
            <w:vAlign w:val="center"/>
          </w:tcPr>
          <w:p w14:paraId="46C3E080">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24D0695A">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未交付使用的。</w:t>
            </w:r>
          </w:p>
        </w:tc>
        <w:tc>
          <w:tcPr>
            <w:tcW w:w="3251" w:type="dxa"/>
            <w:noWrap w:val="0"/>
            <w:vAlign w:val="center"/>
          </w:tcPr>
          <w:p w14:paraId="49CB573F">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逾期未改正的，处2万元以上4.4万元以下罚款。</w:t>
            </w:r>
          </w:p>
        </w:tc>
      </w:tr>
      <w:tr w14:paraId="1A09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736" w:type="dxa"/>
            <w:vMerge w:val="continue"/>
            <w:noWrap w:val="0"/>
            <w:vAlign w:val="center"/>
          </w:tcPr>
          <w:p w14:paraId="1D20A03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4D47BB0F">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76C446EE">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0D78BD8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0FE8FB92">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已交付使用的。</w:t>
            </w:r>
          </w:p>
        </w:tc>
        <w:tc>
          <w:tcPr>
            <w:tcW w:w="3251" w:type="dxa"/>
            <w:noWrap w:val="0"/>
            <w:vAlign w:val="center"/>
          </w:tcPr>
          <w:p w14:paraId="794EC027">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逾期未改正的，处4.4万元以上7.6万元以下罚款。</w:t>
            </w:r>
          </w:p>
        </w:tc>
      </w:tr>
      <w:tr w14:paraId="6FE2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736" w:type="dxa"/>
            <w:vMerge w:val="continue"/>
            <w:noWrap w:val="0"/>
            <w:vAlign w:val="center"/>
          </w:tcPr>
          <w:p w14:paraId="149EF19A">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3B4C22AF">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53DECC2A">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374EF12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79750F4D">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造成后果的。</w:t>
            </w:r>
          </w:p>
        </w:tc>
        <w:tc>
          <w:tcPr>
            <w:tcW w:w="3251" w:type="dxa"/>
            <w:noWrap w:val="0"/>
            <w:vAlign w:val="center"/>
          </w:tcPr>
          <w:p w14:paraId="66FD507A">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逾期未改正的，处7.6万元以上10万元以下罚款。</w:t>
            </w:r>
          </w:p>
        </w:tc>
      </w:tr>
      <w:tr w14:paraId="647D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4" w:hRule="atLeast"/>
          <w:jc w:val="center"/>
        </w:trPr>
        <w:tc>
          <w:tcPr>
            <w:tcW w:w="736" w:type="dxa"/>
            <w:vMerge w:val="restart"/>
            <w:noWrap w:val="0"/>
            <w:vAlign w:val="center"/>
          </w:tcPr>
          <w:p w14:paraId="6E012C6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
              </w:rPr>
            </w:pPr>
            <w:r>
              <w:rPr>
                <w:rFonts w:hint="eastAsia" w:ascii="宋体" w:hAnsi="宋体" w:eastAsia="宋体" w:cs="宋体"/>
                <w:b w:val="0"/>
                <w:bCs w:val="0"/>
                <w:color w:val="000000"/>
                <w:kern w:val="0"/>
                <w:sz w:val="24"/>
                <w:szCs w:val="24"/>
                <w:lang w:val="en"/>
              </w:rPr>
              <w:t>1</w:t>
            </w:r>
            <w:r>
              <w:rPr>
                <w:rFonts w:hint="eastAsia" w:ascii="宋体" w:hAnsi="宋体" w:eastAsia="宋体" w:cs="宋体"/>
                <w:b w:val="0"/>
                <w:bCs w:val="0"/>
                <w:color w:val="000000"/>
                <w:kern w:val="0"/>
                <w:sz w:val="24"/>
                <w:szCs w:val="24"/>
                <w:lang w:val="en-US" w:eastAsia="zh-CN"/>
              </w:rPr>
              <w:t>8</w:t>
            </w:r>
            <w:r>
              <w:rPr>
                <w:rFonts w:hint="eastAsia" w:ascii="宋体" w:hAnsi="宋体" w:cs="宋体"/>
                <w:b w:val="0"/>
                <w:bCs w:val="0"/>
                <w:color w:val="000000"/>
                <w:kern w:val="0"/>
                <w:sz w:val="24"/>
                <w:szCs w:val="24"/>
                <w:lang w:val="en-US" w:eastAsia="zh-CN"/>
              </w:rPr>
              <w:t>2</w:t>
            </w:r>
          </w:p>
        </w:tc>
        <w:tc>
          <w:tcPr>
            <w:tcW w:w="1748" w:type="dxa"/>
            <w:vMerge w:val="restart"/>
            <w:noWrap w:val="0"/>
            <w:vAlign w:val="center"/>
          </w:tcPr>
          <w:p w14:paraId="575D8C52">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b w:val="0"/>
                <w:bCs/>
                <w:color w:val="000000"/>
                <w:kern w:val="0"/>
                <w:sz w:val="24"/>
                <w:szCs w:val="24"/>
                <w:u w:val="none"/>
                <w:lang w:val="en-US" w:eastAsia="zh-CN" w:bidi="ar-SA"/>
              </w:rPr>
              <w:t>《特种设备安全监察条例》</w:t>
            </w:r>
          </w:p>
        </w:tc>
        <w:tc>
          <w:tcPr>
            <w:tcW w:w="4140" w:type="dxa"/>
            <w:vMerge w:val="restart"/>
            <w:noWrap w:val="0"/>
            <w:vAlign w:val="center"/>
          </w:tcPr>
          <w:p w14:paraId="60F868D7">
            <w:pPr>
              <w:pStyle w:val="9"/>
              <w:spacing w:line="380" w:lineRule="exact"/>
              <w:jc w:val="both"/>
              <w:rPr>
                <w:rFonts w:hint="eastAsia" w:ascii="宋体" w:hAnsi="宋体" w:eastAsia="宋体" w:cs="宋体"/>
                <w:color w:val="000000"/>
                <w:kern w:val="0"/>
                <w:sz w:val="24"/>
                <w:szCs w:val="24"/>
              </w:rPr>
            </w:pPr>
            <w:r>
              <w:rPr>
                <w:rFonts w:hint="eastAsia" w:ascii="宋体" w:hAnsi="宋体" w:eastAsia="宋体" w:cs="宋体"/>
                <w:b w:val="0"/>
                <w:bCs/>
                <w:color w:val="000000"/>
                <w:kern w:val="0"/>
                <w:sz w:val="24"/>
                <w:szCs w:val="24"/>
                <w:u w:val="none"/>
                <w:lang w:val="en-US" w:eastAsia="zh-CN" w:bidi="ar-SA"/>
              </w:rPr>
              <w:t>第七十五条</w:t>
            </w:r>
            <w:r>
              <w:rPr>
                <w:rFonts w:hint="eastAsia" w:ascii="宋体" w:hAnsi="宋体" w:cs="宋体"/>
                <w:b w:val="0"/>
                <w:bCs/>
                <w:color w:val="000000"/>
                <w:kern w:val="0"/>
                <w:sz w:val="24"/>
                <w:szCs w:val="24"/>
                <w:u w:val="none"/>
                <w:lang w:val="en-US" w:eastAsia="zh-CN" w:bidi="ar-SA"/>
              </w:rPr>
              <w:t xml:space="preserve"> </w:t>
            </w:r>
            <w:r>
              <w:rPr>
                <w:rFonts w:hint="eastAsia" w:ascii="宋体" w:hAnsi="宋体" w:eastAsia="宋体" w:cs="宋体"/>
                <w:b w:val="0"/>
                <w:bCs/>
                <w:color w:val="000000"/>
                <w:kern w:val="0"/>
                <w:sz w:val="24"/>
                <w:szCs w:val="24"/>
                <w:u w:val="none"/>
                <w:lang w:val="en-US" w:eastAsia="zh-CN" w:bidi="ar-SA"/>
              </w:rPr>
              <w:t>未经许可，擅自从事锅炉、压力容器、电梯、起重机械、客运索道、大型游乐设施、场(厂)内专用机动车辆及其安全附件、安全保护装置的制造、安装、改造以及压力管道元件的制造活动的，由特种设备安全监督管理部门予以取缔，没收非法制造的产品，已经实施安装、改造的，责令恢复原状或者责令限期由取得许可的单位重新安装、改造，处10万元以上50万元以下罚款；触犯刑律的，对负有责任的主管人员和其他直接责任人员依照刑法关于生产、销售伪劣产品罪、非法经营罪、重大责任事故罪或者其他罪的规定，依法追究刑事责任。</w:t>
            </w:r>
          </w:p>
        </w:tc>
        <w:tc>
          <w:tcPr>
            <w:tcW w:w="1132" w:type="dxa"/>
            <w:noWrap w:val="0"/>
            <w:vAlign w:val="center"/>
          </w:tcPr>
          <w:p w14:paraId="11B6D69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5C39FE40">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有下列情形之一的：</w:t>
            </w:r>
          </w:p>
          <w:p w14:paraId="0B78CB38">
            <w:pPr>
              <w:pageBreakBefore w:val="0"/>
              <w:widowControl/>
              <w:numPr>
                <w:ilvl w:val="0"/>
                <w:numId w:val="0"/>
              </w:numPr>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cs="宋体"/>
                <w:b w:val="0"/>
                <w:bCs/>
                <w:color w:val="000000"/>
                <w:kern w:val="0"/>
                <w:sz w:val="24"/>
                <w:szCs w:val="24"/>
                <w:lang w:val="en-US" w:eastAsia="zh-CN" w:bidi="ar-SA"/>
              </w:rPr>
              <w:t>(</w:t>
            </w:r>
            <w:r>
              <w:rPr>
                <w:rFonts w:hint="eastAsia" w:ascii="宋体" w:hAnsi="宋体" w:eastAsia="宋体" w:cs="宋体"/>
                <w:b w:val="0"/>
                <w:bCs/>
                <w:color w:val="000000"/>
                <w:kern w:val="0"/>
                <w:sz w:val="24"/>
                <w:szCs w:val="24"/>
                <w:lang w:val="en-US" w:eastAsia="zh-CN" w:bidi="ar-SA"/>
              </w:rPr>
              <w:t>1</w:t>
            </w:r>
            <w:r>
              <w:rPr>
                <w:rFonts w:hint="eastAsia" w:ascii="宋体" w:hAnsi="宋体" w:cs="宋体"/>
                <w:b w:val="0"/>
                <w:bCs/>
                <w:color w:val="000000"/>
                <w:kern w:val="0"/>
                <w:sz w:val="24"/>
                <w:szCs w:val="24"/>
                <w:lang w:val="en-US" w:eastAsia="zh-CN" w:bidi="ar-SA"/>
              </w:rPr>
              <w:t>)</w:t>
            </w:r>
            <w:r>
              <w:rPr>
                <w:rFonts w:hint="eastAsia" w:ascii="宋体" w:hAnsi="宋体" w:eastAsia="宋体" w:cs="宋体"/>
                <w:b w:val="0"/>
                <w:bCs/>
                <w:color w:val="000000"/>
                <w:kern w:val="0"/>
                <w:sz w:val="24"/>
                <w:szCs w:val="24"/>
                <w:u w:val="none"/>
                <w:lang w:val="en-US" w:eastAsia="zh-CN" w:bidi="ar-SA"/>
              </w:rPr>
              <w:t>尚未交付使用的；</w:t>
            </w:r>
          </w:p>
          <w:p w14:paraId="4DC83F6B">
            <w:pPr>
              <w:pStyle w:val="16"/>
              <w:pageBreakBefore w:val="0"/>
              <w:numPr>
                <w:ilvl w:val="0"/>
                <w:numId w:val="0"/>
              </w:numPr>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cs="宋体"/>
                <w:b w:val="0"/>
                <w:bCs/>
                <w:color w:val="000000"/>
                <w:kern w:val="0"/>
                <w:sz w:val="24"/>
                <w:szCs w:val="24"/>
                <w:lang w:val="en-US" w:eastAsia="zh-CN" w:bidi="ar-SA"/>
              </w:rPr>
              <w:t>(</w:t>
            </w:r>
            <w:r>
              <w:rPr>
                <w:rFonts w:hint="eastAsia" w:ascii="宋体" w:hAnsi="宋体" w:eastAsia="宋体" w:cs="宋体"/>
                <w:b w:val="0"/>
                <w:bCs/>
                <w:color w:val="000000"/>
                <w:kern w:val="0"/>
                <w:sz w:val="24"/>
                <w:szCs w:val="24"/>
                <w:lang w:val="en-US" w:eastAsia="zh-CN" w:bidi="ar-SA"/>
              </w:rPr>
              <w:t>2</w:t>
            </w:r>
            <w:r>
              <w:rPr>
                <w:rFonts w:hint="eastAsia" w:ascii="宋体" w:hAnsi="宋体" w:cs="宋体"/>
                <w:b w:val="0"/>
                <w:bCs/>
                <w:color w:val="000000"/>
                <w:kern w:val="0"/>
                <w:sz w:val="24"/>
                <w:szCs w:val="24"/>
                <w:lang w:val="en-US" w:eastAsia="zh-CN" w:bidi="ar-SA"/>
              </w:rPr>
              <w:t>)</w:t>
            </w:r>
            <w:r>
              <w:rPr>
                <w:rFonts w:hint="eastAsia" w:ascii="宋体" w:hAnsi="宋体" w:eastAsia="宋体" w:cs="宋体"/>
                <w:b w:val="0"/>
                <w:bCs/>
                <w:color w:val="000000"/>
                <w:kern w:val="0"/>
                <w:sz w:val="24"/>
                <w:szCs w:val="24"/>
                <w:u w:val="none"/>
                <w:lang w:val="en-US" w:eastAsia="zh-CN" w:bidi="ar-SA"/>
              </w:rPr>
              <w:t>货值金额25万元以下的。</w:t>
            </w:r>
          </w:p>
        </w:tc>
        <w:tc>
          <w:tcPr>
            <w:tcW w:w="3251" w:type="dxa"/>
            <w:noWrap w:val="0"/>
            <w:vAlign w:val="center"/>
          </w:tcPr>
          <w:p w14:paraId="2549A1E2">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予以取缔，没收非法制造的产品，已经实施安装、改造的，责令恢复原状或者责令限期由取得许可的单位重新安装、改造，处10万元以上22万元以下罚款。</w:t>
            </w:r>
          </w:p>
        </w:tc>
      </w:tr>
      <w:tr w14:paraId="6A5B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jc w:val="center"/>
        </w:trPr>
        <w:tc>
          <w:tcPr>
            <w:tcW w:w="736" w:type="dxa"/>
            <w:vMerge w:val="continue"/>
            <w:noWrap w:val="0"/>
            <w:vAlign w:val="center"/>
          </w:tcPr>
          <w:p w14:paraId="1F8FD054">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6E14A31B">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50BC9A1E">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57B11E0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1A69A61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货值金额25万元以上40万元以下的。</w:t>
            </w:r>
          </w:p>
        </w:tc>
        <w:tc>
          <w:tcPr>
            <w:tcW w:w="3251" w:type="dxa"/>
            <w:noWrap w:val="0"/>
            <w:vAlign w:val="center"/>
          </w:tcPr>
          <w:p w14:paraId="20AACB28">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予以取缔，没收非法制造的产品，已经实施安装、改造的，责令恢复原状或者责令限期由取得许可的单位重新安装、改造，处22万元以上38万元以下罚款。</w:t>
            </w:r>
          </w:p>
        </w:tc>
      </w:tr>
      <w:tr w14:paraId="1346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5" w:hRule="atLeast"/>
          <w:jc w:val="center"/>
        </w:trPr>
        <w:tc>
          <w:tcPr>
            <w:tcW w:w="736" w:type="dxa"/>
            <w:vMerge w:val="continue"/>
            <w:noWrap w:val="0"/>
            <w:vAlign w:val="center"/>
          </w:tcPr>
          <w:p w14:paraId="4CAB4A71">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1E489689">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6F332564">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5EBEECD1">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26B6DEA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货值金额40万元以上的。</w:t>
            </w:r>
          </w:p>
        </w:tc>
        <w:tc>
          <w:tcPr>
            <w:tcW w:w="3251" w:type="dxa"/>
            <w:noWrap w:val="0"/>
            <w:vAlign w:val="center"/>
          </w:tcPr>
          <w:p w14:paraId="63631893">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予以取缔，没收非法制造的产品，已经实施安装、改造的，责令恢复原状或者责令限期由取得许可的单位重新安装、改造，处38万元以上50万元以下罚款。</w:t>
            </w:r>
          </w:p>
        </w:tc>
      </w:tr>
      <w:tr w14:paraId="3529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jc w:val="center"/>
        </w:trPr>
        <w:tc>
          <w:tcPr>
            <w:tcW w:w="736" w:type="dxa"/>
            <w:vMerge w:val="restart"/>
            <w:noWrap w:val="0"/>
            <w:vAlign w:val="center"/>
          </w:tcPr>
          <w:p w14:paraId="2B5D261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
              </w:rPr>
            </w:pPr>
            <w:r>
              <w:rPr>
                <w:rFonts w:hint="eastAsia" w:ascii="宋体" w:hAnsi="宋体" w:eastAsia="宋体" w:cs="宋体"/>
                <w:b w:val="0"/>
                <w:bCs w:val="0"/>
                <w:color w:val="000000"/>
                <w:kern w:val="0"/>
                <w:sz w:val="24"/>
                <w:szCs w:val="24"/>
                <w:lang w:val="en"/>
              </w:rPr>
              <w:t>1</w:t>
            </w:r>
            <w:r>
              <w:rPr>
                <w:rFonts w:hint="eastAsia" w:ascii="宋体" w:hAnsi="宋体" w:eastAsia="宋体" w:cs="宋体"/>
                <w:b w:val="0"/>
                <w:bCs w:val="0"/>
                <w:color w:val="000000"/>
                <w:kern w:val="0"/>
                <w:sz w:val="24"/>
                <w:szCs w:val="24"/>
                <w:lang w:val="en-US" w:eastAsia="zh-CN"/>
              </w:rPr>
              <w:t>8</w:t>
            </w:r>
            <w:r>
              <w:rPr>
                <w:rFonts w:hint="eastAsia" w:ascii="宋体" w:hAnsi="宋体" w:cs="宋体"/>
                <w:b w:val="0"/>
                <w:bCs w:val="0"/>
                <w:color w:val="000000"/>
                <w:kern w:val="0"/>
                <w:sz w:val="24"/>
                <w:szCs w:val="24"/>
                <w:lang w:val="en-US" w:eastAsia="zh-CN"/>
              </w:rPr>
              <w:t>3</w:t>
            </w:r>
          </w:p>
        </w:tc>
        <w:tc>
          <w:tcPr>
            <w:tcW w:w="1748" w:type="dxa"/>
            <w:vMerge w:val="restart"/>
            <w:noWrap w:val="0"/>
            <w:vAlign w:val="center"/>
          </w:tcPr>
          <w:p w14:paraId="07B46082">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b w:val="0"/>
                <w:bCs/>
                <w:color w:val="000000"/>
                <w:kern w:val="0"/>
                <w:sz w:val="24"/>
                <w:szCs w:val="24"/>
                <w:u w:val="none"/>
                <w:lang w:val="en-US" w:eastAsia="zh-CN" w:bidi="ar-SA"/>
              </w:rPr>
              <w:t>《特种设备安全监察条例》</w:t>
            </w:r>
          </w:p>
        </w:tc>
        <w:tc>
          <w:tcPr>
            <w:tcW w:w="4140" w:type="dxa"/>
            <w:vMerge w:val="restart"/>
            <w:noWrap w:val="0"/>
            <w:vAlign w:val="center"/>
          </w:tcPr>
          <w:p w14:paraId="1F0E0E63">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80" w:lineRule="exact"/>
              <w:ind w:left="0"/>
              <w:jc w:val="both"/>
              <w:textAlignment w:val="auto"/>
              <w:rPr>
                <w:rFonts w:hint="eastAsia" w:ascii="宋体" w:hAnsi="宋体" w:eastAsia="宋体" w:cs="宋体"/>
                <w:color w:val="000000"/>
                <w:kern w:val="0"/>
                <w:sz w:val="24"/>
                <w:szCs w:val="24"/>
              </w:rPr>
            </w:pPr>
            <w:r>
              <w:rPr>
                <w:rFonts w:hint="eastAsia" w:ascii="宋体" w:hAnsi="宋体" w:eastAsia="宋体" w:cs="宋体"/>
                <w:b w:val="0"/>
                <w:bCs/>
                <w:color w:val="000000"/>
                <w:kern w:val="0"/>
                <w:sz w:val="24"/>
                <w:szCs w:val="24"/>
                <w:u w:val="none"/>
                <w:lang w:val="en-US" w:eastAsia="zh-CN" w:bidi="ar-SA"/>
              </w:rPr>
              <w:t>第七十六条</w:t>
            </w:r>
            <w:r>
              <w:rPr>
                <w:rFonts w:hint="eastAsia" w:ascii="宋体" w:hAnsi="宋体" w:cs="宋体"/>
                <w:b w:val="0"/>
                <w:bCs/>
                <w:color w:val="000000"/>
                <w:kern w:val="0"/>
                <w:sz w:val="24"/>
                <w:szCs w:val="24"/>
                <w:u w:val="none"/>
                <w:lang w:val="en-US" w:eastAsia="zh-CN" w:bidi="ar-SA"/>
              </w:rPr>
              <w:t xml:space="preserve"> </w:t>
            </w:r>
            <w:r>
              <w:rPr>
                <w:rFonts w:hint="eastAsia" w:ascii="宋体" w:hAnsi="宋体" w:eastAsia="宋体" w:cs="宋体"/>
                <w:b w:val="0"/>
                <w:bCs/>
                <w:color w:val="000000"/>
                <w:kern w:val="0"/>
                <w:sz w:val="24"/>
                <w:szCs w:val="24"/>
                <w:u w:val="none"/>
                <w:lang w:val="en-US" w:eastAsia="zh-CN" w:bidi="ar-SA"/>
              </w:rPr>
              <w:t>特种设备出厂时，未按照安全技术规范的要求附有设计文件、产品质量合格证明、安装及使用维修说明、监督检验证明等文件的，由特种设备安全监督管理部门责令改正；情节严重的，责令停止生产、销售，处违法生产、销售货值金额30%以下罚款；有违法所得的，没收违法所得。</w:t>
            </w:r>
          </w:p>
        </w:tc>
        <w:tc>
          <w:tcPr>
            <w:tcW w:w="1132" w:type="dxa"/>
            <w:noWrap w:val="0"/>
            <w:vAlign w:val="center"/>
          </w:tcPr>
          <w:p w14:paraId="4AD5E4C0">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70013422">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逾期未改的。</w:t>
            </w:r>
          </w:p>
        </w:tc>
        <w:tc>
          <w:tcPr>
            <w:tcW w:w="3251" w:type="dxa"/>
            <w:noWrap w:val="0"/>
            <w:vAlign w:val="center"/>
          </w:tcPr>
          <w:p w14:paraId="652267E5">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责令停止生产、销售，处违法生产、销售货值金额15%以下罚款；有违法所得的，没收违法所得。</w:t>
            </w:r>
          </w:p>
        </w:tc>
      </w:tr>
      <w:tr w14:paraId="729DB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7" w:hRule="atLeast"/>
          <w:jc w:val="center"/>
        </w:trPr>
        <w:tc>
          <w:tcPr>
            <w:tcW w:w="736" w:type="dxa"/>
            <w:vMerge w:val="continue"/>
            <w:noWrap w:val="0"/>
            <w:vAlign w:val="center"/>
          </w:tcPr>
          <w:p w14:paraId="70F4969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56CBAB4C">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4FFA8C79">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both"/>
              <w:textAlignment w:val="auto"/>
              <w:rPr>
                <w:rFonts w:hint="eastAsia" w:ascii="宋体" w:hAnsi="宋体" w:eastAsia="宋体" w:cs="宋体"/>
                <w:color w:val="000000"/>
                <w:kern w:val="0"/>
                <w:sz w:val="24"/>
                <w:szCs w:val="24"/>
              </w:rPr>
            </w:pPr>
          </w:p>
        </w:tc>
        <w:tc>
          <w:tcPr>
            <w:tcW w:w="1132" w:type="dxa"/>
            <w:noWrap w:val="0"/>
            <w:vAlign w:val="center"/>
          </w:tcPr>
          <w:p w14:paraId="63F1DD6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797D708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造成后果的。</w:t>
            </w:r>
          </w:p>
        </w:tc>
        <w:tc>
          <w:tcPr>
            <w:tcW w:w="3251" w:type="dxa"/>
            <w:noWrap w:val="0"/>
            <w:vAlign w:val="center"/>
          </w:tcPr>
          <w:p w14:paraId="12E92A12">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责令停止生产、销售，处违法生产、销售货值金额15%以上30%以下罚款；有违法所得的，没收违法所得。</w:t>
            </w:r>
          </w:p>
        </w:tc>
      </w:tr>
      <w:tr w14:paraId="20E1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jc w:val="center"/>
        </w:trPr>
        <w:tc>
          <w:tcPr>
            <w:tcW w:w="736" w:type="dxa"/>
            <w:vMerge w:val="restart"/>
            <w:noWrap w:val="0"/>
            <w:vAlign w:val="center"/>
          </w:tcPr>
          <w:p w14:paraId="24F8D6E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
              </w:rPr>
            </w:pPr>
            <w:r>
              <w:rPr>
                <w:rFonts w:hint="eastAsia" w:ascii="宋体" w:hAnsi="宋体" w:eastAsia="宋体" w:cs="宋体"/>
                <w:b w:val="0"/>
                <w:bCs w:val="0"/>
                <w:color w:val="000000"/>
                <w:kern w:val="0"/>
                <w:sz w:val="24"/>
                <w:szCs w:val="24"/>
                <w:lang w:val="en"/>
              </w:rPr>
              <w:t>1</w:t>
            </w:r>
            <w:r>
              <w:rPr>
                <w:rFonts w:hint="eastAsia" w:ascii="宋体" w:hAnsi="宋体" w:eastAsia="宋体" w:cs="宋体"/>
                <w:b w:val="0"/>
                <w:bCs w:val="0"/>
                <w:color w:val="000000"/>
                <w:kern w:val="0"/>
                <w:sz w:val="24"/>
                <w:szCs w:val="24"/>
                <w:lang w:val="en-US" w:eastAsia="zh-CN"/>
              </w:rPr>
              <w:t>8</w:t>
            </w:r>
            <w:r>
              <w:rPr>
                <w:rFonts w:hint="eastAsia" w:ascii="宋体" w:hAnsi="宋体" w:cs="宋体"/>
                <w:b w:val="0"/>
                <w:bCs w:val="0"/>
                <w:color w:val="000000"/>
                <w:kern w:val="0"/>
                <w:sz w:val="24"/>
                <w:szCs w:val="24"/>
                <w:lang w:val="en-US" w:eastAsia="zh-CN"/>
              </w:rPr>
              <w:t>4</w:t>
            </w:r>
          </w:p>
        </w:tc>
        <w:tc>
          <w:tcPr>
            <w:tcW w:w="1748" w:type="dxa"/>
            <w:vMerge w:val="restart"/>
            <w:noWrap w:val="0"/>
            <w:vAlign w:val="center"/>
          </w:tcPr>
          <w:p w14:paraId="6C22E90B">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b w:val="0"/>
                <w:bCs/>
                <w:color w:val="000000"/>
                <w:kern w:val="0"/>
                <w:sz w:val="24"/>
                <w:szCs w:val="24"/>
                <w:u w:val="none"/>
                <w:lang w:val="en-US" w:eastAsia="zh-CN" w:bidi="ar-SA"/>
              </w:rPr>
              <w:t>《特种设备安全监察条例》</w:t>
            </w:r>
          </w:p>
        </w:tc>
        <w:tc>
          <w:tcPr>
            <w:tcW w:w="4140" w:type="dxa"/>
            <w:vMerge w:val="restart"/>
            <w:noWrap w:val="0"/>
            <w:vAlign w:val="center"/>
          </w:tcPr>
          <w:p w14:paraId="2D896477">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80" w:lineRule="exact"/>
              <w:ind w:left="0"/>
              <w:jc w:val="both"/>
              <w:textAlignment w:val="auto"/>
              <w:rPr>
                <w:rFonts w:hint="eastAsia" w:ascii="宋体" w:hAnsi="宋体" w:eastAsia="宋体" w:cs="宋体"/>
                <w:color w:val="000000"/>
                <w:kern w:val="0"/>
                <w:sz w:val="24"/>
                <w:szCs w:val="24"/>
              </w:rPr>
            </w:pPr>
            <w:r>
              <w:rPr>
                <w:rFonts w:hint="eastAsia" w:ascii="宋体" w:hAnsi="宋体" w:eastAsia="宋体" w:cs="宋体"/>
                <w:b w:val="0"/>
                <w:bCs/>
                <w:color w:val="000000"/>
                <w:kern w:val="0"/>
                <w:sz w:val="24"/>
                <w:szCs w:val="24"/>
                <w:u w:val="none"/>
                <w:lang w:val="en-US" w:eastAsia="zh-CN" w:bidi="ar-SA"/>
              </w:rPr>
              <w:t>第七十七条</w:t>
            </w:r>
            <w:r>
              <w:rPr>
                <w:rFonts w:hint="eastAsia" w:ascii="宋体" w:hAnsi="宋体" w:cs="宋体"/>
                <w:b w:val="0"/>
                <w:bCs/>
                <w:color w:val="000000"/>
                <w:kern w:val="0"/>
                <w:sz w:val="24"/>
                <w:szCs w:val="24"/>
                <w:u w:val="none"/>
                <w:lang w:val="en-US" w:eastAsia="zh-CN" w:bidi="ar-SA"/>
              </w:rPr>
              <w:t xml:space="preserve"> </w:t>
            </w:r>
            <w:r>
              <w:rPr>
                <w:rFonts w:hint="eastAsia" w:ascii="宋体" w:hAnsi="宋体" w:eastAsia="宋体" w:cs="宋体"/>
                <w:b w:val="0"/>
                <w:bCs/>
                <w:color w:val="000000"/>
                <w:kern w:val="0"/>
                <w:sz w:val="24"/>
                <w:szCs w:val="24"/>
                <w:u w:val="none"/>
                <w:lang w:val="en-US" w:eastAsia="zh-CN" w:bidi="ar-SA"/>
              </w:rPr>
              <w:t>未经许可，擅自从事锅炉、压力容器、电梯、起重机械、客运索道、大型游乐设施、场(厂)内专用机动车辆的维修或者日常维护保养的，由特种设备安全监督管理部门予以取缔，处1万元以上5万元以下罚款；有违法所得的，没收违法所得；触犯刑律的，对负有责任的主管人员和其他直接责任人员依照刑法关于非法经营罪、重大责任事故罪或者其他罪的规定，依法追究刑事责任。</w:t>
            </w:r>
          </w:p>
        </w:tc>
        <w:tc>
          <w:tcPr>
            <w:tcW w:w="1132" w:type="dxa"/>
            <w:noWrap w:val="0"/>
            <w:vAlign w:val="center"/>
          </w:tcPr>
          <w:p w14:paraId="592F42C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4DDB754F">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维修或维护保养1台的。</w:t>
            </w:r>
          </w:p>
        </w:tc>
        <w:tc>
          <w:tcPr>
            <w:tcW w:w="3251" w:type="dxa"/>
            <w:noWrap w:val="0"/>
            <w:vAlign w:val="center"/>
          </w:tcPr>
          <w:p w14:paraId="73B3C24C">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予以取缔，处1万元以上2.2万元以下罚款；有违法所得的，没收违法所得。</w:t>
            </w:r>
          </w:p>
        </w:tc>
      </w:tr>
      <w:tr w14:paraId="37DC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jc w:val="center"/>
        </w:trPr>
        <w:tc>
          <w:tcPr>
            <w:tcW w:w="736" w:type="dxa"/>
            <w:vMerge w:val="continue"/>
            <w:noWrap w:val="0"/>
            <w:vAlign w:val="center"/>
          </w:tcPr>
          <w:p w14:paraId="6418BE52">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5919DC52">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14F7E4B5">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30AB8042">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1EF78A52">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维修或维护保养2台的。</w:t>
            </w:r>
          </w:p>
        </w:tc>
        <w:tc>
          <w:tcPr>
            <w:tcW w:w="3251" w:type="dxa"/>
            <w:noWrap w:val="0"/>
            <w:vAlign w:val="center"/>
          </w:tcPr>
          <w:p w14:paraId="78763042">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予以取缔，处2.2万元以上3.8万元以下罚款；有违法所得的，没收违法所得。</w:t>
            </w:r>
          </w:p>
        </w:tc>
      </w:tr>
      <w:tr w14:paraId="1E0F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736" w:type="dxa"/>
            <w:vMerge w:val="continue"/>
            <w:noWrap w:val="0"/>
            <w:vAlign w:val="center"/>
          </w:tcPr>
          <w:p w14:paraId="27798C89">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0D290401">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17F54E32">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5AE6CFB7">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3748AF2E">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维修或维护保养3台以上的。</w:t>
            </w:r>
          </w:p>
        </w:tc>
        <w:tc>
          <w:tcPr>
            <w:tcW w:w="3251" w:type="dxa"/>
            <w:noWrap w:val="0"/>
            <w:vAlign w:val="center"/>
          </w:tcPr>
          <w:p w14:paraId="4F7BF400">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予以取缔，处3.8万元以上5万元以下罚款；有违法所得的，没收违法所得。</w:t>
            </w:r>
          </w:p>
        </w:tc>
      </w:tr>
      <w:tr w14:paraId="302F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9" w:hRule="atLeast"/>
          <w:jc w:val="center"/>
        </w:trPr>
        <w:tc>
          <w:tcPr>
            <w:tcW w:w="736" w:type="dxa"/>
            <w:vMerge w:val="restart"/>
            <w:noWrap w:val="0"/>
            <w:vAlign w:val="center"/>
          </w:tcPr>
          <w:p w14:paraId="079F9039">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
              </w:rPr>
            </w:pPr>
            <w:r>
              <w:rPr>
                <w:rFonts w:hint="eastAsia" w:ascii="宋体" w:hAnsi="宋体" w:eastAsia="宋体" w:cs="宋体"/>
                <w:b w:val="0"/>
                <w:bCs w:val="0"/>
                <w:color w:val="000000"/>
                <w:kern w:val="0"/>
                <w:sz w:val="24"/>
                <w:szCs w:val="24"/>
                <w:lang w:val="en"/>
              </w:rPr>
              <w:t>1</w:t>
            </w:r>
            <w:r>
              <w:rPr>
                <w:rFonts w:hint="eastAsia" w:ascii="宋体" w:hAnsi="宋体" w:eastAsia="宋体" w:cs="宋体"/>
                <w:b w:val="0"/>
                <w:bCs w:val="0"/>
                <w:color w:val="000000"/>
                <w:kern w:val="0"/>
                <w:sz w:val="24"/>
                <w:szCs w:val="24"/>
                <w:lang w:val="en-US" w:eastAsia="zh-CN"/>
              </w:rPr>
              <w:t>8</w:t>
            </w:r>
            <w:r>
              <w:rPr>
                <w:rFonts w:hint="eastAsia" w:ascii="宋体" w:hAnsi="宋体" w:cs="宋体"/>
                <w:b w:val="0"/>
                <w:bCs w:val="0"/>
                <w:color w:val="000000"/>
                <w:kern w:val="0"/>
                <w:sz w:val="24"/>
                <w:szCs w:val="24"/>
                <w:lang w:val="en-US" w:eastAsia="zh-CN"/>
              </w:rPr>
              <w:t>5</w:t>
            </w:r>
          </w:p>
        </w:tc>
        <w:tc>
          <w:tcPr>
            <w:tcW w:w="1748" w:type="dxa"/>
            <w:vMerge w:val="restart"/>
            <w:noWrap w:val="0"/>
            <w:vAlign w:val="center"/>
          </w:tcPr>
          <w:p w14:paraId="6E4C048B">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b w:val="0"/>
                <w:bCs/>
                <w:color w:val="000000"/>
                <w:kern w:val="0"/>
                <w:sz w:val="24"/>
                <w:szCs w:val="24"/>
                <w:u w:val="none"/>
                <w:lang w:val="en-US" w:eastAsia="zh-CN" w:bidi="ar-SA"/>
              </w:rPr>
              <w:t>《特种设备安全监察条例》</w:t>
            </w:r>
          </w:p>
        </w:tc>
        <w:tc>
          <w:tcPr>
            <w:tcW w:w="4140" w:type="dxa"/>
            <w:vMerge w:val="restart"/>
            <w:noWrap w:val="0"/>
            <w:vAlign w:val="center"/>
          </w:tcPr>
          <w:p w14:paraId="115365D3">
            <w:pPr>
              <w:pStyle w:val="9"/>
              <w:keepNext w:val="0"/>
              <w:keepLines w:val="0"/>
              <w:pageBreakBefore w:val="0"/>
              <w:widowControl/>
              <w:suppressLineNumbers w:val="0"/>
              <w:kinsoku/>
              <w:wordWrap/>
              <w:overflowPunct/>
              <w:topLinePunct w:val="0"/>
              <w:bidi w:val="0"/>
              <w:snapToGrid w:val="0"/>
              <w:spacing w:before="0" w:beforeAutospacing="0" w:after="0" w:afterAutospacing="0" w:line="420" w:lineRule="exact"/>
              <w:ind w:left="0"/>
              <w:jc w:val="both"/>
              <w:rPr>
                <w:rFonts w:hint="eastAsia" w:ascii="宋体" w:hAnsi="宋体" w:eastAsia="宋体" w:cs="宋体"/>
                <w:color w:val="000000"/>
                <w:kern w:val="0"/>
                <w:sz w:val="24"/>
                <w:szCs w:val="24"/>
              </w:rPr>
            </w:pPr>
            <w:r>
              <w:rPr>
                <w:rFonts w:hint="eastAsia" w:ascii="宋体" w:hAnsi="宋体" w:eastAsia="宋体" w:cs="宋体"/>
                <w:b w:val="0"/>
                <w:bCs/>
                <w:color w:val="000000"/>
                <w:kern w:val="0"/>
                <w:sz w:val="24"/>
                <w:szCs w:val="24"/>
                <w:u w:val="none"/>
                <w:lang w:val="en-US" w:eastAsia="zh-CN" w:bidi="ar-SA"/>
              </w:rPr>
              <w:t>第七十八条</w:t>
            </w:r>
            <w:r>
              <w:rPr>
                <w:rFonts w:hint="eastAsia" w:ascii="宋体" w:hAnsi="宋体" w:cs="宋体"/>
                <w:b w:val="0"/>
                <w:bCs/>
                <w:color w:val="000000"/>
                <w:kern w:val="0"/>
                <w:sz w:val="24"/>
                <w:szCs w:val="24"/>
                <w:u w:val="none"/>
                <w:lang w:val="en-US" w:eastAsia="zh-CN" w:bidi="ar-SA"/>
              </w:rPr>
              <w:t xml:space="preserve"> </w:t>
            </w:r>
            <w:r>
              <w:rPr>
                <w:rFonts w:hint="eastAsia" w:ascii="宋体" w:hAnsi="宋体" w:eastAsia="宋体" w:cs="宋体"/>
                <w:b w:val="0"/>
                <w:bCs/>
                <w:color w:val="000000"/>
                <w:kern w:val="0"/>
                <w:sz w:val="24"/>
                <w:szCs w:val="24"/>
                <w:u w:val="none"/>
                <w:lang w:val="en-US" w:eastAsia="zh-CN" w:bidi="ar-SA"/>
              </w:rPr>
              <w:t>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的，或者在验收后30日内未将有关技术资料移交锅炉、压力容器、电梯、起重机械、客运索道、大型游乐设施的使用单位的，由特种设备安全监督管理部门责令限期改正；逾期未改正的，处2000元以上1万元以下罚款。</w:t>
            </w:r>
          </w:p>
        </w:tc>
        <w:tc>
          <w:tcPr>
            <w:tcW w:w="1132" w:type="dxa"/>
            <w:noWrap w:val="0"/>
            <w:vAlign w:val="center"/>
          </w:tcPr>
          <w:p w14:paraId="452DDFA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5A0FF77A">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未告知或未移交的。</w:t>
            </w:r>
          </w:p>
        </w:tc>
        <w:tc>
          <w:tcPr>
            <w:tcW w:w="3251" w:type="dxa"/>
            <w:noWrap w:val="0"/>
            <w:vAlign w:val="center"/>
          </w:tcPr>
          <w:p w14:paraId="582254EB">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逾期未改正的，处2000元以上5000元以下罚款。</w:t>
            </w:r>
          </w:p>
        </w:tc>
      </w:tr>
      <w:tr w14:paraId="7621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8" w:hRule="atLeast"/>
          <w:jc w:val="center"/>
        </w:trPr>
        <w:tc>
          <w:tcPr>
            <w:tcW w:w="736" w:type="dxa"/>
            <w:vMerge w:val="continue"/>
            <w:noWrap w:val="0"/>
            <w:vAlign w:val="center"/>
          </w:tcPr>
          <w:p w14:paraId="7841273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3DA7603D">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44BF5595">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565C344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375A4514">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未告知且未移交的。</w:t>
            </w:r>
          </w:p>
        </w:tc>
        <w:tc>
          <w:tcPr>
            <w:tcW w:w="3251" w:type="dxa"/>
            <w:noWrap w:val="0"/>
            <w:vAlign w:val="center"/>
          </w:tcPr>
          <w:p w14:paraId="05E65293">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逾期未改正的，处5000元以上1万元以下罚款。</w:t>
            </w:r>
          </w:p>
        </w:tc>
      </w:tr>
      <w:tr w14:paraId="70715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736" w:type="dxa"/>
            <w:vMerge w:val="restart"/>
            <w:noWrap w:val="0"/>
            <w:vAlign w:val="center"/>
          </w:tcPr>
          <w:p w14:paraId="16E311E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lang w:val="en"/>
              </w:rPr>
            </w:pPr>
            <w:r>
              <w:rPr>
                <w:rFonts w:hint="eastAsia" w:ascii="宋体" w:hAnsi="宋体" w:eastAsia="宋体" w:cs="宋体"/>
                <w:b w:val="0"/>
                <w:bCs w:val="0"/>
                <w:color w:val="000000"/>
                <w:kern w:val="0"/>
                <w:sz w:val="24"/>
                <w:szCs w:val="24"/>
                <w:lang w:val="en"/>
              </w:rPr>
              <w:t>18</w:t>
            </w:r>
            <w:r>
              <w:rPr>
                <w:rFonts w:hint="eastAsia" w:ascii="宋体" w:hAnsi="宋体" w:cs="宋体"/>
                <w:b w:val="0"/>
                <w:bCs w:val="0"/>
                <w:color w:val="000000"/>
                <w:kern w:val="0"/>
                <w:sz w:val="24"/>
                <w:szCs w:val="24"/>
                <w:lang w:val="en-US" w:eastAsia="zh-CN"/>
              </w:rPr>
              <w:t>6</w:t>
            </w:r>
          </w:p>
        </w:tc>
        <w:tc>
          <w:tcPr>
            <w:tcW w:w="1748" w:type="dxa"/>
            <w:vMerge w:val="restart"/>
            <w:noWrap w:val="0"/>
            <w:vAlign w:val="center"/>
          </w:tcPr>
          <w:p w14:paraId="17CBED5E">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b w:val="0"/>
                <w:bCs/>
                <w:color w:val="000000"/>
                <w:kern w:val="0"/>
                <w:sz w:val="24"/>
                <w:szCs w:val="24"/>
                <w:u w:val="none"/>
                <w:lang w:val="en-US" w:eastAsia="zh-CN" w:bidi="ar-SA"/>
              </w:rPr>
              <w:t>《特种设备安全监察条例》</w:t>
            </w:r>
          </w:p>
        </w:tc>
        <w:tc>
          <w:tcPr>
            <w:tcW w:w="4140" w:type="dxa"/>
            <w:vMerge w:val="restart"/>
            <w:noWrap w:val="0"/>
            <w:vAlign w:val="center"/>
          </w:tcPr>
          <w:p w14:paraId="4B0C3CB6">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80" w:lineRule="exact"/>
              <w:ind w:left="0"/>
              <w:jc w:val="both"/>
              <w:textAlignment w:val="auto"/>
              <w:rPr>
                <w:rFonts w:hint="eastAsia" w:ascii="宋体" w:hAnsi="宋体" w:eastAsia="宋体" w:cs="宋体"/>
                <w:color w:val="000000"/>
                <w:kern w:val="0"/>
                <w:sz w:val="24"/>
                <w:szCs w:val="24"/>
              </w:rPr>
            </w:pPr>
            <w:r>
              <w:rPr>
                <w:rFonts w:hint="eastAsia" w:ascii="宋体" w:hAnsi="宋体" w:eastAsia="宋体" w:cs="宋体"/>
                <w:b w:val="0"/>
                <w:bCs/>
                <w:color w:val="000000"/>
                <w:kern w:val="0"/>
                <w:sz w:val="24"/>
                <w:szCs w:val="24"/>
                <w:u w:val="none"/>
                <w:lang w:val="en-US" w:eastAsia="zh-CN" w:bidi="ar-SA"/>
              </w:rPr>
              <w:t>第七十九条</w:t>
            </w:r>
            <w:r>
              <w:rPr>
                <w:rFonts w:hint="eastAsia" w:ascii="宋体" w:hAnsi="宋体" w:cs="宋体"/>
                <w:b w:val="0"/>
                <w:bCs/>
                <w:color w:val="000000"/>
                <w:kern w:val="0"/>
                <w:sz w:val="24"/>
                <w:szCs w:val="24"/>
                <w:u w:val="none"/>
                <w:lang w:val="en-US" w:eastAsia="zh-CN" w:bidi="ar-SA"/>
              </w:rPr>
              <w:t xml:space="preserve"> </w:t>
            </w:r>
            <w:r>
              <w:rPr>
                <w:rFonts w:hint="eastAsia" w:ascii="宋体" w:hAnsi="宋体" w:eastAsia="宋体" w:cs="宋体"/>
                <w:b w:val="0"/>
                <w:bCs/>
                <w:color w:val="000000"/>
                <w:kern w:val="0"/>
                <w:sz w:val="24"/>
                <w:szCs w:val="24"/>
                <w:u w:val="none"/>
                <w:lang w:val="en-US" w:eastAsia="zh-CN" w:bidi="ar-SA"/>
              </w:rPr>
              <w:t>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由特种设备安全监督管理部门责令改正，已经出厂的，没收违法生产、销售的产品，已经实施安装、改造、重大维修或者清洗的，责令限期进行监督检验，处5万元以上20万元以下罚款；有违法所得的，没收违法所得；情节严重的，撤销制造、安装、改造或者维修单位已经取得的许可，并由工商行政管理部门吊销其营业执照；触犯刑律的，对负有责任的主管人员和其他直接责任人员依照刑法关于生产、销售伪劣产品罪或者其他罪的规定，依法追究刑事责任。</w:t>
            </w:r>
          </w:p>
        </w:tc>
        <w:tc>
          <w:tcPr>
            <w:tcW w:w="1132" w:type="dxa"/>
            <w:noWrap w:val="0"/>
            <w:vAlign w:val="center"/>
          </w:tcPr>
          <w:p w14:paraId="4CBC3E97">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6465FCF0">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尚未交付使用的。</w:t>
            </w:r>
          </w:p>
        </w:tc>
        <w:tc>
          <w:tcPr>
            <w:tcW w:w="3251" w:type="dxa"/>
            <w:noWrap w:val="0"/>
            <w:vAlign w:val="center"/>
          </w:tcPr>
          <w:p w14:paraId="0B1A0BBB">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70" w:lineRule="exact"/>
              <w:ind w:left="0" w:right="-105" w:rightChars="-50"/>
              <w:jc w:val="both"/>
              <w:textAlignment w:val="auto"/>
              <w:rPr>
                <w:rFonts w:hint="eastAsia" w:ascii="宋体" w:hAnsi="宋体" w:eastAsia="宋体" w:cs="宋体"/>
                <w:b w:val="0"/>
                <w:bCs/>
                <w:color w:val="000000"/>
                <w:spacing w:val="-6"/>
                <w:kern w:val="0"/>
                <w:sz w:val="24"/>
                <w:szCs w:val="24"/>
                <w:u w:val="none"/>
                <w:lang w:val="en-US" w:eastAsia="zh-CN" w:bidi="ar-SA"/>
              </w:rPr>
            </w:pPr>
            <w:r>
              <w:rPr>
                <w:rFonts w:hint="eastAsia" w:ascii="宋体" w:hAnsi="宋体" w:eastAsia="宋体" w:cs="宋体"/>
                <w:b w:val="0"/>
                <w:bCs/>
                <w:color w:val="000000"/>
                <w:spacing w:val="-6"/>
                <w:kern w:val="0"/>
                <w:sz w:val="24"/>
                <w:szCs w:val="24"/>
                <w:u w:val="none"/>
                <w:lang w:val="en-US" w:eastAsia="zh-CN" w:bidi="ar-SA"/>
              </w:rPr>
              <w:t>已经出厂的，没收违法生产、销售的产品，已经实施安装、改造、重大维修或者清洗的，责令限期进行监督检验，处5万元以上9.5万元以下罚款；有违法所得的，没收违法所得。</w:t>
            </w:r>
          </w:p>
        </w:tc>
      </w:tr>
      <w:tr w14:paraId="0FED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8" w:hRule="atLeast"/>
          <w:jc w:val="center"/>
        </w:trPr>
        <w:tc>
          <w:tcPr>
            <w:tcW w:w="736" w:type="dxa"/>
            <w:vMerge w:val="continue"/>
            <w:noWrap w:val="0"/>
            <w:vAlign w:val="center"/>
          </w:tcPr>
          <w:p w14:paraId="18F11DF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12B3E3FD">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4889E099">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15FFB62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323B2A55">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已交付使用，未造成后果的。</w:t>
            </w:r>
          </w:p>
        </w:tc>
        <w:tc>
          <w:tcPr>
            <w:tcW w:w="3251" w:type="dxa"/>
            <w:noWrap w:val="0"/>
            <w:vAlign w:val="center"/>
          </w:tcPr>
          <w:p w14:paraId="405D4C3E">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70" w:lineRule="exact"/>
              <w:ind w:left="0" w:right="-105" w:rightChars="-50"/>
              <w:jc w:val="both"/>
              <w:textAlignment w:val="auto"/>
              <w:rPr>
                <w:rFonts w:hint="eastAsia" w:ascii="宋体" w:hAnsi="宋体" w:eastAsia="宋体" w:cs="宋体"/>
                <w:b w:val="0"/>
                <w:bCs/>
                <w:color w:val="000000"/>
                <w:spacing w:val="-6"/>
                <w:kern w:val="0"/>
                <w:sz w:val="24"/>
                <w:szCs w:val="24"/>
                <w:u w:val="none"/>
                <w:lang w:val="en-US" w:eastAsia="zh-CN" w:bidi="ar-SA"/>
              </w:rPr>
            </w:pPr>
            <w:r>
              <w:rPr>
                <w:rFonts w:hint="eastAsia" w:ascii="宋体" w:hAnsi="宋体" w:eastAsia="宋体" w:cs="宋体"/>
                <w:b w:val="0"/>
                <w:bCs/>
                <w:color w:val="000000"/>
                <w:spacing w:val="-6"/>
                <w:kern w:val="0"/>
                <w:sz w:val="24"/>
                <w:szCs w:val="24"/>
                <w:u w:val="none"/>
                <w:lang w:val="en-US" w:eastAsia="zh-CN" w:bidi="ar-SA"/>
              </w:rPr>
              <w:t>已经出厂的，没收违法生产、销售的产品，已经实施安装、改造、重大维修或者清洗的，责令限期进行监督检验，处9.5万元以上15.5万元以下罚款；有违法所得的，没收违法所得。</w:t>
            </w:r>
          </w:p>
        </w:tc>
      </w:tr>
      <w:tr w14:paraId="07B8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3" w:hRule="atLeast"/>
          <w:jc w:val="center"/>
        </w:trPr>
        <w:tc>
          <w:tcPr>
            <w:tcW w:w="736" w:type="dxa"/>
            <w:vMerge w:val="continue"/>
            <w:noWrap w:val="0"/>
            <w:vAlign w:val="center"/>
          </w:tcPr>
          <w:p w14:paraId="2AE495A7">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2CE0B1D6">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6D1B6CCB">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07961B6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4BD30F16">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已交付使用，造成后果的。</w:t>
            </w:r>
          </w:p>
        </w:tc>
        <w:tc>
          <w:tcPr>
            <w:tcW w:w="3251" w:type="dxa"/>
            <w:noWrap w:val="0"/>
            <w:vAlign w:val="center"/>
          </w:tcPr>
          <w:p w14:paraId="3B05E45C">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70" w:lineRule="exact"/>
              <w:ind w:left="0" w:right="-105" w:rightChars="-50"/>
              <w:jc w:val="both"/>
              <w:textAlignment w:val="auto"/>
              <w:rPr>
                <w:rFonts w:hint="eastAsia" w:ascii="宋体" w:hAnsi="宋体" w:eastAsia="宋体" w:cs="宋体"/>
                <w:b w:val="0"/>
                <w:bCs/>
                <w:color w:val="000000"/>
                <w:spacing w:val="-6"/>
                <w:kern w:val="0"/>
                <w:sz w:val="24"/>
                <w:szCs w:val="24"/>
                <w:u w:val="none"/>
                <w:lang w:val="en-US" w:eastAsia="zh-CN" w:bidi="ar-SA"/>
              </w:rPr>
            </w:pPr>
            <w:r>
              <w:rPr>
                <w:rFonts w:hint="eastAsia" w:ascii="宋体" w:hAnsi="宋体" w:eastAsia="宋体" w:cs="宋体"/>
                <w:b w:val="0"/>
                <w:bCs/>
                <w:color w:val="000000"/>
                <w:spacing w:val="-6"/>
                <w:kern w:val="0"/>
                <w:sz w:val="24"/>
                <w:szCs w:val="24"/>
                <w:u w:val="none"/>
                <w:lang w:val="en-US" w:eastAsia="zh-CN" w:bidi="ar-SA"/>
              </w:rPr>
              <w:t>已经出厂的，没收违法生产、销售的产品，已经实施安装、改造、重大维修或者清洗的，责令限期进行监督检验，处15.5万元以上20万元以下罚款；有违法所得的，没收违法所得。</w:t>
            </w:r>
          </w:p>
        </w:tc>
      </w:tr>
      <w:tr w14:paraId="4237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736" w:type="dxa"/>
            <w:vMerge w:val="continue"/>
            <w:noWrap w:val="0"/>
            <w:vAlign w:val="center"/>
          </w:tcPr>
          <w:p w14:paraId="5A33934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5E618ED3">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49990F87">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7C0D536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严重</w:t>
            </w:r>
          </w:p>
        </w:tc>
        <w:tc>
          <w:tcPr>
            <w:tcW w:w="3334" w:type="dxa"/>
            <w:noWrap w:val="0"/>
            <w:vAlign w:val="center"/>
          </w:tcPr>
          <w:p w14:paraId="550D11A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造成后果情节严重的。</w:t>
            </w:r>
          </w:p>
        </w:tc>
        <w:tc>
          <w:tcPr>
            <w:tcW w:w="3251" w:type="dxa"/>
            <w:noWrap w:val="0"/>
            <w:vAlign w:val="center"/>
          </w:tcPr>
          <w:p w14:paraId="2503F5FE">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70" w:lineRule="exact"/>
              <w:ind w:left="0" w:right="-105" w:rightChars="-50"/>
              <w:jc w:val="both"/>
              <w:textAlignment w:val="auto"/>
              <w:rPr>
                <w:rFonts w:hint="eastAsia" w:ascii="宋体" w:hAnsi="宋体" w:eastAsia="宋体" w:cs="宋体"/>
                <w:b w:val="0"/>
                <w:bCs/>
                <w:color w:val="000000"/>
                <w:spacing w:val="-6"/>
                <w:kern w:val="0"/>
                <w:sz w:val="24"/>
                <w:szCs w:val="24"/>
                <w:u w:val="none"/>
                <w:lang w:val="en-US" w:eastAsia="zh-CN" w:bidi="ar-SA"/>
              </w:rPr>
            </w:pPr>
            <w:r>
              <w:rPr>
                <w:rFonts w:hint="eastAsia" w:ascii="宋体" w:hAnsi="宋体" w:eastAsia="宋体" w:cs="宋体"/>
                <w:b w:val="0"/>
                <w:bCs/>
                <w:color w:val="000000"/>
                <w:spacing w:val="-6"/>
                <w:kern w:val="0"/>
                <w:sz w:val="24"/>
                <w:szCs w:val="24"/>
                <w:u w:val="none"/>
                <w:lang w:val="en-US" w:eastAsia="zh-CN" w:bidi="ar-SA"/>
              </w:rPr>
              <w:t>撤销制造、安装、改造或者维修单位已经取得的许可，并吊销其营业执照。</w:t>
            </w:r>
          </w:p>
        </w:tc>
      </w:tr>
      <w:tr w14:paraId="1B16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36" w:type="dxa"/>
            <w:vMerge w:val="restart"/>
            <w:noWrap w:val="0"/>
            <w:vAlign w:val="center"/>
          </w:tcPr>
          <w:p w14:paraId="31722ECC">
            <w:pPr>
              <w:pageBreakBefore w:val="0"/>
              <w:widowControl/>
              <w:kinsoku/>
              <w:wordWrap/>
              <w:overflowPunct/>
              <w:topLinePunct w:val="0"/>
              <w:bidi w:val="0"/>
              <w:snapToGrid w:val="0"/>
              <w:spacing w:beforeAutospacing="0" w:afterAutospacing="0" w:line="380" w:lineRule="exact"/>
              <w:ind w:left="0"/>
              <w:jc w:val="center"/>
              <w:rPr>
                <w:rFonts w:hint="default" w:ascii="宋体" w:hAnsi="宋体" w:eastAsia="宋体" w:cs="宋体"/>
                <w:b w:val="0"/>
                <w:bCs w:val="0"/>
                <w:color w:val="000000"/>
                <w:kern w:val="0"/>
                <w:sz w:val="24"/>
                <w:szCs w:val="24"/>
                <w:lang w:val="en-US"/>
              </w:rPr>
            </w:pPr>
            <w:r>
              <w:rPr>
                <w:rFonts w:hint="eastAsia" w:ascii="宋体" w:hAnsi="宋体" w:eastAsia="宋体" w:cs="宋体"/>
                <w:b w:val="0"/>
                <w:bCs w:val="0"/>
                <w:color w:val="000000"/>
                <w:kern w:val="0"/>
                <w:sz w:val="24"/>
                <w:szCs w:val="24"/>
                <w:lang w:val="en"/>
              </w:rPr>
              <w:t>18</w:t>
            </w:r>
            <w:r>
              <w:rPr>
                <w:rFonts w:hint="eastAsia" w:ascii="宋体" w:hAnsi="宋体" w:cs="宋体"/>
                <w:b w:val="0"/>
                <w:bCs w:val="0"/>
                <w:color w:val="000000"/>
                <w:kern w:val="0"/>
                <w:sz w:val="24"/>
                <w:szCs w:val="24"/>
                <w:lang w:val="en-US" w:eastAsia="zh-CN"/>
              </w:rPr>
              <w:t>7</w:t>
            </w:r>
          </w:p>
        </w:tc>
        <w:tc>
          <w:tcPr>
            <w:tcW w:w="1748" w:type="dxa"/>
            <w:vMerge w:val="restart"/>
            <w:noWrap w:val="0"/>
            <w:vAlign w:val="center"/>
          </w:tcPr>
          <w:p w14:paraId="7E464484">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b w:val="0"/>
                <w:bCs/>
                <w:color w:val="000000"/>
                <w:kern w:val="0"/>
                <w:sz w:val="24"/>
                <w:szCs w:val="24"/>
                <w:u w:val="none"/>
                <w:lang w:val="en-US" w:eastAsia="zh-CN" w:bidi="ar-SA"/>
              </w:rPr>
              <w:t>《特种设备安全监察条例》</w:t>
            </w:r>
          </w:p>
        </w:tc>
        <w:tc>
          <w:tcPr>
            <w:tcW w:w="4140" w:type="dxa"/>
            <w:vMerge w:val="restart"/>
            <w:noWrap w:val="0"/>
            <w:vAlign w:val="center"/>
          </w:tcPr>
          <w:p w14:paraId="64E1C8F0">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bidi="ar-SA"/>
              </w:rPr>
              <w:t>第八十条第二款 移动式压力容器、气瓶充装单位未按照安全技术规范的要求进行充装活动的，由特种设备安全监督管理部门责令改正，处2万元以上10万元以下罚款；情节严重的，撤销其充装资格。</w:t>
            </w:r>
          </w:p>
        </w:tc>
        <w:tc>
          <w:tcPr>
            <w:tcW w:w="1132" w:type="dxa"/>
            <w:noWrap w:val="0"/>
            <w:vAlign w:val="center"/>
          </w:tcPr>
          <w:p w14:paraId="23E2841B">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较轻</w:t>
            </w:r>
          </w:p>
        </w:tc>
        <w:tc>
          <w:tcPr>
            <w:tcW w:w="3334" w:type="dxa"/>
            <w:noWrap w:val="0"/>
            <w:vAlign w:val="center"/>
          </w:tcPr>
          <w:p w14:paraId="5A5CD07E">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违反安全技术规范</w:t>
            </w:r>
            <w:r>
              <w:rPr>
                <w:rFonts w:hint="eastAsia" w:ascii="宋体" w:hAnsi="宋体" w:eastAsia="宋体" w:cs="宋体"/>
                <w:b w:val="0"/>
                <w:bCs/>
                <w:color w:val="000000"/>
                <w:kern w:val="0"/>
                <w:sz w:val="24"/>
                <w:szCs w:val="24"/>
                <w:u w:val="none"/>
                <w:lang w:val="en" w:eastAsia="zh-CN" w:bidi="ar-SA"/>
              </w:rPr>
              <w:t>1</w:t>
            </w:r>
            <w:r>
              <w:rPr>
                <w:rFonts w:hint="eastAsia" w:ascii="宋体" w:hAnsi="宋体" w:eastAsia="宋体" w:cs="宋体"/>
                <w:b w:val="0"/>
                <w:bCs/>
                <w:color w:val="000000"/>
                <w:kern w:val="0"/>
                <w:sz w:val="24"/>
                <w:szCs w:val="24"/>
                <w:u w:val="none"/>
                <w:lang w:val="en-US" w:eastAsia="zh-CN" w:bidi="ar-SA"/>
              </w:rPr>
              <w:t>项的。</w:t>
            </w:r>
          </w:p>
        </w:tc>
        <w:tc>
          <w:tcPr>
            <w:tcW w:w="3251" w:type="dxa"/>
            <w:noWrap w:val="0"/>
            <w:vAlign w:val="center"/>
          </w:tcPr>
          <w:p w14:paraId="06A06546">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color w:val="000000"/>
                <w:kern w:val="0"/>
                <w:sz w:val="24"/>
                <w:szCs w:val="24"/>
                <w:lang w:val="en-US" w:eastAsia="zh-CN" w:bidi="ar-SA"/>
              </w:rPr>
              <w:t>处2万元以上4.4万元以下罚款。</w:t>
            </w:r>
          </w:p>
        </w:tc>
      </w:tr>
      <w:tr w14:paraId="6666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36" w:type="dxa"/>
            <w:vMerge w:val="continue"/>
            <w:noWrap w:val="0"/>
            <w:vAlign w:val="center"/>
          </w:tcPr>
          <w:p w14:paraId="6E9C7017">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065EA171">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7CAF2C3D">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45938E5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一般</w:t>
            </w:r>
          </w:p>
        </w:tc>
        <w:tc>
          <w:tcPr>
            <w:tcW w:w="3334" w:type="dxa"/>
            <w:noWrap w:val="0"/>
            <w:vAlign w:val="center"/>
          </w:tcPr>
          <w:p w14:paraId="12EB49CA">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违反安全技术规范</w:t>
            </w:r>
            <w:r>
              <w:rPr>
                <w:rFonts w:hint="eastAsia" w:ascii="宋体" w:hAnsi="宋体" w:eastAsia="宋体" w:cs="宋体"/>
                <w:b w:val="0"/>
                <w:bCs/>
                <w:color w:val="000000"/>
                <w:kern w:val="0"/>
                <w:sz w:val="24"/>
                <w:szCs w:val="24"/>
                <w:u w:val="none"/>
                <w:lang w:val="en" w:eastAsia="zh-CN" w:bidi="ar-SA"/>
              </w:rPr>
              <w:t>2</w:t>
            </w:r>
            <w:r>
              <w:rPr>
                <w:rFonts w:hint="eastAsia" w:ascii="宋体" w:hAnsi="宋体" w:eastAsia="宋体" w:cs="宋体"/>
                <w:b w:val="0"/>
                <w:bCs/>
                <w:color w:val="000000"/>
                <w:kern w:val="0"/>
                <w:sz w:val="24"/>
                <w:szCs w:val="24"/>
                <w:u w:val="none"/>
                <w:lang w:val="en-US" w:eastAsia="zh-CN" w:bidi="ar-SA"/>
              </w:rPr>
              <w:t>项的。</w:t>
            </w:r>
          </w:p>
        </w:tc>
        <w:tc>
          <w:tcPr>
            <w:tcW w:w="3251" w:type="dxa"/>
            <w:noWrap w:val="0"/>
            <w:vAlign w:val="center"/>
          </w:tcPr>
          <w:p w14:paraId="4C0D9970">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color w:val="000000"/>
                <w:kern w:val="0"/>
                <w:sz w:val="24"/>
                <w:szCs w:val="24"/>
                <w:lang w:val="en-US" w:eastAsia="zh-CN" w:bidi="ar-SA"/>
              </w:rPr>
              <w:t>处4.4万元以上7.6万元以下罚款。</w:t>
            </w:r>
          </w:p>
        </w:tc>
      </w:tr>
      <w:tr w14:paraId="15EC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736" w:type="dxa"/>
            <w:vMerge w:val="continue"/>
            <w:noWrap w:val="0"/>
            <w:vAlign w:val="center"/>
          </w:tcPr>
          <w:p w14:paraId="7C40AC29">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49DF8D8C">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2E1EB01C">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7D89565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较重</w:t>
            </w:r>
          </w:p>
        </w:tc>
        <w:tc>
          <w:tcPr>
            <w:tcW w:w="3334" w:type="dxa"/>
            <w:noWrap w:val="0"/>
            <w:vAlign w:val="center"/>
          </w:tcPr>
          <w:p w14:paraId="1DE8D395">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违反安全技术规范</w:t>
            </w:r>
            <w:r>
              <w:rPr>
                <w:rFonts w:hint="eastAsia" w:ascii="宋体" w:hAnsi="宋体" w:eastAsia="宋体" w:cs="宋体"/>
                <w:b w:val="0"/>
                <w:bCs/>
                <w:color w:val="000000"/>
                <w:kern w:val="0"/>
                <w:sz w:val="24"/>
                <w:szCs w:val="24"/>
                <w:u w:val="none"/>
                <w:lang w:val="en" w:eastAsia="zh-CN" w:bidi="ar-SA"/>
              </w:rPr>
              <w:t>3</w:t>
            </w:r>
            <w:r>
              <w:rPr>
                <w:rFonts w:hint="eastAsia" w:ascii="宋体" w:hAnsi="宋体" w:eastAsia="宋体" w:cs="宋体"/>
                <w:b w:val="0"/>
                <w:bCs/>
                <w:color w:val="000000"/>
                <w:kern w:val="0"/>
                <w:sz w:val="24"/>
                <w:szCs w:val="24"/>
                <w:u w:val="none"/>
                <w:lang w:val="en-US" w:eastAsia="zh-CN" w:bidi="ar-SA"/>
              </w:rPr>
              <w:t>项以上的。</w:t>
            </w:r>
          </w:p>
        </w:tc>
        <w:tc>
          <w:tcPr>
            <w:tcW w:w="3251" w:type="dxa"/>
            <w:noWrap w:val="0"/>
            <w:vAlign w:val="center"/>
          </w:tcPr>
          <w:p w14:paraId="7ACC0CF3">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color w:val="000000"/>
                <w:kern w:val="0"/>
                <w:sz w:val="24"/>
                <w:szCs w:val="24"/>
                <w:lang w:val="en-US" w:eastAsia="zh-CN" w:bidi="ar-SA"/>
              </w:rPr>
              <w:t>处7.6万元以上10万元以下罚款。</w:t>
            </w:r>
          </w:p>
        </w:tc>
      </w:tr>
      <w:tr w14:paraId="628A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36" w:type="dxa"/>
            <w:vMerge w:val="continue"/>
            <w:noWrap w:val="0"/>
            <w:vAlign w:val="center"/>
          </w:tcPr>
          <w:p w14:paraId="08591D9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7052052C">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5EE52382">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4803252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严重</w:t>
            </w:r>
          </w:p>
        </w:tc>
        <w:tc>
          <w:tcPr>
            <w:tcW w:w="3334" w:type="dxa"/>
            <w:noWrap w:val="0"/>
            <w:vAlign w:val="center"/>
          </w:tcPr>
          <w:p w14:paraId="63E1E9B0">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造成严重危害后果的。</w:t>
            </w:r>
          </w:p>
        </w:tc>
        <w:tc>
          <w:tcPr>
            <w:tcW w:w="3251" w:type="dxa"/>
            <w:noWrap w:val="0"/>
            <w:vAlign w:val="center"/>
          </w:tcPr>
          <w:p w14:paraId="31975033">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color w:val="000000"/>
                <w:kern w:val="0"/>
                <w:sz w:val="24"/>
                <w:szCs w:val="24"/>
                <w:lang w:val="en-US" w:eastAsia="zh-CN" w:bidi="ar-SA"/>
              </w:rPr>
              <w:t>撤销其充装资格。</w:t>
            </w:r>
          </w:p>
        </w:tc>
      </w:tr>
      <w:tr w14:paraId="0CDD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exact"/>
          <w:jc w:val="center"/>
        </w:trPr>
        <w:tc>
          <w:tcPr>
            <w:tcW w:w="736" w:type="dxa"/>
            <w:vMerge w:val="restart"/>
            <w:noWrap w:val="0"/>
            <w:vAlign w:val="center"/>
          </w:tcPr>
          <w:p w14:paraId="187F7A87">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
              </w:rPr>
            </w:pPr>
            <w:r>
              <w:rPr>
                <w:rFonts w:hint="eastAsia" w:ascii="宋体" w:hAnsi="宋体" w:eastAsia="宋体" w:cs="宋体"/>
                <w:b w:val="0"/>
                <w:bCs w:val="0"/>
                <w:color w:val="000000"/>
                <w:kern w:val="0"/>
                <w:sz w:val="24"/>
                <w:szCs w:val="24"/>
                <w:lang w:val="en"/>
              </w:rPr>
              <w:t>18</w:t>
            </w:r>
            <w:r>
              <w:rPr>
                <w:rFonts w:hint="eastAsia" w:ascii="宋体" w:hAnsi="宋体" w:cs="宋体"/>
                <w:b w:val="0"/>
                <w:bCs w:val="0"/>
                <w:color w:val="000000"/>
                <w:kern w:val="0"/>
                <w:sz w:val="24"/>
                <w:szCs w:val="24"/>
                <w:lang w:val="en-US" w:eastAsia="zh-CN"/>
              </w:rPr>
              <w:t>8</w:t>
            </w:r>
          </w:p>
        </w:tc>
        <w:tc>
          <w:tcPr>
            <w:tcW w:w="1748" w:type="dxa"/>
            <w:vMerge w:val="restart"/>
            <w:noWrap w:val="0"/>
            <w:vAlign w:val="center"/>
          </w:tcPr>
          <w:p w14:paraId="55155278">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b w:val="0"/>
                <w:bCs/>
                <w:color w:val="000000"/>
                <w:kern w:val="0"/>
                <w:sz w:val="24"/>
                <w:szCs w:val="24"/>
                <w:u w:val="none"/>
                <w:lang w:val="en-US" w:eastAsia="zh-CN" w:bidi="ar-SA"/>
              </w:rPr>
              <w:t>《特种设备安全监察条例》</w:t>
            </w:r>
          </w:p>
        </w:tc>
        <w:tc>
          <w:tcPr>
            <w:tcW w:w="4140" w:type="dxa"/>
            <w:vMerge w:val="restart"/>
            <w:noWrap w:val="0"/>
            <w:vAlign w:val="center"/>
          </w:tcPr>
          <w:p w14:paraId="0AA40C01">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80" w:lineRule="exact"/>
              <w:ind w:left="0"/>
              <w:jc w:val="both"/>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第八十二条</w:t>
            </w:r>
            <w:r>
              <w:rPr>
                <w:rFonts w:hint="eastAsia" w:ascii="宋体" w:hAnsi="宋体" w:cs="宋体"/>
                <w:color w:val="000000"/>
                <w:kern w:val="0"/>
                <w:sz w:val="24"/>
                <w:szCs w:val="24"/>
                <w:lang w:val="en-US" w:eastAsia="zh-CN" w:bidi="ar-SA"/>
              </w:rPr>
              <w:t xml:space="preserve"> </w:t>
            </w:r>
            <w:r>
              <w:rPr>
                <w:rFonts w:hint="eastAsia" w:ascii="宋体" w:hAnsi="宋体" w:eastAsia="宋体" w:cs="宋体"/>
                <w:color w:val="000000"/>
                <w:kern w:val="0"/>
                <w:sz w:val="24"/>
                <w:szCs w:val="24"/>
                <w:lang w:val="en-US" w:eastAsia="zh-CN" w:bidi="ar-SA"/>
              </w:rPr>
              <w:t>已经取得许可、核准的特种设备生产单位、检验检测机构有下列行为之一的，由特种设备安全监督管理部门责令改正，处2万元以上10万元以下罚款；情节严重的，撤销其相应资格：</w:t>
            </w:r>
          </w:p>
          <w:p w14:paraId="324206AA">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80" w:lineRule="exact"/>
              <w:ind w:left="0"/>
              <w:jc w:val="both"/>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(一)未按照安全技术规范的要求办理许可证变更手续的；</w:t>
            </w:r>
          </w:p>
          <w:p w14:paraId="5F6EBB5F">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80" w:lineRule="exact"/>
              <w:ind w:left="0"/>
              <w:jc w:val="both"/>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(二)不再符合本条例规定或者安全技术规范要求的条件，继续从事特种设备生产、检验检测的；</w:t>
            </w:r>
          </w:p>
          <w:p w14:paraId="546DDDD5">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80" w:lineRule="exact"/>
              <w:ind w:left="0"/>
              <w:jc w:val="both"/>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(三)未依照本条例规定或者安全技术规范要求进行特种设备生产、检验检测的；</w:t>
            </w:r>
          </w:p>
          <w:p w14:paraId="37AEA5E5">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80" w:lineRule="exact"/>
              <w:ind w:left="0"/>
              <w:jc w:val="both"/>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bidi="ar-SA"/>
              </w:rPr>
              <w:t>(四)伪造、变造、出租、出借、转让许可证书或者监督检验报告的。</w:t>
            </w:r>
          </w:p>
        </w:tc>
        <w:tc>
          <w:tcPr>
            <w:tcW w:w="1132" w:type="dxa"/>
            <w:noWrap w:val="0"/>
            <w:vAlign w:val="center"/>
          </w:tcPr>
          <w:p w14:paraId="6CE4CAA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较轻</w:t>
            </w:r>
          </w:p>
        </w:tc>
        <w:tc>
          <w:tcPr>
            <w:tcW w:w="3334" w:type="dxa"/>
            <w:noWrap w:val="0"/>
            <w:vAlign w:val="center"/>
          </w:tcPr>
          <w:p w14:paraId="5F5E12A8">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违反上述规定</w:t>
            </w:r>
            <w:r>
              <w:rPr>
                <w:rFonts w:hint="eastAsia" w:ascii="宋体" w:hAnsi="宋体" w:eastAsia="宋体" w:cs="宋体"/>
                <w:b w:val="0"/>
                <w:bCs/>
                <w:color w:val="000000"/>
                <w:kern w:val="0"/>
                <w:sz w:val="24"/>
                <w:szCs w:val="24"/>
                <w:u w:val="none"/>
                <w:lang w:val="en" w:eastAsia="zh-CN" w:bidi="ar-SA"/>
              </w:rPr>
              <w:t>1</w:t>
            </w:r>
            <w:r>
              <w:rPr>
                <w:rFonts w:hint="eastAsia" w:ascii="宋体" w:hAnsi="宋体" w:eastAsia="宋体" w:cs="宋体"/>
                <w:b w:val="0"/>
                <w:bCs/>
                <w:color w:val="000000"/>
                <w:kern w:val="0"/>
                <w:sz w:val="24"/>
                <w:szCs w:val="24"/>
                <w:u w:val="none"/>
                <w:lang w:val="en-US" w:eastAsia="zh-CN" w:bidi="ar-SA"/>
              </w:rPr>
              <w:t>项的。</w:t>
            </w:r>
          </w:p>
        </w:tc>
        <w:tc>
          <w:tcPr>
            <w:tcW w:w="3251" w:type="dxa"/>
            <w:noWrap w:val="0"/>
            <w:vAlign w:val="center"/>
          </w:tcPr>
          <w:p w14:paraId="5030ACD7">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处2万元以上4.4万元以下罚款。</w:t>
            </w:r>
          </w:p>
        </w:tc>
      </w:tr>
      <w:tr w14:paraId="36E4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exact"/>
          <w:jc w:val="center"/>
        </w:trPr>
        <w:tc>
          <w:tcPr>
            <w:tcW w:w="736" w:type="dxa"/>
            <w:vMerge w:val="continue"/>
            <w:noWrap w:val="0"/>
            <w:vAlign w:val="center"/>
          </w:tcPr>
          <w:p w14:paraId="5A3FF15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599DD099">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3221D138">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6965444A">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一般</w:t>
            </w:r>
          </w:p>
        </w:tc>
        <w:tc>
          <w:tcPr>
            <w:tcW w:w="3334" w:type="dxa"/>
            <w:noWrap w:val="0"/>
            <w:vAlign w:val="center"/>
          </w:tcPr>
          <w:p w14:paraId="258D4D5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违反上述规定</w:t>
            </w:r>
            <w:r>
              <w:rPr>
                <w:rFonts w:hint="eastAsia" w:ascii="宋体" w:hAnsi="宋体" w:eastAsia="宋体" w:cs="宋体"/>
                <w:b w:val="0"/>
                <w:bCs/>
                <w:color w:val="000000"/>
                <w:kern w:val="0"/>
                <w:sz w:val="24"/>
                <w:szCs w:val="24"/>
                <w:u w:val="none"/>
                <w:lang w:val="en" w:eastAsia="zh-CN" w:bidi="ar-SA"/>
              </w:rPr>
              <w:t>2</w:t>
            </w:r>
            <w:r>
              <w:rPr>
                <w:rFonts w:hint="eastAsia" w:ascii="宋体" w:hAnsi="宋体" w:eastAsia="宋体" w:cs="宋体"/>
                <w:b w:val="0"/>
                <w:bCs/>
                <w:color w:val="000000"/>
                <w:kern w:val="0"/>
                <w:sz w:val="24"/>
                <w:szCs w:val="24"/>
                <w:u w:val="none"/>
                <w:lang w:val="en-US" w:eastAsia="zh-CN" w:bidi="ar-SA"/>
              </w:rPr>
              <w:t>项的。</w:t>
            </w:r>
          </w:p>
        </w:tc>
        <w:tc>
          <w:tcPr>
            <w:tcW w:w="3251" w:type="dxa"/>
            <w:noWrap w:val="0"/>
            <w:vAlign w:val="center"/>
          </w:tcPr>
          <w:p w14:paraId="2CFFB9FC">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处4.4万元以上7.6万元以下罚款.</w:t>
            </w:r>
          </w:p>
        </w:tc>
      </w:tr>
      <w:tr w14:paraId="4193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exact"/>
          <w:jc w:val="center"/>
        </w:trPr>
        <w:tc>
          <w:tcPr>
            <w:tcW w:w="736" w:type="dxa"/>
            <w:vMerge w:val="continue"/>
            <w:noWrap w:val="0"/>
            <w:vAlign w:val="center"/>
          </w:tcPr>
          <w:p w14:paraId="58A8AB67">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663EC7D9">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60B2F0C8">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04CB6DF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较重</w:t>
            </w:r>
          </w:p>
        </w:tc>
        <w:tc>
          <w:tcPr>
            <w:tcW w:w="3334" w:type="dxa"/>
            <w:noWrap w:val="0"/>
            <w:vAlign w:val="center"/>
          </w:tcPr>
          <w:p w14:paraId="7A2309BE">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违反上述规定</w:t>
            </w:r>
            <w:r>
              <w:rPr>
                <w:rFonts w:hint="eastAsia" w:ascii="宋体" w:hAnsi="宋体" w:eastAsia="宋体" w:cs="宋体"/>
                <w:b w:val="0"/>
                <w:bCs/>
                <w:color w:val="000000"/>
                <w:kern w:val="0"/>
                <w:sz w:val="24"/>
                <w:szCs w:val="24"/>
                <w:u w:val="none"/>
                <w:lang w:val="en" w:eastAsia="zh-CN" w:bidi="ar-SA"/>
              </w:rPr>
              <w:t>3</w:t>
            </w:r>
            <w:r>
              <w:rPr>
                <w:rFonts w:hint="eastAsia" w:ascii="宋体" w:hAnsi="宋体" w:eastAsia="宋体" w:cs="宋体"/>
                <w:b w:val="0"/>
                <w:bCs/>
                <w:color w:val="000000"/>
                <w:kern w:val="0"/>
                <w:sz w:val="24"/>
                <w:szCs w:val="24"/>
                <w:u w:val="none"/>
                <w:lang w:val="en-US" w:eastAsia="zh-CN" w:bidi="ar-SA"/>
              </w:rPr>
              <w:t>项以上的。</w:t>
            </w:r>
          </w:p>
        </w:tc>
        <w:tc>
          <w:tcPr>
            <w:tcW w:w="3251" w:type="dxa"/>
            <w:noWrap w:val="0"/>
            <w:vAlign w:val="center"/>
          </w:tcPr>
          <w:p w14:paraId="1DC688BE">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处7.6万元以上10万元以下罚款。</w:t>
            </w:r>
          </w:p>
        </w:tc>
      </w:tr>
      <w:tr w14:paraId="3200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736" w:type="dxa"/>
            <w:vMerge w:val="continue"/>
            <w:noWrap w:val="0"/>
            <w:vAlign w:val="center"/>
          </w:tcPr>
          <w:p w14:paraId="31C98E1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306227FF">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471E7FDE">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6735CDD9">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严重</w:t>
            </w:r>
          </w:p>
        </w:tc>
        <w:tc>
          <w:tcPr>
            <w:tcW w:w="3334" w:type="dxa"/>
            <w:noWrap w:val="0"/>
            <w:vAlign w:val="center"/>
          </w:tcPr>
          <w:p w14:paraId="5E8D7472">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造成严重危害后果的。</w:t>
            </w:r>
          </w:p>
        </w:tc>
        <w:tc>
          <w:tcPr>
            <w:tcW w:w="3251" w:type="dxa"/>
            <w:noWrap w:val="0"/>
            <w:vAlign w:val="center"/>
          </w:tcPr>
          <w:p w14:paraId="5194691B">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撤销其相应资格。</w:t>
            </w:r>
          </w:p>
        </w:tc>
      </w:tr>
      <w:tr w14:paraId="5192F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9" w:hRule="atLeast"/>
          <w:jc w:val="center"/>
        </w:trPr>
        <w:tc>
          <w:tcPr>
            <w:tcW w:w="736" w:type="dxa"/>
            <w:vMerge w:val="restart"/>
            <w:noWrap w:val="0"/>
            <w:vAlign w:val="center"/>
          </w:tcPr>
          <w:p w14:paraId="3F62DDF2">
            <w:pPr>
              <w:pageBreakBefore w:val="0"/>
              <w:widowControl/>
              <w:kinsoku/>
              <w:wordWrap/>
              <w:overflowPunct/>
              <w:topLinePunct w:val="0"/>
              <w:bidi w:val="0"/>
              <w:snapToGrid w:val="0"/>
              <w:spacing w:beforeAutospacing="0" w:afterAutospacing="0" w:line="380" w:lineRule="exact"/>
              <w:ind w:left="0"/>
              <w:jc w:val="center"/>
              <w:rPr>
                <w:rFonts w:hint="default" w:ascii="宋体" w:hAnsi="宋体" w:eastAsia="宋体" w:cs="宋体"/>
                <w:b w:val="0"/>
                <w:bCs w:val="0"/>
                <w:color w:val="000000"/>
                <w:kern w:val="0"/>
                <w:sz w:val="24"/>
                <w:szCs w:val="24"/>
                <w:lang w:val="en-US"/>
              </w:rPr>
            </w:pPr>
            <w:r>
              <w:rPr>
                <w:rFonts w:hint="eastAsia" w:ascii="宋体" w:hAnsi="宋体" w:eastAsia="宋体" w:cs="宋体"/>
                <w:b w:val="0"/>
                <w:bCs w:val="0"/>
                <w:color w:val="000000"/>
                <w:kern w:val="0"/>
                <w:sz w:val="24"/>
                <w:szCs w:val="24"/>
                <w:lang w:val="en"/>
              </w:rPr>
              <w:t>1</w:t>
            </w:r>
            <w:r>
              <w:rPr>
                <w:rFonts w:hint="eastAsia" w:ascii="宋体" w:hAnsi="宋体" w:cs="宋体"/>
                <w:b w:val="0"/>
                <w:bCs w:val="0"/>
                <w:color w:val="000000"/>
                <w:kern w:val="0"/>
                <w:sz w:val="24"/>
                <w:szCs w:val="24"/>
                <w:lang w:val="en-US" w:eastAsia="zh-CN"/>
              </w:rPr>
              <w:t>89</w:t>
            </w:r>
          </w:p>
        </w:tc>
        <w:tc>
          <w:tcPr>
            <w:tcW w:w="1748" w:type="dxa"/>
            <w:vMerge w:val="restart"/>
            <w:noWrap w:val="0"/>
            <w:vAlign w:val="center"/>
          </w:tcPr>
          <w:p w14:paraId="4F08840B">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b w:val="0"/>
                <w:bCs/>
                <w:color w:val="000000"/>
                <w:kern w:val="0"/>
                <w:sz w:val="24"/>
                <w:szCs w:val="24"/>
                <w:u w:val="none"/>
                <w:lang w:val="en-US" w:eastAsia="zh-CN" w:bidi="ar-SA"/>
              </w:rPr>
              <w:t>《特种设备安全监察条例》</w:t>
            </w:r>
          </w:p>
        </w:tc>
        <w:tc>
          <w:tcPr>
            <w:tcW w:w="4140" w:type="dxa"/>
            <w:vMerge w:val="restart"/>
            <w:noWrap w:val="0"/>
            <w:vAlign w:val="center"/>
          </w:tcPr>
          <w:p w14:paraId="0927EE62">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80" w:lineRule="exact"/>
              <w:ind w:left="0"/>
              <w:jc w:val="both"/>
              <w:textAlignment w:val="auto"/>
              <w:rPr>
                <w:rFonts w:hint="eastAsia" w:ascii="宋体" w:hAnsi="宋体" w:eastAsia="宋体" w:cs="宋体"/>
                <w:color w:val="000000"/>
                <w:spacing w:val="0"/>
                <w:kern w:val="0"/>
                <w:sz w:val="24"/>
                <w:szCs w:val="24"/>
                <w:lang w:val="en-US" w:eastAsia="zh-CN" w:bidi="ar-SA"/>
              </w:rPr>
            </w:pPr>
            <w:r>
              <w:rPr>
                <w:rFonts w:hint="eastAsia" w:ascii="宋体" w:hAnsi="宋体" w:eastAsia="宋体" w:cs="宋体"/>
                <w:color w:val="000000"/>
                <w:spacing w:val="-6"/>
                <w:kern w:val="0"/>
                <w:sz w:val="24"/>
                <w:szCs w:val="24"/>
                <w:lang w:val="en-US" w:eastAsia="zh-CN" w:bidi="ar-SA"/>
              </w:rPr>
              <w:t>第</w:t>
            </w:r>
            <w:r>
              <w:rPr>
                <w:rFonts w:hint="eastAsia" w:ascii="宋体" w:hAnsi="宋体" w:eastAsia="宋体" w:cs="宋体"/>
                <w:color w:val="000000"/>
                <w:spacing w:val="0"/>
                <w:kern w:val="0"/>
                <w:sz w:val="24"/>
                <w:szCs w:val="24"/>
                <w:lang w:val="en-US" w:eastAsia="zh-CN" w:bidi="ar-SA"/>
              </w:rPr>
              <w:t>八十三条第一款</w:t>
            </w:r>
            <w:r>
              <w:rPr>
                <w:rFonts w:hint="eastAsia" w:ascii="宋体" w:hAnsi="宋体" w:cs="宋体"/>
                <w:color w:val="000000"/>
                <w:spacing w:val="0"/>
                <w:kern w:val="0"/>
                <w:sz w:val="24"/>
                <w:szCs w:val="24"/>
                <w:lang w:val="en-US" w:eastAsia="zh-CN" w:bidi="ar-SA"/>
              </w:rPr>
              <w:t xml:space="preserve"> </w:t>
            </w:r>
            <w:r>
              <w:rPr>
                <w:rFonts w:hint="eastAsia" w:ascii="宋体" w:hAnsi="宋体" w:eastAsia="宋体" w:cs="宋体"/>
                <w:color w:val="000000"/>
                <w:spacing w:val="0"/>
                <w:kern w:val="0"/>
                <w:sz w:val="24"/>
                <w:szCs w:val="24"/>
                <w:lang w:val="en-US" w:eastAsia="zh-CN" w:bidi="ar-SA"/>
              </w:rPr>
              <w:t>特种设备使用单位有下列情形之一的，由特种设备安全监督管理部门责令限期改正；逾期未改正的，处2000元以上2万元以下罚款；情节严重的，责令停止使用或者停产停业整顿：</w:t>
            </w:r>
          </w:p>
          <w:p w14:paraId="6135F67B">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80" w:lineRule="exact"/>
              <w:ind w:left="0"/>
              <w:jc w:val="both"/>
              <w:textAlignment w:val="auto"/>
              <w:rPr>
                <w:rFonts w:hint="eastAsia" w:ascii="宋体" w:hAnsi="宋体" w:eastAsia="宋体" w:cs="宋体"/>
                <w:color w:val="000000"/>
                <w:spacing w:val="0"/>
                <w:kern w:val="0"/>
                <w:sz w:val="24"/>
                <w:szCs w:val="24"/>
                <w:lang w:val="en-US" w:eastAsia="zh-CN" w:bidi="ar-SA"/>
              </w:rPr>
            </w:pPr>
            <w:r>
              <w:rPr>
                <w:rFonts w:hint="eastAsia" w:ascii="宋体" w:hAnsi="宋体" w:eastAsia="宋体" w:cs="宋体"/>
                <w:color w:val="000000"/>
                <w:spacing w:val="0"/>
                <w:kern w:val="0"/>
                <w:sz w:val="24"/>
                <w:szCs w:val="24"/>
                <w:lang w:val="en-US" w:eastAsia="zh-CN" w:bidi="ar-SA"/>
              </w:rPr>
              <w:t>(一)特种设备投入使用前或者投入使用后30日内，未向特种设备安全监督管理部门登记，擅自将其投入使用的；</w:t>
            </w:r>
          </w:p>
          <w:p w14:paraId="11D056EC">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80" w:lineRule="exact"/>
              <w:ind w:left="0"/>
              <w:jc w:val="both"/>
              <w:textAlignment w:val="auto"/>
              <w:rPr>
                <w:rFonts w:hint="eastAsia" w:ascii="宋体" w:hAnsi="宋体" w:eastAsia="宋体" w:cs="宋体"/>
                <w:color w:val="000000"/>
                <w:spacing w:val="0"/>
                <w:kern w:val="0"/>
                <w:sz w:val="24"/>
                <w:szCs w:val="24"/>
                <w:lang w:val="en-US" w:eastAsia="zh-CN" w:bidi="ar-SA"/>
              </w:rPr>
            </w:pPr>
            <w:r>
              <w:rPr>
                <w:rFonts w:hint="eastAsia" w:ascii="宋体" w:hAnsi="宋体" w:eastAsia="宋体" w:cs="宋体"/>
                <w:color w:val="000000"/>
                <w:spacing w:val="0"/>
                <w:kern w:val="0"/>
                <w:sz w:val="24"/>
                <w:szCs w:val="24"/>
                <w:lang w:val="en-US" w:eastAsia="zh-CN" w:bidi="ar-SA"/>
              </w:rPr>
              <w:t>(二)未依照本条例第二十六条的规定，建立特种设备安全技术档案的；</w:t>
            </w:r>
          </w:p>
          <w:p w14:paraId="239D2A14">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80" w:lineRule="exact"/>
              <w:ind w:left="0"/>
              <w:jc w:val="both"/>
              <w:textAlignment w:val="auto"/>
              <w:rPr>
                <w:rFonts w:hint="eastAsia" w:ascii="宋体" w:hAnsi="宋体" w:eastAsia="宋体" w:cs="宋体"/>
                <w:color w:val="000000"/>
                <w:spacing w:val="0"/>
                <w:kern w:val="0"/>
                <w:sz w:val="24"/>
                <w:szCs w:val="24"/>
                <w:lang w:val="en-US" w:eastAsia="zh-CN" w:bidi="ar-SA"/>
              </w:rPr>
            </w:pPr>
            <w:r>
              <w:rPr>
                <w:rFonts w:hint="eastAsia" w:ascii="宋体" w:hAnsi="宋体" w:eastAsia="宋体" w:cs="宋体"/>
                <w:color w:val="000000"/>
                <w:spacing w:val="0"/>
                <w:kern w:val="0"/>
                <w:sz w:val="24"/>
                <w:szCs w:val="24"/>
                <w:lang w:val="en-US" w:eastAsia="zh-CN" w:bidi="ar-SA"/>
              </w:rPr>
              <w:t>(三)未依照本条例第二十七条的规定，对在用特种设备进行经常性日常维护保养和定期自行检查的，或者对在用特种设备的安全附件、安全保护装置、测量调控装置及有关附属仪器仪表进行定期校验、检修，并作出记录的；</w:t>
            </w:r>
          </w:p>
          <w:p w14:paraId="2E2F06C2">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80" w:lineRule="exact"/>
              <w:ind w:left="0"/>
              <w:jc w:val="both"/>
              <w:textAlignment w:val="auto"/>
              <w:rPr>
                <w:rFonts w:hint="eastAsia" w:ascii="宋体" w:hAnsi="宋体" w:eastAsia="宋体" w:cs="宋体"/>
                <w:color w:val="000000"/>
                <w:spacing w:val="0"/>
                <w:kern w:val="0"/>
                <w:sz w:val="24"/>
                <w:szCs w:val="24"/>
                <w:lang w:val="en-US" w:eastAsia="zh-CN" w:bidi="ar-SA"/>
              </w:rPr>
            </w:pPr>
            <w:r>
              <w:rPr>
                <w:rFonts w:hint="eastAsia" w:ascii="宋体" w:hAnsi="宋体" w:eastAsia="宋体" w:cs="宋体"/>
                <w:color w:val="000000"/>
                <w:spacing w:val="0"/>
                <w:kern w:val="0"/>
                <w:sz w:val="24"/>
                <w:szCs w:val="24"/>
                <w:lang w:val="en-US" w:eastAsia="zh-CN" w:bidi="ar-SA"/>
              </w:rPr>
              <w:t>(四)未按照安全技术规范的定期检验要求，在安全检验合格有效期届满前1个月向特种设备检验检测机构提出定期检验要求的；</w:t>
            </w:r>
          </w:p>
          <w:p w14:paraId="3BE24E7D">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80" w:lineRule="exact"/>
              <w:ind w:left="0"/>
              <w:jc w:val="both"/>
              <w:textAlignment w:val="auto"/>
              <w:rPr>
                <w:rFonts w:hint="eastAsia" w:ascii="宋体" w:hAnsi="宋体" w:eastAsia="宋体" w:cs="宋体"/>
                <w:color w:val="000000"/>
                <w:spacing w:val="0"/>
                <w:kern w:val="0"/>
                <w:sz w:val="24"/>
                <w:szCs w:val="24"/>
                <w:lang w:val="en-US" w:eastAsia="zh-CN" w:bidi="ar-SA"/>
              </w:rPr>
            </w:pPr>
            <w:r>
              <w:rPr>
                <w:rFonts w:hint="eastAsia" w:ascii="宋体" w:hAnsi="宋体" w:eastAsia="宋体" w:cs="宋体"/>
                <w:color w:val="000000"/>
                <w:spacing w:val="0"/>
                <w:kern w:val="0"/>
                <w:sz w:val="24"/>
                <w:szCs w:val="24"/>
                <w:lang w:val="en-US" w:eastAsia="zh-CN" w:bidi="ar-SA"/>
              </w:rPr>
              <w:t>(五)使用未经定期检验或者检验不合格的特种设备的；</w:t>
            </w:r>
          </w:p>
          <w:p w14:paraId="12016561">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80" w:lineRule="exact"/>
              <w:ind w:left="0"/>
              <w:jc w:val="both"/>
              <w:textAlignment w:val="auto"/>
              <w:rPr>
                <w:rFonts w:hint="eastAsia" w:ascii="宋体" w:hAnsi="宋体" w:eastAsia="宋体" w:cs="宋体"/>
                <w:color w:val="000000"/>
                <w:spacing w:val="0"/>
                <w:kern w:val="0"/>
                <w:sz w:val="24"/>
                <w:szCs w:val="24"/>
                <w:lang w:val="en-US" w:eastAsia="zh-CN" w:bidi="ar-SA"/>
              </w:rPr>
            </w:pPr>
            <w:r>
              <w:rPr>
                <w:rFonts w:hint="eastAsia" w:ascii="宋体" w:hAnsi="宋体" w:eastAsia="宋体" w:cs="宋体"/>
                <w:color w:val="000000"/>
                <w:spacing w:val="0"/>
                <w:kern w:val="0"/>
                <w:sz w:val="24"/>
                <w:szCs w:val="24"/>
                <w:lang w:val="en-US" w:eastAsia="zh-CN" w:bidi="ar-SA"/>
              </w:rPr>
              <w:t>(六)特种设备出现故障或者发生异常情况，未对其进行全面检查、消除事故隐患，继续投入使用的；</w:t>
            </w:r>
          </w:p>
          <w:p w14:paraId="5EF7117F">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80" w:lineRule="exact"/>
              <w:ind w:left="0"/>
              <w:jc w:val="both"/>
              <w:textAlignment w:val="auto"/>
              <w:rPr>
                <w:rFonts w:hint="eastAsia" w:ascii="宋体" w:hAnsi="宋体" w:eastAsia="宋体" w:cs="宋体"/>
                <w:color w:val="000000"/>
                <w:spacing w:val="0"/>
                <w:kern w:val="0"/>
                <w:sz w:val="24"/>
                <w:szCs w:val="24"/>
                <w:lang w:val="en-US" w:eastAsia="zh-CN" w:bidi="ar-SA"/>
              </w:rPr>
            </w:pPr>
            <w:r>
              <w:rPr>
                <w:rFonts w:hint="eastAsia" w:ascii="宋体" w:hAnsi="宋体" w:eastAsia="宋体" w:cs="宋体"/>
                <w:color w:val="000000"/>
                <w:spacing w:val="0"/>
                <w:kern w:val="0"/>
                <w:sz w:val="24"/>
                <w:szCs w:val="24"/>
                <w:lang w:val="en-US" w:eastAsia="zh-CN" w:bidi="ar-SA"/>
              </w:rPr>
              <w:t>(七)未制定特种设备事故应急专项预案的；</w:t>
            </w:r>
          </w:p>
          <w:p w14:paraId="77CFA9F9">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80" w:lineRule="exact"/>
              <w:ind w:left="0"/>
              <w:jc w:val="both"/>
              <w:textAlignment w:val="auto"/>
              <w:rPr>
                <w:rFonts w:hint="eastAsia" w:ascii="宋体" w:hAnsi="宋体" w:eastAsia="宋体" w:cs="宋体"/>
                <w:color w:val="000000"/>
                <w:spacing w:val="0"/>
                <w:kern w:val="0"/>
                <w:sz w:val="24"/>
                <w:szCs w:val="24"/>
                <w:lang w:val="en-US" w:eastAsia="zh-CN" w:bidi="ar-SA"/>
              </w:rPr>
            </w:pPr>
            <w:r>
              <w:rPr>
                <w:rFonts w:hint="eastAsia" w:ascii="宋体" w:hAnsi="宋体" w:eastAsia="宋体" w:cs="宋体"/>
                <w:color w:val="000000"/>
                <w:spacing w:val="0"/>
                <w:kern w:val="0"/>
                <w:sz w:val="24"/>
                <w:szCs w:val="24"/>
                <w:lang w:val="en-US" w:eastAsia="zh-CN" w:bidi="ar-SA"/>
              </w:rPr>
              <w:t>(八)未依照本条例第三十一条第二款的规定，对电梯进行清洁、润滑、调整和检查的；</w:t>
            </w:r>
          </w:p>
          <w:p w14:paraId="64A89713">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80" w:lineRule="exact"/>
              <w:ind w:left="0"/>
              <w:jc w:val="both"/>
              <w:textAlignment w:val="auto"/>
              <w:rPr>
                <w:rFonts w:hint="eastAsia" w:ascii="宋体" w:hAnsi="宋体" w:eastAsia="宋体" w:cs="宋体"/>
                <w:color w:val="000000"/>
                <w:spacing w:val="0"/>
                <w:kern w:val="0"/>
                <w:sz w:val="24"/>
                <w:szCs w:val="24"/>
                <w:lang w:val="en-US" w:eastAsia="zh-CN" w:bidi="ar-SA"/>
              </w:rPr>
            </w:pPr>
            <w:r>
              <w:rPr>
                <w:rFonts w:hint="eastAsia" w:ascii="宋体" w:hAnsi="宋体" w:eastAsia="宋体" w:cs="宋体"/>
                <w:color w:val="000000"/>
                <w:spacing w:val="0"/>
                <w:kern w:val="0"/>
                <w:sz w:val="24"/>
                <w:szCs w:val="24"/>
                <w:lang w:val="en-US" w:eastAsia="zh-CN" w:bidi="ar-SA"/>
              </w:rPr>
              <w:t>(九)未按照安全技术规范要求进行锅炉水(介)质处理的；</w:t>
            </w:r>
          </w:p>
          <w:p w14:paraId="0B97042F">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80" w:lineRule="exact"/>
              <w:ind w:left="0"/>
              <w:jc w:val="both"/>
              <w:textAlignment w:val="auto"/>
              <w:rPr>
                <w:rFonts w:hint="eastAsia" w:ascii="宋体" w:hAnsi="宋体" w:eastAsia="宋体" w:cs="宋体"/>
                <w:color w:val="000000"/>
                <w:kern w:val="0"/>
                <w:sz w:val="24"/>
                <w:szCs w:val="24"/>
              </w:rPr>
            </w:pPr>
            <w:r>
              <w:rPr>
                <w:rFonts w:hint="eastAsia" w:ascii="宋体" w:hAnsi="宋体" w:eastAsia="宋体" w:cs="宋体"/>
                <w:color w:val="000000"/>
                <w:spacing w:val="0"/>
                <w:kern w:val="0"/>
                <w:sz w:val="24"/>
                <w:szCs w:val="24"/>
                <w:lang w:val="en-US" w:eastAsia="zh-CN" w:bidi="ar-SA"/>
              </w:rPr>
              <w:t>(十)特种设备不符合能效指标，未及时采取相应措施进行整改的。</w:t>
            </w:r>
          </w:p>
        </w:tc>
        <w:tc>
          <w:tcPr>
            <w:tcW w:w="1132" w:type="dxa"/>
            <w:noWrap w:val="0"/>
            <w:vAlign w:val="center"/>
          </w:tcPr>
          <w:p w14:paraId="4B5679B9">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较轻</w:t>
            </w:r>
          </w:p>
        </w:tc>
        <w:tc>
          <w:tcPr>
            <w:tcW w:w="3334" w:type="dxa"/>
            <w:noWrap w:val="0"/>
            <w:vAlign w:val="center"/>
          </w:tcPr>
          <w:p w14:paraId="4FCE039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违反上述规定</w:t>
            </w:r>
            <w:r>
              <w:rPr>
                <w:rFonts w:hint="eastAsia" w:ascii="宋体" w:hAnsi="宋体" w:eastAsia="宋体" w:cs="宋体"/>
                <w:b w:val="0"/>
                <w:bCs/>
                <w:color w:val="000000"/>
                <w:kern w:val="0"/>
                <w:sz w:val="24"/>
                <w:szCs w:val="24"/>
                <w:u w:val="none"/>
                <w:lang w:val="en" w:eastAsia="zh-CN" w:bidi="ar-SA"/>
              </w:rPr>
              <w:t>2</w:t>
            </w:r>
            <w:r>
              <w:rPr>
                <w:rFonts w:hint="eastAsia" w:ascii="宋体" w:hAnsi="宋体" w:eastAsia="宋体" w:cs="宋体"/>
                <w:b w:val="0"/>
                <w:bCs/>
                <w:color w:val="000000"/>
                <w:kern w:val="0"/>
                <w:sz w:val="24"/>
                <w:szCs w:val="24"/>
                <w:u w:val="none"/>
                <w:lang w:val="en-US" w:eastAsia="zh-CN" w:bidi="ar-SA"/>
              </w:rPr>
              <w:t>项以下的。</w:t>
            </w:r>
          </w:p>
        </w:tc>
        <w:tc>
          <w:tcPr>
            <w:tcW w:w="3251" w:type="dxa"/>
            <w:noWrap w:val="0"/>
            <w:vAlign w:val="center"/>
          </w:tcPr>
          <w:p w14:paraId="3A7CF0C0">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逾期未改正的，处2000元以上1万元以下罚款。</w:t>
            </w:r>
          </w:p>
        </w:tc>
      </w:tr>
      <w:tr w14:paraId="42A9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7" w:hRule="atLeast"/>
          <w:jc w:val="center"/>
        </w:trPr>
        <w:tc>
          <w:tcPr>
            <w:tcW w:w="736" w:type="dxa"/>
            <w:vMerge w:val="continue"/>
            <w:noWrap w:val="0"/>
            <w:vAlign w:val="center"/>
          </w:tcPr>
          <w:p w14:paraId="29CA2A8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19B3910C">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6AD33316">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7F556C3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较重</w:t>
            </w:r>
          </w:p>
        </w:tc>
        <w:tc>
          <w:tcPr>
            <w:tcW w:w="3334" w:type="dxa"/>
            <w:noWrap w:val="0"/>
            <w:vAlign w:val="center"/>
          </w:tcPr>
          <w:p w14:paraId="1C8AB8B5">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违反上述规定</w:t>
            </w:r>
            <w:r>
              <w:rPr>
                <w:rFonts w:hint="eastAsia" w:ascii="宋体" w:hAnsi="宋体" w:eastAsia="宋体" w:cs="宋体"/>
                <w:b w:val="0"/>
                <w:bCs/>
                <w:color w:val="000000"/>
                <w:kern w:val="0"/>
                <w:sz w:val="24"/>
                <w:szCs w:val="24"/>
                <w:u w:val="none"/>
                <w:lang w:val="en" w:eastAsia="zh-CN" w:bidi="ar-SA"/>
              </w:rPr>
              <w:t>2</w:t>
            </w:r>
            <w:r>
              <w:rPr>
                <w:rFonts w:hint="eastAsia" w:ascii="宋体" w:hAnsi="宋体" w:eastAsia="宋体" w:cs="宋体"/>
                <w:b w:val="0"/>
                <w:bCs/>
                <w:color w:val="000000"/>
                <w:kern w:val="0"/>
                <w:sz w:val="24"/>
                <w:szCs w:val="24"/>
                <w:u w:val="none"/>
                <w:lang w:val="en-US" w:eastAsia="zh-CN" w:bidi="ar-SA"/>
              </w:rPr>
              <w:t>项以上的。</w:t>
            </w:r>
          </w:p>
        </w:tc>
        <w:tc>
          <w:tcPr>
            <w:tcW w:w="3251" w:type="dxa"/>
            <w:noWrap w:val="0"/>
            <w:vAlign w:val="center"/>
          </w:tcPr>
          <w:p w14:paraId="73D4B865">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逾期未改正的，处1万元以上2万元以下罚款；情节严重的，责令停止使用或者停产停业整顿。</w:t>
            </w:r>
          </w:p>
        </w:tc>
      </w:tr>
      <w:tr w14:paraId="6B26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736" w:type="dxa"/>
            <w:vMerge w:val="restart"/>
            <w:noWrap w:val="0"/>
            <w:vAlign w:val="center"/>
          </w:tcPr>
          <w:p w14:paraId="253AF33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
              </w:rPr>
            </w:pPr>
            <w:r>
              <w:rPr>
                <w:rFonts w:hint="eastAsia" w:ascii="宋体" w:hAnsi="宋体" w:eastAsia="宋体" w:cs="宋体"/>
                <w:b w:val="0"/>
                <w:bCs w:val="0"/>
                <w:color w:val="000000"/>
                <w:kern w:val="0"/>
                <w:sz w:val="24"/>
                <w:szCs w:val="24"/>
                <w:lang w:val="en"/>
              </w:rPr>
              <w:t>1</w:t>
            </w:r>
            <w:r>
              <w:rPr>
                <w:rFonts w:hint="eastAsia" w:ascii="宋体" w:hAnsi="宋体" w:eastAsia="宋体" w:cs="宋体"/>
                <w:b w:val="0"/>
                <w:bCs w:val="0"/>
                <w:color w:val="000000"/>
                <w:kern w:val="0"/>
                <w:sz w:val="24"/>
                <w:szCs w:val="24"/>
                <w:lang w:val="en-US" w:eastAsia="zh-CN"/>
              </w:rPr>
              <w:t>9</w:t>
            </w:r>
            <w:r>
              <w:rPr>
                <w:rFonts w:hint="eastAsia" w:ascii="宋体" w:hAnsi="宋体" w:cs="宋体"/>
                <w:b w:val="0"/>
                <w:bCs w:val="0"/>
                <w:color w:val="000000"/>
                <w:kern w:val="0"/>
                <w:sz w:val="24"/>
                <w:szCs w:val="24"/>
                <w:lang w:val="en-US" w:eastAsia="zh-CN"/>
              </w:rPr>
              <w:t>0</w:t>
            </w:r>
          </w:p>
        </w:tc>
        <w:tc>
          <w:tcPr>
            <w:tcW w:w="1748" w:type="dxa"/>
            <w:vMerge w:val="restart"/>
            <w:noWrap w:val="0"/>
            <w:vAlign w:val="center"/>
          </w:tcPr>
          <w:p w14:paraId="0A553718">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b w:val="0"/>
                <w:bCs/>
                <w:color w:val="000000"/>
                <w:kern w:val="0"/>
                <w:sz w:val="24"/>
                <w:szCs w:val="24"/>
                <w:u w:val="none"/>
                <w:lang w:val="en-US" w:eastAsia="zh-CN" w:bidi="ar-SA"/>
              </w:rPr>
              <w:t>《特种设备安全监察条例》</w:t>
            </w:r>
          </w:p>
        </w:tc>
        <w:tc>
          <w:tcPr>
            <w:tcW w:w="4140" w:type="dxa"/>
            <w:vMerge w:val="restart"/>
            <w:noWrap w:val="0"/>
            <w:vAlign w:val="center"/>
          </w:tcPr>
          <w:p w14:paraId="262A9824">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bidi="ar-SA"/>
              </w:rPr>
              <w:t>第八十三条第二款</w:t>
            </w:r>
            <w:r>
              <w:rPr>
                <w:rFonts w:hint="eastAsia" w:ascii="宋体" w:hAnsi="宋体" w:cs="宋体"/>
                <w:color w:val="000000"/>
                <w:kern w:val="0"/>
                <w:sz w:val="24"/>
                <w:szCs w:val="24"/>
                <w:lang w:val="en-US" w:eastAsia="zh-CN" w:bidi="ar-SA"/>
              </w:rPr>
              <w:t xml:space="preserve"> </w:t>
            </w:r>
            <w:r>
              <w:rPr>
                <w:rFonts w:hint="eastAsia" w:ascii="宋体" w:hAnsi="宋体" w:eastAsia="宋体" w:cs="宋体"/>
                <w:color w:val="000000"/>
                <w:kern w:val="0"/>
                <w:sz w:val="24"/>
                <w:szCs w:val="24"/>
                <w:lang w:val="en-US" w:eastAsia="zh-CN" w:bidi="ar-SA"/>
              </w:rPr>
              <w:t>特种设备使用单位使用未取得生产许可的单位生产的特种设备或者将非承压锅炉、非压力容器作为承压锅炉、压力容器使用的，由特种设备安全监督管理部门责令停止使用，予以没收，处2万元以上10万元以下罚款。</w:t>
            </w:r>
          </w:p>
        </w:tc>
        <w:tc>
          <w:tcPr>
            <w:tcW w:w="1132" w:type="dxa"/>
            <w:noWrap w:val="0"/>
            <w:vAlign w:val="center"/>
          </w:tcPr>
          <w:p w14:paraId="01B3434B">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较轻</w:t>
            </w:r>
          </w:p>
        </w:tc>
        <w:tc>
          <w:tcPr>
            <w:tcW w:w="3334" w:type="dxa"/>
            <w:noWrap w:val="0"/>
            <w:vAlign w:val="center"/>
          </w:tcPr>
          <w:p w14:paraId="03C95959">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违法使用1台的。</w:t>
            </w:r>
          </w:p>
        </w:tc>
        <w:tc>
          <w:tcPr>
            <w:tcW w:w="3251" w:type="dxa"/>
            <w:noWrap w:val="0"/>
            <w:vAlign w:val="center"/>
          </w:tcPr>
          <w:p w14:paraId="0B4D7C9D">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spacing w:val="-6"/>
                <w:kern w:val="0"/>
                <w:sz w:val="24"/>
                <w:szCs w:val="24"/>
                <w:lang w:val="en-US" w:eastAsia="zh-CN" w:bidi="ar-SA"/>
              </w:rPr>
            </w:pPr>
            <w:r>
              <w:rPr>
                <w:rFonts w:hint="eastAsia" w:ascii="宋体" w:hAnsi="宋体" w:eastAsia="宋体" w:cs="宋体"/>
                <w:color w:val="000000"/>
                <w:spacing w:val="-6"/>
                <w:kern w:val="0"/>
                <w:sz w:val="24"/>
                <w:szCs w:val="24"/>
                <w:lang w:val="en-US" w:eastAsia="zh-CN" w:bidi="ar-SA"/>
              </w:rPr>
              <w:t>责令停止使用，予以没收，处2万元以上4.4万元以下罚款。</w:t>
            </w:r>
          </w:p>
        </w:tc>
      </w:tr>
      <w:tr w14:paraId="034B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6" w:type="dxa"/>
            <w:vMerge w:val="continue"/>
            <w:noWrap w:val="0"/>
            <w:vAlign w:val="center"/>
          </w:tcPr>
          <w:p w14:paraId="634CE8BA">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66201C50">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697D4DE4">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1ECB422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一般</w:t>
            </w:r>
          </w:p>
        </w:tc>
        <w:tc>
          <w:tcPr>
            <w:tcW w:w="3334" w:type="dxa"/>
            <w:noWrap w:val="0"/>
            <w:vAlign w:val="center"/>
          </w:tcPr>
          <w:p w14:paraId="7FBB35A3">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违法使用2台的。</w:t>
            </w:r>
          </w:p>
        </w:tc>
        <w:tc>
          <w:tcPr>
            <w:tcW w:w="3251" w:type="dxa"/>
            <w:noWrap w:val="0"/>
            <w:vAlign w:val="center"/>
          </w:tcPr>
          <w:p w14:paraId="3A0456D2">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spacing w:val="-6"/>
                <w:kern w:val="0"/>
                <w:sz w:val="24"/>
                <w:szCs w:val="24"/>
                <w:lang w:val="en-US" w:eastAsia="zh-CN" w:bidi="ar-SA"/>
              </w:rPr>
            </w:pPr>
            <w:r>
              <w:rPr>
                <w:rFonts w:hint="eastAsia" w:ascii="宋体" w:hAnsi="宋体" w:eastAsia="宋体" w:cs="宋体"/>
                <w:color w:val="000000"/>
                <w:spacing w:val="-6"/>
                <w:kern w:val="0"/>
                <w:sz w:val="24"/>
                <w:szCs w:val="24"/>
                <w:lang w:val="en-US" w:eastAsia="zh-CN" w:bidi="ar-SA"/>
              </w:rPr>
              <w:t>责令停止使用，予以没收，处</w:t>
            </w:r>
            <w:r>
              <w:rPr>
                <w:rFonts w:hint="eastAsia" w:ascii="宋体" w:hAnsi="宋体" w:eastAsia="宋体" w:cs="宋体"/>
                <w:color w:val="000000"/>
                <w:spacing w:val="-11"/>
                <w:kern w:val="0"/>
                <w:sz w:val="24"/>
                <w:szCs w:val="24"/>
                <w:lang w:val="en-US" w:eastAsia="zh-CN" w:bidi="ar-SA"/>
              </w:rPr>
              <w:t>4.4万元以上7.6万元以下罚款。</w:t>
            </w:r>
          </w:p>
        </w:tc>
      </w:tr>
      <w:tr w14:paraId="7238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736" w:type="dxa"/>
            <w:vMerge w:val="continue"/>
            <w:noWrap w:val="0"/>
            <w:vAlign w:val="center"/>
          </w:tcPr>
          <w:p w14:paraId="651A7D54">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5C297986">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5B8282F8">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3F94C45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较重</w:t>
            </w:r>
          </w:p>
        </w:tc>
        <w:tc>
          <w:tcPr>
            <w:tcW w:w="3334" w:type="dxa"/>
            <w:noWrap w:val="0"/>
            <w:vAlign w:val="center"/>
          </w:tcPr>
          <w:p w14:paraId="533B7EFD">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违法使用3台以上的。</w:t>
            </w:r>
          </w:p>
        </w:tc>
        <w:tc>
          <w:tcPr>
            <w:tcW w:w="3251" w:type="dxa"/>
            <w:noWrap w:val="0"/>
            <w:vAlign w:val="center"/>
          </w:tcPr>
          <w:p w14:paraId="4B836D97">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spacing w:val="-6"/>
                <w:kern w:val="0"/>
                <w:sz w:val="24"/>
                <w:szCs w:val="24"/>
                <w:lang w:val="en-US" w:eastAsia="zh-CN" w:bidi="ar-SA"/>
              </w:rPr>
            </w:pPr>
            <w:r>
              <w:rPr>
                <w:rFonts w:hint="eastAsia" w:ascii="宋体" w:hAnsi="宋体" w:eastAsia="宋体" w:cs="宋体"/>
                <w:color w:val="000000"/>
                <w:spacing w:val="-6"/>
                <w:kern w:val="0"/>
                <w:sz w:val="24"/>
                <w:szCs w:val="24"/>
                <w:lang w:val="en-US" w:eastAsia="zh-CN" w:bidi="ar-SA"/>
              </w:rPr>
              <w:t>责令停止使用，予以没收，处</w:t>
            </w:r>
            <w:r>
              <w:rPr>
                <w:rFonts w:hint="eastAsia" w:ascii="宋体" w:hAnsi="宋体" w:eastAsia="宋体" w:cs="宋体"/>
                <w:color w:val="000000"/>
                <w:spacing w:val="-11"/>
                <w:kern w:val="0"/>
                <w:sz w:val="24"/>
                <w:szCs w:val="24"/>
                <w:lang w:val="en-US" w:eastAsia="zh-CN" w:bidi="ar-SA"/>
              </w:rPr>
              <w:t>7.6万元以上10万元以下罚款。</w:t>
            </w:r>
          </w:p>
        </w:tc>
      </w:tr>
      <w:tr w14:paraId="7912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736" w:type="dxa"/>
            <w:vMerge w:val="restart"/>
            <w:noWrap w:val="0"/>
            <w:vAlign w:val="center"/>
          </w:tcPr>
          <w:p w14:paraId="26CD47B7">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
              </w:rPr>
            </w:pPr>
            <w:r>
              <w:rPr>
                <w:rFonts w:hint="eastAsia" w:ascii="宋体" w:hAnsi="宋体" w:eastAsia="宋体" w:cs="宋体"/>
                <w:b w:val="0"/>
                <w:bCs w:val="0"/>
                <w:color w:val="000000"/>
                <w:kern w:val="0"/>
                <w:sz w:val="24"/>
                <w:szCs w:val="24"/>
                <w:lang w:val="en"/>
              </w:rPr>
              <w:t>1</w:t>
            </w:r>
            <w:r>
              <w:rPr>
                <w:rFonts w:hint="eastAsia" w:ascii="宋体" w:hAnsi="宋体" w:eastAsia="宋体" w:cs="宋体"/>
                <w:b w:val="0"/>
                <w:bCs w:val="0"/>
                <w:color w:val="000000"/>
                <w:kern w:val="0"/>
                <w:sz w:val="24"/>
                <w:szCs w:val="24"/>
                <w:lang w:val="en-US" w:eastAsia="zh-CN"/>
              </w:rPr>
              <w:t>9</w:t>
            </w:r>
            <w:r>
              <w:rPr>
                <w:rFonts w:hint="eastAsia" w:ascii="宋体" w:hAnsi="宋体" w:cs="宋体"/>
                <w:b w:val="0"/>
                <w:bCs w:val="0"/>
                <w:color w:val="000000"/>
                <w:kern w:val="0"/>
                <w:sz w:val="24"/>
                <w:szCs w:val="24"/>
                <w:lang w:val="en-US" w:eastAsia="zh-CN"/>
              </w:rPr>
              <w:t>1</w:t>
            </w:r>
          </w:p>
        </w:tc>
        <w:tc>
          <w:tcPr>
            <w:tcW w:w="1748" w:type="dxa"/>
            <w:vMerge w:val="restart"/>
            <w:noWrap w:val="0"/>
            <w:vAlign w:val="center"/>
          </w:tcPr>
          <w:p w14:paraId="4E6015A6">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b w:val="0"/>
                <w:bCs/>
                <w:color w:val="000000"/>
                <w:kern w:val="0"/>
                <w:sz w:val="24"/>
                <w:szCs w:val="24"/>
                <w:u w:val="none"/>
                <w:lang w:val="en-US" w:eastAsia="zh-CN" w:bidi="ar-SA"/>
              </w:rPr>
              <w:t>《特种设备安全监察条例》</w:t>
            </w:r>
          </w:p>
        </w:tc>
        <w:tc>
          <w:tcPr>
            <w:tcW w:w="4140" w:type="dxa"/>
            <w:vMerge w:val="restart"/>
            <w:noWrap w:val="0"/>
            <w:vAlign w:val="center"/>
          </w:tcPr>
          <w:p w14:paraId="7AD8AD41">
            <w:pPr>
              <w:pStyle w:val="9"/>
              <w:keepNext w:val="0"/>
              <w:keepLines w:val="0"/>
              <w:pageBreakBefore w:val="0"/>
              <w:widowControl/>
              <w:suppressLineNumbers w:val="0"/>
              <w:kinsoku/>
              <w:wordWrap/>
              <w:overflowPunct/>
              <w:topLinePunct w:val="0"/>
              <w:bidi w:val="0"/>
              <w:snapToGrid w:val="0"/>
              <w:spacing w:before="0" w:beforeAutospacing="0" w:after="0" w:afterAutospacing="0" w:line="390" w:lineRule="exact"/>
              <w:ind w:left="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bidi="ar-SA"/>
              </w:rPr>
              <w:t>第八十四条</w:t>
            </w:r>
            <w:r>
              <w:rPr>
                <w:rFonts w:hint="eastAsia" w:ascii="宋体" w:hAnsi="宋体" w:cs="宋体"/>
                <w:color w:val="000000"/>
                <w:kern w:val="0"/>
                <w:sz w:val="24"/>
                <w:szCs w:val="24"/>
                <w:lang w:val="en-US" w:eastAsia="zh-CN" w:bidi="ar-SA"/>
              </w:rPr>
              <w:t xml:space="preserve"> </w:t>
            </w:r>
            <w:r>
              <w:rPr>
                <w:rFonts w:hint="eastAsia" w:ascii="宋体" w:hAnsi="宋体" w:eastAsia="宋体" w:cs="宋体"/>
                <w:color w:val="000000"/>
                <w:kern w:val="0"/>
                <w:sz w:val="24"/>
                <w:szCs w:val="24"/>
                <w:lang w:val="en-US" w:eastAsia="zh-CN" w:bidi="ar-SA"/>
              </w:rPr>
              <w:t>特种设备存在严重事故隐患，无改造、维修价值，或者超过安全技术规范规定的使用年限，特种设备使用单位未予以报废，并向原登记的特种设备安全监督管理部门办理注销的，由特种设备安全监督管理部门责令限期改正；逾期未改正的，处5万元以上20万元以下罚款。</w:t>
            </w:r>
          </w:p>
        </w:tc>
        <w:tc>
          <w:tcPr>
            <w:tcW w:w="1132" w:type="dxa"/>
            <w:noWrap w:val="0"/>
            <w:vAlign w:val="center"/>
          </w:tcPr>
          <w:p w14:paraId="2DD5386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285F86D0">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未予以报废特种设备</w:t>
            </w:r>
            <w:r>
              <w:rPr>
                <w:rFonts w:hint="eastAsia" w:ascii="宋体" w:hAnsi="宋体" w:cs="宋体"/>
                <w:b w:val="0"/>
                <w:bCs/>
                <w:color w:val="000000"/>
                <w:kern w:val="0"/>
                <w:sz w:val="24"/>
                <w:szCs w:val="24"/>
                <w:u w:val="none"/>
                <w:lang w:val="en-US" w:eastAsia="zh-CN" w:bidi="ar-SA"/>
              </w:rPr>
              <w:t>3</w:t>
            </w:r>
            <w:r>
              <w:rPr>
                <w:rFonts w:hint="eastAsia" w:ascii="宋体" w:hAnsi="宋体" w:eastAsia="宋体" w:cs="宋体"/>
                <w:b w:val="0"/>
                <w:bCs/>
                <w:color w:val="000000"/>
                <w:kern w:val="0"/>
                <w:sz w:val="24"/>
                <w:szCs w:val="24"/>
                <w:u w:val="none"/>
                <w:lang w:val="en-US" w:eastAsia="zh-CN" w:bidi="ar-SA"/>
              </w:rPr>
              <w:t>台（气瓶5只）以下的。</w:t>
            </w:r>
          </w:p>
        </w:tc>
        <w:tc>
          <w:tcPr>
            <w:tcW w:w="3251" w:type="dxa"/>
            <w:noWrap w:val="0"/>
            <w:vAlign w:val="center"/>
          </w:tcPr>
          <w:p w14:paraId="3FC5C5D6">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逾期未改正的，处5万元以上9.5万元以下罚款。</w:t>
            </w:r>
          </w:p>
        </w:tc>
      </w:tr>
      <w:tr w14:paraId="77C41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736" w:type="dxa"/>
            <w:vMerge w:val="continue"/>
            <w:noWrap w:val="0"/>
            <w:vAlign w:val="center"/>
          </w:tcPr>
          <w:p w14:paraId="4B2B7F7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5E09EB62">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251B079D">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402DE6A4">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3041F8A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未予以报废特种设备3台以上</w:t>
            </w:r>
            <w:r>
              <w:rPr>
                <w:rFonts w:hint="eastAsia" w:ascii="宋体" w:hAnsi="宋体" w:cs="宋体"/>
                <w:b w:val="0"/>
                <w:bCs/>
                <w:color w:val="000000"/>
                <w:kern w:val="0"/>
                <w:sz w:val="24"/>
                <w:szCs w:val="24"/>
                <w:u w:val="none"/>
                <w:lang w:val="en-US" w:eastAsia="zh-CN" w:bidi="ar-SA"/>
              </w:rPr>
              <w:t>5</w:t>
            </w:r>
            <w:r>
              <w:rPr>
                <w:rFonts w:hint="eastAsia" w:ascii="宋体" w:hAnsi="宋体" w:eastAsia="宋体" w:cs="宋体"/>
                <w:b w:val="0"/>
                <w:bCs/>
                <w:color w:val="000000"/>
                <w:kern w:val="0"/>
                <w:sz w:val="24"/>
                <w:szCs w:val="24"/>
                <w:u w:val="none"/>
                <w:lang w:val="en-US" w:eastAsia="zh-CN" w:bidi="ar-SA"/>
              </w:rPr>
              <w:t>台以下（气瓶6只以上10只以下）的。</w:t>
            </w:r>
          </w:p>
        </w:tc>
        <w:tc>
          <w:tcPr>
            <w:tcW w:w="3251" w:type="dxa"/>
            <w:noWrap w:val="0"/>
            <w:vAlign w:val="center"/>
          </w:tcPr>
          <w:p w14:paraId="217AF2E4">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逾期未改正的，处9.5万元以上15.5万元以下罚款。</w:t>
            </w:r>
          </w:p>
        </w:tc>
      </w:tr>
      <w:tr w14:paraId="2E1A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736" w:type="dxa"/>
            <w:vMerge w:val="continue"/>
            <w:noWrap w:val="0"/>
            <w:vAlign w:val="center"/>
          </w:tcPr>
          <w:p w14:paraId="6EE1E01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3964D21E">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472D19C1">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1917700B">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6134513D">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未予以报废特种设备5台（气瓶1</w:t>
            </w:r>
            <w:r>
              <w:rPr>
                <w:rFonts w:hint="eastAsia" w:ascii="宋体" w:hAnsi="宋体" w:cs="宋体"/>
                <w:b w:val="0"/>
                <w:bCs/>
                <w:color w:val="000000"/>
                <w:kern w:val="0"/>
                <w:sz w:val="24"/>
                <w:szCs w:val="24"/>
                <w:u w:val="none"/>
                <w:lang w:val="en-US" w:eastAsia="zh-CN" w:bidi="ar-SA"/>
              </w:rPr>
              <w:t>0</w:t>
            </w:r>
            <w:r>
              <w:rPr>
                <w:rFonts w:hint="eastAsia" w:ascii="宋体" w:hAnsi="宋体" w:eastAsia="宋体" w:cs="宋体"/>
                <w:b w:val="0"/>
                <w:bCs/>
                <w:color w:val="000000"/>
                <w:kern w:val="0"/>
                <w:sz w:val="24"/>
                <w:szCs w:val="24"/>
                <w:u w:val="none"/>
                <w:lang w:val="en-US" w:eastAsia="zh-CN" w:bidi="ar-SA"/>
              </w:rPr>
              <w:t>只）以上的。</w:t>
            </w:r>
          </w:p>
        </w:tc>
        <w:tc>
          <w:tcPr>
            <w:tcW w:w="3251" w:type="dxa"/>
            <w:noWrap w:val="0"/>
            <w:vAlign w:val="center"/>
          </w:tcPr>
          <w:p w14:paraId="5284C136">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逾期未改正的，处15.5万元以上20万元以下罚款。</w:t>
            </w:r>
          </w:p>
        </w:tc>
      </w:tr>
      <w:tr w14:paraId="0B1D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736" w:type="dxa"/>
            <w:vMerge w:val="restart"/>
            <w:noWrap w:val="0"/>
            <w:vAlign w:val="center"/>
          </w:tcPr>
          <w:p w14:paraId="5AC932F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
              </w:rPr>
            </w:pPr>
            <w:r>
              <w:rPr>
                <w:rFonts w:hint="eastAsia" w:ascii="宋体" w:hAnsi="宋体" w:eastAsia="宋体" w:cs="宋体"/>
                <w:b w:val="0"/>
                <w:bCs w:val="0"/>
                <w:color w:val="000000"/>
                <w:kern w:val="0"/>
                <w:sz w:val="24"/>
                <w:szCs w:val="24"/>
                <w:lang w:val="en"/>
              </w:rPr>
              <w:t>1</w:t>
            </w:r>
            <w:r>
              <w:rPr>
                <w:rFonts w:hint="eastAsia" w:ascii="宋体" w:hAnsi="宋体" w:eastAsia="宋体" w:cs="宋体"/>
                <w:b w:val="0"/>
                <w:bCs w:val="0"/>
                <w:color w:val="000000"/>
                <w:kern w:val="0"/>
                <w:sz w:val="24"/>
                <w:szCs w:val="24"/>
                <w:lang w:val="en-US" w:eastAsia="zh-CN"/>
              </w:rPr>
              <w:t>9</w:t>
            </w:r>
            <w:r>
              <w:rPr>
                <w:rFonts w:hint="eastAsia" w:ascii="宋体" w:hAnsi="宋体" w:cs="宋体"/>
                <w:b w:val="0"/>
                <w:bCs w:val="0"/>
                <w:color w:val="000000"/>
                <w:kern w:val="0"/>
                <w:sz w:val="24"/>
                <w:szCs w:val="24"/>
                <w:lang w:val="en-US" w:eastAsia="zh-CN"/>
              </w:rPr>
              <w:t>2</w:t>
            </w:r>
          </w:p>
        </w:tc>
        <w:tc>
          <w:tcPr>
            <w:tcW w:w="1748" w:type="dxa"/>
            <w:vMerge w:val="restart"/>
            <w:noWrap w:val="0"/>
            <w:vAlign w:val="center"/>
          </w:tcPr>
          <w:p w14:paraId="2E4219F9">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b w:val="0"/>
                <w:bCs/>
                <w:color w:val="000000"/>
                <w:kern w:val="0"/>
                <w:sz w:val="24"/>
                <w:szCs w:val="24"/>
                <w:u w:val="none"/>
                <w:lang w:val="en-US" w:eastAsia="zh-CN" w:bidi="ar-SA"/>
              </w:rPr>
              <w:t>《特种设备安全监察条例》</w:t>
            </w:r>
          </w:p>
        </w:tc>
        <w:tc>
          <w:tcPr>
            <w:tcW w:w="4140" w:type="dxa"/>
            <w:vMerge w:val="restart"/>
            <w:noWrap w:val="0"/>
            <w:vAlign w:val="center"/>
          </w:tcPr>
          <w:p w14:paraId="772E2F51">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第八十五条</w:t>
            </w:r>
            <w:r>
              <w:rPr>
                <w:rFonts w:hint="eastAsia" w:ascii="宋体" w:hAnsi="宋体" w:cs="宋体"/>
                <w:color w:val="000000"/>
                <w:kern w:val="0"/>
                <w:sz w:val="24"/>
                <w:szCs w:val="24"/>
                <w:lang w:val="en-US" w:eastAsia="zh-CN" w:bidi="ar-SA"/>
              </w:rPr>
              <w:t xml:space="preserve"> </w:t>
            </w:r>
            <w:r>
              <w:rPr>
                <w:rFonts w:hint="eastAsia" w:ascii="宋体" w:hAnsi="宋体" w:eastAsia="宋体" w:cs="宋体"/>
                <w:color w:val="000000"/>
                <w:kern w:val="0"/>
                <w:sz w:val="24"/>
                <w:szCs w:val="24"/>
                <w:lang w:val="en-US" w:eastAsia="zh-CN" w:bidi="ar-SA"/>
              </w:rPr>
              <w:t>电梯、客运索道、大型游乐设施的运营使用单位有下列情形之一的，由特种设备安全监督管理部门责令限期改正；逾期未改正的，责令停止使用或者停产停业整顿，处1万元以上5万元以下罚款：</w:t>
            </w:r>
          </w:p>
          <w:p w14:paraId="145A714B">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(一)客运索道、大型游乐设施每日投入使用前，未进行试运行和例行安全检查，并对安全装置进行检查确认的；</w:t>
            </w:r>
          </w:p>
          <w:p w14:paraId="7526B907">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bidi="ar-SA"/>
              </w:rPr>
              <w:t>(二)未将电梯、客运索道、大型游乐设施的安全注意事项和警示标志置于易于为乘客注意的显著位置的。</w:t>
            </w:r>
          </w:p>
        </w:tc>
        <w:tc>
          <w:tcPr>
            <w:tcW w:w="1132" w:type="dxa"/>
            <w:noWrap w:val="0"/>
            <w:vAlign w:val="center"/>
          </w:tcPr>
          <w:p w14:paraId="6068AC0A">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69F2490E">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违反</w:t>
            </w:r>
            <w:r>
              <w:rPr>
                <w:rFonts w:hint="eastAsia" w:ascii="宋体" w:hAnsi="宋体" w:eastAsia="宋体" w:cs="宋体"/>
                <w:b w:val="0"/>
                <w:bCs/>
                <w:color w:val="000000"/>
                <w:kern w:val="0"/>
                <w:sz w:val="24"/>
                <w:szCs w:val="24"/>
                <w:u w:val="none"/>
                <w:lang w:val="en" w:eastAsia="zh-CN" w:bidi="ar-SA"/>
              </w:rPr>
              <w:t>1</w:t>
            </w:r>
            <w:r>
              <w:rPr>
                <w:rFonts w:hint="eastAsia" w:ascii="宋体" w:hAnsi="宋体" w:eastAsia="宋体" w:cs="宋体"/>
                <w:b w:val="0"/>
                <w:bCs/>
                <w:color w:val="000000"/>
                <w:kern w:val="0"/>
                <w:sz w:val="24"/>
                <w:szCs w:val="24"/>
                <w:u w:val="none"/>
                <w:lang w:val="en-US" w:eastAsia="zh-CN" w:bidi="ar-SA"/>
              </w:rPr>
              <w:t>项的。</w:t>
            </w:r>
          </w:p>
        </w:tc>
        <w:tc>
          <w:tcPr>
            <w:tcW w:w="3251" w:type="dxa"/>
            <w:noWrap w:val="0"/>
            <w:vAlign w:val="center"/>
          </w:tcPr>
          <w:p w14:paraId="79233E84">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逾期未改正的，责令停止使用或者停产停业整顿，处1万元以上3万元以下罚款。</w:t>
            </w:r>
          </w:p>
        </w:tc>
      </w:tr>
      <w:tr w14:paraId="7C02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8" w:hRule="atLeast"/>
          <w:jc w:val="center"/>
        </w:trPr>
        <w:tc>
          <w:tcPr>
            <w:tcW w:w="736" w:type="dxa"/>
            <w:vMerge w:val="continue"/>
            <w:noWrap w:val="0"/>
            <w:vAlign w:val="center"/>
          </w:tcPr>
          <w:p w14:paraId="64741151">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69360DFB">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25FF1602">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5784D70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较</w:t>
            </w:r>
            <w:r>
              <w:rPr>
                <w:rFonts w:hint="eastAsia" w:ascii="宋体" w:hAnsi="宋体" w:eastAsia="宋体" w:cs="宋体"/>
                <w:color w:val="000000"/>
                <w:kern w:val="0"/>
                <w:sz w:val="24"/>
                <w:szCs w:val="24"/>
                <w:lang w:eastAsia="zh-CN"/>
              </w:rPr>
              <w:t>重</w:t>
            </w:r>
          </w:p>
        </w:tc>
        <w:tc>
          <w:tcPr>
            <w:tcW w:w="3334" w:type="dxa"/>
            <w:noWrap w:val="0"/>
            <w:vAlign w:val="center"/>
          </w:tcPr>
          <w:p w14:paraId="66138A23">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eastAsia="宋体" w:cs="宋体"/>
                <w:b w:val="0"/>
                <w:bCs/>
                <w:color w:val="000000"/>
                <w:kern w:val="0"/>
                <w:sz w:val="24"/>
                <w:szCs w:val="24"/>
                <w:u w:val="none"/>
                <w:lang w:val="en-US" w:eastAsia="zh-CN" w:bidi="ar-SA"/>
              </w:rPr>
              <w:t>违反</w:t>
            </w:r>
            <w:r>
              <w:rPr>
                <w:rFonts w:hint="eastAsia" w:ascii="宋体" w:hAnsi="宋体" w:eastAsia="宋体" w:cs="宋体"/>
                <w:b w:val="0"/>
                <w:bCs/>
                <w:color w:val="000000"/>
                <w:kern w:val="0"/>
                <w:sz w:val="24"/>
                <w:szCs w:val="24"/>
                <w:u w:val="none"/>
                <w:lang w:val="en" w:eastAsia="zh-CN" w:bidi="ar-SA"/>
              </w:rPr>
              <w:t>2</w:t>
            </w:r>
            <w:r>
              <w:rPr>
                <w:rFonts w:hint="eastAsia" w:ascii="宋体" w:hAnsi="宋体" w:eastAsia="宋体" w:cs="宋体"/>
                <w:b w:val="0"/>
                <w:bCs/>
                <w:color w:val="000000"/>
                <w:kern w:val="0"/>
                <w:sz w:val="24"/>
                <w:szCs w:val="24"/>
                <w:u w:val="none"/>
                <w:lang w:val="en-US" w:eastAsia="zh-CN" w:bidi="ar-SA"/>
              </w:rPr>
              <w:t>项的。</w:t>
            </w:r>
          </w:p>
        </w:tc>
        <w:tc>
          <w:tcPr>
            <w:tcW w:w="3251" w:type="dxa"/>
            <w:noWrap w:val="0"/>
            <w:vAlign w:val="center"/>
          </w:tcPr>
          <w:p w14:paraId="741FB818">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逾期未改正的，责令停止使用或者停产停业整顿，处3万元以上5万元以下罚款。</w:t>
            </w:r>
          </w:p>
        </w:tc>
      </w:tr>
      <w:tr w14:paraId="063E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7" w:hRule="atLeast"/>
          <w:jc w:val="center"/>
        </w:trPr>
        <w:tc>
          <w:tcPr>
            <w:tcW w:w="736" w:type="dxa"/>
            <w:vMerge w:val="restart"/>
            <w:noWrap w:val="0"/>
            <w:vAlign w:val="center"/>
          </w:tcPr>
          <w:p w14:paraId="0BA4285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
              </w:rPr>
            </w:pPr>
            <w:r>
              <w:rPr>
                <w:rFonts w:hint="eastAsia" w:ascii="宋体" w:hAnsi="宋体" w:eastAsia="宋体" w:cs="宋体"/>
                <w:b w:val="0"/>
                <w:bCs w:val="0"/>
                <w:color w:val="000000"/>
                <w:kern w:val="0"/>
                <w:sz w:val="24"/>
                <w:szCs w:val="24"/>
                <w:lang w:val="en"/>
              </w:rPr>
              <w:t>1</w:t>
            </w:r>
            <w:r>
              <w:rPr>
                <w:rFonts w:hint="eastAsia" w:ascii="宋体" w:hAnsi="宋体" w:eastAsia="宋体" w:cs="宋体"/>
                <w:b w:val="0"/>
                <w:bCs w:val="0"/>
                <w:color w:val="000000"/>
                <w:kern w:val="0"/>
                <w:sz w:val="24"/>
                <w:szCs w:val="24"/>
                <w:lang w:val="en-US" w:eastAsia="zh-CN"/>
              </w:rPr>
              <w:t>9</w:t>
            </w:r>
            <w:r>
              <w:rPr>
                <w:rFonts w:hint="eastAsia" w:ascii="宋体" w:hAnsi="宋体" w:cs="宋体"/>
                <w:b w:val="0"/>
                <w:bCs w:val="0"/>
                <w:color w:val="000000"/>
                <w:kern w:val="0"/>
                <w:sz w:val="24"/>
                <w:szCs w:val="24"/>
                <w:lang w:val="en-US" w:eastAsia="zh-CN"/>
              </w:rPr>
              <w:t>3</w:t>
            </w:r>
          </w:p>
        </w:tc>
        <w:tc>
          <w:tcPr>
            <w:tcW w:w="1748" w:type="dxa"/>
            <w:vMerge w:val="restart"/>
            <w:noWrap w:val="0"/>
            <w:vAlign w:val="center"/>
          </w:tcPr>
          <w:p w14:paraId="1DF4A8AB">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b w:val="0"/>
                <w:bCs/>
                <w:color w:val="000000"/>
                <w:kern w:val="0"/>
                <w:sz w:val="24"/>
                <w:szCs w:val="24"/>
                <w:u w:val="none"/>
                <w:lang w:val="en-US" w:eastAsia="zh-CN" w:bidi="ar-SA"/>
              </w:rPr>
              <w:t>《特种设备安全监察条例》</w:t>
            </w:r>
          </w:p>
        </w:tc>
        <w:tc>
          <w:tcPr>
            <w:tcW w:w="4140" w:type="dxa"/>
            <w:vMerge w:val="restart"/>
            <w:noWrap w:val="0"/>
            <w:vAlign w:val="center"/>
          </w:tcPr>
          <w:p w14:paraId="06A35FB0">
            <w:pPr>
              <w:pStyle w:val="9"/>
              <w:keepNext w:val="0"/>
              <w:keepLines w:val="0"/>
              <w:pageBreakBefore w:val="0"/>
              <w:widowControl/>
              <w:suppressLineNumbers w:val="0"/>
              <w:kinsoku/>
              <w:wordWrap/>
              <w:overflowPunct/>
              <w:topLinePunct w:val="0"/>
              <w:bidi w:val="0"/>
              <w:snapToGrid w:val="0"/>
              <w:spacing w:before="0" w:beforeAutospacing="0" w:after="0" w:afterAutospacing="0" w:line="400" w:lineRule="exact"/>
              <w:ind w:left="0"/>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第八十六条</w:t>
            </w:r>
            <w:r>
              <w:rPr>
                <w:rFonts w:hint="eastAsia" w:ascii="宋体" w:hAnsi="宋体" w:cs="宋体"/>
                <w:color w:val="000000"/>
                <w:kern w:val="0"/>
                <w:sz w:val="24"/>
                <w:szCs w:val="24"/>
                <w:lang w:val="en-US" w:eastAsia="zh-CN" w:bidi="ar-SA"/>
              </w:rPr>
              <w:t xml:space="preserve"> </w:t>
            </w:r>
            <w:r>
              <w:rPr>
                <w:rFonts w:hint="eastAsia" w:ascii="宋体" w:hAnsi="宋体" w:eastAsia="宋体" w:cs="宋体"/>
                <w:color w:val="000000"/>
                <w:kern w:val="0"/>
                <w:sz w:val="24"/>
                <w:szCs w:val="24"/>
                <w:lang w:val="en-US" w:eastAsia="zh-CN" w:bidi="ar-SA"/>
              </w:rPr>
              <w:t>特种设备使用单位有下列情形之一的，由特种设备安全监督管理部门责令限期改正；逾期未改正的，责令停止使用或者停产停业整顿，处2000元以上2万元以下罚款：</w:t>
            </w:r>
          </w:p>
          <w:p w14:paraId="3BAFC9DE">
            <w:pPr>
              <w:pStyle w:val="9"/>
              <w:keepNext w:val="0"/>
              <w:keepLines w:val="0"/>
              <w:pageBreakBefore w:val="0"/>
              <w:widowControl/>
              <w:suppressLineNumbers w:val="0"/>
              <w:kinsoku/>
              <w:wordWrap/>
              <w:overflowPunct/>
              <w:topLinePunct w:val="0"/>
              <w:bidi w:val="0"/>
              <w:snapToGrid w:val="0"/>
              <w:spacing w:before="0" w:beforeAutospacing="0" w:after="0" w:afterAutospacing="0" w:line="400" w:lineRule="exact"/>
              <w:ind w:left="0"/>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(一)未依照本条例规定设置特种设备安全管理机构或者配备专职、兼职的安全管理人员的；</w:t>
            </w:r>
          </w:p>
          <w:p w14:paraId="1E8C1FA4">
            <w:pPr>
              <w:pStyle w:val="9"/>
              <w:keepNext w:val="0"/>
              <w:keepLines w:val="0"/>
              <w:pageBreakBefore w:val="0"/>
              <w:widowControl/>
              <w:suppressLineNumbers w:val="0"/>
              <w:kinsoku/>
              <w:wordWrap/>
              <w:overflowPunct/>
              <w:topLinePunct w:val="0"/>
              <w:bidi w:val="0"/>
              <w:snapToGrid w:val="0"/>
              <w:spacing w:before="0" w:beforeAutospacing="0" w:after="0" w:afterAutospacing="0" w:line="400" w:lineRule="exact"/>
              <w:ind w:left="0"/>
              <w:jc w:val="both"/>
              <w:rPr>
                <w:rFonts w:hint="eastAsia" w:ascii="宋体" w:hAnsi="宋体" w:eastAsia="宋体" w:cs="宋体"/>
                <w:color w:val="000000"/>
                <w:spacing w:val="-6"/>
                <w:kern w:val="0"/>
                <w:sz w:val="24"/>
                <w:szCs w:val="24"/>
                <w:lang w:val="en-US" w:eastAsia="zh-CN" w:bidi="ar-SA"/>
              </w:rPr>
            </w:pPr>
            <w:r>
              <w:rPr>
                <w:rFonts w:hint="eastAsia" w:ascii="宋体" w:hAnsi="宋体" w:eastAsia="宋体" w:cs="宋体"/>
                <w:color w:val="000000"/>
                <w:spacing w:val="-6"/>
                <w:kern w:val="0"/>
                <w:sz w:val="24"/>
                <w:szCs w:val="24"/>
                <w:lang w:val="en-US" w:eastAsia="zh-CN" w:bidi="ar-SA"/>
              </w:rPr>
              <w:t>(二)从事特种设备作业的人员，未取得相应特种作业人员证书，上岗作业的；</w:t>
            </w:r>
          </w:p>
          <w:p w14:paraId="0A353922">
            <w:pPr>
              <w:pStyle w:val="9"/>
              <w:keepNext w:val="0"/>
              <w:keepLines w:val="0"/>
              <w:pageBreakBefore w:val="0"/>
              <w:widowControl/>
              <w:suppressLineNumbers w:val="0"/>
              <w:kinsoku/>
              <w:wordWrap/>
              <w:overflowPunct/>
              <w:topLinePunct w:val="0"/>
              <w:bidi w:val="0"/>
              <w:snapToGrid w:val="0"/>
              <w:spacing w:before="0" w:beforeAutospacing="0" w:after="0" w:afterAutospacing="0" w:line="400" w:lineRule="exact"/>
              <w:ind w:left="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bidi="ar-SA"/>
              </w:rPr>
              <w:t>(三)未对特种设备作业人员进行特种设备安全教育和培训的。</w:t>
            </w:r>
          </w:p>
        </w:tc>
        <w:tc>
          <w:tcPr>
            <w:tcW w:w="1132" w:type="dxa"/>
            <w:noWrap w:val="0"/>
            <w:vAlign w:val="center"/>
          </w:tcPr>
          <w:p w14:paraId="04C4CC9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63FAC3FA">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有下列情形之一的：</w:t>
            </w:r>
          </w:p>
          <w:p w14:paraId="29B7727A">
            <w:pPr>
              <w:pStyle w:val="16"/>
              <w:pageBreakBefore w:val="0"/>
              <w:numPr>
                <w:ilvl w:val="0"/>
                <w:numId w:val="0"/>
              </w:numPr>
              <w:kinsoku/>
              <w:wordWrap/>
              <w:overflowPunct/>
              <w:topLinePunct w:val="0"/>
              <w:bidi w:val="0"/>
              <w:snapToGrid w:val="0"/>
              <w:spacing w:beforeAutospacing="0" w:afterAutospacing="0" w:line="380" w:lineRule="exact"/>
              <w:ind w:left="0"/>
              <w:rPr>
                <w:rFonts w:hint="eastAsia" w:ascii="宋体" w:hAnsi="宋体" w:eastAsia="宋体" w:cs="宋体"/>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w:t>
            </w:r>
            <w:r>
              <w:rPr>
                <w:rFonts w:hint="eastAsia" w:ascii="宋体" w:hAnsi="宋体" w:eastAsia="宋体" w:cs="宋体"/>
                <w:b w:val="0"/>
                <w:bCs w:val="0"/>
                <w:color w:val="000000"/>
                <w:kern w:val="0"/>
                <w:sz w:val="24"/>
                <w:szCs w:val="24"/>
                <w:lang w:val="en-US" w:eastAsia="zh-CN" w:bidi="ar-SA"/>
              </w:rPr>
              <w:t>1</w:t>
            </w:r>
            <w:r>
              <w:rPr>
                <w:rFonts w:hint="eastAsia" w:ascii="宋体" w:hAnsi="宋体" w:cs="宋体"/>
                <w:b w:val="0"/>
                <w:bCs w:val="0"/>
                <w:color w:val="000000"/>
                <w:kern w:val="0"/>
                <w:sz w:val="24"/>
                <w:szCs w:val="24"/>
                <w:lang w:val="en-US" w:eastAsia="zh-CN" w:bidi="ar-SA"/>
              </w:rPr>
              <w:t>)</w:t>
            </w:r>
            <w:r>
              <w:rPr>
                <w:rFonts w:hint="eastAsia" w:ascii="宋体" w:hAnsi="宋体" w:eastAsia="宋体" w:cs="宋体"/>
                <w:b w:val="0"/>
                <w:bCs w:val="0"/>
                <w:color w:val="000000"/>
                <w:kern w:val="0"/>
                <w:sz w:val="24"/>
                <w:szCs w:val="24"/>
                <w:lang w:val="en-US" w:eastAsia="zh-CN" w:bidi="ar-SA"/>
              </w:rPr>
              <w:t>违反上述规定第（一）或（三）项的；</w:t>
            </w:r>
          </w:p>
          <w:p w14:paraId="6A1C3030">
            <w:pPr>
              <w:pageBreakBefore w:val="0"/>
              <w:numPr>
                <w:ilvl w:val="0"/>
                <w:numId w:val="0"/>
              </w:numPr>
              <w:kinsoku/>
              <w:wordWrap/>
              <w:overflowPunct/>
              <w:topLinePunct w:val="0"/>
              <w:bidi w:val="0"/>
              <w:snapToGrid w:val="0"/>
              <w:spacing w:beforeAutospacing="0" w:afterAutospacing="0" w:line="380" w:lineRule="exact"/>
              <w:ind w:left="0"/>
              <w:rPr>
                <w:rFonts w:hint="eastAsia" w:ascii="宋体" w:hAnsi="宋体" w:eastAsia="宋体" w:cs="宋体"/>
                <w:sz w:val="24"/>
                <w:szCs w:val="24"/>
                <w:lang w:val="en-US" w:eastAsia="zh-CN"/>
              </w:rPr>
            </w:pPr>
            <w:r>
              <w:rPr>
                <w:rFonts w:hint="eastAsia" w:ascii="宋体" w:hAnsi="宋体" w:cs="宋体"/>
                <w:b w:val="0"/>
                <w:bCs w:val="0"/>
                <w:color w:val="000000"/>
                <w:kern w:val="0"/>
                <w:sz w:val="24"/>
                <w:szCs w:val="24"/>
                <w:lang w:val="en-US" w:eastAsia="zh-CN" w:bidi="ar-SA"/>
              </w:rPr>
              <w:t>(2)</w:t>
            </w:r>
            <w:r>
              <w:rPr>
                <w:rFonts w:hint="eastAsia" w:ascii="宋体" w:hAnsi="宋体" w:eastAsia="宋体" w:cs="宋体"/>
                <w:b w:val="0"/>
                <w:bCs w:val="0"/>
                <w:color w:val="000000"/>
                <w:kern w:val="0"/>
                <w:sz w:val="24"/>
                <w:szCs w:val="24"/>
                <w:lang w:val="en" w:eastAsia="zh-CN" w:bidi="ar-SA"/>
              </w:rPr>
              <w:t>2</w:t>
            </w:r>
            <w:r>
              <w:rPr>
                <w:rFonts w:hint="eastAsia" w:ascii="宋体" w:hAnsi="宋体" w:eastAsia="宋体" w:cs="宋体"/>
                <w:b w:val="0"/>
                <w:bCs w:val="0"/>
                <w:color w:val="000000"/>
                <w:kern w:val="0"/>
                <w:sz w:val="24"/>
                <w:szCs w:val="24"/>
                <w:lang w:val="en-US" w:eastAsia="zh-CN" w:bidi="ar-SA"/>
              </w:rPr>
              <w:t>人以下未取得相应特种作业人员证书，上岗作业的。</w:t>
            </w:r>
          </w:p>
        </w:tc>
        <w:tc>
          <w:tcPr>
            <w:tcW w:w="3251" w:type="dxa"/>
            <w:noWrap w:val="0"/>
            <w:vAlign w:val="center"/>
          </w:tcPr>
          <w:p w14:paraId="468E7437">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逾期未改正的，责令停止使用或者停产停业整顿，处2000元以上1万元以下罚款。</w:t>
            </w:r>
          </w:p>
        </w:tc>
      </w:tr>
      <w:tr w14:paraId="2335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6" w:hRule="atLeast"/>
          <w:jc w:val="center"/>
        </w:trPr>
        <w:tc>
          <w:tcPr>
            <w:tcW w:w="736" w:type="dxa"/>
            <w:vMerge w:val="continue"/>
            <w:noWrap w:val="0"/>
            <w:vAlign w:val="center"/>
          </w:tcPr>
          <w:p w14:paraId="59D53C40">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625D09E1">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7316B013">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642AF7B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w:t>
            </w:r>
            <w:r>
              <w:rPr>
                <w:rFonts w:hint="eastAsia" w:ascii="宋体" w:hAnsi="宋体" w:eastAsia="宋体" w:cs="宋体"/>
                <w:color w:val="000000"/>
                <w:kern w:val="0"/>
                <w:sz w:val="24"/>
                <w:szCs w:val="24"/>
                <w:lang w:eastAsia="zh-CN"/>
              </w:rPr>
              <w:t>重</w:t>
            </w:r>
          </w:p>
        </w:tc>
        <w:tc>
          <w:tcPr>
            <w:tcW w:w="3334" w:type="dxa"/>
            <w:noWrap w:val="0"/>
            <w:vAlign w:val="center"/>
          </w:tcPr>
          <w:p w14:paraId="32A4EF8F">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有下列情形之一的：</w:t>
            </w:r>
          </w:p>
          <w:p w14:paraId="3E085324">
            <w:pPr>
              <w:pStyle w:val="16"/>
              <w:pageBreakBefore w:val="0"/>
              <w:numPr>
                <w:ilvl w:val="0"/>
                <w:numId w:val="0"/>
              </w:numPr>
              <w:kinsoku/>
              <w:wordWrap/>
              <w:overflowPunct/>
              <w:topLinePunct w:val="0"/>
              <w:bidi w:val="0"/>
              <w:snapToGrid w:val="0"/>
              <w:spacing w:beforeAutospacing="0" w:afterAutospacing="0" w:line="380" w:lineRule="exact"/>
              <w:ind w:left="0"/>
              <w:rPr>
                <w:rFonts w:hint="eastAsia" w:ascii="宋体" w:hAnsi="宋体" w:eastAsia="宋体" w:cs="宋体"/>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(1)</w:t>
            </w:r>
            <w:r>
              <w:rPr>
                <w:rFonts w:hint="eastAsia" w:ascii="宋体" w:hAnsi="宋体" w:eastAsia="宋体" w:cs="宋体"/>
                <w:b w:val="0"/>
                <w:bCs w:val="0"/>
                <w:color w:val="000000"/>
                <w:kern w:val="0"/>
                <w:sz w:val="24"/>
                <w:szCs w:val="24"/>
                <w:lang w:val="en-US" w:eastAsia="zh-CN" w:bidi="ar-SA"/>
              </w:rPr>
              <w:t>同时违反上述规定第（一）和（三）项的；</w:t>
            </w:r>
          </w:p>
          <w:p w14:paraId="517937CC">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color w:val="000000"/>
                <w:kern w:val="0"/>
                <w:sz w:val="24"/>
                <w:szCs w:val="24"/>
                <w:u w:val="none"/>
                <w:lang w:val="en-US" w:eastAsia="zh-CN" w:bidi="ar-SA"/>
              </w:rPr>
            </w:pPr>
            <w:r>
              <w:rPr>
                <w:rFonts w:hint="eastAsia" w:ascii="宋体" w:hAnsi="宋体" w:cs="宋体"/>
                <w:b w:val="0"/>
                <w:bCs w:val="0"/>
                <w:color w:val="000000"/>
                <w:kern w:val="0"/>
                <w:sz w:val="24"/>
                <w:szCs w:val="24"/>
                <w:lang w:val="en-US" w:eastAsia="zh-CN" w:bidi="ar-SA"/>
              </w:rPr>
              <w:t>(2)</w:t>
            </w:r>
            <w:r>
              <w:rPr>
                <w:rFonts w:hint="eastAsia" w:ascii="宋体" w:hAnsi="宋体" w:eastAsia="宋体" w:cs="宋体"/>
                <w:b w:val="0"/>
                <w:bCs w:val="0"/>
                <w:color w:val="000000"/>
                <w:kern w:val="0"/>
                <w:sz w:val="24"/>
                <w:szCs w:val="24"/>
                <w:lang w:val="en" w:eastAsia="zh-CN" w:bidi="ar-SA"/>
              </w:rPr>
              <w:t>3</w:t>
            </w:r>
            <w:r>
              <w:rPr>
                <w:rFonts w:hint="eastAsia" w:ascii="宋体" w:hAnsi="宋体" w:eastAsia="宋体" w:cs="宋体"/>
                <w:b w:val="0"/>
                <w:bCs w:val="0"/>
                <w:color w:val="000000"/>
                <w:kern w:val="0"/>
                <w:sz w:val="24"/>
                <w:szCs w:val="24"/>
                <w:lang w:val="en-US" w:eastAsia="zh-CN" w:bidi="ar-SA"/>
              </w:rPr>
              <w:t>人以上未取得相应特种作业人员证书，上岗作业的。</w:t>
            </w:r>
          </w:p>
        </w:tc>
        <w:tc>
          <w:tcPr>
            <w:tcW w:w="3251" w:type="dxa"/>
            <w:noWrap w:val="0"/>
            <w:vAlign w:val="center"/>
          </w:tcPr>
          <w:p w14:paraId="1D1E05CD">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逾期未改正的，责令停止使用或者停产停业整顿，处1万元以上2万元以下罚款。</w:t>
            </w:r>
          </w:p>
        </w:tc>
      </w:tr>
      <w:tr w14:paraId="49715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jc w:val="center"/>
        </w:trPr>
        <w:tc>
          <w:tcPr>
            <w:tcW w:w="736" w:type="dxa"/>
            <w:vMerge w:val="restart"/>
            <w:noWrap w:val="0"/>
            <w:vAlign w:val="center"/>
          </w:tcPr>
          <w:p w14:paraId="6BFAB92F">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
              </w:rPr>
            </w:pPr>
            <w:r>
              <w:rPr>
                <w:rFonts w:hint="eastAsia" w:ascii="宋体" w:hAnsi="宋体" w:eastAsia="宋体" w:cs="宋体"/>
                <w:b w:val="0"/>
                <w:bCs w:val="0"/>
                <w:color w:val="000000"/>
                <w:kern w:val="0"/>
                <w:sz w:val="24"/>
                <w:szCs w:val="24"/>
                <w:lang w:val="en"/>
              </w:rPr>
              <w:t>1</w:t>
            </w:r>
            <w:r>
              <w:rPr>
                <w:rFonts w:hint="eastAsia" w:ascii="宋体" w:hAnsi="宋体" w:eastAsia="宋体" w:cs="宋体"/>
                <w:b w:val="0"/>
                <w:bCs w:val="0"/>
                <w:color w:val="000000"/>
                <w:kern w:val="0"/>
                <w:sz w:val="24"/>
                <w:szCs w:val="24"/>
                <w:lang w:val="en-US" w:eastAsia="zh-CN"/>
              </w:rPr>
              <w:t>9</w:t>
            </w:r>
            <w:r>
              <w:rPr>
                <w:rFonts w:hint="eastAsia" w:ascii="宋体" w:hAnsi="宋体" w:cs="宋体"/>
                <w:b w:val="0"/>
                <w:bCs w:val="0"/>
                <w:color w:val="000000"/>
                <w:kern w:val="0"/>
                <w:sz w:val="24"/>
                <w:szCs w:val="24"/>
                <w:lang w:val="en-US" w:eastAsia="zh-CN"/>
              </w:rPr>
              <w:t>4</w:t>
            </w:r>
          </w:p>
        </w:tc>
        <w:tc>
          <w:tcPr>
            <w:tcW w:w="1748" w:type="dxa"/>
            <w:vMerge w:val="restart"/>
            <w:noWrap w:val="0"/>
            <w:vAlign w:val="center"/>
          </w:tcPr>
          <w:p w14:paraId="7CFCA972">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b w:val="0"/>
                <w:bCs/>
                <w:color w:val="000000"/>
                <w:kern w:val="0"/>
                <w:sz w:val="24"/>
                <w:szCs w:val="24"/>
                <w:u w:val="none"/>
                <w:lang w:val="en-US" w:eastAsia="zh-CN" w:bidi="ar-SA"/>
              </w:rPr>
              <w:t>《特种设备安全监察条例》</w:t>
            </w:r>
          </w:p>
        </w:tc>
        <w:tc>
          <w:tcPr>
            <w:tcW w:w="4140" w:type="dxa"/>
            <w:vMerge w:val="restart"/>
            <w:noWrap w:val="0"/>
            <w:vAlign w:val="center"/>
          </w:tcPr>
          <w:p w14:paraId="18F65796">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第八十七条</w:t>
            </w:r>
            <w:r>
              <w:rPr>
                <w:rFonts w:hint="eastAsia" w:ascii="宋体" w:hAnsi="宋体" w:cs="宋体"/>
                <w:color w:val="000000"/>
                <w:kern w:val="0"/>
                <w:sz w:val="24"/>
                <w:szCs w:val="24"/>
                <w:lang w:val="en-US" w:eastAsia="zh-CN" w:bidi="ar-SA"/>
              </w:rPr>
              <w:t xml:space="preserve"> </w:t>
            </w:r>
            <w:r>
              <w:rPr>
                <w:rFonts w:hint="eastAsia" w:ascii="宋体" w:hAnsi="宋体" w:eastAsia="宋体" w:cs="宋体"/>
                <w:color w:val="000000"/>
                <w:kern w:val="0"/>
                <w:sz w:val="24"/>
                <w:szCs w:val="24"/>
                <w:lang w:val="en-US" w:eastAsia="zh-CN" w:bidi="ar-SA"/>
              </w:rPr>
              <w:t>发生特种设备事故，有下列情形之一的，对单位，由特种设备安全监督管理部门处5万元以上20万元以下罚款；对主要负责人，由特种设备安全监督管理部门处4000元以上2万元以下罚款；属于国家工作人员的，依法给予处分；触犯刑律的，依照刑法关于重大责任事故罪或者其他罪的规定，依法追究刑事责任：</w:t>
            </w:r>
          </w:p>
          <w:p w14:paraId="010C3E3D">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jc w:val="both"/>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(一)特种设备使用单位的主要负责人在本单位发生特种设备事故时，不立即组织抢救或者在事故调查处理期间擅离职守或者逃匿的；</w:t>
            </w:r>
          </w:p>
          <w:p w14:paraId="6BC850B0">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bidi="ar-SA"/>
              </w:rPr>
              <w:t>(二)特种设备使用单位的主要负责人对特种设备事故隐瞒不报、谎报或者拖延不报的。</w:t>
            </w:r>
          </w:p>
        </w:tc>
        <w:tc>
          <w:tcPr>
            <w:tcW w:w="1132" w:type="dxa"/>
            <w:noWrap w:val="0"/>
            <w:vAlign w:val="center"/>
          </w:tcPr>
          <w:p w14:paraId="78741DB9">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05B61974">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发生一般事故的。</w:t>
            </w:r>
          </w:p>
        </w:tc>
        <w:tc>
          <w:tcPr>
            <w:tcW w:w="3251" w:type="dxa"/>
            <w:noWrap w:val="0"/>
            <w:vAlign w:val="center"/>
          </w:tcPr>
          <w:p w14:paraId="35D7FFB4">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对单位，处5万元以上9.5万元以下罚款；对主要负责人，处4000元以上8800元以下罚款。</w:t>
            </w:r>
          </w:p>
        </w:tc>
      </w:tr>
      <w:tr w14:paraId="0388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7" w:hRule="atLeast"/>
          <w:jc w:val="center"/>
        </w:trPr>
        <w:tc>
          <w:tcPr>
            <w:tcW w:w="736" w:type="dxa"/>
            <w:vMerge w:val="continue"/>
            <w:noWrap w:val="0"/>
            <w:vAlign w:val="center"/>
          </w:tcPr>
          <w:p w14:paraId="799587B0">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74DA7C81">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31287818">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207D8402">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384824BE">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发生较大事故的。</w:t>
            </w:r>
          </w:p>
        </w:tc>
        <w:tc>
          <w:tcPr>
            <w:tcW w:w="3251" w:type="dxa"/>
            <w:noWrap w:val="0"/>
            <w:vAlign w:val="center"/>
          </w:tcPr>
          <w:p w14:paraId="60EF57CF">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对单位，处9.5万元以上15.5万元以下罚款；对主要负责人，处8800元以上1.52万元以下罚款。</w:t>
            </w:r>
          </w:p>
        </w:tc>
      </w:tr>
      <w:tr w14:paraId="1CB8A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3" w:hRule="atLeast"/>
          <w:jc w:val="center"/>
        </w:trPr>
        <w:tc>
          <w:tcPr>
            <w:tcW w:w="736" w:type="dxa"/>
            <w:vMerge w:val="continue"/>
            <w:noWrap w:val="0"/>
            <w:vAlign w:val="center"/>
          </w:tcPr>
          <w:p w14:paraId="08052349">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02CA9069">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5819007E">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3A6AABF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3C36FC1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发生重大事故或特别重大事故的。</w:t>
            </w:r>
          </w:p>
        </w:tc>
        <w:tc>
          <w:tcPr>
            <w:tcW w:w="3251" w:type="dxa"/>
            <w:noWrap w:val="0"/>
            <w:vAlign w:val="center"/>
          </w:tcPr>
          <w:p w14:paraId="6F878A36">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对单位，处15.5万元以上20万元以下罚款；对主要负责人，处1.52万元以上2万元以下罚款。</w:t>
            </w:r>
          </w:p>
        </w:tc>
      </w:tr>
      <w:tr w14:paraId="3ED2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736" w:type="dxa"/>
            <w:vMerge w:val="restart"/>
            <w:noWrap w:val="0"/>
            <w:vAlign w:val="center"/>
          </w:tcPr>
          <w:p w14:paraId="4EDFB084">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
              </w:rPr>
            </w:pPr>
            <w:r>
              <w:rPr>
                <w:rFonts w:hint="eastAsia" w:ascii="宋体" w:hAnsi="宋体" w:eastAsia="宋体" w:cs="宋体"/>
                <w:b w:val="0"/>
                <w:bCs w:val="0"/>
                <w:color w:val="000000"/>
                <w:kern w:val="0"/>
                <w:sz w:val="24"/>
                <w:szCs w:val="24"/>
                <w:lang w:val="en"/>
              </w:rPr>
              <w:t>1</w:t>
            </w:r>
            <w:r>
              <w:rPr>
                <w:rFonts w:hint="eastAsia" w:ascii="宋体" w:hAnsi="宋体" w:eastAsia="宋体" w:cs="宋体"/>
                <w:b w:val="0"/>
                <w:bCs w:val="0"/>
                <w:color w:val="000000"/>
                <w:kern w:val="0"/>
                <w:sz w:val="24"/>
                <w:szCs w:val="24"/>
                <w:lang w:val="en-US" w:eastAsia="zh-CN"/>
              </w:rPr>
              <w:t>9</w:t>
            </w:r>
            <w:r>
              <w:rPr>
                <w:rFonts w:hint="eastAsia" w:ascii="宋体" w:hAnsi="宋体" w:cs="宋体"/>
                <w:b w:val="0"/>
                <w:bCs w:val="0"/>
                <w:color w:val="000000"/>
                <w:kern w:val="0"/>
                <w:sz w:val="24"/>
                <w:szCs w:val="24"/>
                <w:lang w:val="en-US" w:eastAsia="zh-CN"/>
              </w:rPr>
              <w:t>5</w:t>
            </w:r>
          </w:p>
        </w:tc>
        <w:tc>
          <w:tcPr>
            <w:tcW w:w="1748" w:type="dxa"/>
            <w:vMerge w:val="restart"/>
            <w:noWrap w:val="0"/>
            <w:vAlign w:val="center"/>
          </w:tcPr>
          <w:p w14:paraId="540EB902">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b w:val="0"/>
                <w:bCs/>
                <w:color w:val="000000"/>
                <w:kern w:val="0"/>
                <w:sz w:val="24"/>
                <w:szCs w:val="24"/>
                <w:u w:val="none"/>
                <w:lang w:val="en-US" w:eastAsia="zh-CN" w:bidi="ar-SA"/>
              </w:rPr>
              <w:t>《特种设备安全监察条例》</w:t>
            </w:r>
          </w:p>
        </w:tc>
        <w:tc>
          <w:tcPr>
            <w:tcW w:w="4140" w:type="dxa"/>
            <w:vMerge w:val="restart"/>
            <w:noWrap w:val="0"/>
            <w:vAlign w:val="center"/>
          </w:tcPr>
          <w:p w14:paraId="2D4A4A04">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jc w:val="both"/>
              <w:rPr>
                <w:rFonts w:hint="eastAsia" w:ascii="宋体" w:hAnsi="宋体" w:eastAsia="宋体" w:cs="宋体"/>
                <w:color w:val="000000"/>
                <w:spacing w:val="-6"/>
                <w:kern w:val="0"/>
                <w:sz w:val="24"/>
                <w:szCs w:val="24"/>
              </w:rPr>
            </w:pPr>
            <w:r>
              <w:rPr>
                <w:rFonts w:hint="eastAsia" w:ascii="宋体" w:hAnsi="宋体" w:eastAsia="宋体" w:cs="宋体"/>
                <w:color w:val="000000"/>
                <w:spacing w:val="-6"/>
                <w:kern w:val="0"/>
                <w:sz w:val="24"/>
                <w:szCs w:val="24"/>
                <w:lang w:val="en-US" w:eastAsia="zh-CN" w:bidi="ar-SA"/>
              </w:rPr>
              <w:t>第九十一条</w:t>
            </w:r>
            <w:r>
              <w:rPr>
                <w:rFonts w:hint="eastAsia" w:ascii="宋体" w:hAnsi="宋体" w:cs="宋体"/>
                <w:color w:val="000000"/>
                <w:spacing w:val="-6"/>
                <w:kern w:val="0"/>
                <w:sz w:val="24"/>
                <w:szCs w:val="24"/>
                <w:lang w:val="en-US" w:eastAsia="zh-CN" w:bidi="ar-SA"/>
              </w:rPr>
              <w:t xml:space="preserve"> </w:t>
            </w:r>
            <w:r>
              <w:rPr>
                <w:rFonts w:hint="eastAsia" w:ascii="宋体" w:hAnsi="宋体" w:eastAsia="宋体" w:cs="宋体"/>
                <w:color w:val="000000"/>
                <w:spacing w:val="-6"/>
                <w:kern w:val="0"/>
                <w:sz w:val="24"/>
                <w:szCs w:val="24"/>
                <w:lang w:val="en-US" w:eastAsia="zh-CN" w:bidi="ar-SA"/>
              </w:rPr>
              <w:t>未经核准，擅自从事本条例所规定的监督检验、定期检验、型式试验以及无损检测等检验检测活动的，由特种设备安全监督管理部门予以取缔，处5万元以上20万元以下罚款；有违法所得的，没收违法所得；触犯刑律的，对负有责任的主管人员和其他直接责任人员依照刑法关于非法经营罪或者其他罪的规定，依法追究刑事责任。</w:t>
            </w:r>
          </w:p>
        </w:tc>
        <w:tc>
          <w:tcPr>
            <w:tcW w:w="1132" w:type="dxa"/>
            <w:noWrap w:val="0"/>
            <w:vAlign w:val="center"/>
          </w:tcPr>
          <w:p w14:paraId="7F834E11">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091569D6">
            <w:pPr>
              <w:pageBreakBefore w:val="0"/>
              <w:widowControl/>
              <w:kinsoku/>
              <w:wordWrap/>
              <w:overflowPunct/>
              <w:topLinePunct w:val="0"/>
              <w:bidi w:val="0"/>
              <w:snapToGrid w:val="0"/>
              <w:spacing w:beforeAutospacing="0" w:afterAutospacing="0" w:line="360" w:lineRule="exact"/>
              <w:ind w:left="0"/>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检验检测的特种设备未交付使用的。</w:t>
            </w:r>
          </w:p>
        </w:tc>
        <w:tc>
          <w:tcPr>
            <w:tcW w:w="3251" w:type="dxa"/>
            <w:noWrap w:val="0"/>
            <w:vAlign w:val="center"/>
          </w:tcPr>
          <w:p w14:paraId="1EC0C56F">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予以取缔，处5万元以上9.5万元以下罚款；有违法所得的，没收违法所得。</w:t>
            </w:r>
          </w:p>
        </w:tc>
      </w:tr>
      <w:tr w14:paraId="2951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736" w:type="dxa"/>
            <w:vMerge w:val="continue"/>
            <w:noWrap w:val="0"/>
            <w:vAlign w:val="center"/>
          </w:tcPr>
          <w:p w14:paraId="1C5802F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6A4FCE60">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09E2FDC2">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spacing w:val="-6"/>
                <w:kern w:val="0"/>
                <w:sz w:val="24"/>
                <w:szCs w:val="24"/>
              </w:rPr>
            </w:pPr>
          </w:p>
        </w:tc>
        <w:tc>
          <w:tcPr>
            <w:tcW w:w="1132" w:type="dxa"/>
            <w:noWrap w:val="0"/>
            <w:vAlign w:val="center"/>
          </w:tcPr>
          <w:p w14:paraId="49617384">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6BCCD6EB">
            <w:pPr>
              <w:pageBreakBefore w:val="0"/>
              <w:widowControl/>
              <w:kinsoku/>
              <w:wordWrap/>
              <w:overflowPunct/>
              <w:topLinePunct w:val="0"/>
              <w:bidi w:val="0"/>
              <w:snapToGrid w:val="0"/>
              <w:spacing w:beforeAutospacing="0" w:afterAutospacing="0" w:line="360" w:lineRule="exact"/>
              <w:ind w:left="0"/>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检验检测的特种设备已交付使用，但经核准的检验检测机构重新检验检测合格的。</w:t>
            </w:r>
          </w:p>
        </w:tc>
        <w:tc>
          <w:tcPr>
            <w:tcW w:w="3251" w:type="dxa"/>
            <w:noWrap w:val="0"/>
            <w:vAlign w:val="center"/>
          </w:tcPr>
          <w:p w14:paraId="110BB0F4">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予以取缔，处9.5万元以上15.5万元以下罚款；有违法所得的，没收违法所得。</w:t>
            </w:r>
          </w:p>
        </w:tc>
      </w:tr>
      <w:tr w14:paraId="677A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736" w:type="dxa"/>
            <w:vMerge w:val="continue"/>
            <w:noWrap w:val="0"/>
            <w:vAlign w:val="center"/>
          </w:tcPr>
          <w:p w14:paraId="086AAB79">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4019A0B1">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682BC20F">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spacing w:val="-6"/>
                <w:kern w:val="0"/>
                <w:sz w:val="24"/>
                <w:szCs w:val="24"/>
              </w:rPr>
            </w:pPr>
          </w:p>
        </w:tc>
        <w:tc>
          <w:tcPr>
            <w:tcW w:w="1132" w:type="dxa"/>
            <w:noWrap w:val="0"/>
            <w:vAlign w:val="center"/>
          </w:tcPr>
          <w:p w14:paraId="687D7104">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1864E399">
            <w:pPr>
              <w:pageBreakBefore w:val="0"/>
              <w:widowControl/>
              <w:kinsoku/>
              <w:wordWrap/>
              <w:overflowPunct/>
              <w:topLinePunct w:val="0"/>
              <w:bidi w:val="0"/>
              <w:snapToGrid w:val="0"/>
              <w:spacing w:beforeAutospacing="0" w:afterAutospacing="0" w:line="360" w:lineRule="exact"/>
              <w:ind w:left="0"/>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检验检测的特种设备已交付使用，且经核准的检验检测机构重新检验检测不合格的。</w:t>
            </w:r>
          </w:p>
        </w:tc>
        <w:tc>
          <w:tcPr>
            <w:tcW w:w="3251" w:type="dxa"/>
            <w:noWrap w:val="0"/>
            <w:vAlign w:val="center"/>
          </w:tcPr>
          <w:p w14:paraId="00268E2A">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予以取缔，处15.5万元以上20万元以下罚款；有违法所得的，没收违法所得。</w:t>
            </w:r>
          </w:p>
        </w:tc>
      </w:tr>
      <w:tr w14:paraId="3EA68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jc w:val="center"/>
        </w:trPr>
        <w:tc>
          <w:tcPr>
            <w:tcW w:w="736" w:type="dxa"/>
            <w:vMerge w:val="restart"/>
            <w:noWrap w:val="0"/>
            <w:vAlign w:val="center"/>
          </w:tcPr>
          <w:p w14:paraId="1B50934B">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
              </w:rPr>
            </w:pPr>
            <w:r>
              <w:rPr>
                <w:rFonts w:hint="eastAsia" w:ascii="宋体" w:hAnsi="宋体" w:eastAsia="宋体" w:cs="宋体"/>
                <w:b w:val="0"/>
                <w:bCs w:val="0"/>
                <w:color w:val="000000"/>
                <w:kern w:val="0"/>
                <w:sz w:val="24"/>
                <w:szCs w:val="24"/>
                <w:lang w:val="en"/>
              </w:rPr>
              <w:t>19</w:t>
            </w:r>
            <w:r>
              <w:rPr>
                <w:rFonts w:hint="eastAsia" w:ascii="宋体" w:hAnsi="宋体" w:cs="宋体"/>
                <w:b w:val="0"/>
                <w:bCs w:val="0"/>
                <w:color w:val="000000"/>
                <w:kern w:val="0"/>
                <w:sz w:val="24"/>
                <w:szCs w:val="24"/>
                <w:lang w:val="en-US" w:eastAsia="zh-CN"/>
              </w:rPr>
              <w:t>6</w:t>
            </w:r>
          </w:p>
        </w:tc>
        <w:tc>
          <w:tcPr>
            <w:tcW w:w="1748" w:type="dxa"/>
            <w:vMerge w:val="restart"/>
            <w:noWrap w:val="0"/>
            <w:vAlign w:val="center"/>
          </w:tcPr>
          <w:p w14:paraId="30A1AF42">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b w:val="0"/>
                <w:bCs/>
                <w:color w:val="000000"/>
                <w:kern w:val="0"/>
                <w:sz w:val="24"/>
                <w:szCs w:val="24"/>
                <w:u w:val="none"/>
                <w:lang w:val="en-US" w:eastAsia="zh-CN" w:bidi="ar-SA"/>
              </w:rPr>
              <w:t>《特种设备安全监察条例》</w:t>
            </w:r>
          </w:p>
        </w:tc>
        <w:tc>
          <w:tcPr>
            <w:tcW w:w="4140" w:type="dxa"/>
            <w:vMerge w:val="restart"/>
            <w:noWrap w:val="0"/>
            <w:vAlign w:val="center"/>
          </w:tcPr>
          <w:p w14:paraId="5B6426D0">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jc w:val="both"/>
              <w:rPr>
                <w:rFonts w:hint="eastAsia" w:ascii="宋体" w:hAnsi="宋体" w:eastAsia="宋体" w:cs="宋体"/>
                <w:color w:val="000000"/>
                <w:spacing w:val="-6"/>
                <w:kern w:val="0"/>
                <w:sz w:val="24"/>
                <w:szCs w:val="24"/>
                <w:lang w:val="en-US" w:eastAsia="zh-CN" w:bidi="ar-SA"/>
              </w:rPr>
            </w:pPr>
            <w:r>
              <w:rPr>
                <w:rFonts w:hint="eastAsia" w:ascii="宋体" w:hAnsi="宋体" w:eastAsia="宋体" w:cs="宋体"/>
                <w:color w:val="000000"/>
                <w:spacing w:val="-6"/>
                <w:kern w:val="0"/>
                <w:sz w:val="24"/>
                <w:szCs w:val="24"/>
                <w:lang w:val="en-US" w:eastAsia="zh-CN" w:bidi="ar-SA"/>
              </w:rPr>
              <w:t>第九十二条</w:t>
            </w:r>
            <w:r>
              <w:rPr>
                <w:rFonts w:hint="eastAsia" w:ascii="宋体" w:hAnsi="宋体" w:cs="宋体"/>
                <w:color w:val="000000"/>
                <w:spacing w:val="-6"/>
                <w:kern w:val="0"/>
                <w:sz w:val="24"/>
                <w:szCs w:val="24"/>
                <w:lang w:val="en-US" w:eastAsia="zh-CN" w:bidi="ar-SA"/>
              </w:rPr>
              <w:t xml:space="preserve"> </w:t>
            </w:r>
            <w:r>
              <w:rPr>
                <w:rFonts w:hint="eastAsia" w:ascii="宋体" w:hAnsi="宋体" w:eastAsia="宋体" w:cs="宋体"/>
                <w:color w:val="000000"/>
                <w:spacing w:val="-6"/>
                <w:kern w:val="0"/>
                <w:sz w:val="24"/>
                <w:szCs w:val="24"/>
                <w:lang w:val="en-US" w:eastAsia="zh-CN" w:bidi="ar-SA"/>
              </w:rPr>
              <w:t>特种设备检验检测机构，有下列情形之一的，由特种设备安全监督管理部门处2万元以上10万元以下罚款；情节严重的，撤销其检验检测资格：</w:t>
            </w:r>
          </w:p>
          <w:p w14:paraId="2EDE9371">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jc w:val="both"/>
              <w:rPr>
                <w:rFonts w:hint="eastAsia" w:ascii="宋体" w:hAnsi="宋体" w:eastAsia="宋体" w:cs="宋体"/>
                <w:color w:val="000000"/>
                <w:spacing w:val="-6"/>
                <w:kern w:val="0"/>
                <w:sz w:val="24"/>
                <w:szCs w:val="24"/>
                <w:lang w:val="en-US" w:eastAsia="zh-CN" w:bidi="ar-SA"/>
              </w:rPr>
            </w:pPr>
            <w:r>
              <w:rPr>
                <w:rFonts w:hint="eastAsia" w:ascii="宋体" w:hAnsi="宋体" w:eastAsia="宋体" w:cs="宋体"/>
                <w:color w:val="000000"/>
                <w:spacing w:val="-6"/>
                <w:kern w:val="0"/>
                <w:sz w:val="24"/>
                <w:szCs w:val="24"/>
                <w:lang w:val="en-US" w:eastAsia="zh-CN" w:bidi="ar-SA"/>
              </w:rPr>
              <w:t>(一)聘用未经特种设备安全监督管理部门组织考核合格并取得检验检测人员证书的人员，从事相关检验检测工作的；</w:t>
            </w:r>
          </w:p>
          <w:p w14:paraId="6505C499">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jc w:val="both"/>
              <w:rPr>
                <w:rFonts w:hint="eastAsia" w:ascii="宋体" w:hAnsi="宋体" w:eastAsia="宋体" w:cs="宋体"/>
                <w:color w:val="000000"/>
                <w:spacing w:val="-6"/>
                <w:kern w:val="0"/>
                <w:sz w:val="24"/>
                <w:szCs w:val="24"/>
              </w:rPr>
            </w:pPr>
            <w:r>
              <w:rPr>
                <w:rFonts w:hint="eastAsia" w:ascii="宋体" w:hAnsi="宋体" w:eastAsia="宋体" w:cs="宋体"/>
                <w:color w:val="000000"/>
                <w:spacing w:val="-6"/>
                <w:kern w:val="0"/>
                <w:sz w:val="24"/>
                <w:szCs w:val="24"/>
                <w:lang w:val="en-US" w:eastAsia="zh-CN" w:bidi="ar-SA"/>
              </w:rPr>
              <w:t>(二)在进行特种设备检验检测中，发现严重事故隐患或者能耗严重超标，未及时告知特种设备使用单位，并立即向特种设备安全监督管理部门报告的。</w:t>
            </w:r>
          </w:p>
        </w:tc>
        <w:tc>
          <w:tcPr>
            <w:tcW w:w="1132" w:type="dxa"/>
            <w:noWrap w:val="0"/>
            <w:vAlign w:val="center"/>
          </w:tcPr>
          <w:p w14:paraId="49DA434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078FA9FC">
            <w:pPr>
              <w:pageBreakBefore w:val="0"/>
              <w:widowControl/>
              <w:kinsoku/>
              <w:wordWrap/>
              <w:overflowPunct/>
              <w:topLinePunct w:val="0"/>
              <w:bidi w:val="0"/>
              <w:snapToGrid w:val="0"/>
              <w:spacing w:beforeAutospacing="0" w:afterAutospacing="0" w:line="360" w:lineRule="exact"/>
              <w:ind w:left="0"/>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有下列情形之一的：</w:t>
            </w:r>
          </w:p>
          <w:p w14:paraId="0A38D814">
            <w:pPr>
              <w:pStyle w:val="16"/>
              <w:keepNext w:val="0"/>
              <w:keepLines w:val="0"/>
              <w:pageBreakBefore w:val="0"/>
              <w:widowControl/>
              <w:numPr>
                <w:ilvl w:val="0"/>
                <w:numId w:val="0"/>
              </w:numPr>
              <w:kinsoku/>
              <w:wordWrap/>
              <w:overflowPunct/>
              <w:topLinePunct w:val="0"/>
              <w:bidi w:val="0"/>
              <w:snapToGrid w:val="0"/>
              <w:spacing w:beforeAutospacing="0" w:afterAutospacing="0" w:line="360" w:lineRule="exact"/>
              <w:ind w:left="0"/>
              <w:textAlignment w:val="auto"/>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 w:eastAsia="zh-CN" w:bidi="ar-SA"/>
              </w:rPr>
              <w:t>(1)</w:t>
            </w:r>
            <w:r>
              <w:rPr>
                <w:rFonts w:hint="eastAsia" w:ascii="宋体" w:hAnsi="宋体" w:eastAsia="宋体" w:cs="宋体"/>
                <w:b w:val="0"/>
                <w:bCs w:val="0"/>
                <w:color w:val="000000"/>
                <w:kern w:val="0"/>
                <w:sz w:val="24"/>
                <w:szCs w:val="24"/>
                <w:lang w:val="en-US" w:eastAsia="zh-CN" w:bidi="ar-SA"/>
              </w:rPr>
              <w:t>聘用无证人员</w:t>
            </w:r>
            <w:r>
              <w:rPr>
                <w:rFonts w:hint="eastAsia" w:ascii="宋体" w:hAnsi="宋体" w:eastAsia="宋体" w:cs="宋体"/>
                <w:b w:val="0"/>
                <w:bCs w:val="0"/>
                <w:color w:val="000000"/>
                <w:kern w:val="0"/>
                <w:sz w:val="24"/>
                <w:szCs w:val="24"/>
                <w:lang w:val="en" w:eastAsia="zh-CN" w:bidi="ar-SA"/>
              </w:rPr>
              <w:t>2</w:t>
            </w:r>
            <w:r>
              <w:rPr>
                <w:rFonts w:hint="eastAsia" w:ascii="宋体" w:hAnsi="宋体" w:eastAsia="宋体" w:cs="宋体"/>
                <w:b w:val="0"/>
                <w:bCs w:val="0"/>
                <w:color w:val="000000"/>
                <w:kern w:val="0"/>
                <w:sz w:val="24"/>
                <w:szCs w:val="24"/>
                <w:lang w:val="en-US" w:eastAsia="zh-CN" w:bidi="ar-SA"/>
              </w:rPr>
              <w:t>人以下从事相关检验检测工作的；</w:t>
            </w:r>
          </w:p>
          <w:p w14:paraId="6F3B6594">
            <w:pPr>
              <w:pageBreakBefore w:val="0"/>
              <w:widowControl/>
              <w:kinsoku/>
              <w:wordWrap/>
              <w:overflowPunct/>
              <w:topLinePunct w:val="0"/>
              <w:bidi w:val="0"/>
              <w:snapToGrid w:val="0"/>
              <w:spacing w:beforeAutospacing="0" w:afterAutospacing="0" w:line="360" w:lineRule="exact"/>
              <w:ind w:left="0"/>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 w:eastAsia="zh-CN" w:bidi="ar-SA"/>
              </w:rPr>
              <w:t>(</w:t>
            </w:r>
            <w:r>
              <w:rPr>
                <w:rFonts w:hint="eastAsia" w:ascii="宋体" w:hAnsi="宋体" w:eastAsia="宋体" w:cs="宋体"/>
                <w:b w:val="0"/>
                <w:bCs w:val="0"/>
                <w:color w:val="000000"/>
                <w:kern w:val="0"/>
                <w:sz w:val="24"/>
                <w:szCs w:val="24"/>
                <w:lang w:val="en-US" w:eastAsia="zh-CN" w:bidi="ar-SA"/>
              </w:rPr>
              <w:t>2</w:t>
            </w:r>
            <w:r>
              <w:rPr>
                <w:rFonts w:hint="eastAsia" w:ascii="宋体" w:hAnsi="宋体" w:eastAsia="宋体" w:cs="宋体"/>
                <w:b w:val="0"/>
                <w:bCs w:val="0"/>
                <w:color w:val="000000"/>
                <w:kern w:val="0"/>
                <w:sz w:val="24"/>
                <w:szCs w:val="24"/>
                <w:lang w:val="en" w:eastAsia="zh-CN" w:bidi="ar-SA"/>
              </w:rPr>
              <w:t>)发现</w:t>
            </w:r>
            <w:r>
              <w:rPr>
                <w:rFonts w:hint="eastAsia" w:ascii="宋体" w:hAnsi="宋体" w:eastAsia="宋体" w:cs="宋体"/>
                <w:b w:val="0"/>
                <w:bCs w:val="0"/>
                <w:color w:val="000000"/>
                <w:kern w:val="0"/>
                <w:sz w:val="24"/>
                <w:szCs w:val="24"/>
                <w:lang w:val="en-US" w:eastAsia="zh-CN" w:bidi="ar-SA"/>
              </w:rPr>
              <w:t>1</w:t>
            </w:r>
            <w:r>
              <w:rPr>
                <w:rFonts w:hint="eastAsia" w:ascii="宋体" w:hAnsi="宋体" w:eastAsia="宋体" w:cs="宋体"/>
                <w:b w:val="0"/>
                <w:bCs w:val="0"/>
                <w:color w:val="000000"/>
                <w:kern w:val="0"/>
                <w:sz w:val="24"/>
                <w:szCs w:val="24"/>
                <w:lang w:val="en" w:eastAsia="zh-CN" w:bidi="ar-SA"/>
              </w:rPr>
              <w:t>处严重事故隐患或者能耗严重超标，未及时告知并报告</w:t>
            </w:r>
            <w:r>
              <w:rPr>
                <w:rFonts w:hint="eastAsia" w:ascii="宋体" w:hAnsi="宋体" w:eastAsia="宋体" w:cs="宋体"/>
                <w:b w:val="0"/>
                <w:bCs w:val="0"/>
                <w:color w:val="000000"/>
                <w:kern w:val="0"/>
                <w:sz w:val="24"/>
                <w:szCs w:val="24"/>
                <w:lang w:val="en-US" w:eastAsia="zh-CN" w:bidi="ar-SA"/>
              </w:rPr>
              <w:t>的。</w:t>
            </w:r>
          </w:p>
        </w:tc>
        <w:tc>
          <w:tcPr>
            <w:tcW w:w="3251" w:type="dxa"/>
            <w:noWrap w:val="0"/>
            <w:vAlign w:val="center"/>
          </w:tcPr>
          <w:p w14:paraId="5F3372C0">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处2万元以上5万元以下罚款。</w:t>
            </w:r>
          </w:p>
        </w:tc>
      </w:tr>
      <w:tr w14:paraId="2440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jc w:val="center"/>
        </w:trPr>
        <w:tc>
          <w:tcPr>
            <w:tcW w:w="736" w:type="dxa"/>
            <w:vMerge w:val="continue"/>
            <w:noWrap w:val="0"/>
            <w:vAlign w:val="center"/>
          </w:tcPr>
          <w:p w14:paraId="27FD67FA">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0BE62863">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50C967E9">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3E151EFF">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702247C2">
            <w:pPr>
              <w:pageBreakBefore w:val="0"/>
              <w:widowControl/>
              <w:kinsoku/>
              <w:wordWrap/>
              <w:overflowPunct/>
              <w:topLinePunct w:val="0"/>
              <w:bidi w:val="0"/>
              <w:snapToGrid w:val="0"/>
              <w:spacing w:beforeAutospacing="0" w:afterAutospacing="0" w:line="360" w:lineRule="exact"/>
              <w:ind w:left="0"/>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有下列情形之一的：</w:t>
            </w:r>
          </w:p>
          <w:p w14:paraId="4CB87AA0">
            <w:pPr>
              <w:pStyle w:val="16"/>
              <w:keepNext w:val="0"/>
              <w:keepLines w:val="0"/>
              <w:pageBreakBefore w:val="0"/>
              <w:widowControl/>
              <w:numPr>
                <w:ilvl w:val="0"/>
                <w:numId w:val="0"/>
              </w:numPr>
              <w:kinsoku/>
              <w:wordWrap/>
              <w:overflowPunct/>
              <w:topLinePunct w:val="0"/>
              <w:bidi w:val="0"/>
              <w:snapToGrid w:val="0"/>
              <w:spacing w:beforeAutospacing="0" w:afterAutospacing="0" w:line="360" w:lineRule="exact"/>
              <w:ind w:left="0"/>
              <w:textAlignment w:val="auto"/>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 w:eastAsia="zh-CN" w:bidi="ar-SA"/>
              </w:rPr>
              <w:t>(1)</w:t>
            </w:r>
            <w:r>
              <w:rPr>
                <w:rFonts w:hint="eastAsia" w:ascii="宋体" w:hAnsi="宋体" w:eastAsia="宋体" w:cs="宋体"/>
                <w:b w:val="0"/>
                <w:bCs w:val="0"/>
                <w:color w:val="000000"/>
                <w:kern w:val="0"/>
                <w:sz w:val="24"/>
                <w:szCs w:val="24"/>
                <w:lang w:val="en-US" w:eastAsia="zh-CN" w:bidi="ar-SA"/>
              </w:rPr>
              <w:t>聘用无证人员</w:t>
            </w:r>
            <w:r>
              <w:rPr>
                <w:rFonts w:hint="eastAsia" w:ascii="宋体" w:hAnsi="宋体" w:eastAsia="宋体" w:cs="宋体"/>
                <w:b w:val="0"/>
                <w:bCs w:val="0"/>
                <w:color w:val="000000"/>
                <w:kern w:val="0"/>
                <w:sz w:val="24"/>
                <w:szCs w:val="24"/>
                <w:lang w:val="en" w:eastAsia="zh-CN" w:bidi="ar-SA"/>
              </w:rPr>
              <w:t>3</w:t>
            </w:r>
            <w:r>
              <w:rPr>
                <w:rFonts w:hint="eastAsia" w:ascii="宋体" w:hAnsi="宋体" w:eastAsia="宋体" w:cs="宋体"/>
                <w:b w:val="0"/>
                <w:bCs w:val="0"/>
                <w:color w:val="000000"/>
                <w:kern w:val="0"/>
                <w:sz w:val="24"/>
                <w:szCs w:val="24"/>
                <w:lang w:val="en-US" w:eastAsia="zh-CN" w:bidi="ar-SA"/>
              </w:rPr>
              <w:t>人以上从事相关检验检测工作的；</w:t>
            </w:r>
          </w:p>
          <w:p w14:paraId="55883303">
            <w:pPr>
              <w:pageBreakBefore w:val="0"/>
              <w:widowControl/>
              <w:kinsoku/>
              <w:wordWrap/>
              <w:overflowPunct/>
              <w:topLinePunct w:val="0"/>
              <w:bidi w:val="0"/>
              <w:snapToGrid w:val="0"/>
              <w:spacing w:beforeAutospacing="0" w:afterAutospacing="0" w:line="360" w:lineRule="exact"/>
              <w:ind w:left="0"/>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 w:eastAsia="zh-CN" w:bidi="ar-SA"/>
              </w:rPr>
              <w:t>(</w:t>
            </w:r>
            <w:r>
              <w:rPr>
                <w:rFonts w:hint="eastAsia" w:ascii="宋体" w:hAnsi="宋体" w:eastAsia="宋体" w:cs="宋体"/>
                <w:b w:val="0"/>
                <w:bCs w:val="0"/>
                <w:color w:val="000000"/>
                <w:kern w:val="0"/>
                <w:sz w:val="24"/>
                <w:szCs w:val="24"/>
                <w:lang w:val="en-US" w:eastAsia="zh-CN" w:bidi="ar-SA"/>
              </w:rPr>
              <w:t>2</w:t>
            </w:r>
            <w:r>
              <w:rPr>
                <w:rFonts w:hint="eastAsia" w:ascii="宋体" w:hAnsi="宋体" w:eastAsia="宋体" w:cs="宋体"/>
                <w:b w:val="0"/>
                <w:bCs w:val="0"/>
                <w:color w:val="000000"/>
                <w:kern w:val="0"/>
                <w:sz w:val="24"/>
                <w:szCs w:val="24"/>
                <w:lang w:val="en" w:eastAsia="zh-CN" w:bidi="ar-SA"/>
              </w:rPr>
              <w:t>)发现</w:t>
            </w:r>
            <w:r>
              <w:rPr>
                <w:rFonts w:hint="eastAsia" w:ascii="宋体" w:hAnsi="宋体" w:eastAsia="宋体" w:cs="宋体"/>
                <w:b w:val="0"/>
                <w:bCs w:val="0"/>
                <w:color w:val="000000"/>
                <w:kern w:val="0"/>
                <w:sz w:val="24"/>
                <w:szCs w:val="24"/>
                <w:lang w:val="en-US" w:eastAsia="zh-CN" w:bidi="ar-SA"/>
              </w:rPr>
              <w:t>2</w:t>
            </w:r>
            <w:r>
              <w:rPr>
                <w:rFonts w:hint="eastAsia" w:ascii="宋体" w:hAnsi="宋体" w:eastAsia="宋体" w:cs="宋体"/>
                <w:b w:val="0"/>
                <w:bCs w:val="0"/>
                <w:color w:val="000000"/>
                <w:kern w:val="0"/>
                <w:sz w:val="24"/>
                <w:szCs w:val="24"/>
                <w:lang w:val="en" w:eastAsia="zh-CN" w:bidi="ar-SA"/>
              </w:rPr>
              <w:t>处严重事故隐患或者能耗严重超标，未及时告知并报告</w:t>
            </w:r>
            <w:r>
              <w:rPr>
                <w:rFonts w:hint="eastAsia" w:ascii="宋体" w:hAnsi="宋体" w:eastAsia="宋体" w:cs="宋体"/>
                <w:b w:val="0"/>
                <w:bCs w:val="0"/>
                <w:color w:val="000000"/>
                <w:kern w:val="0"/>
                <w:sz w:val="24"/>
                <w:szCs w:val="24"/>
                <w:lang w:val="en-US" w:eastAsia="zh-CN" w:bidi="ar-SA"/>
              </w:rPr>
              <w:t>的。</w:t>
            </w:r>
          </w:p>
        </w:tc>
        <w:tc>
          <w:tcPr>
            <w:tcW w:w="3251" w:type="dxa"/>
            <w:noWrap w:val="0"/>
            <w:vAlign w:val="center"/>
          </w:tcPr>
          <w:p w14:paraId="2FEDDB76">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处5万元以上10万元以下罚款。</w:t>
            </w:r>
          </w:p>
        </w:tc>
      </w:tr>
      <w:tr w14:paraId="5AF0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36" w:type="dxa"/>
            <w:vMerge w:val="continue"/>
            <w:noWrap w:val="0"/>
            <w:vAlign w:val="center"/>
          </w:tcPr>
          <w:p w14:paraId="094877E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2E096846">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490CBA77">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7038F5A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421FEF4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造成严重危害后果的。</w:t>
            </w:r>
          </w:p>
        </w:tc>
        <w:tc>
          <w:tcPr>
            <w:tcW w:w="3251" w:type="dxa"/>
            <w:noWrap w:val="0"/>
            <w:vAlign w:val="center"/>
          </w:tcPr>
          <w:p w14:paraId="13720A89">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撤销其检验检测资格。</w:t>
            </w:r>
          </w:p>
        </w:tc>
      </w:tr>
      <w:tr w14:paraId="3FE5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4" w:hRule="exact"/>
          <w:jc w:val="center"/>
        </w:trPr>
        <w:tc>
          <w:tcPr>
            <w:tcW w:w="736" w:type="dxa"/>
            <w:vMerge w:val="restart"/>
            <w:noWrap w:val="0"/>
            <w:vAlign w:val="center"/>
          </w:tcPr>
          <w:p w14:paraId="6EE5694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
              </w:rPr>
            </w:pPr>
            <w:r>
              <w:rPr>
                <w:rFonts w:hint="eastAsia" w:ascii="宋体" w:hAnsi="宋体" w:eastAsia="宋体" w:cs="宋体"/>
                <w:b w:val="0"/>
                <w:bCs w:val="0"/>
                <w:color w:val="000000"/>
                <w:kern w:val="0"/>
                <w:sz w:val="24"/>
                <w:szCs w:val="24"/>
                <w:lang w:val="en"/>
              </w:rPr>
              <w:t>19</w:t>
            </w:r>
            <w:r>
              <w:rPr>
                <w:rFonts w:hint="eastAsia" w:ascii="宋体" w:hAnsi="宋体" w:cs="宋体"/>
                <w:b w:val="0"/>
                <w:bCs w:val="0"/>
                <w:color w:val="000000"/>
                <w:kern w:val="0"/>
                <w:sz w:val="24"/>
                <w:szCs w:val="24"/>
                <w:lang w:val="en-US" w:eastAsia="zh-CN"/>
              </w:rPr>
              <w:t>7</w:t>
            </w:r>
          </w:p>
        </w:tc>
        <w:tc>
          <w:tcPr>
            <w:tcW w:w="1748" w:type="dxa"/>
            <w:vMerge w:val="restart"/>
            <w:noWrap w:val="0"/>
            <w:vAlign w:val="center"/>
          </w:tcPr>
          <w:p w14:paraId="3AB8FF25">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b w:val="0"/>
                <w:bCs/>
                <w:color w:val="000000"/>
                <w:kern w:val="0"/>
                <w:sz w:val="24"/>
                <w:szCs w:val="24"/>
                <w:u w:val="none"/>
                <w:lang w:val="en-US" w:eastAsia="zh-CN" w:bidi="ar-SA"/>
              </w:rPr>
              <w:t>《特种设备安全监察条例》</w:t>
            </w:r>
          </w:p>
        </w:tc>
        <w:tc>
          <w:tcPr>
            <w:tcW w:w="4140" w:type="dxa"/>
            <w:vMerge w:val="restart"/>
            <w:noWrap w:val="0"/>
            <w:vAlign w:val="center"/>
          </w:tcPr>
          <w:p w14:paraId="78F93DF3">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bidi="ar-SA"/>
              </w:rPr>
              <w:t>第九十三条</w:t>
            </w:r>
            <w:r>
              <w:rPr>
                <w:rFonts w:hint="eastAsia" w:ascii="宋体" w:hAnsi="宋体" w:cs="宋体"/>
                <w:color w:val="000000"/>
                <w:kern w:val="0"/>
                <w:sz w:val="24"/>
                <w:szCs w:val="24"/>
                <w:lang w:val="en-US" w:eastAsia="zh-CN" w:bidi="ar-SA"/>
              </w:rPr>
              <w:t xml:space="preserve"> </w:t>
            </w:r>
            <w:r>
              <w:rPr>
                <w:rFonts w:hint="eastAsia" w:ascii="宋体" w:hAnsi="宋体" w:eastAsia="宋体" w:cs="宋体"/>
                <w:color w:val="000000"/>
                <w:kern w:val="0"/>
                <w:sz w:val="24"/>
                <w:szCs w:val="24"/>
                <w:lang w:val="en-US" w:eastAsia="zh-CN" w:bidi="ar-SA"/>
              </w:rPr>
              <w:t>特种设备检验检测机构和检验检测人员，出具虚假的检验检测结果、鉴定结论或者检验检测结果、鉴定结论严重失实的，由特种设备安全监督管理部门对检验检测机构没收违法所得，处5万元以上20万元以下罚款，情节严重的，撤销其检验检测资格；对检验检测人员处5000元以上5万元以下罚款，情节严重的，撤销其检验检测资格，触犯刑律的，依照刑法关于中介组织人员提供虚假证明文件罪、中介组织人员出具证明文件重大失实罪或者其他罪的规定，依法追究刑事责任。</w:t>
            </w:r>
          </w:p>
        </w:tc>
        <w:tc>
          <w:tcPr>
            <w:tcW w:w="1132" w:type="dxa"/>
            <w:noWrap w:val="0"/>
            <w:vAlign w:val="center"/>
          </w:tcPr>
          <w:p w14:paraId="71E40C2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77D70D87">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出具虚假的检验检测结果、鉴定结论或者检验检测结果、鉴定结论严重失实</w:t>
            </w:r>
            <w:r>
              <w:rPr>
                <w:rFonts w:hint="eastAsia" w:ascii="宋体" w:hAnsi="宋体" w:eastAsia="宋体" w:cs="宋体"/>
                <w:color w:val="000000"/>
                <w:kern w:val="0"/>
                <w:sz w:val="24"/>
                <w:szCs w:val="24"/>
                <w:lang w:val="en" w:eastAsia="zh-CN" w:bidi="ar-SA"/>
              </w:rPr>
              <w:t>1</w:t>
            </w:r>
            <w:r>
              <w:rPr>
                <w:rFonts w:hint="eastAsia" w:ascii="宋体" w:hAnsi="宋体" w:eastAsia="宋体" w:cs="宋体"/>
                <w:color w:val="000000"/>
                <w:kern w:val="0"/>
                <w:sz w:val="24"/>
                <w:szCs w:val="24"/>
                <w:lang w:val="en-US" w:eastAsia="zh-CN" w:bidi="ar-SA"/>
              </w:rPr>
              <w:t>次的。</w:t>
            </w:r>
          </w:p>
        </w:tc>
        <w:tc>
          <w:tcPr>
            <w:tcW w:w="3251" w:type="dxa"/>
            <w:noWrap w:val="0"/>
            <w:vAlign w:val="center"/>
          </w:tcPr>
          <w:p w14:paraId="1E5A7F66">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对检验检测机构没收违法所得，处5万元以上9.5万元以下罚款，情节严重的，撤销其检验检测资格；对检验检测人员处5000元以上1.85万元以下罚款。</w:t>
            </w:r>
          </w:p>
        </w:tc>
      </w:tr>
      <w:tr w14:paraId="13C5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7" w:hRule="atLeast"/>
          <w:jc w:val="center"/>
        </w:trPr>
        <w:tc>
          <w:tcPr>
            <w:tcW w:w="736" w:type="dxa"/>
            <w:vMerge w:val="continue"/>
            <w:noWrap w:val="0"/>
            <w:vAlign w:val="center"/>
          </w:tcPr>
          <w:p w14:paraId="7323FCB4">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1F0EAB1E">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29BEF37D">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0C200C3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0A07672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出具虚假的检验检测结果、鉴定结论或者检验检测结果、鉴定结论严重失实</w:t>
            </w:r>
            <w:r>
              <w:rPr>
                <w:rFonts w:hint="eastAsia" w:ascii="宋体" w:hAnsi="宋体" w:eastAsia="宋体" w:cs="宋体"/>
                <w:color w:val="000000"/>
                <w:kern w:val="0"/>
                <w:sz w:val="24"/>
                <w:szCs w:val="24"/>
                <w:lang w:val="en" w:eastAsia="zh-CN" w:bidi="ar-SA"/>
              </w:rPr>
              <w:t>2</w:t>
            </w:r>
            <w:r>
              <w:rPr>
                <w:rFonts w:hint="eastAsia" w:ascii="宋体" w:hAnsi="宋体" w:eastAsia="宋体" w:cs="宋体"/>
                <w:color w:val="000000"/>
                <w:kern w:val="0"/>
                <w:sz w:val="24"/>
                <w:szCs w:val="24"/>
                <w:lang w:val="en-US" w:eastAsia="zh-CN" w:bidi="ar-SA"/>
              </w:rPr>
              <w:t>次的。</w:t>
            </w:r>
          </w:p>
        </w:tc>
        <w:tc>
          <w:tcPr>
            <w:tcW w:w="3251" w:type="dxa"/>
            <w:noWrap w:val="0"/>
            <w:vAlign w:val="center"/>
          </w:tcPr>
          <w:p w14:paraId="7799C1F1">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对检验检测机构没收违法所得，处9.5万元以上15.5万元以下罚款，情节严重的，撤销其检验检测资格；对检验检测人员处1.85万元以上3.65万元以下罚款。</w:t>
            </w:r>
          </w:p>
        </w:tc>
      </w:tr>
      <w:tr w14:paraId="44E67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736" w:type="dxa"/>
            <w:vMerge w:val="continue"/>
            <w:noWrap w:val="0"/>
            <w:vAlign w:val="center"/>
          </w:tcPr>
          <w:p w14:paraId="715BE97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6B585A75">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7BE880E3">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7CE3531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31EC7518">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出具虚假的检验检测结果、鉴定结论或者检验检测结果、鉴定结论严重失实</w:t>
            </w:r>
            <w:r>
              <w:rPr>
                <w:rFonts w:hint="eastAsia" w:ascii="宋体" w:hAnsi="宋体" w:eastAsia="宋体" w:cs="宋体"/>
                <w:color w:val="000000"/>
                <w:kern w:val="0"/>
                <w:sz w:val="24"/>
                <w:szCs w:val="24"/>
                <w:lang w:val="en" w:eastAsia="zh-CN" w:bidi="ar-SA"/>
              </w:rPr>
              <w:t>3</w:t>
            </w:r>
            <w:r>
              <w:rPr>
                <w:rFonts w:hint="eastAsia" w:ascii="宋体" w:hAnsi="宋体" w:eastAsia="宋体" w:cs="宋体"/>
                <w:color w:val="000000"/>
                <w:kern w:val="0"/>
                <w:sz w:val="24"/>
                <w:szCs w:val="24"/>
                <w:lang w:val="en-US" w:eastAsia="zh-CN" w:bidi="ar-SA"/>
              </w:rPr>
              <w:t>次以上的。</w:t>
            </w:r>
          </w:p>
        </w:tc>
        <w:tc>
          <w:tcPr>
            <w:tcW w:w="3251" w:type="dxa"/>
            <w:noWrap w:val="0"/>
            <w:vAlign w:val="center"/>
          </w:tcPr>
          <w:p w14:paraId="0871F009">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leftChars="0" w:right="0" w:right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对检验检测机构没收违法所得，处15.5万元以上20万元以下罚款，情节严重的，撤销其检验检测资格；对检验检测人员处3.65万元以上5万元以下罚款，情节严重的，撤销其检验检测资格。</w:t>
            </w:r>
          </w:p>
        </w:tc>
      </w:tr>
      <w:tr w14:paraId="6F30C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jc w:val="center"/>
        </w:trPr>
        <w:tc>
          <w:tcPr>
            <w:tcW w:w="736" w:type="dxa"/>
            <w:vMerge w:val="restart"/>
            <w:noWrap w:val="0"/>
            <w:vAlign w:val="center"/>
          </w:tcPr>
          <w:p w14:paraId="758800C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lang w:val="en"/>
              </w:rPr>
            </w:pPr>
            <w:bookmarkStart w:id="238" w:name="_Toc1070"/>
            <w:r>
              <w:rPr>
                <w:rFonts w:hint="eastAsia" w:ascii="宋体" w:hAnsi="宋体" w:eastAsia="宋体" w:cs="宋体"/>
                <w:b w:val="0"/>
                <w:bCs/>
                <w:kern w:val="44"/>
                <w:sz w:val="24"/>
                <w:szCs w:val="24"/>
                <w:lang w:val="en-US" w:eastAsia="zh-CN" w:bidi="ar-SA"/>
              </w:rPr>
              <w:br w:type="page"/>
            </w:r>
            <w:bookmarkEnd w:id="238"/>
            <w:r>
              <w:rPr>
                <w:rFonts w:hint="eastAsia" w:ascii="宋体" w:hAnsi="宋体" w:eastAsia="宋体" w:cs="宋体"/>
                <w:b w:val="0"/>
                <w:bCs w:val="0"/>
                <w:color w:val="000000"/>
                <w:kern w:val="0"/>
                <w:sz w:val="24"/>
                <w:szCs w:val="24"/>
                <w:lang w:val="en"/>
              </w:rPr>
              <w:t>19</w:t>
            </w:r>
            <w:r>
              <w:rPr>
                <w:rFonts w:hint="eastAsia" w:ascii="宋体" w:hAnsi="宋体" w:cs="宋体"/>
                <w:b w:val="0"/>
                <w:bCs w:val="0"/>
                <w:color w:val="000000"/>
                <w:kern w:val="0"/>
                <w:sz w:val="24"/>
                <w:szCs w:val="24"/>
                <w:lang w:val="en-US" w:eastAsia="zh-CN"/>
              </w:rPr>
              <w:t>8</w:t>
            </w:r>
          </w:p>
        </w:tc>
        <w:tc>
          <w:tcPr>
            <w:tcW w:w="1748" w:type="dxa"/>
            <w:vMerge w:val="restart"/>
            <w:noWrap w:val="0"/>
            <w:vAlign w:val="center"/>
          </w:tcPr>
          <w:p w14:paraId="64906DD3">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b w:val="0"/>
                <w:bCs/>
                <w:color w:val="000000"/>
                <w:kern w:val="0"/>
                <w:sz w:val="24"/>
                <w:szCs w:val="24"/>
                <w:u w:val="none"/>
                <w:lang w:val="en-US" w:eastAsia="zh-CN" w:bidi="ar-SA"/>
              </w:rPr>
              <w:t>《特种设备安全监察条例》</w:t>
            </w:r>
          </w:p>
        </w:tc>
        <w:tc>
          <w:tcPr>
            <w:tcW w:w="4140" w:type="dxa"/>
            <w:vMerge w:val="restart"/>
            <w:noWrap w:val="0"/>
            <w:vAlign w:val="center"/>
          </w:tcPr>
          <w:p w14:paraId="0EB7E997">
            <w:pPr>
              <w:pStyle w:val="9"/>
              <w:keepNext w:val="0"/>
              <w:keepLines w:val="0"/>
              <w:pageBreakBefore w:val="0"/>
              <w:widowControl/>
              <w:suppressLineNumbers w:val="0"/>
              <w:kinsoku/>
              <w:wordWrap/>
              <w:overflowPunct/>
              <w:topLinePunct w:val="0"/>
              <w:bidi w:val="0"/>
              <w:snapToGrid w:val="0"/>
              <w:spacing w:before="0" w:beforeAutospacing="0" w:after="0" w:afterAutospacing="0" w:line="400" w:lineRule="exact"/>
              <w:ind w:left="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bidi="ar-SA"/>
              </w:rPr>
              <w:t>第九十四条</w:t>
            </w:r>
            <w:r>
              <w:rPr>
                <w:rFonts w:hint="eastAsia" w:ascii="宋体" w:hAnsi="宋体" w:cs="宋体"/>
                <w:color w:val="000000"/>
                <w:kern w:val="0"/>
                <w:sz w:val="24"/>
                <w:szCs w:val="24"/>
                <w:lang w:val="en-US" w:eastAsia="zh-CN" w:bidi="ar-SA"/>
              </w:rPr>
              <w:t xml:space="preserve"> </w:t>
            </w:r>
            <w:r>
              <w:rPr>
                <w:rFonts w:hint="eastAsia" w:ascii="宋体" w:hAnsi="宋体" w:eastAsia="宋体" w:cs="宋体"/>
                <w:color w:val="000000"/>
                <w:kern w:val="0"/>
                <w:sz w:val="24"/>
                <w:szCs w:val="24"/>
                <w:lang w:val="en-US" w:eastAsia="zh-CN" w:bidi="ar-SA"/>
              </w:rPr>
              <w:t>特种设备检验检测机构或者检验检测人员从事特种设备的生产、销售，或者以其名义推荐或者监制、监销特种设备的，由特种设备安全监督管理部门撤销特种设备检验检测机构和检验检测人员的资格，处5万元以上20万元以下罚款；有违法所得的，没收违法所得。</w:t>
            </w:r>
          </w:p>
        </w:tc>
        <w:tc>
          <w:tcPr>
            <w:tcW w:w="1132" w:type="dxa"/>
            <w:noWrap w:val="0"/>
            <w:vAlign w:val="center"/>
          </w:tcPr>
          <w:p w14:paraId="45A3C188">
            <w:pPr>
              <w:pageBreakBefore w:val="0"/>
              <w:widowControl/>
              <w:kinsoku/>
              <w:wordWrap/>
              <w:overflowPunct/>
              <w:topLinePunct w:val="0"/>
              <w:bidi w:val="0"/>
              <w:snapToGrid w:val="0"/>
              <w:spacing w:beforeAutospacing="0" w:afterAutospacing="0" w:line="40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1924545A">
            <w:pPr>
              <w:pageBreakBefore w:val="0"/>
              <w:widowControl/>
              <w:kinsoku/>
              <w:wordWrap/>
              <w:overflowPunct/>
              <w:topLinePunct w:val="0"/>
              <w:bidi w:val="0"/>
              <w:snapToGrid w:val="0"/>
              <w:spacing w:beforeAutospacing="0" w:afterAutospacing="0" w:line="40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推荐或者监制、监销特种设备</w:t>
            </w:r>
            <w:r>
              <w:rPr>
                <w:rFonts w:hint="eastAsia" w:ascii="宋体" w:hAnsi="宋体" w:eastAsia="宋体" w:cs="宋体"/>
                <w:color w:val="000000"/>
                <w:kern w:val="0"/>
                <w:sz w:val="24"/>
                <w:szCs w:val="24"/>
                <w:lang w:val="en" w:eastAsia="zh-CN" w:bidi="ar-SA"/>
              </w:rPr>
              <w:t>1</w:t>
            </w:r>
            <w:r>
              <w:rPr>
                <w:rFonts w:hint="eastAsia" w:ascii="宋体" w:hAnsi="宋体" w:eastAsia="宋体" w:cs="宋体"/>
                <w:color w:val="000000"/>
                <w:kern w:val="0"/>
                <w:sz w:val="24"/>
                <w:szCs w:val="24"/>
                <w:lang w:val="en-US" w:eastAsia="zh-CN" w:bidi="ar-SA"/>
              </w:rPr>
              <w:t>种的。</w:t>
            </w:r>
          </w:p>
        </w:tc>
        <w:tc>
          <w:tcPr>
            <w:tcW w:w="3251" w:type="dxa"/>
            <w:noWrap w:val="0"/>
            <w:vAlign w:val="center"/>
          </w:tcPr>
          <w:p w14:paraId="67C2ADAD">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撤销特种设备检验检测机构和检验检测人员的资格，处5万元以上9.5万元以下罚款；有违法所得的，没收违法所得。</w:t>
            </w:r>
          </w:p>
        </w:tc>
      </w:tr>
      <w:tr w14:paraId="31D9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0" w:hRule="atLeast"/>
          <w:jc w:val="center"/>
        </w:trPr>
        <w:tc>
          <w:tcPr>
            <w:tcW w:w="736" w:type="dxa"/>
            <w:vMerge w:val="continue"/>
            <w:noWrap w:val="0"/>
            <w:vAlign w:val="center"/>
          </w:tcPr>
          <w:p w14:paraId="57790C3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5444D3F9">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168053AA">
            <w:pPr>
              <w:pageBreakBefore w:val="0"/>
              <w:widowControl/>
              <w:kinsoku/>
              <w:wordWrap/>
              <w:overflowPunct/>
              <w:topLinePunct w:val="0"/>
              <w:bidi w:val="0"/>
              <w:snapToGrid w:val="0"/>
              <w:spacing w:beforeAutospacing="0" w:afterAutospacing="0" w:line="400" w:lineRule="exact"/>
              <w:ind w:left="0"/>
              <w:jc w:val="both"/>
              <w:rPr>
                <w:rFonts w:hint="eastAsia" w:ascii="宋体" w:hAnsi="宋体" w:eastAsia="宋体" w:cs="宋体"/>
                <w:color w:val="000000"/>
                <w:kern w:val="0"/>
                <w:sz w:val="24"/>
                <w:szCs w:val="24"/>
              </w:rPr>
            </w:pPr>
          </w:p>
        </w:tc>
        <w:tc>
          <w:tcPr>
            <w:tcW w:w="1132" w:type="dxa"/>
            <w:noWrap w:val="0"/>
            <w:vAlign w:val="center"/>
          </w:tcPr>
          <w:p w14:paraId="7D9BE0BC">
            <w:pPr>
              <w:pageBreakBefore w:val="0"/>
              <w:widowControl/>
              <w:kinsoku/>
              <w:wordWrap/>
              <w:overflowPunct/>
              <w:topLinePunct w:val="0"/>
              <w:bidi w:val="0"/>
              <w:snapToGrid w:val="0"/>
              <w:spacing w:beforeAutospacing="0" w:afterAutospacing="0" w:line="40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55DA2C92">
            <w:pPr>
              <w:pageBreakBefore w:val="0"/>
              <w:widowControl/>
              <w:kinsoku/>
              <w:wordWrap/>
              <w:overflowPunct/>
              <w:topLinePunct w:val="0"/>
              <w:bidi w:val="0"/>
              <w:snapToGrid w:val="0"/>
              <w:spacing w:beforeAutospacing="0" w:afterAutospacing="0" w:line="40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推荐或者监制、监销特种设备</w:t>
            </w:r>
            <w:r>
              <w:rPr>
                <w:rFonts w:hint="eastAsia" w:ascii="宋体" w:hAnsi="宋体" w:eastAsia="宋体" w:cs="宋体"/>
                <w:color w:val="000000"/>
                <w:kern w:val="0"/>
                <w:sz w:val="24"/>
                <w:szCs w:val="24"/>
                <w:lang w:val="en" w:eastAsia="zh-CN" w:bidi="ar-SA"/>
              </w:rPr>
              <w:t>2</w:t>
            </w:r>
            <w:r>
              <w:rPr>
                <w:rFonts w:hint="eastAsia" w:ascii="宋体" w:hAnsi="宋体" w:eastAsia="宋体" w:cs="宋体"/>
                <w:color w:val="000000"/>
                <w:kern w:val="0"/>
                <w:sz w:val="24"/>
                <w:szCs w:val="24"/>
                <w:lang w:val="en-US" w:eastAsia="zh-CN" w:bidi="ar-SA"/>
              </w:rPr>
              <w:t>种的。</w:t>
            </w:r>
          </w:p>
        </w:tc>
        <w:tc>
          <w:tcPr>
            <w:tcW w:w="3251" w:type="dxa"/>
            <w:noWrap w:val="0"/>
            <w:vAlign w:val="center"/>
          </w:tcPr>
          <w:p w14:paraId="552FADA2">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撤销特种设备检验检测机构和检验检测人员的资格，处9.5万元以上15.5万元以下罚款；有违法所得的，没收违法所得。</w:t>
            </w:r>
          </w:p>
        </w:tc>
      </w:tr>
      <w:tr w14:paraId="24C2E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7" w:hRule="atLeast"/>
          <w:jc w:val="center"/>
        </w:trPr>
        <w:tc>
          <w:tcPr>
            <w:tcW w:w="736" w:type="dxa"/>
            <w:vMerge w:val="continue"/>
            <w:noWrap w:val="0"/>
            <w:vAlign w:val="center"/>
          </w:tcPr>
          <w:p w14:paraId="3F24341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43EDDAD1">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254E13CC">
            <w:pPr>
              <w:pageBreakBefore w:val="0"/>
              <w:widowControl/>
              <w:kinsoku/>
              <w:wordWrap/>
              <w:overflowPunct/>
              <w:topLinePunct w:val="0"/>
              <w:bidi w:val="0"/>
              <w:snapToGrid w:val="0"/>
              <w:spacing w:beforeAutospacing="0" w:afterAutospacing="0" w:line="400" w:lineRule="exact"/>
              <w:ind w:left="0"/>
              <w:jc w:val="both"/>
              <w:rPr>
                <w:rFonts w:hint="eastAsia" w:ascii="宋体" w:hAnsi="宋体" w:eastAsia="宋体" w:cs="宋体"/>
                <w:color w:val="000000"/>
                <w:kern w:val="0"/>
                <w:sz w:val="24"/>
                <w:szCs w:val="24"/>
              </w:rPr>
            </w:pPr>
          </w:p>
        </w:tc>
        <w:tc>
          <w:tcPr>
            <w:tcW w:w="1132" w:type="dxa"/>
            <w:noWrap w:val="0"/>
            <w:vAlign w:val="center"/>
          </w:tcPr>
          <w:p w14:paraId="7DD9D052">
            <w:pPr>
              <w:pageBreakBefore w:val="0"/>
              <w:widowControl/>
              <w:kinsoku/>
              <w:wordWrap/>
              <w:overflowPunct/>
              <w:topLinePunct w:val="0"/>
              <w:bidi w:val="0"/>
              <w:snapToGrid w:val="0"/>
              <w:spacing w:beforeAutospacing="0" w:afterAutospacing="0" w:line="40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7B2F0268">
            <w:pPr>
              <w:pageBreakBefore w:val="0"/>
              <w:widowControl/>
              <w:kinsoku/>
              <w:wordWrap/>
              <w:overflowPunct/>
              <w:topLinePunct w:val="0"/>
              <w:bidi w:val="0"/>
              <w:snapToGrid w:val="0"/>
              <w:spacing w:beforeAutospacing="0" w:afterAutospacing="0" w:line="40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推荐或者监制、监销特种设备</w:t>
            </w:r>
            <w:r>
              <w:rPr>
                <w:rFonts w:hint="eastAsia" w:ascii="宋体" w:hAnsi="宋体" w:eastAsia="宋体" w:cs="宋体"/>
                <w:color w:val="000000"/>
                <w:kern w:val="0"/>
                <w:sz w:val="24"/>
                <w:szCs w:val="24"/>
                <w:lang w:val="en" w:eastAsia="zh-CN" w:bidi="ar-SA"/>
              </w:rPr>
              <w:t>3</w:t>
            </w:r>
            <w:r>
              <w:rPr>
                <w:rFonts w:hint="eastAsia" w:ascii="宋体" w:hAnsi="宋体" w:eastAsia="宋体" w:cs="宋体"/>
                <w:color w:val="000000"/>
                <w:kern w:val="0"/>
                <w:sz w:val="24"/>
                <w:szCs w:val="24"/>
                <w:lang w:val="en-US" w:eastAsia="zh-CN" w:bidi="ar-SA"/>
              </w:rPr>
              <w:t>种以上或者从事特种设备生产、销售的。</w:t>
            </w:r>
          </w:p>
        </w:tc>
        <w:tc>
          <w:tcPr>
            <w:tcW w:w="3251" w:type="dxa"/>
            <w:noWrap w:val="0"/>
            <w:vAlign w:val="center"/>
          </w:tcPr>
          <w:p w14:paraId="19E7856E">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撤销特种设备检验检测机构和检验检测人员的资格，处15.5万元以上20万元以下罚款；有违法所得的，没收违法所得。</w:t>
            </w:r>
          </w:p>
        </w:tc>
      </w:tr>
      <w:tr w14:paraId="45FCE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736" w:type="dxa"/>
            <w:vMerge w:val="restart"/>
            <w:noWrap w:val="0"/>
            <w:vAlign w:val="center"/>
          </w:tcPr>
          <w:p w14:paraId="375DDB09">
            <w:pPr>
              <w:pageBreakBefore w:val="0"/>
              <w:widowControl/>
              <w:kinsoku/>
              <w:wordWrap/>
              <w:overflowPunct/>
              <w:topLinePunct w:val="0"/>
              <w:bidi w:val="0"/>
              <w:snapToGrid w:val="0"/>
              <w:spacing w:beforeAutospacing="0" w:afterAutospacing="0" w:line="380" w:lineRule="exact"/>
              <w:ind w:left="0"/>
              <w:jc w:val="center"/>
              <w:rPr>
                <w:rFonts w:hint="default" w:ascii="宋体" w:hAnsi="宋体" w:eastAsia="宋体" w:cs="宋体"/>
                <w:b w:val="0"/>
                <w:bCs w:val="0"/>
                <w:color w:val="000000"/>
                <w:kern w:val="0"/>
                <w:sz w:val="24"/>
                <w:szCs w:val="24"/>
                <w:lang w:val="en-US"/>
              </w:rPr>
            </w:pPr>
            <w:r>
              <w:rPr>
                <w:rFonts w:hint="eastAsia" w:ascii="宋体" w:hAnsi="宋体" w:cs="宋体"/>
                <w:b w:val="0"/>
                <w:bCs w:val="0"/>
                <w:color w:val="000000"/>
                <w:kern w:val="0"/>
                <w:sz w:val="24"/>
                <w:szCs w:val="24"/>
                <w:lang w:val="en-US" w:eastAsia="zh-CN"/>
              </w:rPr>
              <w:t>199</w:t>
            </w:r>
          </w:p>
        </w:tc>
        <w:tc>
          <w:tcPr>
            <w:tcW w:w="1748" w:type="dxa"/>
            <w:vMerge w:val="restart"/>
            <w:noWrap w:val="0"/>
            <w:vAlign w:val="center"/>
          </w:tcPr>
          <w:p w14:paraId="5589F604">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b w:val="0"/>
                <w:bCs/>
                <w:color w:val="000000"/>
                <w:kern w:val="0"/>
                <w:sz w:val="24"/>
                <w:szCs w:val="24"/>
                <w:u w:val="none"/>
                <w:lang w:val="en-US" w:eastAsia="zh-CN" w:bidi="ar-SA"/>
              </w:rPr>
              <w:t>《特种设备安全监察条例》</w:t>
            </w:r>
          </w:p>
        </w:tc>
        <w:tc>
          <w:tcPr>
            <w:tcW w:w="4140" w:type="dxa"/>
            <w:vMerge w:val="restart"/>
            <w:noWrap w:val="0"/>
            <w:vAlign w:val="center"/>
          </w:tcPr>
          <w:p w14:paraId="3DF0E1B1">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bidi="ar-SA"/>
              </w:rPr>
              <w:t>第九十八条第一款</w:t>
            </w:r>
            <w:r>
              <w:rPr>
                <w:rFonts w:hint="eastAsia" w:ascii="宋体" w:hAnsi="宋体" w:cs="宋体"/>
                <w:color w:val="000000"/>
                <w:kern w:val="0"/>
                <w:sz w:val="24"/>
                <w:szCs w:val="24"/>
                <w:lang w:val="en-US" w:eastAsia="zh-CN" w:bidi="ar-SA"/>
              </w:rPr>
              <w:t xml:space="preserve"> </w:t>
            </w:r>
            <w:r>
              <w:rPr>
                <w:rFonts w:hint="eastAsia" w:ascii="宋体" w:hAnsi="宋体" w:eastAsia="宋体" w:cs="宋体"/>
                <w:color w:val="000000"/>
                <w:kern w:val="0"/>
                <w:sz w:val="24"/>
                <w:szCs w:val="24"/>
                <w:lang w:val="en-US" w:eastAsia="zh-CN" w:bidi="ar-SA"/>
              </w:rPr>
              <w:t>特种设备的生产、使用单位或者检验检测机构，拒不接受特种设备安全监督管理部门依法实施的安全监察的，由特种设备安全监督管理部门责令限期改正；逾期未改正的，责令停产停业整顿，处2万元以上10万元以下罚款；触犯刑律的，依照刑法关于妨害公务罪或者其他罪的规定，依法追究刑事责任。</w:t>
            </w:r>
          </w:p>
        </w:tc>
        <w:tc>
          <w:tcPr>
            <w:tcW w:w="1132" w:type="dxa"/>
            <w:noWrap w:val="0"/>
            <w:vAlign w:val="center"/>
          </w:tcPr>
          <w:p w14:paraId="77F731D2">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01AB99A2">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初次违法的。</w:t>
            </w:r>
          </w:p>
        </w:tc>
        <w:tc>
          <w:tcPr>
            <w:tcW w:w="3251" w:type="dxa"/>
            <w:noWrap w:val="0"/>
            <w:vAlign w:val="center"/>
          </w:tcPr>
          <w:p w14:paraId="43F0CA18">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leftChars="0" w:right="0" w:right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逾期未改正的，责令停产停业整顿，处2万元以上4.4万元以下罚款。</w:t>
            </w:r>
          </w:p>
        </w:tc>
      </w:tr>
      <w:tr w14:paraId="3182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736" w:type="dxa"/>
            <w:vMerge w:val="continue"/>
            <w:noWrap w:val="0"/>
            <w:vAlign w:val="center"/>
          </w:tcPr>
          <w:p w14:paraId="71EF7929">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70537292">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781F3335">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3523D13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788C6F22">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再次违法的。</w:t>
            </w:r>
          </w:p>
        </w:tc>
        <w:tc>
          <w:tcPr>
            <w:tcW w:w="3251" w:type="dxa"/>
            <w:noWrap w:val="0"/>
            <w:vAlign w:val="center"/>
          </w:tcPr>
          <w:p w14:paraId="76F27FBE">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leftChars="0" w:right="0" w:right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逾期未改正的，责令停产停业整顿，处4.4万元以上7.6万元以下罚款。</w:t>
            </w:r>
          </w:p>
        </w:tc>
      </w:tr>
      <w:tr w14:paraId="3D04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jc w:val="center"/>
        </w:trPr>
        <w:tc>
          <w:tcPr>
            <w:tcW w:w="736" w:type="dxa"/>
            <w:vMerge w:val="continue"/>
            <w:noWrap w:val="0"/>
            <w:vAlign w:val="center"/>
          </w:tcPr>
          <w:p w14:paraId="1C02E84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1E848823">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2C0B6122">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25ECE3E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3C713033">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造成后果的。</w:t>
            </w:r>
          </w:p>
        </w:tc>
        <w:tc>
          <w:tcPr>
            <w:tcW w:w="3251" w:type="dxa"/>
            <w:noWrap w:val="0"/>
            <w:vAlign w:val="center"/>
          </w:tcPr>
          <w:p w14:paraId="3CE484E3">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leftChars="0" w:right="0" w:right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逾期未改正的，责令停产停业整顿，处7.6万元以上10万元以下罚款。</w:t>
            </w:r>
          </w:p>
        </w:tc>
      </w:tr>
      <w:tr w14:paraId="79A6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736" w:type="dxa"/>
            <w:vMerge w:val="restart"/>
            <w:noWrap w:val="0"/>
            <w:vAlign w:val="center"/>
          </w:tcPr>
          <w:p w14:paraId="3DD87DEB">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20</w:t>
            </w:r>
            <w:r>
              <w:rPr>
                <w:rFonts w:hint="eastAsia" w:ascii="宋体" w:hAnsi="宋体" w:cs="宋体"/>
                <w:b w:val="0"/>
                <w:bCs w:val="0"/>
                <w:color w:val="000000"/>
                <w:kern w:val="0"/>
                <w:sz w:val="24"/>
                <w:szCs w:val="24"/>
                <w:lang w:val="en-US" w:eastAsia="zh-CN"/>
              </w:rPr>
              <w:t>0</w:t>
            </w:r>
          </w:p>
        </w:tc>
        <w:tc>
          <w:tcPr>
            <w:tcW w:w="1748" w:type="dxa"/>
            <w:vMerge w:val="restart"/>
            <w:noWrap w:val="0"/>
            <w:vAlign w:val="center"/>
          </w:tcPr>
          <w:p w14:paraId="5327E401">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b w:val="0"/>
                <w:bCs/>
                <w:color w:val="000000"/>
                <w:kern w:val="0"/>
                <w:sz w:val="24"/>
                <w:szCs w:val="24"/>
                <w:u w:val="none"/>
                <w:lang w:val="en-US" w:eastAsia="zh-CN" w:bidi="ar-SA"/>
              </w:rPr>
              <w:t>《特种设备安全监察条例》</w:t>
            </w:r>
          </w:p>
        </w:tc>
        <w:tc>
          <w:tcPr>
            <w:tcW w:w="4140" w:type="dxa"/>
            <w:vMerge w:val="restart"/>
            <w:noWrap w:val="0"/>
            <w:vAlign w:val="center"/>
          </w:tcPr>
          <w:p w14:paraId="3F0F40E9">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bidi="ar-SA"/>
              </w:rPr>
              <w:t>第九十八条第二款</w:t>
            </w:r>
            <w:r>
              <w:rPr>
                <w:rFonts w:hint="eastAsia" w:ascii="宋体" w:hAnsi="宋体" w:cs="宋体"/>
                <w:color w:val="000000"/>
                <w:kern w:val="0"/>
                <w:sz w:val="24"/>
                <w:szCs w:val="24"/>
                <w:lang w:val="en-US" w:eastAsia="zh-CN" w:bidi="ar-SA"/>
              </w:rPr>
              <w:t xml:space="preserve"> </w:t>
            </w:r>
            <w:r>
              <w:rPr>
                <w:rFonts w:hint="eastAsia" w:ascii="宋体" w:hAnsi="宋体" w:eastAsia="宋体" w:cs="宋体"/>
                <w:color w:val="000000"/>
                <w:kern w:val="0"/>
                <w:sz w:val="24"/>
                <w:szCs w:val="24"/>
                <w:lang w:val="en-US" w:eastAsia="zh-CN" w:bidi="ar-SA"/>
              </w:rPr>
              <w:t>特种设备生产、使用单位擅自动用、调换、转移、损毁被查封、扣押的特种设备或者其主要部件的，由特种设备安全监督管理部门责令改正，处5万元以上20万元以下罚款；情节严重的，撤销其相应资格。</w:t>
            </w:r>
          </w:p>
        </w:tc>
        <w:tc>
          <w:tcPr>
            <w:tcW w:w="1132" w:type="dxa"/>
            <w:noWrap w:val="0"/>
            <w:vAlign w:val="center"/>
          </w:tcPr>
          <w:p w14:paraId="1E313F5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6B424443">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主动将物品恢复原状的。</w:t>
            </w:r>
          </w:p>
        </w:tc>
        <w:tc>
          <w:tcPr>
            <w:tcW w:w="3251" w:type="dxa"/>
            <w:noWrap w:val="0"/>
            <w:vAlign w:val="center"/>
          </w:tcPr>
          <w:p w14:paraId="5E4F84FD">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leftChars="0" w:right="0" w:right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处5万元以上9.5万元以下罚款。</w:t>
            </w:r>
          </w:p>
        </w:tc>
      </w:tr>
      <w:tr w14:paraId="221E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736" w:type="dxa"/>
            <w:vMerge w:val="continue"/>
            <w:noWrap w:val="0"/>
            <w:vAlign w:val="center"/>
          </w:tcPr>
          <w:p w14:paraId="070D73F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777728E3">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7596790B">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64DC17F4">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3766C872">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不能将物品恢复原状的。</w:t>
            </w:r>
          </w:p>
        </w:tc>
        <w:tc>
          <w:tcPr>
            <w:tcW w:w="3251" w:type="dxa"/>
            <w:noWrap w:val="0"/>
            <w:vAlign w:val="center"/>
          </w:tcPr>
          <w:p w14:paraId="07A578A0">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leftChars="0" w:right="0" w:right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处9.5万元以上15.5万元以下罚款。</w:t>
            </w:r>
          </w:p>
        </w:tc>
      </w:tr>
      <w:tr w14:paraId="01AD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736" w:type="dxa"/>
            <w:vMerge w:val="continue"/>
            <w:noWrap w:val="0"/>
            <w:vAlign w:val="center"/>
          </w:tcPr>
          <w:p w14:paraId="65448B3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7A9C85D6">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4E8ECC23">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73562FC2">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5AF26AD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拒不恢复的。</w:t>
            </w:r>
          </w:p>
        </w:tc>
        <w:tc>
          <w:tcPr>
            <w:tcW w:w="3251" w:type="dxa"/>
            <w:noWrap w:val="0"/>
            <w:vAlign w:val="center"/>
          </w:tcPr>
          <w:p w14:paraId="1EB71CF5">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leftChars="0" w:right="0" w:right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处15.5万元以上20万元以下罚款。</w:t>
            </w:r>
          </w:p>
        </w:tc>
      </w:tr>
      <w:tr w14:paraId="11CE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736" w:type="dxa"/>
            <w:vMerge w:val="continue"/>
            <w:noWrap w:val="0"/>
            <w:vAlign w:val="center"/>
          </w:tcPr>
          <w:p w14:paraId="1EEAFAF7">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57CE0A63">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2CB1478E">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7CFA111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eastAsia="zh-CN"/>
              </w:rPr>
              <w:t>严重</w:t>
            </w:r>
          </w:p>
        </w:tc>
        <w:tc>
          <w:tcPr>
            <w:tcW w:w="3334" w:type="dxa"/>
            <w:noWrap w:val="0"/>
            <w:vAlign w:val="center"/>
          </w:tcPr>
          <w:p w14:paraId="10F6ECDE">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造成严重危害后果的。</w:t>
            </w:r>
          </w:p>
        </w:tc>
        <w:tc>
          <w:tcPr>
            <w:tcW w:w="3251" w:type="dxa"/>
            <w:noWrap w:val="0"/>
            <w:vAlign w:val="center"/>
          </w:tcPr>
          <w:p w14:paraId="332B4B46">
            <w:pPr>
              <w:pStyle w:val="9"/>
              <w:keepNext w:val="0"/>
              <w:keepLines w:val="0"/>
              <w:pageBreakBefore w:val="0"/>
              <w:widowControl/>
              <w:suppressLineNumbers w:val="0"/>
              <w:kinsoku/>
              <w:wordWrap/>
              <w:overflowPunct/>
              <w:topLinePunct w:val="0"/>
              <w:bidi w:val="0"/>
              <w:snapToGrid w:val="0"/>
              <w:spacing w:before="0" w:beforeAutospacing="0" w:after="0" w:afterAutospacing="0" w:line="380" w:lineRule="exact"/>
              <w:ind w:left="0" w:leftChars="0" w:right="0" w:right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撤销其相应资格。</w:t>
            </w:r>
          </w:p>
        </w:tc>
      </w:tr>
      <w:tr w14:paraId="3A315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736" w:type="dxa"/>
            <w:vMerge w:val="restart"/>
            <w:noWrap w:val="0"/>
            <w:vAlign w:val="center"/>
          </w:tcPr>
          <w:p w14:paraId="1D75092B">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20</w:t>
            </w:r>
            <w:r>
              <w:rPr>
                <w:rFonts w:hint="eastAsia" w:ascii="宋体" w:hAnsi="宋体" w:cs="宋体"/>
                <w:b w:val="0"/>
                <w:bCs w:val="0"/>
                <w:color w:val="000000"/>
                <w:kern w:val="0"/>
                <w:sz w:val="24"/>
                <w:szCs w:val="24"/>
                <w:lang w:val="en-US" w:eastAsia="zh-CN"/>
              </w:rPr>
              <w:t>1</w:t>
            </w:r>
          </w:p>
        </w:tc>
        <w:tc>
          <w:tcPr>
            <w:tcW w:w="1748" w:type="dxa"/>
            <w:vMerge w:val="restart"/>
            <w:noWrap w:val="0"/>
            <w:vAlign w:val="center"/>
          </w:tcPr>
          <w:p w14:paraId="497CE534">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42" w:leftChars="20"/>
              <w:textAlignment w:val="auto"/>
              <w:outlineLvl w:val="2"/>
              <w:rPr>
                <w:rFonts w:hint="eastAsia" w:ascii="宋体" w:hAnsi="宋体" w:eastAsia="宋体" w:cs="宋体"/>
                <w:b w:val="0"/>
                <w:bCs w:val="0"/>
                <w:color w:val="000000"/>
                <w:kern w:val="0"/>
                <w:sz w:val="24"/>
                <w:szCs w:val="24"/>
                <w:lang w:val="en-US" w:eastAsia="zh-CN"/>
              </w:rPr>
            </w:pPr>
            <w:bookmarkStart w:id="239" w:name="_Toc31411"/>
            <w:bookmarkStart w:id="240" w:name="_Toc14372"/>
            <w:bookmarkStart w:id="241" w:name="_Toc23398"/>
            <w:bookmarkStart w:id="242" w:name="_Toc30110"/>
            <w:bookmarkStart w:id="243" w:name="_Toc7953"/>
            <w:r>
              <w:rPr>
                <w:rFonts w:hint="eastAsia" w:ascii="宋体" w:hAnsi="宋体" w:eastAsia="宋体" w:cs="宋体"/>
                <w:b w:val="0"/>
                <w:bCs w:val="0"/>
                <w:color w:val="000000"/>
                <w:kern w:val="0"/>
                <w:sz w:val="24"/>
                <w:szCs w:val="24"/>
              </w:rPr>
              <w:t>《大型游乐设施安全监察规定》</w:t>
            </w:r>
            <w:r>
              <w:rPr>
                <w:rFonts w:hint="eastAsia" w:ascii="宋体" w:hAnsi="宋体" w:eastAsia="宋体" w:cs="宋体"/>
                <w:b w:val="0"/>
                <w:bCs w:val="0"/>
                <w:color w:val="000000"/>
                <w:kern w:val="0"/>
                <w:sz w:val="24"/>
                <w:szCs w:val="24"/>
                <w:lang w:eastAsia="zh-CN"/>
              </w:rPr>
              <w:t>（</w:t>
            </w:r>
            <w:r>
              <w:rPr>
                <w:rFonts w:hint="eastAsia" w:ascii="宋体" w:hAnsi="宋体" w:eastAsia="宋体" w:cs="宋体"/>
                <w:b w:val="0"/>
                <w:bCs w:val="0"/>
                <w:color w:val="000000"/>
                <w:kern w:val="0"/>
                <w:sz w:val="24"/>
                <w:szCs w:val="24"/>
              </w:rPr>
              <w:t>20</w:t>
            </w:r>
            <w:r>
              <w:rPr>
                <w:rFonts w:hint="eastAsia" w:ascii="宋体" w:hAnsi="宋体" w:cs="宋体"/>
                <w:b w:val="0"/>
                <w:bCs w:val="0"/>
                <w:color w:val="000000"/>
                <w:kern w:val="0"/>
                <w:sz w:val="24"/>
                <w:szCs w:val="24"/>
                <w:lang w:val="en-US" w:eastAsia="zh-CN"/>
              </w:rPr>
              <w:t>25</w:t>
            </w:r>
            <w:r>
              <w:rPr>
                <w:rFonts w:hint="eastAsia" w:ascii="宋体" w:hAnsi="宋体" w:eastAsia="宋体" w:cs="宋体"/>
                <w:b w:val="0"/>
                <w:bCs w:val="0"/>
                <w:color w:val="000000"/>
                <w:kern w:val="0"/>
                <w:sz w:val="24"/>
                <w:szCs w:val="24"/>
              </w:rPr>
              <w:t>年</w:t>
            </w:r>
            <w:r>
              <w:rPr>
                <w:rFonts w:hint="eastAsia" w:ascii="宋体" w:hAnsi="宋体" w:cs="宋体"/>
                <w:b w:val="0"/>
                <w:bCs w:val="0"/>
                <w:color w:val="000000"/>
                <w:kern w:val="0"/>
                <w:sz w:val="24"/>
                <w:szCs w:val="24"/>
                <w:lang w:val="en-US" w:eastAsia="zh-CN"/>
              </w:rPr>
              <w:t>5</w:t>
            </w:r>
            <w:r>
              <w:rPr>
                <w:rFonts w:hint="eastAsia" w:ascii="宋体" w:hAnsi="宋体" w:eastAsia="宋体" w:cs="宋体"/>
                <w:b w:val="0"/>
                <w:bCs w:val="0"/>
                <w:color w:val="000000"/>
                <w:kern w:val="0"/>
                <w:sz w:val="24"/>
                <w:szCs w:val="24"/>
              </w:rPr>
              <w:t>月</w:t>
            </w:r>
            <w:r>
              <w:rPr>
                <w:rFonts w:hint="eastAsia" w:ascii="宋体" w:hAnsi="宋体" w:eastAsia="宋体" w:cs="宋体"/>
                <w:b w:val="0"/>
                <w:bCs w:val="0"/>
                <w:color w:val="000000"/>
                <w:kern w:val="0"/>
                <w:sz w:val="24"/>
                <w:szCs w:val="24"/>
                <w:lang w:val="en"/>
              </w:rPr>
              <w:t>1</w:t>
            </w:r>
            <w:r>
              <w:rPr>
                <w:rFonts w:hint="eastAsia" w:ascii="宋体" w:hAnsi="宋体" w:eastAsia="宋体" w:cs="宋体"/>
                <w:b w:val="0"/>
                <w:bCs w:val="0"/>
                <w:color w:val="000000"/>
                <w:kern w:val="0"/>
                <w:sz w:val="24"/>
                <w:szCs w:val="24"/>
              </w:rPr>
              <w:t>日</w:t>
            </w:r>
            <w:r>
              <w:rPr>
                <w:rFonts w:hint="eastAsia" w:ascii="宋体" w:hAnsi="宋体" w:cs="宋体"/>
                <w:b w:val="0"/>
                <w:bCs w:val="0"/>
                <w:color w:val="000000"/>
                <w:kern w:val="0"/>
                <w:sz w:val="24"/>
                <w:szCs w:val="24"/>
                <w:lang w:val="en-US" w:eastAsia="zh-CN"/>
              </w:rPr>
              <w:t>起施行</w:t>
            </w:r>
            <w:r>
              <w:rPr>
                <w:rFonts w:hint="eastAsia" w:ascii="宋体" w:hAnsi="宋体" w:eastAsia="宋体" w:cs="宋体"/>
                <w:b w:val="0"/>
                <w:bCs w:val="0"/>
                <w:color w:val="000000"/>
                <w:kern w:val="0"/>
                <w:sz w:val="24"/>
                <w:szCs w:val="24"/>
              </w:rPr>
              <w:t>）</w:t>
            </w:r>
            <w:bookmarkEnd w:id="239"/>
            <w:bookmarkEnd w:id="240"/>
            <w:bookmarkEnd w:id="241"/>
            <w:bookmarkEnd w:id="242"/>
            <w:bookmarkEnd w:id="243"/>
          </w:p>
        </w:tc>
        <w:tc>
          <w:tcPr>
            <w:tcW w:w="4140" w:type="dxa"/>
            <w:vMerge w:val="restart"/>
            <w:noWrap w:val="0"/>
            <w:vAlign w:val="center"/>
          </w:tcPr>
          <w:p w14:paraId="778C65AA">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第三十八条</w:t>
            </w:r>
            <w:r>
              <w:rPr>
                <w:rFonts w:hint="eastAsia" w:ascii="宋体" w:hAnsi="宋体" w:cs="宋体"/>
                <w:color w:val="000000"/>
                <w:kern w:val="0"/>
                <w:sz w:val="24"/>
                <w:szCs w:val="24"/>
                <w:lang w:val="en-US" w:eastAsia="zh-CN"/>
              </w:rPr>
              <w:t>第一款</w:t>
            </w:r>
            <w:r>
              <w:rPr>
                <w:rFonts w:hint="eastAsia" w:ascii="宋体" w:hAnsi="宋体" w:eastAsia="宋体" w:cs="宋体"/>
                <w:color w:val="000000"/>
                <w:kern w:val="0"/>
                <w:sz w:val="24"/>
                <w:szCs w:val="24"/>
              </w:rPr>
              <w:t xml:space="preserve"> 大型游乐设施制造、安装单位违反本规定，有下列情形之一的，予以警告，处1万元以上3万元以下罚款</w:t>
            </w:r>
            <w:r>
              <w:rPr>
                <w:rFonts w:hint="eastAsia" w:ascii="宋体" w:hAnsi="宋体" w:cs="宋体"/>
                <w:color w:val="000000"/>
                <w:kern w:val="0"/>
                <w:sz w:val="24"/>
                <w:szCs w:val="24"/>
                <w:lang w:eastAsia="zh-CN"/>
              </w:rPr>
              <w:t>：</w:t>
            </w:r>
          </w:p>
          <w:p w14:paraId="66992300">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b w:val="0"/>
                <w:bCs/>
                <w:color w:val="000000"/>
                <w:kern w:val="0"/>
                <w:sz w:val="24"/>
                <w:szCs w:val="24"/>
                <w:u w:val="none"/>
                <w:lang w:eastAsia="zh-CN"/>
              </w:rPr>
            </w:pPr>
            <w:r>
              <w:rPr>
                <w:rFonts w:hint="eastAsia" w:ascii="宋体" w:hAnsi="宋体" w:eastAsia="宋体" w:cs="宋体"/>
                <w:color w:val="000000"/>
                <w:kern w:val="0"/>
                <w:sz w:val="24"/>
                <w:szCs w:val="24"/>
              </w:rPr>
              <w:t>(一)</w:t>
            </w:r>
            <w:r>
              <w:rPr>
                <w:rFonts w:hint="eastAsia" w:ascii="宋体" w:hAnsi="宋体" w:eastAsia="宋体" w:cs="宋体"/>
                <w:b w:val="0"/>
                <w:bCs/>
                <w:color w:val="000000"/>
                <w:kern w:val="0"/>
                <w:sz w:val="24"/>
                <w:szCs w:val="24"/>
                <w:u w:val="none"/>
              </w:rPr>
              <w:t>未对设计进行安全评价，提出安全风险防控措施的</w:t>
            </w:r>
            <w:r>
              <w:rPr>
                <w:rFonts w:hint="eastAsia" w:ascii="宋体" w:hAnsi="宋体" w:cs="宋体"/>
                <w:b w:val="0"/>
                <w:bCs/>
                <w:color w:val="000000"/>
                <w:kern w:val="0"/>
                <w:sz w:val="24"/>
                <w:szCs w:val="24"/>
                <w:u w:val="none"/>
                <w:lang w:eastAsia="zh-CN"/>
              </w:rPr>
              <w:t>；</w:t>
            </w:r>
          </w:p>
          <w:p w14:paraId="646E73AD">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b w:val="0"/>
                <w:bCs/>
                <w:color w:val="000000"/>
                <w:kern w:val="0"/>
                <w:sz w:val="24"/>
                <w:szCs w:val="24"/>
                <w:u w:val="none"/>
                <w:lang w:eastAsia="zh-CN"/>
              </w:rPr>
            </w:pPr>
            <w:r>
              <w:rPr>
                <w:rFonts w:hint="eastAsia" w:ascii="宋体" w:hAnsi="宋体" w:eastAsia="宋体" w:cs="宋体"/>
                <w:b w:val="0"/>
                <w:bCs/>
                <w:color w:val="000000"/>
                <w:kern w:val="0"/>
                <w:sz w:val="24"/>
                <w:szCs w:val="24"/>
                <w:u w:val="none"/>
              </w:rPr>
              <w:t>(二)未对设计中首次使用的新技术进行安全性能验证的</w:t>
            </w:r>
            <w:r>
              <w:rPr>
                <w:rFonts w:hint="eastAsia" w:ascii="宋体" w:hAnsi="宋体" w:cs="宋体"/>
                <w:b w:val="0"/>
                <w:bCs/>
                <w:color w:val="000000"/>
                <w:kern w:val="0"/>
                <w:sz w:val="24"/>
                <w:szCs w:val="24"/>
                <w:u w:val="none"/>
                <w:lang w:eastAsia="zh-CN"/>
              </w:rPr>
              <w:t>；</w:t>
            </w:r>
          </w:p>
          <w:p w14:paraId="6BAAEF99">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b w:val="0"/>
                <w:bCs/>
                <w:color w:val="000000"/>
                <w:kern w:val="0"/>
                <w:sz w:val="24"/>
                <w:szCs w:val="24"/>
                <w:u w:val="none"/>
                <w:lang w:eastAsia="zh-CN"/>
              </w:rPr>
            </w:pPr>
            <w:r>
              <w:rPr>
                <w:rFonts w:hint="eastAsia" w:ascii="宋体" w:hAnsi="宋体" w:eastAsia="宋体" w:cs="宋体"/>
                <w:b w:val="0"/>
                <w:bCs/>
                <w:color w:val="000000"/>
                <w:kern w:val="0"/>
                <w:sz w:val="24"/>
                <w:szCs w:val="24"/>
                <w:u w:val="none"/>
              </w:rPr>
              <w:t>(三)未明确整机、主要受力部件的设计使用期限的</w:t>
            </w:r>
            <w:r>
              <w:rPr>
                <w:rFonts w:hint="eastAsia" w:ascii="宋体" w:hAnsi="宋体" w:cs="宋体"/>
                <w:b w:val="0"/>
                <w:bCs/>
                <w:color w:val="000000"/>
                <w:kern w:val="0"/>
                <w:sz w:val="24"/>
                <w:szCs w:val="24"/>
                <w:u w:val="none"/>
                <w:lang w:eastAsia="zh-CN"/>
              </w:rPr>
              <w:t>；</w:t>
            </w:r>
          </w:p>
          <w:p w14:paraId="780179FD">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r>
              <w:rPr>
                <w:rFonts w:hint="eastAsia" w:ascii="宋体" w:hAnsi="宋体" w:eastAsia="宋体" w:cs="宋体"/>
                <w:b w:val="0"/>
                <w:bCs/>
                <w:color w:val="000000"/>
                <w:kern w:val="0"/>
                <w:sz w:val="24"/>
                <w:szCs w:val="24"/>
                <w:u w:val="none"/>
              </w:rPr>
              <w:t>(四)未在大型游乐设施明显部位装设</w:t>
            </w:r>
            <w:r>
              <w:rPr>
                <w:rFonts w:hint="eastAsia" w:ascii="宋体" w:hAnsi="宋体" w:eastAsia="宋体" w:cs="宋体"/>
                <w:b w:val="0"/>
                <w:bCs/>
                <w:color w:val="000000"/>
                <w:spacing w:val="-6"/>
                <w:kern w:val="0"/>
                <w:sz w:val="24"/>
                <w:szCs w:val="24"/>
                <w:u w:val="none"/>
              </w:rPr>
              <w:t>符合有关安全技术规范要求的铭牌的</w:t>
            </w:r>
            <w:r>
              <w:rPr>
                <w:rFonts w:hint="eastAsia" w:ascii="宋体" w:hAnsi="宋体" w:cs="宋体"/>
                <w:b w:val="0"/>
                <w:bCs/>
                <w:color w:val="000000"/>
                <w:spacing w:val="-6"/>
                <w:kern w:val="0"/>
                <w:sz w:val="24"/>
                <w:szCs w:val="24"/>
                <w:u w:val="none"/>
                <w:lang w:eastAsia="zh-CN"/>
              </w:rPr>
              <w:t>。</w:t>
            </w:r>
          </w:p>
        </w:tc>
        <w:tc>
          <w:tcPr>
            <w:tcW w:w="1132" w:type="dxa"/>
            <w:noWrap w:val="0"/>
            <w:vAlign w:val="center"/>
          </w:tcPr>
          <w:p w14:paraId="1035F3A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556ABB4C">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无安全隐患。</w:t>
            </w:r>
          </w:p>
        </w:tc>
        <w:tc>
          <w:tcPr>
            <w:tcW w:w="3251" w:type="dxa"/>
            <w:noWrap w:val="0"/>
            <w:vAlign w:val="center"/>
          </w:tcPr>
          <w:p w14:paraId="32A2FD2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予以警告，处1万元以上1.6万元以下罚款。</w:t>
            </w:r>
          </w:p>
        </w:tc>
      </w:tr>
      <w:tr w14:paraId="594C3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736" w:type="dxa"/>
            <w:vMerge w:val="continue"/>
            <w:noWrap w:val="0"/>
            <w:vAlign w:val="center"/>
          </w:tcPr>
          <w:p w14:paraId="1091505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6ED2E652">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40191A09">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3BECAD89">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6A32345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存在一般安全隐患。</w:t>
            </w:r>
          </w:p>
        </w:tc>
        <w:tc>
          <w:tcPr>
            <w:tcW w:w="3251" w:type="dxa"/>
            <w:noWrap w:val="0"/>
            <w:vAlign w:val="center"/>
          </w:tcPr>
          <w:p w14:paraId="6C9A8E02">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予以警告，处1.6万元以上2.4万元以下罚款。</w:t>
            </w:r>
          </w:p>
        </w:tc>
      </w:tr>
      <w:tr w14:paraId="23CD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2" w:hRule="atLeast"/>
          <w:jc w:val="center"/>
        </w:trPr>
        <w:tc>
          <w:tcPr>
            <w:tcW w:w="736" w:type="dxa"/>
            <w:vMerge w:val="continue"/>
            <w:noWrap w:val="0"/>
            <w:vAlign w:val="center"/>
          </w:tcPr>
          <w:p w14:paraId="762A0BD2">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03E56DD7">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2D4F1D7F">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4F48E82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700D36C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存在严重安全隐患。</w:t>
            </w:r>
          </w:p>
        </w:tc>
        <w:tc>
          <w:tcPr>
            <w:tcW w:w="3251" w:type="dxa"/>
            <w:noWrap w:val="0"/>
            <w:vAlign w:val="center"/>
          </w:tcPr>
          <w:p w14:paraId="074AA828">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予以警告，处2.4万元以上3万元以下罚款。</w:t>
            </w:r>
          </w:p>
        </w:tc>
      </w:tr>
      <w:tr w14:paraId="5CB7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736" w:type="dxa"/>
            <w:vMerge w:val="restart"/>
            <w:noWrap w:val="0"/>
            <w:vAlign w:val="center"/>
          </w:tcPr>
          <w:p w14:paraId="71AF0544">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20</w:t>
            </w:r>
            <w:r>
              <w:rPr>
                <w:rFonts w:hint="eastAsia" w:ascii="宋体" w:hAnsi="宋体" w:cs="宋体"/>
                <w:b w:val="0"/>
                <w:bCs w:val="0"/>
                <w:color w:val="000000"/>
                <w:kern w:val="0"/>
                <w:sz w:val="24"/>
                <w:szCs w:val="24"/>
                <w:lang w:val="en-US" w:eastAsia="zh-CN"/>
              </w:rPr>
              <w:t>2</w:t>
            </w:r>
          </w:p>
        </w:tc>
        <w:tc>
          <w:tcPr>
            <w:tcW w:w="1748" w:type="dxa"/>
            <w:vMerge w:val="restart"/>
            <w:noWrap w:val="0"/>
            <w:vAlign w:val="center"/>
          </w:tcPr>
          <w:p w14:paraId="1D2EA756">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《大型游乐设施安全监察规定》</w:t>
            </w:r>
          </w:p>
        </w:tc>
        <w:tc>
          <w:tcPr>
            <w:tcW w:w="4140" w:type="dxa"/>
            <w:vMerge w:val="restart"/>
            <w:noWrap w:val="0"/>
            <w:vAlign w:val="center"/>
          </w:tcPr>
          <w:p w14:paraId="0FA410E9">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第三十八条</w:t>
            </w:r>
            <w:r>
              <w:rPr>
                <w:rFonts w:hint="eastAsia" w:ascii="宋体" w:hAnsi="宋体" w:cs="宋体"/>
                <w:color w:val="000000"/>
                <w:kern w:val="0"/>
                <w:sz w:val="24"/>
                <w:szCs w:val="24"/>
                <w:lang w:val="en-US" w:eastAsia="zh-CN"/>
              </w:rPr>
              <w:t>第一款</w:t>
            </w:r>
            <w:r>
              <w:rPr>
                <w:rFonts w:hint="eastAsia" w:ascii="宋体" w:hAnsi="宋体" w:eastAsia="宋体" w:cs="宋体"/>
                <w:color w:val="000000"/>
                <w:kern w:val="0"/>
                <w:sz w:val="24"/>
                <w:szCs w:val="24"/>
              </w:rPr>
              <w:t xml:space="preserve"> 大型游乐设施制造、安装单位违反本规定，有下列情形之一的，予以警告，处1万元以上3万元以下罚款</w:t>
            </w:r>
            <w:r>
              <w:rPr>
                <w:rFonts w:hint="eastAsia" w:ascii="宋体" w:hAnsi="宋体" w:cs="宋体"/>
                <w:color w:val="000000"/>
                <w:kern w:val="0"/>
                <w:sz w:val="24"/>
                <w:szCs w:val="24"/>
                <w:lang w:eastAsia="zh-CN"/>
              </w:rPr>
              <w:t>：</w:t>
            </w:r>
          </w:p>
          <w:p w14:paraId="4B4FE8B2">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r>
              <w:rPr>
                <w:rFonts w:hint="eastAsia" w:ascii="宋体" w:hAnsi="宋体" w:cs="宋体"/>
                <w:color w:val="000000"/>
                <w:kern w:val="0"/>
                <w:sz w:val="24"/>
                <w:szCs w:val="24"/>
                <w:lang w:val="en-US" w:eastAsia="zh-CN"/>
              </w:rPr>
              <w:t>五</w:t>
            </w:r>
            <w:r>
              <w:rPr>
                <w:rFonts w:hint="eastAsia" w:ascii="宋体" w:hAnsi="宋体" w:eastAsia="宋体" w:cs="宋体"/>
                <w:color w:val="000000"/>
                <w:kern w:val="0"/>
                <w:sz w:val="24"/>
                <w:szCs w:val="24"/>
              </w:rPr>
              <w:t>)</w:t>
            </w:r>
            <w:r>
              <w:rPr>
                <w:rFonts w:hint="eastAsia" w:ascii="宋体" w:hAnsi="宋体" w:eastAsia="宋体" w:cs="宋体"/>
                <w:b w:val="0"/>
                <w:bCs/>
                <w:color w:val="000000"/>
                <w:kern w:val="0"/>
                <w:sz w:val="24"/>
                <w:szCs w:val="24"/>
                <w:u w:val="none"/>
              </w:rPr>
              <w:t>对因设计、制造、安装原因，存在质量安全问题隐患的，未按照本规定要求进行排查处理的。</w:t>
            </w:r>
          </w:p>
        </w:tc>
        <w:tc>
          <w:tcPr>
            <w:tcW w:w="1132" w:type="dxa"/>
            <w:noWrap w:val="0"/>
            <w:vAlign w:val="center"/>
          </w:tcPr>
          <w:p w14:paraId="4021DEC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3E0FDA0E">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违法行为持续时间3个月以下。</w:t>
            </w:r>
          </w:p>
        </w:tc>
        <w:tc>
          <w:tcPr>
            <w:tcW w:w="3251" w:type="dxa"/>
            <w:noWrap w:val="0"/>
            <w:vAlign w:val="center"/>
          </w:tcPr>
          <w:p w14:paraId="4BD16E6D">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予以警告，处1万元以上1.6万元以下罚款。</w:t>
            </w:r>
          </w:p>
        </w:tc>
      </w:tr>
      <w:tr w14:paraId="7395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736" w:type="dxa"/>
            <w:vMerge w:val="continue"/>
            <w:noWrap w:val="0"/>
            <w:vAlign w:val="center"/>
          </w:tcPr>
          <w:p w14:paraId="42924DFC">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0030BFED">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4A1F602A">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2E2A94D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370E3E8D">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违法行为持续时间3个月以上6个月以下。</w:t>
            </w:r>
          </w:p>
        </w:tc>
        <w:tc>
          <w:tcPr>
            <w:tcW w:w="3251" w:type="dxa"/>
            <w:noWrap w:val="0"/>
            <w:vAlign w:val="center"/>
          </w:tcPr>
          <w:p w14:paraId="3075BE2C">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予以警告，处1.6万元以上2.4万元以下罚款。</w:t>
            </w:r>
          </w:p>
        </w:tc>
      </w:tr>
      <w:tr w14:paraId="5DBFD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36" w:type="dxa"/>
            <w:vMerge w:val="continue"/>
            <w:noWrap w:val="0"/>
            <w:vAlign w:val="center"/>
          </w:tcPr>
          <w:p w14:paraId="4F74D6F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09B0C5F7">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2F9FF3EB">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12308D6A">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6C3B2DF9">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违法行为持续时间6个月以上。</w:t>
            </w:r>
          </w:p>
        </w:tc>
        <w:tc>
          <w:tcPr>
            <w:tcW w:w="3251" w:type="dxa"/>
            <w:noWrap w:val="0"/>
            <w:vAlign w:val="center"/>
          </w:tcPr>
          <w:p w14:paraId="331AD555">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予以警告，处2.4万元以上3万元以下罚款。</w:t>
            </w:r>
          </w:p>
        </w:tc>
      </w:tr>
      <w:tr w14:paraId="5C46E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736" w:type="dxa"/>
            <w:vMerge w:val="restart"/>
            <w:noWrap w:val="0"/>
            <w:vAlign w:val="center"/>
          </w:tcPr>
          <w:p w14:paraId="159C2602">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20</w:t>
            </w:r>
            <w:r>
              <w:rPr>
                <w:rFonts w:hint="eastAsia" w:ascii="宋体" w:hAnsi="宋体" w:cs="宋体"/>
                <w:b w:val="0"/>
                <w:bCs w:val="0"/>
                <w:color w:val="000000"/>
                <w:kern w:val="0"/>
                <w:sz w:val="24"/>
                <w:szCs w:val="24"/>
                <w:lang w:val="en-US" w:eastAsia="zh-CN"/>
              </w:rPr>
              <w:t>3</w:t>
            </w:r>
          </w:p>
        </w:tc>
        <w:tc>
          <w:tcPr>
            <w:tcW w:w="1748" w:type="dxa"/>
            <w:vMerge w:val="restart"/>
            <w:noWrap w:val="0"/>
            <w:vAlign w:val="center"/>
          </w:tcPr>
          <w:p w14:paraId="7AA96622">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《大型游乐设施安全监察规定》</w:t>
            </w:r>
          </w:p>
        </w:tc>
        <w:tc>
          <w:tcPr>
            <w:tcW w:w="4140" w:type="dxa"/>
            <w:vMerge w:val="restart"/>
            <w:noWrap w:val="0"/>
            <w:vAlign w:val="center"/>
          </w:tcPr>
          <w:p w14:paraId="43A54B66">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第三十九条 </w:t>
            </w:r>
            <w:r>
              <w:rPr>
                <w:rFonts w:hint="eastAsia" w:ascii="宋体" w:hAnsi="宋体" w:eastAsia="宋体" w:cs="宋体"/>
                <w:b w:val="0"/>
                <w:bCs/>
                <w:color w:val="000000"/>
                <w:kern w:val="0"/>
                <w:sz w:val="24"/>
                <w:szCs w:val="24"/>
                <w:u w:val="none"/>
              </w:rPr>
              <w:t>大型游乐设施改造单位违反本规定，未进行设计文件鉴定的</w:t>
            </w:r>
            <w:r>
              <w:rPr>
                <w:rFonts w:hint="eastAsia" w:ascii="宋体" w:hAnsi="宋体" w:eastAsia="宋体" w:cs="宋体"/>
                <w:color w:val="000000"/>
                <w:kern w:val="0"/>
                <w:sz w:val="24"/>
                <w:szCs w:val="24"/>
              </w:rPr>
              <w:t>，予以警告，处1万元以上3万元以下罚款。</w:t>
            </w:r>
          </w:p>
        </w:tc>
        <w:tc>
          <w:tcPr>
            <w:tcW w:w="1132" w:type="dxa"/>
            <w:noWrap w:val="0"/>
            <w:vAlign w:val="center"/>
          </w:tcPr>
          <w:p w14:paraId="51179E00">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7AD22083">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尚未交付使用的。</w:t>
            </w:r>
          </w:p>
        </w:tc>
        <w:tc>
          <w:tcPr>
            <w:tcW w:w="3251" w:type="dxa"/>
            <w:noWrap w:val="0"/>
            <w:vAlign w:val="center"/>
          </w:tcPr>
          <w:p w14:paraId="6E6E1CE5">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予以警告，处1万元以上1.6万元以下罚款。</w:t>
            </w:r>
          </w:p>
        </w:tc>
      </w:tr>
      <w:tr w14:paraId="3BB5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736" w:type="dxa"/>
            <w:vMerge w:val="continue"/>
            <w:noWrap w:val="0"/>
            <w:vAlign w:val="center"/>
          </w:tcPr>
          <w:p w14:paraId="5B497F0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643679DA">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p>
        </w:tc>
        <w:tc>
          <w:tcPr>
            <w:tcW w:w="4140" w:type="dxa"/>
            <w:vMerge w:val="continue"/>
            <w:noWrap w:val="0"/>
            <w:vAlign w:val="center"/>
          </w:tcPr>
          <w:p w14:paraId="01D076F4">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p>
        </w:tc>
        <w:tc>
          <w:tcPr>
            <w:tcW w:w="1132" w:type="dxa"/>
            <w:noWrap w:val="0"/>
            <w:vAlign w:val="center"/>
          </w:tcPr>
          <w:p w14:paraId="397297D1">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4C9DBF70">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已交付使用的。</w:t>
            </w:r>
          </w:p>
        </w:tc>
        <w:tc>
          <w:tcPr>
            <w:tcW w:w="3251" w:type="dxa"/>
            <w:noWrap w:val="0"/>
            <w:vAlign w:val="center"/>
          </w:tcPr>
          <w:p w14:paraId="67977130">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予以警告，处1.6万元以上2.4万元以下罚款。</w:t>
            </w:r>
          </w:p>
        </w:tc>
      </w:tr>
      <w:tr w14:paraId="61C0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736" w:type="dxa"/>
            <w:vMerge w:val="continue"/>
            <w:noWrap w:val="0"/>
            <w:vAlign w:val="center"/>
          </w:tcPr>
          <w:p w14:paraId="100B026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0A509E66">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val="0"/>
                <w:bCs w:val="0"/>
                <w:color w:val="000000"/>
                <w:kern w:val="0"/>
                <w:sz w:val="24"/>
                <w:szCs w:val="24"/>
              </w:rPr>
            </w:pPr>
          </w:p>
        </w:tc>
        <w:tc>
          <w:tcPr>
            <w:tcW w:w="4140" w:type="dxa"/>
            <w:vMerge w:val="continue"/>
            <w:noWrap w:val="0"/>
            <w:vAlign w:val="center"/>
          </w:tcPr>
          <w:p w14:paraId="38A7AE7F">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0B8F86F3">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16952E4A">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已交付使用的，</w:t>
            </w:r>
            <w:r>
              <w:rPr>
                <w:rFonts w:hint="eastAsia" w:ascii="宋体" w:hAnsi="宋体" w:eastAsia="宋体" w:cs="宋体"/>
                <w:color w:val="000000"/>
                <w:kern w:val="0"/>
                <w:sz w:val="24"/>
                <w:szCs w:val="24"/>
                <w:lang w:val="en-US" w:eastAsia="zh-CN"/>
              </w:rPr>
              <w:t>危害</w:t>
            </w:r>
            <w:r>
              <w:rPr>
                <w:rFonts w:hint="eastAsia" w:ascii="宋体" w:hAnsi="宋体" w:eastAsia="宋体" w:cs="宋体"/>
                <w:color w:val="000000"/>
                <w:kern w:val="0"/>
                <w:sz w:val="24"/>
                <w:szCs w:val="24"/>
              </w:rPr>
              <w:t>人体健康或者</w:t>
            </w:r>
            <w:r>
              <w:rPr>
                <w:rFonts w:hint="eastAsia" w:ascii="宋体" w:hAnsi="宋体" w:eastAsia="宋体" w:cs="宋体"/>
                <w:color w:val="000000"/>
                <w:kern w:val="0"/>
                <w:sz w:val="24"/>
                <w:szCs w:val="24"/>
                <w:lang w:val="en-US" w:eastAsia="zh-CN"/>
              </w:rPr>
              <w:t>造成</w:t>
            </w:r>
            <w:r>
              <w:rPr>
                <w:rFonts w:hint="eastAsia" w:ascii="宋体" w:hAnsi="宋体" w:eastAsia="宋体" w:cs="宋体"/>
                <w:color w:val="000000"/>
                <w:kern w:val="0"/>
                <w:sz w:val="24"/>
                <w:szCs w:val="24"/>
              </w:rPr>
              <w:t>人身、财产损害的,尚未构成事故的。</w:t>
            </w:r>
          </w:p>
        </w:tc>
        <w:tc>
          <w:tcPr>
            <w:tcW w:w="3251" w:type="dxa"/>
            <w:noWrap w:val="0"/>
            <w:vAlign w:val="center"/>
          </w:tcPr>
          <w:p w14:paraId="4E266465">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予以警告，处2.4万元以上3万元以下罚款。</w:t>
            </w:r>
          </w:p>
        </w:tc>
      </w:tr>
      <w:tr w14:paraId="0CAB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jc w:val="center"/>
        </w:trPr>
        <w:tc>
          <w:tcPr>
            <w:tcW w:w="736" w:type="dxa"/>
            <w:vMerge w:val="restart"/>
            <w:noWrap w:val="0"/>
            <w:vAlign w:val="center"/>
          </w:tcPr>
          <w:p w14:paraId="5A447B5B">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20</w:t>
            </w:r>
            <w:r>
              <w:rPr>
                <w:rFonts w:hint="eastAsia" w:ascii="宋体" w:hAnsi="宋体" w:cs="宋体"/>
                <w:b w:val="0"/>
                <w:bCs w:val="0"/>
                <w:color w:val="000000"/>
                <w:kern w:val="0"/>
                <w:sz w:val="24"/>
                <w:szCs w:val="24"/>
                <w:lang w:val="en-US" w:eastAsia="zh-CN"/>
              </w:rPr>
              <w:t>4</w:t>
            </w:r>
          </w:p>
        </w:tc>
        <w:tc>
          <w:tcPr>
            <w:tcW w:w="1748" w:type="dxa"/>
            <w:vMerge w:val="restart"/>
            <w:noWrap w:val="0"/>
            <w:vAlign w:val="center"/>
          </w:tcPr>
          <w:p w14:paraId="38591733">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《大型游乐设施安全监察规定》</w:t>
            </w:r>
          </w:p>
        </w:tc>
        <w:tc>
          <w:tcPr>
            <w:tcW w:w="4140" w:type="dxa"/>
            <w:vMerge w:val="restart"/>
            <w:noWrap w:val="0"/>
            <w:vAlign w:val="center"/>
          </w:tcPr>
          <w:p w14:paraId="51C33D7E">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right="-105" w:rightChars="-50"/>
              <w:jc w:val="both"/>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第四十条</w:t>
            </w:r>
            <w:r>
              <w:rPr>
                <w:rFonts w:hint="eastAsia" w:ascii="宋体" w:hAnsi="宋体" w:cs="宋体"/>
                <w:color w:val="000000"/>
                <w:kern w:val="0"/>
                <w:sz w:val="24"/>
                <w:szCs w:val="24"/>
                <w:lang w:val="en-US" w:eastAsia="zh-CN"/>
              </w:rPr>
              <w:t>第一款</w:t>
            </w:r>
            <w:r>
              <w:rPr>
                <w:rFonts w:hint="eastAsia" w:ascii="宋体" w:hAnsi="宋体" w:eastAsia="宋体" w:cs="宋体"/>
                <w:color w:val="000000"/>
                <w:kern w:val="0"/>
                <w:sz w:val="24"/>
                <w:szCs w:val="24"/>
              </w:rPr>
              <w:t xml:space="preserve"> 大型游乐设施运营使用单位违反本规定，有下列情形之一的，予以警告，处1万元以上3万元以下罚款</w:t>
            </w:r>
            <w:r>
              <w:rPr>
                <w:rFonts w:hint="eastAsia" w:ascii="宋体" w:hAnsi="宋体" w:cs="宋体"/>
                <w:color w:val="000000"/>
                <w:kern w:val="0"/>
                <w:sz w:val="24"/>
                <w:szCs w:val="24"/>
                <w:lang w:eastAsia="zh-CN"/>
              </w:rPr>
              <w:t>：</w:t>
            </w:r>
          </w:p>
          <w:p w14:paraId="63EE7851">
            <w:pPr>
              <w:keepNext w:val="0"/>
              <w:keepLines w:val="0"/>
              <w:pageBreakBefore w:val="0"/>
              <w:widowControl/>
              <w:numPr>
                <w:ilvl w:val="0"/>
                <w:numId w:val="2"/>
              </w:numPr>
              <w:kinsoku/>
              <w:wordWrap/>
              <w:overflowPunct/>
              <w:topLinePunct w:val="0"/>
              <w:autoSpaceDE/>
              <w:autoSpaceDN/>
              <w:bidi w:val="0"/>
              <w:adjustRightInd/>
              <w:snapToGrid w:val="0"/>
              <w:spacing w:beforeAutospacing="0" w:afterAutospacing="0" w:line="380" w:lineRule="exact"/>
              <w:ind w:left="0" w:right="-105" w:rightChars="-50"/>
              <w:jc w:val="both"/>
              <w:textAlignment w:val="auto"/>
              <w:rPr>
                <w:rFonts w:ascii="宋体" w:hAnsi="宋体" w:eastAsia="宋体" w:cs="宋体"/>
                <w:sz w:val="24"/>
                <w:szCs w:val="24"/>
              </w:rPr>
            </w:pPr>
            <w:r>
              <w:rPr>
                <w:rFonts w:ascii="宋体" w:hAnsi="宋体" w:eastAsia="宋体" w:cs="宋体"/>
                <w:sz w:val="24"/>
                <w:szCs w:val="24"/>
              </w:rPr>
              <w:t>未及时更换超过设计使用期限要求且检验或者安全评估后不符合安全使用条件的主要受力部件的；</w:t>
            </w:r>
          </w:p>
          <w:p w14:paraId="5D1791BE">
            <w:pPr>
              <w:keepNext w:val="0"/>
              <w:keepLines w:val="0"/>
              <w:pageBreakBefore w:val="0"/>
              <w:widowControl/>
              <w:numPr>
                <w:ilvl w:val="0"/>
                <w:numId w:val="2"/>
              </w:numPr>
              <w:kinsoku/>
              <w:wordWrap/>
              <w:overflowPunct/>
              <w:topLinePunct w:val="0"/>
              <w:autoSpaceDE/>
              <w:autoSpaceDN/>
              <w:bidi w:val="0"/>
              <w:adjustRightInd/>
              <w:snapToGrid w:val="0"/>
              <w:spacing w:beforeAutospacing="0" w:afterAutospacing="0" w:line="380" w:lineRule="exact"/>
              <w:ind w:left="0" w:right="-105" w:rightChars="-50"/>
              <w:jc w:val="both"/>
              <w:textAlignment w:val="auto"/>
              <w:rPr>
                <w:rFonts w:hint="eastAsia" w:ascii="宋体" w:hAnsi="宋体" w:eastAsia="宋体" w:cs="宋体"/>
                <w:b w:val="0"/>
                <w:bCs w:val="0"/>
                <w:color w:val="000000"/>
                <w:kern w:val="0"/>
                <w:sz w:val="24"/>
                <w:szCs w:val="24"/>
                <w:u w:val="none"/>
                <w:lang w:eastAsia="zh-CN"/>
              </w:rPr>
            </w:pPr>
            <w:r>
              <w:rPr>
                <w:rFonts w:ascii="宋体" w:hAnsi="宋体" w:eastAsia="宋体" w:cs="宋体"/>
                <w:sz w:val="24"/>
                <w:szCs w:val="24"/>
              </w:rPr>
              <w:t>（二）租借场地开展大型游乐设施经营的，未与场地提供单位签订安全管理协议，落实安全管理制度的；</w:t>
            </w:r>
          </w:p>
          <w:p w14:paraId="603619F4">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right="-105" w:rightChars="-50"/>
              <w:jc w:val="both"/>
              <w:textAlignment w:val="auto"/>
              <w:rPr>
                <w:rFonts w:hint="eastAsia" w:ascii="宋体" w:hAnsi="宋体" w:eastAsia="宋体" w:cs="宋体"/>
                <w:color w:val="000000"/>
                <w:kern w:val="0"/>
                <w:sz w:val="24"/>
                <w:szCs w:val="24"/>
              </w:rPr>
            </w:pPr>
            <w:r>
              <w:rPr>
                <w:rFonts w:ascii="宋体" w:hAnsi="宋体" w:eastAsia="宋体" w:cs="宋体"/>
                <w:sz w:val="24"/>
                <w:szCs w:val="24"/>
              </w:rPr>
              <w:t>（三）未按照安全技术规范和使用维护说明书等要求进行重大修理的。</w:t>
            </w:r>
          </w:p>
        </w:tc>
        <w:tc>
          <w:tcPr>
            <w:tcW w:w="1132" w:type="dxa"/>
            <w:noWrap w:val="0"/>
            <w:vAlign w:val="center"/>
          </w:tcPr>
          <w:p w14:paraId="4EA9CA51">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3EFBB4E3">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违法行为持续时间3个月以下。</w:t>
            </w:r>
          </w:p>
        </w:tc>
        <w:tc>
          <w:tcPr>
            <w:tcW w:w="3251" w:type="dxa"/>
            <w:noWrap w:val="0"/>
            <w:vAlign w:val="center"/>
          </w:tcPr>
          <w:p w14:paraId="7F373A55">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予以警告，处1万元以上1.6万元以下罚款。</w:t>
            </w:r>
          </w:p>
        </w:tc>
      </w:tr>
      <w:tr w14:paraId="7CC5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736" w:type="dxa"/>
            <w:vMerge w:val="continue"/>
            <w:noWrap w:val="0"/>
            <w:vAlign w:val="center"/>
          </w:tcPr>
          <w:p w14:paraId="062218A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1C68A172">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553D23AF">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451618E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225AA173">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违法行为持续时间3个月以上6个月以下。</w:t>
            </w:r>
          </w:p>
        </w:tc>
        <w:tc>
          <w:tcPr>
            <w:tcW w:w="3251" w:type="dxa"/>
            <w:noWrap w:val="0"/>
            <w:vAlign w:val="center"/>
          </w:tcPr>
          <w:p w14:paraId="033D44F8">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予以警告，处1.6万元以上2.4万元以下罚款。</w:t>
            </w:r>
          </w:p>
        </w:tc>
      </w:tr>
      <w:tr w14:paraId="33E18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1" w:hRule="atLeast"/>
          <w:jc w:val="center"/>
        </w:trPr>
        <w:tc>
          <w:tcPr>
            <w:tcW w:w="736" w:type="dxa"/>
            <w:vMerge w:val="continue"/>
            <w:noWrap w:val="0"/>
            <w:vAlign w:val="center"/>
          </w:tcPr>
          <w:p w14:paraId="30C0369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47870199">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5C728707">
            <w:pPr>
              <w:pageBreakBefore w:val="0"/>
              <w:widowControl/>
              <w:kinsoku/>
              <w:wordWrap/>
              <w:overflowPunct/>
              <w:topLinePunct w:val="0"/>
              <w:bidi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05E21E5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15FBC127">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违法行为持续时间6个月以上。</w:t>
            </w:r>
          </w:p>
        </w:tc>
        <w:tc>
          <w:tcPr>
            <w:tcW w:w="3251" w:type="dxa"/>
            <w:noWrap w:val="0"/>
            <w:vAlign w:val="center"/>
          </w:tcPr>
          <w:p w14:paraId="33630F8A">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予以警告，处2.4万元以上3万元以下罚款。</w:t>
            </w:r>
          </w:p>
        </w:tc>
      </w:tr>
      <w:tr w14:paraId="2F98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4" w:hRule="atLeast"/>
          <w:jc w:val="center"/>
        </w:trPr>
        <w:tc>
          <w:tcPr>
            <w:tcW w:w="736" w:type="dxa"/>
            <w:vMerge w:val="restart"/>
            <w:noWrap w:val="0"/>
            <w:vAlign w:val="center"/>
          </w:tcPr>
          <w:p w14:paraId="003ACC8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US" w:eastAsia="zh-CN"/>
              </w:rPr>
              <w:t>20</w:t>
            </w:r>
            <w:r>
              <w:rPr>
                <w:rFonts w:hint="eastAsia" w:ascii="宋体" w:hAnsi="宋体" w:cs="宋体"/>
                <w:b w:val="0"/>
                <w:bCs w:val="0"/>
                <w:color w:val="000000"/>
                <w:kern w:val="0"/>
                <w:sz w:val="24"/>
                <w:szCs w:val="24"/>
                <w:lang w:val="en-US" w:eastAsia="zh-CN"/>
              </w:rPr>
              <w:t>5</w:t>
            </w:r>
          </w:p>
        </w:tc>
        <w:tc>
          <w:tcPr>
            <w:tcW w:w="1748" w:type="dxa"/>
            <w:vMerge w:val="restart"/>
            <w:noWrap w:val="0"/>
            <w:vAlign w:val="center"/>
          </w:tcPr>
          <w:p w14:paraId="371EAA74">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《大型游乐设施安全监察规定》</w:t>
            </w:r>
          </w:p>
        </w:tc>
        <w:tc>
          <w:tcPr>
            <w:tcW w:w="4140" w:type="dxa"/>
            <w:vMerge w:val="restart"/>
            <w:noWrap w:val="0"/>
            <w:vAlign w:val="center"/>
          </w:tcPr>
          <w:p w14:paraId="56F6DD8F">
            <w:pPr>
              <w:pageBreakBefore w:val="0"/>
              <w:widowControl/>
              <w:kinsoku/>
              <w:wordWrap/>
              <w:overflowPunct/>
              <w:topLinePunct w:val="0"/>
              <w:bidi w:val="0"/>
              <w:snapToGrid w:val="0"/>
              <w:spacing w:beforeAutospacing="0" w:afterAutospacing="0" w:line="40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第四十一条</w:t>
            </w:r>
            <w:r>
              <w:rPr>
                <w:rFonts w:hint="eastAsia" w:ascii="宋体" w:hAnsi="宋体" w:eastAsia="宋体" w:cs="宋体"/>
                <w:b w:val="0"/>
                <w:bCs w:val="0"/>
                <w:color w:val="000000"/>
                <w:kern w:val="0"/>
                <w:sz w:val="24"/>
                <w:szCs w:val="24"/>
                <w:u w:val="none"/>
              </w:rPr>
              <w:t xml:space="preserve"> 违反本规定安装、改造和重大修理施工现场的作业人员数量不能满足施工要求或具有相应特种设备作业人员资格的人数不符合安全技术规范要求的，</w:t>
            </w:r>
            <w:r>
              <w:rPr>
                <w:rFonts w:hint="eastAsia" w:ascii="宋体" w:hAnsi="宋体" w:eastAsia="宋体" w:cs="宋体"/>
                <w:color w:val="000000"/>
                <w:kern w:val="0"/>
                <w:sz w:val="24"/>
                <w:szCs w:val="24"/>
              </w:rPr>
              <w:t>予以警告，处5千元以上1万元以下罚款。</w:t>
            </w:r>
          </w:p>
        </w:tc>
        <w:tc>
          <w:tcPr>
            <w:tcW w:w="1132" w:type="dxa"/>
            <w:noWrap w:val="0"/>
            <w:vAlign w:val="center"/>
          </w:tcPr>
          <w:p w14:paraId="74F10A32">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30C3C712">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作业人员数量不能满足施工要求人数3人以下的，但具有相应特种设备作业人员资格人数符合安全技术规范要求的。</w:t>
            </w:r>
          </w:p>
        </w:tc>
        <w:tc>
          <w:tcPr>
            <w:tcW w:w="3251" w:type="dxa"/>
            <w:noWrap w:val="0"/>
            <w:vAlign w:val="center"/>
          </w:tcPr>
          <w:p w14:paraId="0C3B2E5C">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予以警告，处5千元以上7千元以下罚款。</w:t>
            </w:r>
          </w:p>
        </w:tc>
      </w:tr>
      <w:tr w14:paraId="4B3E5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8" w:hRule="atLeast"/>
          <w:jc w:val="center"/>
        </w:trPr>
        <w:tc>
          <w:tcPr>
            <w:tcW w:w="736" w:type="dxa"/>
            <w:vMerge w:val="continue"/>
            <w:noWrap w:val="0"/>
            <w:vAlign w:val="center"/>
          </w:tcPr>
          <w:p w14:paraId="1F3D71F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53D39366">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p>
        </w:tc>
        <w:tc>
          <w:tcPr>
            <w:tcW w:w="4140" w:type="dxa"/>
            <w:vMerge w:val="continue"/>
            <w:noWrap w:val="0"/>
            <w:vAlign w:val="center"/>
          </w:tcPr>
          <w:p w14:paraId="106781BF">
            <w:pPr>
              <w:pageBreakBefore w:val="0"/>
              <w:widowControl/>
              <w:kinsoku/>
              <w:wordWrap/>
              <w:overflowPunct/>
              <w:topLinePunct w:val="0"/>
              <w:bidi w:val="0"/>
              <w:snapToGrid w:val="0"/>
              <w:spacing w:beforeAutospacing="0" w:afterAutospacing="0" w:line="400" w:lineRule="exact"/>
              <w:ind w:left="0"/>
              <w:jc w:val="both"/>
              <w:rPr>
                <w:rFonts w:hint="eastAsia" w:ascii="宋体" w:hAnsi="宋体" w:eastAsia="宋体" w:cs="宋体"/>
                <w:color w:val="000000"/>
                <w:kern w:val="0"/>
                <w:sz w:val="24"/>
                <w:szCs w:val="24"/>
              </w:rPr>
            </w:pPr>
          </w:p>
        </w:tc>
        <w:tc>
          <w:tcPr>
            <w:tcW w:w="1132" w:type="dxa"/>
            <w:noWrap w:val="0"/>
            <w:vAlign w:val="center"/>
          </w:tcPr>
          <w:p w14:paraId="1BDE1C93">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11970001">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作业人员数量不能满足施工要求人数3人以上的，或具有相应特种设备作业人员资格人数不符合安全技术规范要求的。</w:t>
            </w:r>
          </w:p>
        </w:tc>
        <w:tc>
          <w:tcPr>
            <w:tcW w:w="3251" w:type="dxa"/>
            <w:noWrap w:val="0"/>
            <w:vAlign w:val="center"/>
          </w:tcPr>
          <w:p w14:paraId="5F0F4B04">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予以警告，处7千元以上1万元以下罚款。</w:t>
            </w:r>
          </w:p>
        </w:tc>
      </w:tr>
      <w:tr w14:paraId="5E8F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736" w:type="dxa"/>
            <w:vMerge w:val="restart"/>
            <w:noWrap w:val="0"/>
            <w:vAlign w:val="center"/>
          </w:tcPr>
          <w:p w14:paraId="56560BCE">
            <w:pPr>
              <w:pageBreakBefore w:val="0"/>
              <w:widowControl/>
              <w:kinsoku/>
              <w:wordWrap/>
              <w:overflowPunct/>
              <w:topLinePunct w:val="0"/>
              <w:bidi w:val="0"/>
              <w:snapToGrid w:val="0"/>
              <w:spacing w:beforeAutospacing="0" w:afterAutospacing="0" w:line="380" w:lineRule="exact"/>
              <w:ind w:left="0"/>
              <w:jc w:val="center"/>
              <w:rPr>
                <w:rFonts w:hint="default" w:ascii="宋体" w:hAnsi="宋体" w:eastAsia="宋体" w:cs="宋体"/>
                <w:b w:val="0"/>
                <w:bCs w:val="0"/>
                <w:color w:val="000000"/>
                <w:kern w:val="0"/>
                <w:sz w:val="24"/>
                <w:szCs w:val="24"/>
                <w:lang w:val="en-US" w:eastAsia="zh-CN"/>
              </w:rPr>
            </w:pPr>
            <w:r>
              <w:rPr>
                <w:rFonts w:hint="eastAsia" w:ascii="宋体" w:hAnsi="宋体" w:eastAsia="宋体" w:cs="宋体"/>
                <w:b w:val="0"/>
                <w:bCs w:val="0"/>
                <w:color w:val="000000"/>
                <w:kern w:val="0"/>
                <w:sz w:val="24"/>
                <w:szCs w:val="24"/>
                <w:lang w:val="en"/>
              </w:rPr>
              <w:t>20</w:t>
            </w:r>
            <w:r>
              <w:rPr>
                <w:rFonts w:hint="eastAsia" w:ascii="宋体" w:hAnsi="宋体" w:cs="宋体"/>
                <w:b w:val="0"/>
                <w:bCs w:val="0"/>
                <w:color w:val="000000"/>
                <w:kern w:val="0"/>
                <w:sz w:val="24"/>
                <w:szCs w:val="24"/>
                <w:lang w:val="en-US" w:eastAsia="zh-CN"/>
              </w:rPr>
              <w:t>6</w:t>
            </w:r>
          </w:p>
        </w:tc>
        <w:tc>
          <w:tcPr>
            <w:tcW w:w="1748" w:type="dxa"/>
            <w:vMerge w:val="restart"/>
            <w:noWrap w:val="0"/>
            <w:vAlign w:val="center"/>
          </w:tcPr>
          <w:p w14:paraId="470892D0">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42" w:leftChars="20"/>
              <w:textAlignment w:val="auto"/>
              <w:outlineLvl w:val="2"/>
              <w:rPr>
                <w:rFonts w:hint="eastAsia" w:ascii="宋体" w:hAnsi="宋体" w:eastAsia="宋体" w:cs="宋体"/>
                <w:b w:val="0"/>
                <w:bCs w:val="0"/>
                <w:color w:val="000000"/>
                <w:kern w:val="0"/>
                <w:sz w:val="24"/>
                <w:szCs w:val="24"/>
                <w:lang w:eastAsia="zh-CN"/>
              </w:rPr>
            </w:pPr>
            <w:bookmarkStart w:id="244" w:name="_Toc10645"/>
            <w:bookmarkStart w:id="245" w:name="_Toc11665"/>
            <w:bookmarkStart w:id="246" w:name="_Toc20110"/>
            <w:bookmarkStart w:id="247" w:name="_Toc12659"/>
            <w:bookmarkStart w:id="248" w:name="_Toc27520"/>
            <w:r>
              <w:rPr>
                <w:rFonts w:hint="eastAsia" w:ascii="宋体" w:hAnsi="宋体" w:eastAsia="宋体" w:cs="宋体"/>
                <w:b w:val="0"/>
                <w:bCs w:val="0"/>
                <w:color w:val="000000"/>
                <w:kern w:val="0"/>
                <w:sz w:val="24"/>
                <w:szCs w:val="24"/>
              </w:rPr>
              <w:t>《特种设备作业人员监督管理办法》</w:t>
            </w:r>
            <w:r>
              <w:rPr>
                <w:rFonts w:hint="eastAsia" w:ascii="宋体" w:hAnsi="宋体" w:eastAsia="宋体" w:cs="宋体"/>
                <w:b w:val="0"/>
                <w:bCs w:val="0"/>
                <w:color w:val="000000"/>
                <w:kern w:val="0"/>
                <w:sz w:val="24"/>
                <w:szCs w:val="24"/>
                <w:lang w:eastAsia="zh-CN"/>
              </w:rPr>
              <w:t>（</w:t>
            </w:r>
            <w:r>
              <w:rPr>
                <w:rFonts w:hint="eastAsia" w:ascii="宋体" w:hAnsi="宋体" w:eastAsia="宋体" w:cs="宋体"/>
                <w:b w:val="0"/>
                <w:bCs w:val="0"/>
                <w:color w:val="000000"/>
                <w:kern w:val="0"/>
                <w:sz w:val="24"/>
                <w:szCs w:val="24"/>
                <w:lang w:val="en-US" w:eastAsia="zh-CN"/>
              </w:rPr>
              <w:t>201</w:t>
            </w:r>
            <w:r>
              <w:rPr>
                <w:rFonts w:hint="eastAsia" w:ascii="宋体" w:hAnsi="宋体" w:cs="宋体"/>
                <w:b w:val="0"/>
                <w:bCs w:val="0"/>
                <w:color w:val="000000"/>
                <w:kern w:val="0"/>
                <w:sz w:val="24"/>
                <w:szCs w:val="24"/>
                <w:lang w:val="en-US" w:eastAsia="zh-CN"/>
              </w:rPr>
              <w:t>1</w:t>
            </w:r>
            <w:r>
              <w:rPr>
                <w:rFonts w:hint="eastAsia" w:ascii="宋体" w:hAnsi="宋体" w:eastAsia="宋体" w:cs="宋体"/>
                <w:b w:val="0"/>
                <w:bCs w:val="0"/>
                <w:color w:val="000000"/>
                <w:kern w:val="0"/>
                <w:sz w:val="24"/>
                <w:szCs w:val="24"/>
                <w:lang w:val="en-US" w:eastAsia="zh-CN"/>
              </w:rPr>
              <w:t>年</w:t>
            </w:r>
            <w:r>
              <w:rPr>
                <w:rFonts w:hint="eastAsia" w:ascii="宋体" w:hAnsi="宋体" w:cs="宋体"/>
                <w:b w:val="0"/>
                <w:bCs w:val="0"/>
                <w:color w:val="000000"/>
                <w:kern w:val="0"/>
                <w:sz w:val="24"/>
                <w:szCs w:val="24"/>
                <w:lang w:val="en-US" w:eastAsia="zh-CN"/>
              </w:rPr>
              <w:t>7</w:t>
            </w:r>
            <w:r>
              <w:rPr>
                <w:rFonts w:hint="eastAsia" w:ascii="宋体" w:hAnsi="宋体" w:eastAsia="宋体" w:cs="宋体"/>
                <w:b w:val="0"/>
                <w:bCs w:val="0"/>
                <w:color w:val="000000"/>
                <w:kern w:val="0"/>
                <w:sz w:val="24"/>
                <w:szCs w:val="24"/>
                <w:lang w:val="en-US" w:eastAsia="zh-CN"/>
              </w:rPr>
              <w:t>月</w:t>
            </w:r>
            <w:r>
              <w:rPr>
                <w:rFonts w:hint="eastAsia" w:ascii="宋体" w:hAnsi="宋体" w:cs="宋体"/>
                <w:b w:val="0"/>
                <w:bCs w:val="0"/>
                <w:color w:val="000000"/>
                <w:kern w:val="0"/>
                <w:sz w:val="24"/>
                <w:szCs w:val="24"/>
                <w:lang w:val="en-US" w:eastAsia="zh-CN"/>
              </w:rPr>
              <w:t>1</w:t>
            </w:r>
            <w:r>
              <w:rPr>
                <w:rFonts w:hint="eastAsia" w:ascii="宋体" w:hAnsi="宋体" w:eastAsia="宋体" w:cs="宋体"/>
                <w:b w:val="0"/>
                <w:bCs w:val="0"/>
                <w:color w:val="000000"/>
                <w:kern w:val="0"/>
                <w:sz w:val="24"/>
                <w:szCs w:val="24"/>
                <w:lang w:val="en-US" w:eastAsia="zh-CN"/>
              </w:rPr>
              <w:t>日</w:t>
            </w:r>
            <w:r>
              <w:rPr>
                <w:rFonts w:hint="eastAsia" w:ascii="宋体" w:hAnsi="宋体" w:cs="宋体"/>
                <w:b w:val="0"/>
                <w:bCs w:val="0"/>
                <w:color w:val="000000"/>
                <w:kern w:val="0"/>
                <w:sz w:val="24"/>
                <w:szCs w:val="24"/>
                <w:lang w:val="en-US" w:eastAsia="zh-CN"/>
              </w:rPr>
              <w:t>起施行</w:t>
            </w:r>
            <w:r>
              <w:rPr>
                <w:rFonts w:hint="eastAsia" w:ascii="宋体" w:hAnsi="宋体" w:eastAsia="宋体" w:cs="宋体"/>
                <w:b w:val="0"/>
                <w:bCs w:val="0"/>
                <w:color w:val="000000"/>
                <w:kern w:val="0"/>
                <w:sz w:val="24"/>
                <w:szCs w:val="24"/>
                <w:lang w:eastAsia="zh-CN"/>
              </w:rPr>
              <w:t>）</w:t>
            </w:r>
            <w:bookmarkEnd w:id="244"/>
            <w:bookmarkEnd w:id="245"/>
            <w:bookmarkEnd w:id="246"/>
            <w:bookmarkEnd w:id="247"/>
            <w:bookmarkEnd w:id="248"/>
          </w:p>
        </w:tc>
        <w:tc>
          <w:tcPr>
            <w:tcW w:w="4140" w:type="dxa"/>
            <w:vMerge w:val="restart"/>
            <w:noWrap w:val="0"/>
            <w:vAlign w:val="center"/>
          </w:tcPr>
          <w:p w14:paraId="7C449CF6">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left="0"/>
              <w:textAlignment w:val="auto"/>
              <w:rPr>
                <w:rFonts w:hint="eastAsia" w:ascii="宋体" w:hAnsi="宋体" w:eastAsia="宋体" w:cs="宋体"/>
                <w:b w:val="0"/>
                <w:bCs w:val="0"/>
                <w:color w:val="000000"/>
                <w:kern w:val="0"/>
                <w:sz w:val="24"/>
                <w:szCs w:val="24"/>
                <w:lang w:eastAsia="zh-CN"/>
              </w:rPr>
            </w:pPr>
            <w:r>
              <w:rPr>
                <w:rFonts w:hint="eastAsia" w:ascii="宋体" w:hAnsi="宋体" w:eastAsia="宋体" w:cs="宋体"/>
                <w:b w:val="0"/>
                <w:bCs w:val="0"/>
                <w:color w:val="000000"/>
                <w:kern w:val="0"/>
                <w:sz w:val="24"/>
                <w:szCs w:val="24"/>
              </w:rPr>
              <w:t>第三十一条</w:t>
            </w:r>
            <w:r>
              <w:rPr>
                <w:rFonts w:hint="eastAsia" w:ascii="宋体" w:hAnsi="宋体" w:cs="宋体"/>
                <w:b w:val="0"/>
                <w:bCs w:val="0"/>
                <w:color w:val="000000"/>
                <w:kern w:val="0"/>
                <w:sz w:val="24"/>
                <w:szCs w:val="24"/>
                <w:lang w:val="en-US" w:eastAsia="zh-CN"/>
              </w:rPr>
              <w:t xml:space="preserve"> </w:t>
            </w:r>
            <w:r>
              <w:rPr>
                <w:rFonts w:hint="eastAsia" w:ascii="宋体" w:hAnsi="宋体" w:eastAsia="宋体" w:cs="宋体"/>
                <w:b w:val="0"/>
                <w:bCs w:val="0"/>
                <w:color w:val="000000"/>
                <w:kern w:val="0"/>
                <w:sz w:val="24"/>
                <w:szCs w:val="24"/>
              </w:rPr>
              <w:t>有下列情形之一的，责令用人单位改正，并处1000元以上3万元以下罚款：</w:t>
            </w:r>
          </w:p>
          <w:p w14:paraId="03A6CD6F">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left="0"/>
              <w:textAlignment w:val="auto"/>
              <w:rPr>
                <w:rFonts w:hint="eastAsia" w:ascii="宋体" w:hAnsi="宋体" w:eastAsia="宋体" w:cs="宋体"/>
                <w:b w:val="0"/>
                <w:bCs w:val="0"/>
                <w:color w:val="000000"/>
                <w:kern w:val="0"/>
                <w:sz w:val="24"/>
                <w:szCs w:val="24"/>
                <w:u w:val="none"/>
                <w:lang w:eastAsia="zh-CN"/>
              </w:rPr>
            </w:pPr>
            <w:r>
              <w:rPr>
                <w:rFonts w:hint="eastAsia" w:ascii="宋体" w:hAnsi="宋体" w:eastAsia="宋体" w:cs="宋体"/>
                <w:b w:val="0"/>
                <w:bCs w:val="0"/>
                <w:color w:val="000000"/>
                <w:kern w:val="0"/>
                <w:sz w:val="24"/>
                <w:szCs w:val="24"/>
              </w:rPr>
              <w:t>（一）</w:t>
            </w:r>
            <w:r>
              <w:rPr>
                <w:rFonts w:hint="eastAsia" w:ascii="宋体" w:hAnsi="宋体" w:eastAsia="宋体" w:cs="宋体"/>
                <w:b w:val="0"/>
                <w:bCs w:val="0"/>
                <w:color w:val="000000"/>
                <w:kern w:val="0"/>
                <w:sz w:val="24"/>
                <w:szCs w:val="24"/>
                <w:u w:val="none"/>
              </w:rPr>
              <w:t>违章指挥特种设备作业的；</w:t>
            </w:r>
          </w:p>
          <w:p w14:paraId="63DEC66E">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left="0"/>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u w:val="none"/>
              </w:rPr>
              <w:t>（二）作业人员违反特种设备的操作规程和有关的安全规章制度操作，或者在作业过程中发现事故隐患或者其他不安全因素未立即向现场管理人员和单位有关负责人报告，用人单位未给予批评教育或者处分的。</w:t>
            </w:r>
          </w:p>
        </w:tc>
        <w:tc>
          <w:tcPr>
            <w:tcW w:w="1132" w:type="dxa"/>
            <w:noWrap w:val="0"/>
            <w:vAlign w:val="center"/>
          </w:tcPr>
          <w:p w14:paraId="62162ECE">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39A7780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未造成人体健康或者人身、财产损害的。</w:t>
            </w:r>
          </w:p>
        </w:tc>
        <w:tc>
          <w:tcPr>
            <w:tcW w:w="3251" w:type="dxa"/>
            <w:noWrap w:val="0"/>
            <w:vAlign w:val="center"/>
          </w:tcPr>
          <w:p w14:paraId="48C618D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处1000元以上1.5万元以下罚款。</w:t>
            </w:r>
          </w:p>
        </w:tc>
      </w:tr>
      <w:tr w14:paraId="1388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5" w:hRule="atLeast"/>
          <w:jc w:val="center"/>
        </w:trPr>
        <w:tc>
          <w:tcPr>
            <w:tcW w:w="736" w:type="dxa"/>
            <w:vMerge w:val="continue"/>
            <w:noWrap w:val="0"/>
            <w:vAlign w:val="center"/>
          </w:tcPr>
          <w:p w14:paraId="73064319">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rPr>
            </w:pPr>
          </w:p>
        </w:tc>
        <w:tc>
          <w:tcPr>
            <w:tcW w:w="1748" w:type="dxa"/>
            <w:vMerge w:val="continue"/>
            <w:noWrap w:val="0"/>
            <w:vAlign w:val="center"/>
          </w:tcPr>
          <w:p w14:paraId="57C60B53">
            <w:pPr>
              <w:pageBreakBefore w:val="0"/>
              <w:widowControl/>
              <w:kinsoku/>
              <w:wordWrap/>
              <w:overflowPunct/>
              <w:topLinePunct w:val="0"/>
              <w:bidi w:val="0"/>
              <w:snapToGrid w:val="0"/>
              <w:spacing w:beforeAutospacing="0" w:afterAutospacing="0" w:line="380" w:lineRule="exact"/>
              <w:ind w:left="42" w:leftChars="20"/>
              <w:rPr>
                <w:rFonts w:hint="eastAsia" w:ascii="宋体" w:hAnsi="宋体" w:eastAsia="宋体" w:cs="宋体"/>
                <w:b w:val="0"/>
                <w:bCs w:val="0"/>
                <w:color w:val="000000"/>
                <w:kern w:val="0"/>
                <w:sz w:val="24"/>
                <w:szCs w:val="24"/>
              </w:rPr>
            </w:pPr>
          </w:p>
        </w:tc>
        <w:tc>
          <w:tcPr>
            <w:tcW w:w="4140" w:type="dxa"/>
            <w:vMerge w:val="continue"/>
            <w:noWrap w:val="0"/>
            <w:vAlign w:val="center"/>
          </w:tcPr>
          <w:p w14:paraId="7ADB2D43">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b w:val="0"/>
                <w:bCs w:val="0"/>
                <w:color w:val="000000"/>
                <w:kern w:val="0"/>
                <w:sz w:val="24"/>
                <w:szCs w:val="24"/>
              </w:rPr>
            </w:pPr>
          </w:p>
        </w:tc>
        <w:tc>
          <w:tcPr>
            <w:tcW w:w="1132" w:type="dxa"/>
            <w:noWrap w:val="0"/>
            <w:vAlign w:val="center"/>
          </w:tcPr>
          <w:p w14:paraId="472F78D0">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6C7E3008">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造成人体健康或者人身、财产损害，尚未构成事故的。</w:t>
            </w:r>
          </w:p>
        </w:tc>
        <w:tc>
          <w:tcPr>
            <w:tcW w:w="3251" w:type="dxa"/>
            <w:noWrap w:val="0"/>
            <w:vAlign w:val="center"/>
          </w:tcPr>
          <w:p w14:paraId="0721F40F">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处1.5万元以上3万元以下罚款。</w:t>
            </w:r>
          </w:p>
        </w:tc>
      </w:tr>
      <w:tr w14:paraId="2EE9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736" w:type="dxa"/>
            <w:vMerge w:val="restart"/>
            <w:noWrap w:val="0"/>
            <w:vAlign w:val="center"/>
          </w:tcPr>
          <w:p w14:paraId="4BC3A91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val="0"/>
                <w:bCs w:val="0"/>
                <w:color w:val="000000"/>
                <w:kern w:val="0"/>
                <w:sz w:val="24"/>
                <w:szCs w:val="24"/>
                <w:lang w:val="en" w:eastAsia="zh-CN"/>
              </w:rPr>
            </w:pPr>
            <w:r>
              <w:rPr>
                <w:rFonts w:hint="eastAsia" w:ascii="宋体" w:hAnsi="宋体" w:eastAsia="宋体" w:cs="宋体"/>
                <w:b w:val="0"/>
                <w:bCs w:val="0"/>
                <w:color w:val="000000"/>
                <w:kern w:val="0"/>
                <w:sz w:val="24"/>
                <w:szCs w:val="24"/>
                <w:lang w:val="en" w:eastAsia="zh-CN"/>
              </w:rPr>
              <w:t>20</w:t>
            </w:r>
            <w:r>
              <w:rPr>
                <w:rFonts w:hint="eastAsia" w:ascii="宋体" w:hAnsi="宋体" w:cs="宋体"/>
                <w:b w:val="0"/>
                <w:bCs w:val="0"/>
                <w:color w:val="000000"/>
                <w:kern w:val="0"/>
                <w:sz w:val="24"/>
                <w:szCs w:val="24"/>
                <w:lang w:val="en-US" w:eastAsia="zh-CN"/>
              </w:rPr>
              <w:t>7</w:t>
            </w:r>
          </w:p>
        </w:tc>
        <w:tc>
          <w:tcPr>
            <w:tcW w:w="1748" w:type="dxa"/>
            <w:vMerge w:val="restart"/>
            <w:noWrap w:val="0"/>
            <w:vAlign w:val="center"/>
          </w:tcPr>
          <w:p w14:paraId="2DD6BD22">
            <w:pPr>
              <w:keepNext w:val="0"/>
              <w:keepLines w:val="0"/>
              <w:pageBreakBefore w:val="0"/>
              <w:widowControl/>
              <w:kinsoku/>
              <w:wordWrap/>
              <w:overflowPunct/>
              <w:topLinePunct w:val="0"/>
              <w:autoSpaceDE/>
              <w:autoSpaceDN/>
              <w:bidi w:val="0"/>
              <w:adjustRightInd/>
              <w:snapToGrid w:val="0"/>
              <w:spacing w:beforeAutospacing="0" w:afterAutospacing="0" w:line="380" w:lineRule="exact"/>
              <w:ind w:left="42" w:leftChars="20"/>
              <w:jc w:val="both"/>
              <w:textAlignment w:val="auto"/>
              <w:outlineLvl w:val="2"/>
              <w:rPr>
                <w:rFonts w:hint="eastAsia" w:ascii="宋体" w:hAnsi="宋体" w:eastAsia="宋体" w:cs="宋体"/>
                <w:b w:val="0"/>
                <w:bCs w:val="0"/>
                <w:color w:val="000000"/>
                <w:kern w:val="0"/>
                <w:sz w:val="24"/>
                <w:szCs w:val="24"/>
              </w:rPr>
            </w:pPr>
            <w:bookmarkStart w:id="249" w:name="_Toc6195"/>
            <w:bookmarkStart w:id="250" w:name="_Toc26728"/>
            <w:bookmarkStart w:id="251" w:name="_Toc26544"/>
            <w:bookmarkStart w:id="252" w:name="_Toc2830"/>
            <w:bookmarkStart w:id="253" w:name="_Toc5666"/>
            <w:r>
              <w:rPr>
                <w:rFonts w:hint="eastAsia" w:ascii="宋体" w:hAnsi="宋体" w:eastAsia="宋体" w:cs="宋体"/>
                <w:b w:val="0"/>
                <w:bCs w:val="0"/>
                <w:color w:val="000000"/>
                <w:kern w:val="0"/>
                <w:sz w:val="24"/>
                <w:szCs w:val="24"/>
                <w:lang w:val="zh-CN"/>
              </w:rPr>
              <w:t>《特种设备安全监督检查办法》（</w:t>
            </w:r>
            <w:r>
              <w:rPr>
                <w:rFonts w:hint="eastAsia" w:ascii="宋体" w:hAnsi="宋体" w:eastAsia="宋体" w:cs="宋体"/>
                <w:b w:val="0"/>
                <w:bCs w:val="0"/>
                <w:color w:val="000000"/>
                <w:kern w:val="0"/>
                <w:sz w:val="24"/>
                <w:szCs w:val="24"/>
                <w:lang w:val="en-US" w:eastAsia="zh-CN"/>
              </w:rPr>
              <w:t>2022年</w:t>
            </w:r>
            <w:r>
              <w:rPr>
                <w:rFonts w:hint="eastAsia" w:ascii="宋体" w:hAnsi="宋体" w:cs="宋体"/>
                <w:b w:val="0"/>
                <w:bCs w:val="0"/>
                <w:color w:val="000000"/>
                <w:kern w:val="0"/>
                <w:sz w:val="24"/>
                <w:szCs w:val="24"/>
                <w:lang w:val="en-US" w:eastAsia="zh-CN"/>
              </w:rPr>
              <w:t>7</w:t>
            </w:r>
            <w:r>
              <w:rPr>
                <w:rFonts w:hint="eastAsia" w:ascii="宋体" w:hAnsi="宋体" w:eastAsia="宋体" w:cs="宋体"/>
                <w:b w:val="0"/>
                <w:bCs w:val="0"/>
                <w:color w:val="000000"/>
                <w:kern w:val="0"/>
                <w:sz w:val="24"/>
                <w:szCs w:val="24"/>
                <w:lang w:val="en-US" w:eastAsia="zh-CN"/>
              </w:rPr>
              <w:t>月</w:t>
            </w:r>
            <w:r>
              <w:rPr>
                <w:rFonts w:hint="eastAsia" w:ascii="宋体" w:hAnsi="宋体" w:eastAsia="宋体" w:cs="宋体"/>
                <w:b w:val="0"/>
                <w:bCs w:val="0"/>
                <w:color w:val="000000"/>
                <w:kern w:val="0"/>
                <w:sz w:val="24"/>
                <w:szCs w:val="24"/>
                <w:lang w:val="en" w:eastAsia="zh-CN"/>
              </w:rPr>
              <w:t>1</w:t>
            </w:r>
            <w:r>
              <w:rPr>
                <w:rFonts w:hint="eastAsia" w:ascii="宋体" w:hAnsi="宋体" w:eastAsia="宋体" w:cs="宋体"/>
                <w:b w:val="0"/>
                <w:bCs w:val="0"/>
                <w:color w:val="000000"/>
                <w:kern w:val="0"/>
                <w:sz w:val="24"/>
                <w:szCs w:val="24"/>
                <w:lang w:val="en-US" w:eastAsia="zh-CN"/>
              </w:rPr>
              <w:t>日</w:t>
            </w:r>
            <w:r>
              <w:rPr>
                <w:rFonts w:hint="eastAsia" w:ascii="宋体" w:hAnsi="宋体" w:cs="宋体"/>
                <w:b w:val="0"/>
                <w:bCs w:val="0"/>
                <w:color w:val="000000"/>
                <w:kern w:val="0"/>
                <w:sz w:val="24"/>
                <w:szCs w:val="24"/>
                <w:lang w:val="en-US" w:eastAsia="zh-CN"/>
              </w:rPr>
              <w:t>起施行</w:t>
            </w:r>
            <w:r>
              <w:rPr>
                <w:rFonts w:hint="eastAsia" w:ascii="宋体" w:hAnsi="宋体" w:eastAsia="宋体" w:cs="宋体"/>
                <w:b w:val="0"/>
                <w:bCs w:val="0"/>
                <w:color w:val="000000"/>
                <w:kern w:val="0"/>
                <w:sz w:val="24"/>
                <w:szCs w:val="24"/>
                <w:lang w:val="zh-CN"/>
              </w:rPr>
              <w:t>）</w:t>
            </w:r>
            <w:bookmarkEnd w:id="249"/>
            <w:bookmarkEnd w:id="250"/>
            <w:bookmarkEnd w:id="251"/>
            <w:bookmarkEnd w:id="252"/>
            <w:bookmarkEnd w:id="253"/>
          </w:p>
        </w:tc>
        <w:tc>
          <w:tcPr>
            <w:tcW w:w="4140" w:type="dxa"/>
            <w:vMerge w:val="restart"/>
            <w:noWrap w:val="0"/>
            <w:vAlign w:val="center"/>
          </w:tcPr>
          <w:p w14:paraId="20F72545">
            <w:pPr>
              <w:pageBreakBefore w:val="0"/>
              <w:widowControl/>
              <w:kinsoku/>
              <w:wordWrap/>
              <w:overflowPunct/>
              <w:topLinePunct w:val="0"/>
              <w:autoSpaceDE/>
              <w:autoSpaceDN/>
              <w:bidi w:val="0"/>
              <w:adjustRightInd w:val="0"/>
              <w:snapToGrid w:val="0"/>
              <w:spacing w:beforeAutospacing="0" w:afterAutospacing="0" w:line="400" w:lineRule="exact"/>
              <w:ind w:left="0"/>
              <w:jc w:val="both"/>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rPr>
              <w:t>第三十五条第一款</w:t>
            </w:r>
            <w:r>
              <w:rPr>
                <w:rFonts w:hint="eastAsia" w:ascii="宋体" w:hAnsi="宋体" w:eastAsia="宋体" w:cs="宋体"/>
                <w:b w:val="0"/>
                <w:bCs w:val="0"/>
                <w:color w:val="000000"/>
                <w:kern w:val="0"/>
                <w:sz w:val="24"/>
                <w:szCs w:val="24"/>
                <w:u w:val="none"/>
              </w:rPr>
              <w:t xml:space="preserve"> 被检查单位未按要求进行自查自纠的，</w:t>
            </w:r>
            <w:r>
              <w:rPr>
                <w:rFonts w:hint="eastAsia" w:ascii="宋体" w:hAnsi="宋体" w:eastAsia="宋体" w:cs="宋体"/>
                <w:b w:val="0"/>
                <w:bCs w:val="0"/>
                <w:color w:val="000000"/>
                <w:kern w:val="0"/>
                <w:sz w:val="24"/>
                <w:szCs w:val="24"/>
              </w:rPr>
              <w:t>责令限期改正；逾期未改正的，处五千元以上三万元以下罚款。</w:t>
            </w:r>
          </w:p>
        </w:tc>
        <w:tc>
          <w:tcPr>
            <w:tcW w:w="1132" w:type="dxa"/>
            <w:noWrap w:val="0"/>
            <w:vAlign w:val="center"/>
          </w:tcPr>
          <w:p w14:paraId="26320A7B">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12A1690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无安全隐患。</w:t>
            </w:r>
          </w:p>
        </w:tc>
        <w:tc>
          <w:tcPr>
            <w:tcW w:w="3251" w:type="dxa"/>
            <w:noWrap w:val="0"/>
            <w:vAlign w:val="center"/>
          </w:tcPr>
          <w:p w14:paraId="1300E348">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逾期未改正的，处5000元以上1.25万元以下罚款。</w:t>
            </w:r>
          </w:p>
        </w:tc>
      </w:tr>
      <w:tr w14:paraId="0021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736" w:type="dxa"/>
            <w:vMerge w:val="continue"/>
            <w:noWrap w:val="0"/>
            <w:vAlign w:val="center"/>
          </w:tcPr>
          <w:p w14:paraId="5C07681A">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37CBBB1B">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color w:val="000000"/>
                <w:kern w:val="0"/>
                <w:sz w:val="24"/>
                <w:szCs w:val="24"/>
                <w:lang w:val="zh-CN"/>
              </w:rPr>
            </w:pPr>
          </w:p>
        </w:tc>
        <w:tc>
          <w:tcPr>
            <w:tcW w:w="4140" w:type="dxa"/>
            <w:vMerge w:val="continue"/>
            <w:noWrap w:val="0"/>
            <w:vAlign w:val="center"/>
          </w:tcPr>
          <w:p w14:paraId="6BD19839">
            <w:pPr>
              <w:pageBreakBefore w:val="0"/>
              <w:kinsoku/>
              <w:wordWrap/>
              <w:overflowPunct/>
              <w:topLinePunct w:val="0"/>
              <w:autoSpaceDE/>
              <w:autoSpaceDN/>
              <w:bidi w:val="0"/>
              <w:adjustRightInd w:val="0"/>
              <w:snapToGrid w:val="0"/>
              <w:spacing w:beforeAutospacing="0" w:afterAutospacing="0" w:line="400" w:lineRule="exact"/>
              <w:ind w:left="0"/>
              <w:jc w:val="both"/>
              <w:rPr>
                <w:rFonts w:hint="eastAsia" w:ascii="宋体" w:hAnsi="宋体" w:eastAsia="宋体" w:cs="宋体"/>
                <w:color w:val="000000"/>
                <w:kern w:val="0"/>
                <w:sz w:val="24"/>
                <w:szCs w:val="24"/>
              </w:rPr>
            </w:pPr>
          </w:p>
        </w:tc>
        <w:tc>
          <w:tcPr>
            <w:tcW w:w="1132" w:type="dxa"/>
            <w:noWrap w:val="0"/>
            <w:vAlign w:val="center"/>
          </w:tcPr>
          <w:p w14:paraId="17AAA3F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07EFE4E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存在一般安全隐患</w:t>
            </w:r>
            <w:r>
              <w:rPr>
                <w:rFonts w:hint="eastAsia" w:ascii="宋体" w:hAnsi="宋体" w:cs="宋体"/>
                <w:color w:val="000000"/>
                <w:kern w:val="0"/>
                <w:sz w:val="24"/>
                <w:szCs w:val="24"/>
                <w:lang w:eastAsia="zh-CN"/>
              </w:rPr>
              <w:t>。</w:t>
            </w:r>
          </w:p>
        </w:tc>
        <w:tc>
          <w:tcPr>
            <w:tcW w:w="3251" w:type="dxa"/>
            <w:noWrap w:val="0"/>
            <w:vAlign w:val="center"/>
          </w:tcPr>
          <w:p w14:paraId="19028448">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逾期未改正的，处1.25万元以上2.25万元以下罚款。</w:t>
            </w:r>
          </w:p>
        </w:tc>
      </w:tr>
      <w:tr w14:paraId="0DCB8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736" w:type="dxa"/>
            <w:vMerge w:val="continue"/>
            <w:noWrap w:val="0"/>
            <w:vAlign w:val="center"/>
          </w:tcPr>
          <w:p w14:paraId="5CCBD1B4">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426CC2F9">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color w:val="000000"/>
                <w:kern w:val="0"/>
                <w:sz w:val="24"/>
                <w:szCs w:val="24"/>
                <w:lang w:val="zh-CN"/>
              </w:rPr>
            </w:pPr>
          </w:p>
        </w:tc>
        <w:tc>
          <w:tcPr>
            <w:tcW w:w="4140" w:type="dxa"/>
            <w:vMerge w:val="continue"/>
            <w:noWrap w:val="0"/>
            <w:vAlign w:val="center"/>
          </w:tcPr>
          <w:p w14:paraId="67196073">
            <w:pPr>
              <w:pageBreakBefore w:val="0"/>
              <w:kinsoku/>
              <w:wordWrap/>
              <w:overflowPunct/>
              <w:topLinePunct w:val="0"/>
              <w:autoSpaceDE/>
              <w:autoSpaceDN/>
              <w:bidi w:val="0"/>
              <w:adjustRightInd w:val="0"/>
              <w:snapToGrid w:val="0"/>
              <w:spacing w:beforeAutospacing="0" w:afterAutospacing="0" w:line="400" w:lineRule="exact"/>
              <w:ind w:left="0"/>
              <w:jc w:val="both"/>
              <w:rPr>
                <w:rFonts w:hint="eastAsia" w:ascii="宋体" w:hAnsi="宋体" w:eastAsia="宋体" w:cs="宋体"/>
                <w:color w:val="000000"/>
                <w:kern w:val="0"/>
                <w:sz w:val="24"/>
                <w:szCs w:val="24"/>
              </w:rPr>
            </w:pPr>
          </w:p>
        </w:tc>
        <w:tc>
          <w:tcPr>
            <w:tcW w:w="1132" w:type="dxa"/>
            <w:noWrap w:val="0"/>
            <w:vAlign w:val="center"/>
          </w:tcPr>
          <w:p w14:paraId="3F5BA8AB">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5F22AE73">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存在严重安全隐患。</w:t>
            </w:r>
          </w:p>
        </w:tc>
        <w:tc>
          <w:tcPr>
            <w:tcW w:w="3251" w:type="dxa"/>
            <w:noWrap w:val="0"/>
            <w:vAlign w:val="center"/>
          </w:tcPr>
          <w:p w14:paraId="018BE550">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逾期未改正的，处2.25万元以上3万元以下罚款。</w:t>
            </w:r>
          </w:p>
        </w:tc>
      </w:tr>
      <w:tr w14:paraId="4BBE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736" w:type="dxa"/>
            <w:vMerge w:val="restart"/>
            <w:noWrap w:val="0"/>
            <w:vAlign w:val="center"/>
          </w:tcPr>
          <w:p w14:paraId="498FCA17">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lang w:val="en" w:eastAsia="zh-CN"/>
              </w:rPr>
            </w:pPr>
            <w:r>
              <w:rPr>
                <w:rFonts w:hint="eastAsia" w:ascii="宋体" w:hAnsi="宋体" w:eastAsia="宋体" w:cs="宋体"/>
                <w:b w:val="0"/>
                <w:bCs w:val="0"/>
                <w:color w:val="000000"/>
                <w:kern w:val="0"/>
                <w:sz w:val="24"/>
                <w:szCs w:val="24"/>
                <w:lang w:val="en" w:eastAsia="zh-CN"/>
              </w:rPr>
              <w:t>20</w:t>
            </w:r>
            <w:r>
              <w:rPr>
                <w:rFonts w:hint="eastAsia" w:ascii="宋体" w:hAnsi="宋体" w:cs="宋体"/>
                <w:b w:val="0"/>
                <w:bCs w:val="0"/>
                <w:color w:val="000000"/>
                <w:kern w:val="0"/>
                <w:sz w:val="24"/>
                <w:szCs w:val="24"/>
                <w:lang w:val="en-US" w:eastAsia="zh-CN"/>
              </w:rPr>
              <w:t>8</w:t>
            </w:r>
          </w:p>
        </w:tc>
        <w:tc>
          <w:tcPr>
            <w:tcW w:w="1748" w:type="dxa"/>
            <w:vMerge w:val="restart"/>
            <w:noWrap w:val="0"/>
            <w:vAlign w:val="center"/>
          </w:tcPr>
          <w:p w14:paraId="2EF61F46">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color w:val="000000"/>
                <w:kern w:val="0"/>
                <w:sz w:val="24"/>
                <w:szCs w:val="24"/>
                <w:lang w:val="zh-CN"/>
              </w:rPr>
              <w:t>《特种设备安全监督检查办法》</w:t>
            </w:r>
          </w:p>
        </w:tc>
        <w:tc>
          <w:tcPr>
            <w:tcW w:w="4140" w:type="dxa"/>
            <w:vMerge w:val="restart"/>
            <w:noWrap w:val="0"/>
            <w:vAlign w:val="center"/>
          </w:tcPr>
          <w:p w14:paraId="0D8776C9">
            <w:pPr>
              <w:pageBreakBefore w:val="0"/>
              <w:kinsoku/>
              <w:wordWrap/>
              <w:overflowPunct/>
              <w:topLinePunct w:val="0"/>
              <w:autoSpaceDE/>
              <w:autoSpaceDN/>
              <w:bidi w:val="0"/>
              <w:adjustRightInd w:val="0"/>
              <w:snapToGrid w:val="0"/>
              <w:spacing w:beforeAutospacing="0" w:afterAutospacing="0" w:line="400" w:lineRule="exact"/>
              <w:ind w:left="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第三十五条第二款 </w:t>
            </w:r>
            <w:r>
              <w:rPr>
                <w:rFonts w:hint="eastAsia" w:ascii="宋体" w:hAnsi="宋体" w:eastAsia="宋体" w:cs="宋体"/>
                <w:b w:val="0"/>
                <w:bCs/>
                <w:color w:val="000000"/>
                <w:kern w:val="0"/>
                <w:sz w:val="24"/>
                <w:szCs w:val="24"/>
                <w:u w:val="none"/>
                <w:lang w:val="zh-CN"/>
              </w:rPr>
              <w:t>被检查单位在检查中隐匿证据、提供虚假材料或者未在通知的期限内提供有关材料的，</w:t>
            </w:r>
            <w:r>
              <w:rPr>
                <w:rFonts w:hint="eastAsia" w:ascii="宋体" w:hAnsi="宋体" w:eastAsia="宋体" w:cs="宋体"/>
                <w:color w:val="000000"/>
                <w:kern w:val="0"/>
                <w:sz w:val="24"/>
                <w:szCs w:val="24"/>
                <w:lang w:val="zh-CN"/>
              </w:rPr>
              <w:t>责令限期改正；逾期未改正的，处一万元以上十万元以下罚款。</w:t>
            </w:r>
          </w:p>
        </w:tc>
        <w:tc>
          <w:tcPr>
            <w:tcW w:w="1132" w:type="dxa"/>
            <w:noWrap w:val="0"/>
            <w:vAlign w:val="center"/>
          </w:tcPr>
          <w:p w14:paraId="13F7605A">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428946BC">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无安全隐患。</w:t>
            </w:r>
          </w:p>
        </w:tc>
        <w:tc>
          <w:tcPr>
            <w:tcW w:w="3251" w:type="dxa"/>
            <w:noWrap w:val="0"/>
            <w:vAlign w:val="center"/>
          </w:tcPr>
          <w:p w14:paraId="007C368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zh-CN"/>
              </w:rPr>
              <w:t>逾期未改正的，处1万元以上3.7万元以下罚款。</w:t>
            </w:r>
          </w:p>
        </w:tc>
      </w:tr>
      <w:tr w14:paraId="3CD5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736" w:type="dxa"/>
            <w:vMerge w:val="continue"/>
            <w:noWrap w:val="0"/>
            <w:vAlign w:val="center"/>
          </w:tcPr>
          <w:p w14:paraId="744A03C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1DF66816">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color w:val="000000"/>
                <w:kern w:val="0"/>
                <w:sz w:val="24"/>
                <w:szCs w:val="24"/>
                <w:lang w:val="zh-CN"/>
              </w:rPr>
            </w:pPr>
          </w:p>
        </w:tc>
        <w:tc>
          <w:tcPr>
            <w:tcW w:w="4140" w:type="dxa"/>
            <w:vMerge w:val="continue"/>
            <w:noWrap w:val="0"/>
            <w:vAlign w:val="center"/>
          </w:tcPr>
          <w:p w14:paraId="3895F0E5">
            <w:pPr>
              <w:pageBreakBefore w:val="0"/>
              <w:kinsoku/>
              <w:wordWrap/>
              <w:overflowPunct/>
              <w:topLinePunct w:val="0"/>
              <w:autoSpaceDE/>
              <w:autoSpaceDN/>
              <w:bidi w:val="0"/>
              <w:adjustRightInd w:val="0"/>
              <w:snapToGrid w:val="0"/>
              <w:spacing w:beforeAutospacing="0" w:afterAutospacing="0" w:line="400" w:lineRule="exact"/>
              <w:ind w:left="0"/>
              <w:jc w:val="both"/>
              <w:rPr>
                <w:rFonts w:hint="eastAsia" w:ascii="宋体" w:hAnsi="宋体" w:eastAsia="宋体" w:cs="宋体"/>
                <w:color w:val="000000"/>
                <w:kern w:val="0"/>
                <w:sz w:val="24"/>
                <w:szCs w:val="24"/>
              </w:rPr>
            </w:pPr>
          </w:p>
        </w:tc>
        <w:tc>
          <w:tcPr>
            <w:tcW w:w="1132" w:type="dxa"/>
            <w:noWrap w:val="0"/>
            <w:vAlign w:val="center"/>
          </w:tcPr>
          <w:p w14:paraId="595B6A0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64E2E4A0">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rPr>
              <w:t>存在一般安全隐患</w:t>
            </w:r>
            <w:r>
              <w:rPr>
                <w:rFonts w:hint="eastAsia" w:ascii="宋体" w:hAnsi="宋体" w:cs="宋体"/>
                <w:color w:val="000000"/>
                <w:kern w:val="0"/>
                <w:sz w:val="24"/>
                <w:szCs w:val="24"/>
                <w:lang w:eastAsia="zh-CN"/>
              </w:rPr>
              <w:t>。</w:t>
            </w:r>
          </w:p>
        </w:tc>
        <w:tc>
          <w:tcPr>
            <w:tcW w:w="3251" w:type="dxa"/>
            <w:noWrap w:val="0"/>
            <w:vAlign w:val="center"/>
          </w:tcPr>
          <w:p w14:paraId="52028F0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zh-CN"/>
              </w:rPr>
              <w:t>逾期未改正的，处3.7万元以上7.3万元以下罚款。</w:t>
            </w:r>
          </w:p>
        </w:tc>
      </w:tr>
      <w:tr w14:paraId="14D1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736" w:type="dxa"/>
            <w:vMerge w:val="continue"/>
            <w:noWrap w:val="0"/>
            <w:vAlign w:val="center"/>
          </w:tcPr>
          <w:p w14:paraId="5899A7AD">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77A74BBB">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color w:val="000000"/>
                <w:kern w:val="0"/>
                <w:sz w:val="24"/>
                <w:szCs w:val="24"/>
                <w:lang w:val="zh-CN"/>
              </w:rPr>
            </w:pPr>
          </w:p>
        </w:tc>
        <w:tc>
          <w:tcPr>
            <w:tcW w:w="4140" w:type="dxa"/>
            <w:vMerge w:val="continue"/>
            <w:noWrap w:val="0"/>
            <w:vAlign w:val="center"/>
          </w:tcPr>
          <w:p w14:paraId="28240A7B">
            <w:pPr>
              <w:pageBreakBefore w:val="0"/>
              <w:kinsoku/>
              <w:wordWrap/>
              <w:overflowPunct/>
              <w:topLinePunct w:val="0"/>
              <w:autoSpaceDE/>
              <w:autoSpaceDN/>
              <w:bidi w:val="0"/>
              <w:adjustRightInd w:val="0"/>
              <w:snapToGrid w:val="0"/>
              <w:spacing w:beforeAutospacing="0" w:afterAutospacing="0" w:line="400" w:lineRule="exact"/>
              <w:ind w:left="0"/>
              <w:jc w:val="both"/>
              <w:rPr>
                <w:rFonts w:hint="eastAsia" w:ascii="宋体" w:hAnsi="宋体" w:eastAsia="宋体" w:cs="宋体"/>
                <w:color w:val="000000"/>
                <w:kern w:val="0"/>
                <w:sz w:val="24"/>
                <w:szCs w:val="24"/>
              </w:rPr>
            </w:pPr>
          </w:p>
        </w:tc>
        <w:tc>
          <w:tcPr>
            <w:tcW w:w="1132" w:type="dxa"/>
            <w:noWrap w:val="0"/>
            <w:vAlign w:val="center"/>
          </w:tcPr>
          <w:p w14:paraId="321FE817">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52B6E9EB">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存在严重安全隐患。</w:t>
            </w:r>
          </w:p>
        </w:tc>
        <w:tc>
          <w:tcPr>
            <w:tcW w:w="3251" w:type="dxa"/>
            <w:noWrap w:val="0"/>
            <w:vAlign w:val="center"/>
          </w:tcPr>
          <w:p w14:paraId="73D109B7">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zh-CN"/>
              </w:rPr>
              <w:t>逾期未改正的，处7.3万元以上10万元以下罚款。</w:t>
            </w:r>
          </w:p>
        </w:tc>
      </w:tr>
      <w:tr w14:paraId="51B3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736" w:type="dxa"/>
            <w:vMerge w:val="restart"/>
            <w:noWrap w:val="0"/>
            <w:vAlign w:val="center"/>
          </w:tcPr>
          <w:p w14:paraId="53DEC4EB">
            <w:pPr>
              <w:pageBreakBefore w:val="0"/>
              <w:widowControl/>
              <w:kinsoku/>
              <w:wordWrap/>
              <w:overflowPunct/>
              <w:topLinePunct w:val="0"/>
              <w:bidi w:val="0"/>
              <w:snapToGrid w:val="0"/>
              <w:spacing w:beforeAutospacing="0" w:afterAutospacing="0" w:line="380" w:lineRule="exact"/>
              <w:ind w:left="0"/>
              <w:jc w:val="center"/>
              <w:rPr>
                <w:rFonts w:hint="default" w:ascii="宋体" w:hAnsi="宋体" w:eastAsia="宋体" w:cs="宋体"/>
                <w:b/>
                <w:bCs/>
                <w:color w:val="000000"/>
                <w:kern w:val="0"/>
                <w:sz w:val="24"/>
                <w:szCs w:val="24"/>
                <w:lang w:val="en-US" w:eastAsia="zh-CN"/>
              </w:rPr>
            </w:pPr>
            <w:r>
              <w:rPr>
                <w:rFonts w:hint="eastAsia" w:ascii="宋体" w:hAnsi="宋体" w:eastAsia="宋体" w:cs="宋体"/>
                <w:b w:val="0"/>
                <w:bCs w:val="0"/>
                <w:color w:val="000000"/>
                <w:kern w:val="0"/>
                <w:sz w:val="24"/>
                <w:szCs w:val="24"/>
                <w:lang w:val="en" w:eastAsia="zh-CN"/>
              </w:rPr>
              <w:t>2</w:t>
            </w:r>
            <w:r>
              <w:rPr>
                <w:rFonts w:hint="eastAsia" w:ascii="宋体" w:hAnsi="宋体" w:cs="宋体"/>
                <w:b w:val="0"/>
                <w:bCs w:val="0"/>
                <w:color w:val="000000"/>
                <w:kern w:val="0"/>
                <w:sz w:val="24"/>
                <w:szCs w:val="24"/>
                <w:lang w:val="en-US" w:eastAsia="zh-CN"/>
              </w:rPr>
              <w:t>09</w:t>
            </w:r>
          </w:p>
        </w:tc>
        <w:tc>
          <w:tcPr>
            <w:tcW w:w="1748" w:type="dxa"/>
            <w:vMerge w:val="restart"/>
            <w:noWrap w:val="0"/>
            <w:vAlign w:val="center"/>
          </w:tcPr>
          <w:p w14:paraId="5032595D">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b/>
                <w:bCs/>
                <w:color w:val="000000"/>
                <w:kern w:val="0"/>
                <w:sz w:val="24"/>
                <w:szCs w:val="24"/>
              </w:rPr>
            </w:pPr>
            <w:r>
              <w:rPr>
                <w:rFonts w:hint="eastAsia" w:ascii="宋体" w:hAnsi="宋体" w:eastAsia="宋体" w:cs="宋体"/>
                <w:color w:val="000000"/>
                <w:kern w:val="0"/>
                <w:sz w:val="24"/>
                <w:szCs w:val="24"/>
                <w:lang w:val="zh-CN"/>
              </w:rPr>
              <w:t>《特种设备安全监督检查办法》</w:t>
            </w:r>
          </w:p>
        </w:tc>
        <w:tc>
          <w:tcPr>
            <w:tcW w:w="4140" w:type="dxa"/>
            <w:vMerge w:val="restart"/>
            <w:noWrap w:val="0"/>
            <w:vAlign w:val="center"/>
          </w:tcPr>
          <w:p w14:paraId="701ED9D7">
            <w:pPr>
              <w:pageBreakBefore w:val="0"/>
              <w:kinsoku/>
              <w:wordWrap/>
              <w:overflowPunct/>
              <w:topLinePunct w:val="0"/>
              <w:autoSpaceDE/>
              <w:autoSpaceDN/>
              <w:bidi w:val="0"/>
              <w:adjustRightInd w:val="0"/>
              <w:snapToGrid w:val="0"/>
              <w:spacing w:beforeAutospacing="0" w:afterAutospacing="0" w:line="400" w:lineRule="exact"/>
              <w:ind w:left="0"/>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 xml:space="preserve">第三十六条 </w:t>
            </w:r>
            <w:r>
              <w:rPr>
                <w:rFonts w:hint="eastAsia" w:ascii="宋体" w:hAnsi="宋体" w:eastAsia="宋体" w:cs="宋体"/>
                <w:b w:val="0"/>
                <w:bCs/>
                <w:color w:val="000000"/>
                <w:kern w:val="0"/>
                <w:sz w:val="24"/>
                <w:szCs w:val="24"/>
                <w:u w:val="none"/>
                <w:lang w:val="zh-CN"/>
              </w:rPr>
              <w:t>特种设备生产、经营、使用单位和检验、检测机构违反本办法第二十九条第一款，拒不执行特种设备安全监察指令的，</w:t>
            </w:r>
            <w:r>
              <w:rPr>
                <w:rFonts w:hint="eastAsia" w:ascii="宋体" w:hAnsi="宋体" w:eastAsia="宋体" w:cs="宋体"/>
                <w:color w:val="000000"/>
                <w:kern w:val="0"/>
                <w:sz w:val="24"/>
                <w:szCs w:val="24"/>
                <w:lang w:val="zh-CN"/>
              </w:rPr>
              <w:t>处五千元以上十万元以下罚款；情节严重的，处十万元以上二十万元以下罚款。</w:t>
            </w:r>
          </w:p>
        </w:tc>
        <w:tc>
          <w:tcPr>
            <w:tcW w:w="1132" w:type="dxa"/>
            <w:noWrap w:val="0"/>
            <w:vAlign w:val="center"/>
          </w:tcPr>
          <w:p w14:paraId="706C51C6">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较轻</w:t>
            </w:r>
          </w:p>
        </w:tc>
        <w:tc>
          <w:tcPr>
            <w:tcW w:w="3334" w:type="dxa"/>
            <w:noWrap w:val="0"/>
            <w:vAlign w:val="center"/>
          </w:tcPr>
          <w:p w14:paraId="239B89AE">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无安全隐患。</w:t>
            </w:r>
          </w:p>
        </w:tc>
        <w:tc>
          <w:tcPr>
            <w:tcW w:w="3251" w:type="dxa"/>
            <w:noWrap w:val="0"/>
            <w:vAlign w:val="center"/>
          </w:tcPr>
          <w:p w14:paraId="57EA9CA1">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处5000元以上5万元以下罚款。</w:t>
            </w:r>
          </w:p>
        </w:tc>
      </w:tr>
      <w:tr w14:paraId="37C5E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736" w:type="dxa"/>
            <w:vMerge w:val="continue"/>
            <w:noWrap w:val="0"/>
            <w:vAlign w:val="center"/>
          </w:tcPr>
          <w:p w14:paraId="3EAC781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72A9FC08">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color w:val="000000"/>
                <w:kern w:val="0"/>
                <w:sz w:val="24"/>
                <w:szCs w:val="24"/>
                <w:lang w:val="zh-CN"/>
              </w:rPr>
            </w:pPr>
          </w:p>
        </w:tc>
        <w:tc>
          <w:tcPr>
            <w:tcW w:w="4140" w:type="dxa"/>
            <w:vMerge w:val="continue"/>
            <w:noWrap w:val="0"/>
            <w:vAlign w:val="center"/>
          </w:tcPr>
          <w:p w14:paraId="66641DA7">
            <w:pPr>
              <w:pageBreakBefore w:val="0"/>
              <w:kinsoku/>
              <w:wordWrap/>
              <w:overflowPunct/>
              <w:topLinePunct w:val="0"/>
              <w:autoSpaceDE w:val="0"/>
              <w:autoSpaceDN w:val="0"/>
              <w:bidi w:val="0"/>
              <w:adjustRightInd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0A5C7EB8">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一般</w:t>
            </w:r>
          </w:p>
        </w:tc>
        <w:tc>
          <w:tcPr>
            <w:tcW w:w="3334" w:type="dxa"/>
            <w:noWrap w:val="0"/>
            <w:vAlign w:val="center"/>
          </w:tcPr>
          <w:p w14:paraId="315EC4EE">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存在一般安全隐患</w:t>
            </w:r>
            <w:r>
              <w:rPr>
                <w:rFonts w:hint="eastAsia" w:ascii="宋体" w:hAnsi="宋体" w:cs="宋体"/>
                <w:color w:val="000000"/>
                <w:kern w:val="0"/>
                <w:sz w:val="24"/>
                <w:szCs w:val="24"/>
                <w:lang w:eastAsia="zh-CN"/>
              </w:rPr>
              <w:t>。</w:t>
            </w:r>
          </w:p>
        </w:tc>
        <w:tc>
          <w:tcPr>
            <w:tcW w:w="3251" w:type="dxa"/>
            <w:noWrap w:val="0"/>
            <w:vAlign w:val="center"/>
          </w:tcPr>
          <w:p w14:paraId="6D25A0C8">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处5万元以上10万元以下罚款。</w:t>
            </w:r>
          </w:p>
        </w:tc>
      </w:tr>
      <w:tr w14:paraId="7029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736" w:type="dxa"/>
            <w:vMerge w:val="continue"/>
            <w:noWrap w:val="0"/>
            <w:vAlign w:val="center"/>
          </w:tcPr>
          <w:p w14:paraId="107E5F25">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b/>
                <w:bCs/>
                <w:color w:val="000000"/>
                <w:kern w:val="0"/>
                <w:sz w:val="24"/>
                <w:szCs w:val="24"/>
              </w:rPr>
            </w:pPr>
          </w:p>
        </w:tc>
        <w:tc>
          <w:tcPr>
            <w:tcW w:w="1748" w:type="dxa"/>
            <w:vMerge w:val="continue"/>
            <w:noWrap w:val="0"/>
            <w:vAlign w:val="center"/>
          </w:tcPr>
          <w:p w14:paraId="776D3DAD">
            <w:pPr>
              <w:pageBreakBefore w:val="0"/>
              <w:widowControl/>
              <w:kinsoku/>
              <w:wordWrap/>
              <w:overflowPunct/>
              <w:topLinePunct w:val="0"/>
              <w:bidi w:val="0"/>
              <w:snapToGrid w:val="0"/>
              <w:spacing w:beforeAutospacing="0" w:afterAutospacing="0" w:line="380" w:lineRule="exact"/>
              <w:ind w:left="42" w:leftChars="20"/>
              <w:jc w:val="both"/>
              <w:rPr>
                <w:rFonts w:hint="eastAsia" w:ascii="宋体" w:hAnsi="宋体" w:eastAsia="宋体" w:cs="宋体"/>
                <w:color w:val="000000"/>
                <w:kern w:val="0"/>
                <w:sz w:val="24"/>
                <w:szCs w:val="24"/>
                <w:lang w:val="zh-CN"/>
              </w:rPr>
            </w:pPr>
          </w:p>
        </w:tc>
        <w:tc>
          <w:tcPr>
            <w:tcW w:w="4140" w:type="dxa"/>
            <w:vMerge w:val="continue"/>
            <w:noWrap w:val="0"/>
            <w:vAlign w:val="center"/>
          </w:tcPr>
          <w:p w14:paraId="1FC5D283">
            <w:pPr>
              <w:pageBreakBefore w:val="0"/>
              <w:kinsoku/>
              <w:wordWrap/>
              <w:overflowPunct/>
              <w:topLinePunct w:val="0"/>
              <w:autoSpaceDE w:val="0"/>
              <w:autoSpaceDN w:val="0"/>
              <w:bidi w:val="0"/>
              <w:adjustRightInd w:val="0"/>
              <w:snapToGrid w:val="0"/>
              <w:spacing w:beforeAutospacing="0" w:afterAutospacing="0" w:line="380" w:lineRule="exact"/>
              <w:ind w:left="0"/>
              <w:jc w:val="both"/>
              <w:rPr>
                <w:rFonts w:hint="eastAsia" w:ascii="宋体" w:hAnsi="宋体" w:eastAsia="宋体" w:cs="宋体"/>
                <w:color w:val="000000"/>
                <w:kern w:val="0"/>
                <w:sz w:val="24"/>
                <w:szCs w:val="24"/>
              </w:rPr>
            </w:pPr>
          </w:p>
        </w:tc>
        <w:tc>
          <w:tcPr>
            <w:tcW w:w="1132" w:type="dxa"/>
            <w:noWrap w:val="0"/>
            <w:vAlign w:val="center"/>
          </w:tcPr>
          <w:p w14:paraId="53D4B0EB">
            <w:pPr>
              <w:pageBreakBefore w:val="0"/>
              <w:widowControl/>
              <w:kinsoku/>
              <w:wordWrap/>
              <w:overflowPunct/>
              <w:topLinePunct w:val="0"/>
              <w:bidi w:val="0"/>
              <w:snapToGrid w:val="0"/>
              <w:spacing w:beforeAutospacing="0" w:afterAutospacing="0" w:line="380" w:lineRule="exact"/>
              <w:ind w:left="0"/>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较重</w:t>
            </w:r>
          </w:p>
        </w:tc>
        <w:tc>
          <w:tcPr>
            <w:tcW w:w="3334" w:type="dxa"/>
            <w:noWrap w:val="0"/>
            <w:vAlign w:val="center"/>
          </w:tcPr>
          <w:p w14:paraId="03D13D58">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存在严重安全隐患。</w:t>
            </w:r>
          </w:p>
        </w:tc>
        <w:tc>
          <w:tcPr>
            <w:tcW w:w="3251" w:type="dxa"/>
            <w:noWrap w:val="0"/>
            <w:vAlign w:val="center"/>
          </w:tcPr>
          <w:p w14:paraId="61A70B27">
            <w:pPr>
              <w:pageBreakBefore w:val="0"/>
              <w:widowControl/>
              <w:kinsoku/>
              <w:wordWrap/>
              <w:overflowPunct/>
              <w:topLinePunct w:val="0"/>
              <w:bidi w:val="0"/>
              <w:snapToGrid w:val="0"/>
              <w:spacing w:beforeAutospacing="0" w:afterAutospacing="0" w:line="380" w:lineRule="exact"/>
              <w:ind w:left="0"/>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处10万元以上20万元以下罚款。</w:t>
            </w:r>
          </w:p>
        </w:tc>
      </w:tr>
    </w:tbl>
    <w:p w14:paraId="4155C865">
      <w:pPr>
        <w:rPr>
          <w:rFonts w:hint="eastAsia" w:ascii="宋体" w:hAnsi="宋体" w:cs="宋体"/>
          <w:sz w:val="24"/>
        </w:rPr>
        <w:sectPr>
          <w:headerReference r:id="rId6" w:type="default"/>
          <w:footerReference r:id="rId7" w:type="default"/>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0" w:num="1"/>
          <w:rtlGutter w:val="0"/>
          <w:docGrid w:linePitch="311" w:charSpace="0"/>
        </w:sectPr>
      </w:pPr>
    </w:p>
    <w:p w14:paraId="4A60A70A">
      <w:pPr>
        <w:widowControl/>
        <w:spacing w:line="360" w:lineRule="auto"/>
        <w:jc w:val="center"/>
        <w:rPr>
          <w:rFonts w:ascii="Times New Roman" w:hAnsi="Times New Roman" w:eastAsia="宋体" w:cs="Times New Roman"/>
        </w:rPr>
      </w:pPr>
      <w:r>
        <w:rPr>
          <w:rFonts w:hint="eastAsia" w:ascii="方正小标宋简体" w:hAnsi="宋体" w:eastAsia="方正小标宋简体" w:cs="宋体"/>
          <w:kern w:val="0"/>
          <w:sz w:val="36"/>
          <w:szCs w:val="36"/>
          <w:lang w:eastAsia="zh-CN"/>
        </w:rPr>
        <w:t>第八节</w:t>
      </w:r>
      <w:r>
        <w:rPr>
          <w:rFonts w:hint="eastAsia" w:ascii="方正小标宋简体" w:hAnsi="宋体" w:eastAsia="方正小标宋简体" w:cs="宋体"/>
          <w:kern w:val="0"/>
          <w:sz w:val="36"/>
          <w:szCs w:val="36"/>
          <w:lang w:val="en-US" w:eastAsia="zh-CN"/>
        </w:rPr>
        <w:t xml:space="preserve">  </w:t>
      </w:r>
      <w:r>
        <w:rPr>
          <w:rFonts w:hint="eastAsia" w:ascii="方正小标宋简体" w:hAnsi="宋体" w:eastAsia="方正小标宋简体" w:cs="宋体"/>
          <w:kern w:val="0"/>
          <w:sz w:val="36"/>
          <w:szCs w:val="36"/>
          <w:lang w:eastAsia="zh-CN"/>
        </w:rPr>
        <w:t>适用认证认可监管法规、规章的裁量标准</w:t>
      </w:r>
    </w:p>
    <w:tbl>
      <w:tblPr>
        <w:tblStyle w:val="10"/>
        <w:tblW w:w="14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733"/>
        <w:gridCol w:w="4117"/>
        <w:gridCol w:w="1133"/>
        <w:gridCol w:w="3350"/>
        <w:gridCol w:w="3259"/>
      </w:tblGrid>
      <w:tr w14:paraId="784A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blHeader/>
          <w:jc w:val="center"/>
        </w:trPr>
        <w:tc>
          <w:tcPr>
            <w:tcW w:w="778" w:type="dxa"/>
            <w:noWrap w:val="0"/>
            <w:vAlign w:val="center"/>
          </w:tcPr>
          <w:p w14:paraId="78CC95C8">
            <w:pPr>
              <w:widowControl w:val="0"/>
              <w:spacing w:line="400" w:lineRule="exact"/>
              <w:jc w:val="center"/>
              <w:rPr>
                <w:rFonts w:hint="eastAsia" w:ascii="黑体" w:hAnsi="黑体" w:eastAsia="黑体" w:cs="黑体"/>
                <w:b w:val="0"/>
                <w:bCs/>
                <w:color w:val="auto"/>
                <w:kern w:val="0"/>
                <w:sz w:val="24"/>
              </w:rPr>
            </w:pPr>
            <w:r>
              <w:rPr>
                <w:rFonts w:hint="eastAsia" w:ascii="黑体" w:hAnsi="黑体" w:eastAsia="黑体" w:cs="黑体"/>
                <w:b w:val="0"/>
                <w:bCs/>
                <w:color w:val="auto"/>
                <w:kern w:val="0"/>
                <w:sz w:val="24"/>
              </w:rPr>
              <w:t>序号</w:t>
            </w:r>
          </w:p>
        </w:tc>
        <w:tc>
          <w:tcPr>
            <w:tcW w:w="1733" w:type="dxa"/>
            <w:noWrap w:val="0"/>
            <w:vAlign w:val="center"/>
          </w:tcPr>
          <w:p w14:paraId="3DDAB47A">
            <w:pPr>
              <w:widowControl w:val="0"/>
              <w:spacing w:line="400" w:lineRule="exact"/>
              <w:ind w:left="42" w:leftChars="20" w:right="0" w:rightChars="0"/>
              <w:jc w:val="center"/>
              <w:rPr>
                <w:rFonts w:hint="eastAsia" w:ascii="黑体" w:hAnsi="黑体" w:eastAsia="黑体" w:cs="黑体"/>
                <w:b w:val="0"/>
                <w:bCs/>
                <w:color w:val="auto"/>
                <w:kern w:val="0"/>
                <w:sz w:val="24"/>
              </w:rPr>
            </w:pPr>
            <w:r>
              <w:rPr>
                <w:rFonts w:hint="eastAsia" w:ascii="黑体" w:hAnsi="黑体" w:eastAsia="黑体" w:cs="黑体"/>
                <w:b w:val="0"/>
                <w:bCs/>
                <w:color w:val="auto"/>
                <w:kern w:val="0"/>
                <w:sz w:val="24"/>
              </w:rPr>
              <w:t>法律名称</w:t>
            </w:r>
          </w:p>
        </w:tc>
        <w:tc>
          <w:tcPr>
            <w:tcW w:w="4117" w:type="dxa"/>
            <w:noWrap w:val="0"/>
            <w:vAlign w:val="center"/>
          </w:tcPr>
          <w:p w14:paraId="4F2ACEDF">
            <w:pPr>
              <w:widowControl w:val="0"/>
              <w:spacing w:line="400" w:lineRule="exact"/>
              <w:jc w:val="center"/>
              <w:rPr>
                <w:rFonts w:hint="eastAsia" w:ascii="黑体" w:hAnsi="黑体" w:eastAsia="黑体" w:cs="黑体"/>
                <w:b w:val="0"/>
                <w:bCs/>
                <w:color w:val="auto"/>
                <w:kern w:val="0"/>
                <w:sz w:val="24"/>
              </w:rPr>
            </w:pPr>
            <w:r>
              <w:rPr>
                <w:rFonts w:hint="eastAsia" w:ascii="黑体" w:hAnsi="黑体" w:eastAsia="黑体" w:cs="黑体"/>
                <w:b w:val="0"/>
                <w:bCs/>
                <w:color w:val="auto"/>
                <w:kern w:val="0"/>
                <w:sz w:val="24"/>
              </w:rPr>
              <w:t>法律依据</w:t>
            </w:r>
          </w:p>
        </w:tc>
        <w:tc>
          <w:tcPr>
            <w:tcW w:w="1133" w:type="dxa"/>
            <w:noWrap w:val="0"/>
            <w:vAlign w:val="center"/>
          </w:tcPr>
          <w:p w14:paraId="657F07F3">
            <w:pPr>
              <w:widowControl w:val="0"/>
              <w:spacing w:line="400" w:lineRule="exact"/>
              <w:ind w:left="-105" w:leftChars="-50" w:right="-105" w:rightChars="-50"/>
              <w:jc w:val="center"/>
              <w:rPr>
                <w:rFonts w:hint="eastAsia" w:ascii="黑体" w:hAnsi="黑体" w:eastAsia="黑体" w:cs="黑体"/>
                <w:b w:val="0"/>
                <w:bCs/>
                <w:color w:val="auto"/>
                <w:kern w:val="0"/>
                <w:sz w:val="24"/>
              </w:rPr>
            </w:pPr>
            <w:r>
              <w:rPr>
                <w:rFonts w:hint="eastAsia" w:ascii="黑体" w:hAnsi="黑体" w:eastAsia="黑体" w:cs="黑体"/>
                <w:b w:val="0"/>
                <w:bCs/>
                <w:color w:val="auto"/>
                <w:kern w:val="0"/>
                <w:sz w:val="24"/>
              </w:rPr>
              <w:t>违法程度</w:t>
            </w:r>
          </w:p>
        </w:tc>
        <w:tc>
          <w:tcPr>
            <w:tcW w:w="3350" w:type="dxa"/>
            <w:noWrap w:val="0"/>
            <w:vAlign w:val="center"/>
          </w:tcPr>
          <w:p w14:paraId="61998FC9">
            <w:pPr>
              <w:widowControl w:val="0"/>
              <w:spacing w:line="400" w:lineRule="exact"/>
              <w:jc w:val="center"/>
              <w:rPr>
                <w:rFonts w:hint="eastAsia" w:ascii="黑体" w:hAnsi="黑体" w:eastAsia="黑体" w:cs="黑体"/>
                <w:b w:val="0"/>
                <w:bCs/>
                <w:color w:val="auto"/>
                <w:kern w:val="0"/>
                <w:sz w:val="24"/>
              </w:rPr>
            </w:pPr>
            <w:r>
              <w:rPr>
                <w:rFonts w:hint="eastAsia" w:ascii="黑体" w:hAnsi="黑体" w:eastAsia="黑体" w:cs="黑体"/>
                <w:b w:val="0"/>
                <w:bCs/>
                <w:color w:val="auto"/>
                <w:kern w:val="0"/>
                <w:sz w:val="24"/>
              </w:rPr>
              <w:t>判断基准</w:t>
            </w:r>
          </w:p>
        </w:tc>
        <w:tc>
          <w:tcPr>
            <w:tcW w:w="3259" w:type="dxa"/>
            <w:noWrap w:val="0"/>
            <w:vAlign w:val="center"/>
          </w:tcPr>
          <w:p w14:paraId="656EBC7E">
            <w:pPr>
              <w:widowControl w:val="0"/>
              <w:spacing w:line="400" w:lineRule="exact"/>
              <w:jc w:val="center"/>
              <w:rPr>
                <w:rFonts w:hint="eastAsia" w:ascii="黑体" w:hAnsi="黑体" w:eastAsia="黑体" w:cs="黑体"/>
                <w:b w:val="0"/>
                <w:bCs/>
                <w:color w:val="auto"/>
                <w:kern w:val="0"/>
                <w:sz w:val="24"/>
              </w:rPr>
            </w:pPr>
            <w:r>
              <w:rPr>
                <w:rFonts w:hint="eastAsia" w:ascii="黑体" w:hAnsi="黑体" w:eastAsia="黑体" w:cs="黑体"/>
                <w:b w:val="0"/>
                <w:bCs/>
                <w:color w:val="auto"/>
                <w:kern w:val="0"/>
                <w:sz w:val="24"/>
              </w:rPr>
              <w:t>处罚基准</w:t>
            </w:r>
          </w:p>
        </w:tc>
      </w:tr>
      <w:tr w14:paraId="19F2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exact"/>
          <w:jc w:val="center"/>
        </w:trPr>
        <w:tc>
          <w:tcPr>
            <w:tcW w:w="778" w:type="dxa"/>
            <w:vMerge w:val="restart"/>
            <w:noWrap w:val="0"/>
            <w:vAlign w:val="center"/>
          </w:tcPr>
          <w:p w14:paraId="2941A6CC">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210</w:t>
            </w:r>
          </w:p>
        </w:tc>
        <w:tc>
          <w:tcPr>
            <w:tcW w:w="1733" w:type="dxa"/>
            <w:vMerge w:val="restart"/>
            <w:noWrap w:val="0"/>
            <w:vAlign w:val="center"/>
          </w:tcPr>
          <w:p w14:paraId="4CDEEF9C">
            <w:pPr>
              <w:spacing w:line="400" w:lineRule="exact"/>
              <w:ind w:left="42" w:leftChars="20" w:right="0" w:rightChars="0"/>
              <w:jc w:val="left"/>
              <w:outlineLvl w:val="2"/>
              <w:rPr>
                <w:rFonts w:hint="eastAsia" w:ascii="宋体" w:hAnsi="宋体" w:eastAsia="宋体" w:cs="宋体"/>
                <w:color w:val="auto"/>
                <w:sz w:val="24"/>
                <w:lang w:val="en-US" w:eastAsia="zh-CN"/>
              </w:rPr>
            </w:pPr>
            <w:bookmarkStart w:id="254" w:name="_Toc3162"/>
            <w:bookmarkStart w:id="255" w:name="_Toc25817"/>
            <w:bookmarkStart w:id="256" w:name="_Toc9974"/>
            <w:bookmarkStart w:id="257" w:name="_Toc19658"/>
            <w:r>
              <w:rPr>
                <w:rFonts w:hint="eastAsia" w:ascii="宋体" w:hAnsi="宋体" w:eastAsia="宋体" w:cs="宋体"/>
                <w:color w:val="auto"/>
                <w:sz w:val="24"/>
              </w:rPr>
              <w:t>《中华人民共和国认证认可条例》</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2023年7月20日起施行</w:t>
            </w:r>
            <w:r>
              <w:rPr>
                <w:rFonts w:hint="eastAsia" w:ascii="宋体" w:hAnsi="宋体" w:eastAsia="宋体" w:cs="宋体"/>
                <w:color w:val="auto"/>
                <w:sz w:val="24"/>
                <w:lang w:eastAsia="zh-CN"/>
              </w:rPr>
              <w:t>）</w:t>
            </w:r>
            <w:bookmarkEnd w:id="254"/>
            <w:bookmarkEnd w:id="255"/>
            <w:bookmarkEnd w:id="256"/>
            <w:bookmarkEnd w:id="257"/>
          </w:p>
        </w:tc>
        <w:tc>
          <w:tcPr>
            <w:tcW w:w="4117" w:type="dxa"/>
            <w:vMerge w:val="restart"/>
            <w:noWrap w:val="0"/>
            <w:vAlign w:val="center"/>
          </w:tcPr>
          <w:p w14:paraId="1BDE760D">
            <w:pPr>
              <w:spacing w:line="400" w:lineRule="exact"/>
              <w:rPr>
                <w:rFonts w:hint="eastAsia" w:ascii="宋体" w:hAnsi="宋体" w:eastAsia="宋体" w:cs="宋体"/>
                <w:color w:val="auto"/>
                <w:sz w:val="24"/>
              </w:rPr>
            </w:pPr>
            <w:r>
              <w:rPr>
                <w:rFonts w:hint="eastAsia" w:ascii="宋体" w:hAnsi="宋体" w:eastAsia="宋体" w:cs="宋体"/>
                <w:color w:val="auto"/>
                <w:sz w:val="24"/>
                <w:szCs w:val="24"/>
              </w:rPr>
              <w:t>第五十六条</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未经批准擅自从事认证活动的，予以取缔，处10万元以上50万元以下的罚款，有违法所得的，没收违法所得。</w:t>
            </w:r>
          </w:p>
        </w:tc>
        <w:tc>
          <w:tcPr>
            <w:tcW w:w="1133" w:type="dxa"/>
            <w:noWrap w:val="0"/>
            <w:vAlign w:val="center"/>
          </w:tcPr>
          <w:p w14:paraId="7664DF51">
            <w:pPr>
              <w:spacing w:line="400" w:lineRule="exact"/>
              <w:jc w:val="center"/>
              <w:rPr>
                <w:rFonts w:hint="eastAsia" w:ascii="宋体" w:hAnsi="宋体" w:eastAsia="宋体" w:cs="宋体"/>
                <w:color w:val="auto"/>
                <w:sz w:val="24"/>
              </w:rPr>
            </w:pPr>
            <w:r>
              <w:rPr>
                <w:rFonts w:hint="eastAsia" w:ascii="宋体" w:hAnsi="宋体" w:eastAsia="宋体" w:cs="宋体"/>
                <w:color w:val="auto"/>
                <w:kern w:val="0"/>
                <w:sz w:val="24"/>
              </w:rPr>
              <w:t>较轻</w:t>
            </w:r>
          </w:p>
        </w:tc>
        <w:tc>
          <w:tcPr>
            <w:tcW w:w="3350" w:type="dxa"/>
            <w:noWrap w:val="0"/>
            <w:vAlign w:val="center"/>
          </w:tcPr>
          <w:p w14:paraId="4B4DC14D">
            <w:pPr>
              <w:spacing w:line="400" w:lineRule="exact"/>
              <w:jc w:val="both"/>
              <w:rPr>
                <w:rFonts w:hint="eastAsia" w:ascii="宋体" w:hAnsi="宋体" w:eastAsia="宋体" w:cs="宋体"/>
                <w:color w:val="auto"/>
                <w:sz w:val="24"/>
              </w:rPr>
            </w:pPr>
            <w:r>
              <w:rPr>
                <w:rFonts w:hint="eastAsia" w:ascii="宋体" w:hAnsi="宋体" w:eastAsia="宋体" w:cs="宋体"/>
                <w:color w:val="auto"/>
                <w:sz w:val="24"/>
                <w:lang w:val="en-US" w:eastAsia="zh-CN"/>
              </w:rPr>
              <w:t>未经批准擅自从事认证活动1次的。</w:t>
            </w:r>
          </w:p>
        </w:tc>
        <w:tc>
          <w:tcPr>
            <w:tcW w:w="3259" w:type="dxa"/>
            <w:noWrap w:val="0"/>
            <w:vAlign w:val="center"/>
          </w:tcPr>
          <w:p w14:paraId="535597CE">
            <w:pPr>
              <w:numPr>
                <w:ilvl w:val="0"/>
                <w:numId w:val="0"/>
              </w:numPr>
              <w:tabs>
                <w:tab w:val="left" w:pos="0"/>
              </w:tabs>
              <w:spacing w:line="400" w:lineRule="exact"/>
              <w:rPr>
                <w:rFonts w:hint="eastAsia" w:ascii="宋体" w:hAnsi="宋体" w:eastAsia="宋体" w:cs="宋体"/>
                <w:color w:val="auto"/>
                <w:sz w:val="24"/>
                <w:lang w:val="en-US"/>
              </w:rPr>
            </w:pPr>
            <w:r>
              <w:rPr>
                <w:rFonts w:hint="eastAsia" w:ascii="宋体" w:hAnsi="宋体" w:eastAsia="宋体" w:cs="宋体"/>
                <w:color w:val="auto"/>
                <w:sz w:val="24"/>
                <w:lang w:val="en-US" w:eastAsia="zh-CN"/>
              </w:rPr>
              <w:t>予以取缔，处10万元以上22万元以下的罚款，有违法所得的，没收违法所得。</w:t>
            </w:r>
          </w:p>
        </w:tc>
      </w:tr>
      <w:tr w14:paraId="0D84A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exact"/>
          <w:jc w:val="center"/>
        </w:trPr>
        <w:tc>
          <w:tcPr>
            <w:tcW w:w="778" w:type="dxa"/>
            <w:vMerge w:val="continue"/>
            <w:noWrap w:val="0"/>
            <w:vAlign w:val="center"/>
          </w:tcPr>
          <w:p w14:paraId="537BC00D">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16357892">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677C7C5C">
            <w:pPr>
              <w:spacing w:line="400" w:lineRule="exact"/>
              <w:rPr>
                <w:rFonts w:hint="eastAsia" w:ascii="宋体" w:hAnsi="宋体" w:eastAsia="宋体" w:cs="宋体"/>
                <w:color w:val="auto"/>
                <w:sz w:val="24"/>
              </w:rPr>
            </w:pPr>
          </w:p>
        </w:tc>
        <w:tc>
          <w:tcPr>
            <w:tcW w:w="1133" w:type="dxa"/>
            <w:noWrap w:val="0"/>
            <w:vAlign w:val="center"/>
          </w:tcPr>
          <w:p w14:paraId="0E40C925">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sz w:val="24"/>
                <w:szCs w:val="24"/>
                <w:lang w:eastAsia="zh-CN"/>
              </w:rPr>
              <w:t>一般</w:t>
            </w:r>
          </w:p>
        </w:tc>
        <w:tc>
          <w:tcPr>
            <w:tcW w:w="3350" w:type="dxa"/>
            <w:noWrap w:val="0"/>
            <w:vAlign w:val="center"/>
          </w:tcPr>
          <w:p w14:paraId="0E778838">
            <w:pPr>
              <w:numPr>
                <w:ilvl w:val="0"/>
                <w:numId w:val="0"/>
              </w:numPr>
              <w:spacing w:line="400" w:lineRule="exact"/>
              <w:jc w:val="both"/>
              <w:rPr>
                <w:rFonts w:hint="eastAsia" w:ascii="宋体" w:hAnsi="宋体" w:eastAsia="宋体" w:cs="宋体"/>
                <w:color w:val="auto"/>
                <w:sz w:val="24"/>
              </w:rPr>
            </w:pPr>
            <w:r>
              <w:rPr>
                <w:rFonts w:hint="eastAsia" w:ascii="宋体" w:hAnsi="宋体" w:eastAsia="宋体" w:cs="宋体"/>
                <w:color w:val="auto"/>
                <w:sz w:val="24"/>
                <w:szCs w:val="24"/>
                <w:lang w:val="en-US" w:eastAsia="zh-CN"/>
              </w:rPr>
              <w:t>未经批准擅自从事认证活动2次的。</w:t>
            </w:r>
          </w:p>
        </w:tc>
        <w:tc>
          <w:tcPr>
            <w:tcW w:w="3259" w:type="dxa"/>
            <w:noWrap w:val="0"/>
            <w:vAlign w:val="center"/>
          </w:tcPr>
          <w:p w14:paraId="00B1F893">
            <w:pPr>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予以取缔，处22万元以上38万元以下的罚款，有违法所得的，没收违法所得。</w:t>
            </w:r>
          </w:p>
        </w:tc>
      </w:tr>
      <w:tr w14:paraId="2D64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exact"/>
          <w:jc w:val="center"/>
        </w:trPr>
        <w:tc>
          <w:tcPr>
            <w:tcW w:w="778" w:type="dxa"/>
            <w:vMerge w:val="continue"/>
            <w:noWrap w:val="0"/>
            <w:vAlign w:val="center"/>
          </w:tcPr>
          <w:p w14:paraId="29DE0B89">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53257C3C">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1FD40C78">
            <w:pPr>
              <w:spacing w:line="400" w:lineRule="exact"/>
              <w:rPr>
                <w:rFonts w:hint="eastAsia" w:ascii="宋体" w:hAnsi="宋体" w:eastAsia="宋体" w:cs="宋体"/>
                <w:color w:val="auto"/>
                <w:sz w:val="24"/>
              </w:rPr>
            </w:pPr>
          </w:p>
        </w:tc>
        <w:tc>
          <w:tcPr>
            <w:tcW w:w="1133" w:type="dxa"/>
            <w:noWrap w:val="0"/>
            <w:vAlign w:val="center"/>
          </w:tcPr>
          <w:p w14:paraId="113B2E48">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较重</w:t>
            </w:r>
          </w:p>
        </w:tc>
        <w:tc>
          <w:tcPr>
            <w:tcW w:w="3350" w:type="dxa"/>
            <w:noWrap w:val="0"/>
            <w:vAlign w:val="center"/>
          </w:tcPr>
          <w:p w14:paraId="5CA225A6">
            <w:pPr>
              <w:numPr>
                <w:ilvl w:val="0"/>
                <w:numId w:val="0"/>
              </w:numPr>
              <w:spacing w:line="400" w:lineRule="exact"/>
              <w:jc w:val="both"/>
              <w:rPr>
                <w:rFonts w:hint="eastAsia" w:ascii="宋体" w:hAnsi="宋体" w:eastAsia="宋体" w:cs="宋体"/>
                <w:color w:val="auto"/>
                <w:sz w:val="24"/>
              </w:rPr>
            </w:pPr>
            <w:r>
              <w:rPr>
                <w:rFonts w:hint="eastAsia" w:ascii="宋体" w:hAnsi="宋体" w:eastAsia="宋体" w:cs="宋体"/>
                <w:color w:val="auto"/>
                <w:sz w:val="24"/>
                <w:lang w:val="en-US" w:eastAsia="zh-CN"/>
              </w:rPr>
              <w:t>未经批准擅自从事认证活动3次以上的。</w:t>
            </w:r>
          </w:p>
        </w:tc>
        <w:tc>
          <w:tcPr>
            <w:tcW w:w="3259" w:type="dxa"/>
            <w:noWrap w:val="0"/>
            <w:vAlign w:val="center"/>
          </w:tcPr>
          <w:p w14:paraId="513D3ADD">
            <w:pPr>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予以取缔，处38万元以上50万元以下的罚款，有违法所得的，没收违法所得。</w:t>
            </w:r>
          </w:p>
        </w:tc>
      </w:tr>
      <w:tr w14:paraId="25AA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778" w:type="dxa"/>
            <w:vMerge w:val="restart"/>
            <w:noWrap w:val="0"/>
            <w:vAlign w:val="center"/>
          </w:tcPr>
          <w:p w14:paraId="1285D469">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211</w:t>
            </w:r>
          </w:p>
        </w:tc>
        <w:tc>
          <w:tcPr>
            <w:tcW w:w="1733" w:type="dxa"/>
            <w:vMerge w:val="restart"/>
            <w:noWrap w:val="0"/>
            <w:vAlign w:val="center"/>
          </w:tcPr>
          <w:p w14:paraId="7211AD5D">
            <w:pPr>
              <w:spacing w:line="400" w:lineRule="exact"/>
              <w:ind w:left="42" w:leftChars="20" w:right="0" w:rightChars="0"/>
              <w:jc w:val="left"/>
              <w:rPr>
                <w:rFonts w:hint="eastAsia" w:ascii="宋体" w:hAnsi="宋体" w:eastAsia="宋体" w:cs="宋体"/>
                <w:color w:val="auto"/>
                <w:sz w:val="24"/>
              </w:rPr>
            </w:pPr>
            <w:r>
              <w:rPr>
                <w:rFonts w:hint="eastAsia" w:ascii="宋体" w:hAnsi="宋体" w:eastAsia="宋体" w:cs="宋体"/>
                <w:color w:val="auto"/>
                <w:sz w:val="24"/>
              </w:rPr>
              <w:t>《中华人民共和国认证认可条例》</w:t>
            </w:r>
          </w:p>
        </w:tc>
        <w:tc>
          <w:tcPr>
            <w:tcW w:w="4117" w:type="dxa"/>
            <w:vMerge w:val="restart"/>
            <w:noWrap w:val="0"/>
            <w:vAlign w:val="center"/>
          </w:tcPr>
          <w:p w14:paraId="1D0B2E83">
            <w:pPr>
              <w:spacing w:line="400" w:lineRule="exact"/>
              <w:rPr>
                <w:rFonts w:hint="eastAsia" w:ascii="宋体" w:hAnsi="宋体" w:eastAsia="宋体" w:cs="宋体"/>
                <w:color w:val="auto"/>
                <w:sz w:val="24"/>
              </w:rPr>
            </w:pPr>
            <w:r>
              <w:rPr>
                <w:rFonts w:hint="eastAsia" w:ascii="宋体" w:hAnsi="宋体" w:eastAsia="宋体" w:cs="宋体"/>
                <w:color w:val="auto"/>
                <w:sz w:val="24"/>
              </w:rPr>
              <w:t>第五十七条</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境外认证机构未经登记在中华人民共和国境内设立代表机构的，予以取缔，处5万元以上20万元以下的罚款。</w:t>
            </w:r>
          </w:p>
        </w:tc>
        <w:tc>
          <w:tcPr>
            <w:tcW w:w="1133" w:type="dxa"/>
            <w:noWrap w:val="0"/>
            <w:vAlign w:val="center"/>
          </w:tcPr>
          <w:p w14:paraId="0227BE86">
            <w:pPr>
              <w:spacing w:line="400" w:lineRule="exact"/>
              <w:jc w:val="center"/>
              <w:rPr>
                <w:rFonts w:hint="eastAsia" w:ascii="宋体" w:hAnsi="宋体" w:eastAsia="宋体" w:cs="宋体"/>
                <w:color w:val="auto"/>
                <w:sz w:val="24"/>
              </w:rPr>
            </w:pPr>
            <w:r>
              <w:rPr>
                <w:rFonts w:hint="eastAsia" w:ascii="宋体" w:hAnsi="宋体" w:eastAsia="宋体" w:cs="宋体"/>
                <w:color w:val="auto"/>
                <w:kern w:val="0"/>
                <w:sz w:val="24"/>
              </w:rPr>
              <w:t>较轻</w:t>
            </w:r>
          </w:p>
        </w:tc>
        <w:tc>
          <w:tcPr>
            <w:tcW w:w="3350" w:type="dxa"/>
            <w:noWrap w:val="0"/>
            <w:vAlign w:val="center"/>
          </w:tcPr>
          <w:p w14:paraId="5F89202D">
            <w:pPr>
              <w:spacing w:line="400" w:lineRule="exact"/>
              <w:jc w:val="both"/>
              <w:rPr>
                <w:rFonts w:hint="eastAsia" w:ascii="宋体" w:hAnsi="宋体" w:eastAsia="宋体" w:cs="宋体"/>
                <w:color w:val="auto"/>
                <w:sz w:val="24"/>
                <w:lang w:eastAsia="zh-CN"/>
              </w:rPr>
            </w:pPr>
            <w:r>
              <w:rPr>
                <w:rFonts w:hint="eastAsia" w:ascii="宋体" w:hAnsi="宋体" w:eastAsia="宋体" w:cs="宋体"/>
                <w:color w:val="auto"/>
                <w:sz w:val="24"/>
                <w:szCs w:val="24"/>
                <w:lang w:eastAsia="zh-CN"/>
              </w:rPr>
              <w:t>未从事与认证相关活动的。</w:t>
            </w:r>
          </w:p>
        </w:tc>
        <w:tc>
          <w:tcPr>
            <w:tcW w:w="3259" w:type="dxa"/>
            <w:noWrap w:val="0"/>
            <w:vAlign w:val="center"/>
          </w:tcPr>
          <w:p w14:paraId="11245700">
            <w:pPr>
              <w:numPr>
                <w:ilvl w:val="0"/>
                <w:numId w:val="0"/>
              </w:numPr>
              <w:tabs>
                <w:tab w:val="left" w:pos="0"/>
              </w:tabs>
              <w:spacing w:line="400" w:lineRule="exact"/>
              <w:rPr>
                <w:rFonts w:hint="eastAsia" w:ascii="宋体" w:hAnsi="宋体" w:eastAsia="宋体" w:cs="宋体"/>
                <w:color w:val="auto"/>
                <w:sz w:val="24"/>
                <w:lang w:val="en-US"/>
              </w:rPr>
            </w:pPr>
            <w:r>
              <w:rPr>
                <w:rFonts w:hint="eastAsia" w:ascii="宋体" w:hAnsi="宋体" w:eastAsia="宋体" w:cs="宋体"/>
                <w:color w:val="auto"/>
                <w:sz w:val="24"/>
                <w:lang w:val="en-US" w:eastAsia="zh-CN"/>
              </w:rPr>
              <w:t>予以取缔，处5万元以上9.5万元以下罚款。</w:t>
            </w:r>
          </w:p>
        </w:tc>
      </w:tr>
      <w:tr w14:paraId="130E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778" w:type="dxa"/>
            <w:vMerge w:val="continue"/>
            <w:noWrap w:val="0"/>
            <w:vAlign w:val="center"/>
          </w:tcPr>
          <w:p w14:paraId="609215AC">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26E9879E">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64E2A76C">
            <w:pPr>
              <w:spacing w:line="400" w:lineRule="exact"/>
              <w:rPr>
                <w:rFonts w:hint="eastAsia" w:ascii="宋体" w:hAnsi="宋体" w:eastAsia="宋体" w:cs="宋体"/>
                <w:color w:val="auto"/>
                <w:sz w:val="24"/>
              </w:rPr>
            </w:pPr>
          </w:p>
        </w:tc>
        <w:tc>
          <w:tcPr>
            <w:tcW w:w="1133" w:type="dxa"/>
            <w:noWrap w:val="0"/>
            <w:vAlign w:val="center"/>
          </w:tcPr>
          <w:p w14:paraId="16E04ECA">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sz w:val="24"/>
                <w:szCs w:val="24"/>
                <w:lang w:eastAsia="zh-CN"/>
              </w:rPr>
              <w:t>一般</w:t>
            </w:r>
          </w:p>
        </w:tc>
        <w:tc>
          <w:tcPr>
            <w:tcW w:w="3350" w:type="dxa"/>
            <w:noWrap w:val="0"/>
            <w:vAlign w:val="center"/>
          </w:tcPr>
          <w:p w14:paraId="4A6DF154">
            <w:pPr>
              <w:numPr>
                <w:ilvl w:val="0"/>
                <w:numId w:val="0"/>
              </w:numPr>
              <w:spacing w:line="400" w:lineRule="exact"/>
              <w:ind w:left="0" w:leftChars="0" w:firstLine="0" w:firstLineChars="0"/>
              <w:jc w:val="both"/>
              <w:rPr>
                <w:rFonts w:hint="eastAsia" w:ascii="宋体" w:hAnsi="宋体" w:eastAsia="宋体" w:cs="宋体"/>
                <w:color w:val="auto"/>
                <w:sz w:val="24"/>
                <w:lang w:eastAsia="zh-CN"/>
              </w:rPr>
            </w:pPr>
            <w:r>
              <w:rPr>
                <w:rFonts w:hint="eastAsia" w:ascii="宋体" w:hAnsi="宋体" w:eastAsia="宋体" w:cs="宋体"/>
                <w:color w:val="auto"/>
                <w:sz w:val="24"/>
                <w:szCs w:val="24"/>
                <w:lang w:eastAsia="zh-CN"/>
              </w:rPr>
              <w:t>从事与认证相关活动</w:t>
            </w:r>
            <w:r>
              <w:rPr>
                <w:rFonts w:hint="eastAsia" w:ascii="宋体" w:hAnsi="宋体" w:eastAsia="宋体" w:cs="宋体"/>
                <w:color w:val="auto"/>
                <w:sz w:val="24"/>
                <w:szCs w:val="24"/>
              </w:rPr>
              <w:t>的</w:t>
            </w:r>
            <w:r>
              <w:rPr>
                <w:rFonts w:hint="eastAsia" w:ascii="宋体" w:hAnsi="宋体" w:eastAsia="宋体" w:cs="宋体"/>
                <w:color w:val="auto"/>
                <w:sz w:val="24"/>
                <w:szCs w:val="24"/>
                <w:lang w:eastAsia="zh-CN"/>
              </w:rPr>
              <w:t>。</w:t>
            </w:r>
          </w:p>
        </w:tc>
        <w:tc>
          <w:tcPr>
            <w:tcW w:w="3259" w:type="dxa"/>
            <w:noWrap w:val="0"/>
            <w:vAlign w:val="center"/>
          </w:tcPr>
          <w:p w14:paraId="5E47584D">
            <w:pPr>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予以取缔，处9.5万元以上15.5万元以下罚款。</w:t>
            </w:r>
          </w:p>
        </w:tc>
      </w:tr>
      <w:tr w14:paraId="221C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778" w:type="dxa"/>
            <w:vMerge w:val="continue"/>
            <w:noWrap w:val="0"/>
            <w:vAlign w:val="center"/>
          </w:tcPr>
          <w:p w14:paraId="3C36A4B9">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5EFCE1FE">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6A3C71C1">
            <w:pPr>
              <w:spacing w:line="400" w:lineRule="exact"/>
              <w:rPr>
                <w:rFonts w:hint="eastAsia" w:ascii="宋体" w:hAnsi="宋体" w:eastAsia="宋体" w:cs="宋体"/>
                <w:color w:val="auto"/>
                <w:sz w:val="24"/>
              </w:rPr>
            </w:pPr>
          </w:p>
        </w:tc>
        <w:tc>
          <w:tcPr>
            <w:tcW w:w="1133" w:type="dxa"/>
            <w:noWrap w:val="0"/>
            <w:vAlign w:val="center"/>
          </w:tcPr>
          <w:p w14:paraId="22623688">
            <w:pPr>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较重</w:t>
            </w:r>
          </w:p>
        </w:tc>
        <w:tc>
          <w:tcPr>
            <w:tcW w:w="3350" w:type="dxa"/>
            <w:noWrap w:val="0"/>
            <w:vAlign w:val="center"/>
          </w:tcPr>
          <w:p w14:paraId="1F74F18C">
            <w:pPr>
              <w:numPr>
                <w:ilvl w:val="0"/>
                <w:numId w:val="0"/>
              </w:numPr>
              <w:spacing w:line="400" w:lineRule="exact"/>
              <w:ind w:left="0" w:leftChars="0" w:firstLine="0" w:firstLineChars="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从事与认证相关活动造成后果</w:t>
            </w:r>
            <w:r>
              <w:rPr>
                <w:rFonts w:hint="eastAsia" w:ascii="宋体" w:hAnsi="宋体" w:eastAsia="宋体" w:cs="宋体"/>
                <w:color w:val="auto"/>
                <w:sz w:val="24"/>
                <w:szCs w:val="24"/>
              </w:rPr>
              <w:t>的</w:t>
            </w:r>
            <w:r>
              <w:rPr>
                <w:rFonts w:hint="eastAsia" w:ascii="宋体" w:hAnsi="宋体" w:eastAsia="宋体" w:cs="宋体"/>
                <w:color w:val="auto"/>
                <w:sz w:val="24"/>
                <w:szCs w:val="24"/>
                <w:lang w:eastAsia="zh-CN"/>
              </w:rPr>
              <w:t>。</w:t>
            </w:r>
          </w:p>
        </w:tc>
        <w:tc>
          <w:tcPr>
            <w:tcW w:w="3259" w:type="dxa"/>
            <w:noWrap w:val="0"/>
            <w:vAlign w:val="center"/>
          </w:tcPr>
          <w:p w14:paraId="260808C8">
            <w:pPr>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予以取缔，处15.5万元以上20万元以下罚款。</w:t>
            </w:r>
          </w:p>
        </w:tc>
      </w:tr>
      <w:tr w14:paraId="58FC3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5" w:hRule="exact"/>
          <w:jc w:val="center"/>
        </w:trPr>
        <w:tc>
          <w:tcPr>
            <w:tcW w:w="778" w:type="dxa"/>
            <w:vMerge w:val="restart"/>
            <w:noWrap w:val="0"/>
            <w:vAlign w:val="center"/>
          </w:tcPr>
          <w:p w14:paraId="200FF8A5">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212</w:t>
            </w:r>
          </w:p>
        </w:tc>
        <w:tc>
          <w:tcPr>
            <w:tcW w:w="1733" w:type="dxa"/>
            <w:vMerge w:val="restart"/>
            <w:noWrap w:val="0"/>
            <w:vAlign w:val="center"/>
          </w:tcPr>
          <w:p w14:paraId="3C42FBF0">
            <w:pPr>
              <w:spacing w:line="400" w:lineRule="exact"/>
              <w:ind w:left="42" w:leftChars="20" w:right="0" w:rightChars="0"/>
              <w:jc w:val="left"/>
              <w:rPr>
                <w:rFonts w:hint="eastAsia" w:ascii="宋体" w:hAnsi="宋体" w:eastAsia="宋体" w:cs="宋体"/>
                <w:color w:val="auto"/>
                <w:sz w:val="24"/>
              </w:rPr>
            </w:pPr>
            <w:r>
              <w:rPr>
                <w:rFonts w:hint="eastAsia" w:ascii="宋体" w:hAnsi="宋体" w:eastAsia="宋体" w:cs="宋体"/>
                <w:color w:val="auto"/>
                <w:sz w:val="24"/>
              </w:rPr>
              <w:t>《中华人民共和国认证认可条例》</w:t>
            </w:r>
          </w:p>
        </w:tc>
        <w:tc>
          <w:tcPr>
            <w:tcW w:w="4117" w:type="dxa"/>
            <w:vMerge w:val="restart"/>
            <w:noWrap w:val="0"/>
            <w:vAlign w:val="center"/>
          </w:tcPr>
          <w:p w14:paraId="2816B923">
            <w:pPr>
              <w:spacing w:line="400" w:lineRule="exact"/>
              <w:rPr>
                <w:rFonts w:hint="eastAsia" w:ascii="宋体" w:hAnsi="宋体" w:eastAsia="宋体" w:cs="宋体"/>
                <w:color w:val="auto"/>
                <w:sz w:val="24"/>
              </w:rPr>
            </w:pPr>
            <w:r>
              <w:rPr>
                <w:rFonts w:hint="eastAsia" w:ascii="宋体" w:hAnsi="宋体" w:eastAsia="宋体" w:cs="宋体"/>
                <w:color w:val="auto"/>
                <w:sz w:val="24"/>
                <w:szCs w:val="24"/>
              </w:rPr>
              <w:t>第五十</w:t>
            </w:r>
            <w:r>
              <w:rPr>
                <w:rFonts w:hint="eastAsia" w:ascii="宋体" w:hAnsi="宋体" w:eastAsia="宋体" w:cs="宋体"/>
                <w:color w:val="auto"/>
                <w:sz w:val="24"/>
                <w:szCs w:val="24"/>
                <w:lang w:val="en-US" w:eastAsia="zh-CN"/>
              </w:rPr>
              <w:t>七</w:t>
            </w:r>
            <w:r>
              <w:rPr>
                <w:rFonts w:hint="eastAsia" w:ascii="宋体" w:hAnsi="宋体" w:eastAsia="宋体" w:cs="宋体"/>
                <w:color w:val="auto"/>
                <w:sz w:val="24"/>
                <w:szCs w:val="24"/>
              </w:rPr>
              <w:t>条第二款</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经登记设立的境外认证机构代表机构在中华人民共和国境内从事认证活动的，责令改正，处10万元以上50万元以下的罚款，有违法所得的，没收违法所得；情节严重的，撤销批准文件，并予公布。</w:t>
            </w:r>
          </w:p>
        </w:tc>
        <w:tc>
          <w:tcPr>
            <w:tcW w:w="1133" w:type="dxa"/>
            <w:noWrap w:val="0"/>
            <w:vAlign w:val="center"/>
          </w:tcPr>
          <w:p w14:paraId="616C55AB">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较轻</w:t>
            </w:r>
          </w:p>
        </w:tc>
        <w:tc>
          <w:tcPr>
            <w:tcW w:w="3350" w:type="dxa"/>
            <w:noWrap w:val="0"/>
            <w:vAlign w:val="center"/>
          </w:tcPr>
          <w:p w14:paraId="600D8AAA">
            <w:pPr>
              <w:spacing w:line="400" w:lineRule="exact"/>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从事认证活动</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次的。</w:t>
            </w:r>
          </w:p>
        </w:tc>
        <w:tc>
          <w:tcPr>
            <w:tcW w:w="3259" w:type="dxa"/>
            <w:noWrap w:val="0"/>
            <w:vAlign w:val="center"/>
          </w:tcPr>
          <w:p w14:paraId="618074F3">
            <w:pPr>
              <w:numPr>
                <w:ilvl w:val="0"/>
                <w:numId w:val="0"/>
              </w:numPr>
              <w:tabs>
                <w:tab w:val="left" w:pos="0"/>
              </w:tabs>
              <w:spacing w:line="400" w:lineRule="exact"/>
              <w:rPr>
                <w:rFonts w:hint="eastAsia" w:ascii="宋体" w:hAnsi="宋体" w:eastAsia="宋体" w:cs="宋体"/>
                <w:color w:val="auto"/>
                <w:sz w:val="24"/>
                <w:lang w:val="en-US"/>
              </w:rPr>
            </w:pPr>
            <w:r>
              <w:rPr>
                <w:rFonts w:hint="eastAsia" w:ascii="宋体" w:hAnsi="宋体" w:eastAsia="宋体" w:cs="宋体"/>
                <w:color w:val="auto"/>
                <w:sz w:val="24"/>
                <w:lang w:val="en-US" w:eastAsia="zh-CN"/>
              </w:rPr>
              <w:t>责令改正，处10万元以上22万元以下罚款，有违法所得的，没收违法所得。</w:t>
            </w:r>
          </w:p>
        </w:tc>
      </w:tr>
      <w:tr w14:paraId="2E52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1" w:hRule="exact"/>
          <w:jc w:val="center"/>
        </w:trPr>
        <w:tc>
          <w:tcPr>
            <w:tcW w:w="778" w:type="dxa"/>
            <w:vMerge w:val="continue"/>
            <w:noWrap w:val="0"/>
            <w:vAlign w:val="center"/>
          </w:tcPr>
          <w:p w14:paraId="53BF14E3">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045880BF">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373A0300">
            <w:pPr>
              <w:spacing w:line="400" w:lineRule="exact"/>
              <w:rPr>
                <w:rFonts w:hint="eastAsia" w:ascii="宋体" w:hAnsi="宋体" w:eastAsia="宋体" w:cs="宋体"/>
                <w:color w:val="auto"/>
                <w:sz w:val="24"/>
              </w:rPr>
            </w:pPr>
          </w:p>
        </w:tc>
        <w:tc>
          <w:tcPr>
            <w:tcW w:w="1133" w:type="dxa"/>
            <w:noWrap w:val="0"/>
            <w:vAlign w:val="center"/>
          </w:tcPr>
          <w:p w14:paraId="68AB3F13">
            <w:pPr>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一般</w:t>
            </w:r>
          </w:p>
        </w:tc>
        <w:tc>
          <w:tcPr>
            <w:tcW w:w="3350" w:type="dxa"/>
            <w:noWrap w:val="0"/>
            <w:vAlign w:val="center"/>
          </w:tcPr>
          <w:p w14:paraId="22CB90B0">
            <w:pPr>
              <w:numPr>
                <w:ilvl w:val="0"/>
                <w:numId w:val="0"/>
              </w:numPr>
              <w:spacing w:line="400" w:lineRule="exact"/>
              <w:ind w:left="0" w:leftChars="0" w:firstLine="0" w:firstLineChars="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从事认证活动</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次的。</w:t>
            </w:r>
          </w:p>
        </w:tc>
        <w:tc>
          <w:tcPr>
            <w:tcW w:w="3259" w:type="dxa"/>
            <w:noWrap w:val="0"/>
            <w:vAlign w:val="center"/>
          </w:tcPr>
          <w:p w14:paraId="752111FD">
            <w:pPr>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责令改正，处22万元以上38万元以下罚款，有违法所得的，没收违法所得。</w:t>
            </w:r>
          </w:p>
        </w:tc>
      </w:tr>
      <w:tr w14:paraId="75563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7" w:hRule="atLeast"/>
          <w:jc w:val="center"/>
        </w:trPr>
        <w:tc>
          <w:tcPr>
            <w:tcW w:w="778" w:type="dxa"/>
            <w:vMerge w:val="continue"/>
            <w:noWrap w:val="0"/>
            <w:vAlign w:val="center"/>
          </w:tcPr>
          <w:p w14:paraId="0F42CB13">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49B93111">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4F96F1C9">
            <w:pPr>
              <w:spacing w:line="400" w:lineRule="exact"/>
              <w:rPr>
                <w:rFonts w:hint="eastAsia" w:ascii="宋体" w:hAnsi="宋体" w:eastAsia="宋体" w:cs="宋体"/>
                <w:color w:val="auto"/>
                <w:sz w:val="24"/>
                <w:szCs w:val="24"/>
              </w:rPr>
            </w:pPr>
          </w:p>
        </w:tc>
        <w:tc>
          <w:tcPr>
            <w:tcW w:w="1133" w:type="dxa"/>
            <w:noWrap w:val="0"/>
            <w:vAlign w:val="center"/>
          </w:tcPr>
          <w:p w14:paraId="3F57E0EE">
            <w:pPr>
              <w:spacing w:line="400" w:lineRule="exact"/>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较重</w:t>
            </w:r>
          </w:p>
        </w:tc>
        <w:tc>
          <w:tcPr>
            <w:tcW w:w="3350" w:type="dxa"/>
            <w:noWrap w:val="0"/>
            <w:vAlign w:val="center"/>
          </w:tcPr>
          <w:p w14:paraId="53F197AC">
            <w:pPr>
              <w:numPr>
                <w:ilvl w:val="0"/>
                <w:numId w:val="0"/>
              </w:numPr>
              <w:spacing w:line="400" w:lineRule="exact"/>
              <w:ind w:left="0" w:leftChars="0"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从事认证活动</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次的。</w:t>
            </w:r>
          </w:p>
        </w:tc>
        <w:tc>
          <w:tcPr>
            <w:tcW w:w="3259" w:type="dxa"/>
            <w:noWrap w:val="0"/>
            <w:vAlign w:val="center"/>
          </w:tcPr>
          <w:p w14:paraId="63191C05">
            <w:pPr>
              <w:numPr>
                <w:ilvl w:val="0"/>
                <w:numId w:val="0"/>
              </w:numPr>
              <w:tabs>
                <w:tab w:val="left" w:pos="0"/>
              </w:tabs>
              <w:spacing w:line="400" w:lineRule="exac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责令改正，处38万元以上50万元以下罚款，有违法所得的，没收违法所得。</w:t>
            </w:r>
          </w:p>
        </w:tc>
      </w:tr>
      <w:tr w14:paraId="79B9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 w:hRule="atLeast"/>
          <w:jc w:val="center"/>
        </w:trPr>
        <w:tc>
          <w:tcPr>
            <w:tcW w:w="778" w:type="dxa"/>
            <w:vMerge w:val="continue"/>
            <w:noWrap w:val="0"/>
            <w:vAlign w:val="center"/>
          </w:tcPr>
          <w:p w14:paraId="2D31EB24">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749B8541">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788D3175">
            <w:pPr>
              <w:spacing w:line="400" w:lineRule="exact"/>
              <w:rPr>
                <w:rFonts w:hint="eastAsia" w:ascii="宋体" w:hAnsi="宋体" w:eastAsia="宋体" w:cs="宋体"/>
                <w:color w:val="auto"/>
                <w:sz w:val="24"/>
                <w:szCs w:val="24"/>
              </w:rPr>
            </w:pPr>
          </w:p>
        </w:tc>
        <w:tc>
          <w:tcPr>
            <w:tcW w:w="1133" w:type="dxa"/>
            <w:noWrap w:val="0"/>
            <w:vAlign w:val="center"/>
          </w:tcPr>
          <w:p w14:paraId="41AD0F92">
            <w:pPr>
              <w:spacing w:line="400" w:lineRule="exact"/>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严重</w:t>
            </w:r>
          </w:p>
        </w:tc>
        <w:tc>
          <w:tcPr>
            <w:tcW w:w="3350" w:type="dxa"/>
            <w:noWrap w:val="0"/>
            <w:vAlign w:val="center"/>
          </w:tcPr>
          <w:p w14:paraId="35359667">
            <w:pPr>
              <w:numPr>
                <w:ilvl w:val="0"/>
                <w:numId w:val="0"/>
              </w:numPr>
              <w:spacing w:line="400" w:lineRule="exact"/>
              <w:ind w:left="0" w:leftChars="0" w:firstLine="0" w:firstLineChars="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从事认证活动</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次以上的。</w:t>
            </w:r>
          </w:p>
        </w:tc>
        <w:tc>
          <w:tcPr>
            <w:tcW w:w="3259" w:type="dxa"/>
            <w:noWrap w:val="0"/>
            <w:vAlign w:val="center"/>
          </w:tcPr>
          <w:p w14:paraId="7BCA76D9">
            <w:pPr>
              <w:numPr>
                <w:ilvl w:val="0"/>
                <w:numId w:val="0"/>
              </w:numPr>
              <w:tabs>
                <w:tab w:val="left" w:pos="0"/>
              </w:tabs>
              <w:spacing w:line="400" w:lineRule="exac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撤销批准文件，并予公布。</w:t>
            </w:r>
          </w:p>
        </w:tc>
      </w:tr>
      <w:tr w14:paraId="23EF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jc w:val="center"/>
        </w:trPr>
        <w:tc>
          <w:tcPr>
            <w:tcW w:w="778" w:type="dxa"/>
            <w:vMerge w:val="restart"/>
            <w:noWrap w:val="0"/>
            <w:vAlign w:val="center"/>
          </w:tcPr>
          <w:p w14:paraId="32CE2D90">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213</w:t>
            </w:r>
          </w:p>
        </w:tc>
        <w:tc>
          <w:tcPr>
            <w:tcW w:w="1733" w:type="dxa"/>
            <w:vMerge w:val="restart"/>
            <w:noWrap w:val="0"/>
            <w:vAlign w:val="center"/>
          </w:tcPr>
          <w:p w14:paraId="7753D313">
            <w:pPr>
              <w:spacing w:line="400" w:lineRule="exact"/>
              <w:ind w:left="42" w:leftChars="20" w:right="0" w:rightChars="0"/>
              <w:jc w:val="left"/>
              <w:rPr>
                <w:rFonts w:hint="eastAsia" w:ascii="宋体" w:hAnsi="宋体" w:eastAsia="宋体" w:cs="宋体"/>
                <w:color w:val="auto"/>
                <w:sz w:val="24"/>
              </w:rPr>
            </w:pPr>
            <w:r>
              <w:rPr>
                <w:rFonts w:hint="eastAsia" w:ascii="宋体" w:hAnsi="宋体" w:eastAsia="宋体" w:cs="宋体"/>
                <w:color w:val="auto"/>
                <w:sz w:val="24"/>
              </w:rPr>
              <w:t>《中华人民共和国认证认可条例》</w:t>
            </w:r>
          </w:p>
        </w:tc>
        <w:tc>
          <w:tcPr>
            <w:tcW w:w="4117" w:type="dxa"/>
            <w:vMerge w:val="restart"/>
            <w:noWrap w:val="0"/>
            <w:vAlign w:val="center"/>
          </w:tcPr>
          <w:p w14:paraId="2AFC0700">
            <w:pPr>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highlight w:val="none"/>
              </w:rPr>
              <w:t>第五十九条</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认证机构有下列情形之一的，责令改正，处5万元以上20万元以下的罚款，有违法所得的，没收违法所得；情节严重的，责令停业整顿，直至撤销批准文件，并予公布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(一)超出批准范围从事认证活动的；</w:t>
            </w:r>
          </w:p>
          <w:p w14:paraId="6D58309E">
            <w:pPr>
              <w:numPr>
                <w:ilvl w:val="0"/>
                <w:numId w:val="0"/>
              </w:numPr>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增加、减少、遗漏认证基本规范、认证规则规定的程序的；</w:t>
            </w:r>
          </w:p>
          <w:p w14:paraId="32590B6D">
            <w:pPr>
              <w:numPr>
                <w:ilvl w:val="0"/>
                <w:numId w:val="0"/>
              </w:numPr>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未对其认证的产品、服务、管理体系实施有效的跟踪调查，或者发现其认证的产品、服务、管理体系不能持续符合认证要求，不及时暂停其使用或者撤销认证证书并予公布的；</w:t>
            </w:r>
          </w:p>
          <w:p w14:paraId="5B521B8E">
            <w:pPr>
              <w:numPr>
                <w:ilvl w:val="0"/>
                <w:numId w:val="0"/>
              </w:numPr>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(四)聘用未经认可机构注册的人员从事认证活动的。</w:t>
            </w:r>
          </w:p>
          <w:p w14:paraId="4448C736">
            <w:pPr>
              <w:spacing w:line="400" w:lineRule="exact"/>
              <w:rPr>
                <w:rFonts w:hint="eastAsia" w:ascii="宋体" w:hAnsi="宋体" w:eastAsia="宋体" w:cs="宋体"/>
                <w:color w:val="auto"/>
                <w:sz w:val="24"/>
              </w:rPr>
            </w:pPr>
            <w:r>
              <w:rPr>
                <w:rFonts w:hint="eastAsia" w:ascii="宋体" w:hAnsi="宋体" w:eastAsia="宋体" w:cs="宋体"/>
                <w:color w:val="auto"/>
                <w:sz w:val="24"/>
                <w:szCs w:val="24"/>
              </w:rPr>
              <w:t>与认证有关的检查机构、实验室增加、减少、遗漏认证基本规范、认证规则规定的程序的，依照前款规定处罚。</w:t>
            </w:r>
          </w:p>
        </w:tc>
        <w:tc>
          <w:tcPr>
            <w:tcW w:w="1133" w:type="dxa"/>
            <w:noWrap w:val="0"/>
            <w:vAlign w:val="center"/>
          </w:tcPr>
          <w:p w14:paraId="5F24B12E">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较轻</w:t>
            </w:r>
          </w:p>
        </w:tc>
        <w:tc>
          <w:tcPr>
            <w:tcW w:w="3350" w:type="dxa"/>
            <w:noWrap w:val="0"/>
            <w:vAlign w:val="center"/>
          </w:tcPr>
          <w:p w14:paraId="179499D5">
            <w:pPr>
              <w:spacing w:line="400" w:lineRule="exact"/>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eastAsia="zh-CN"/>
              </w:rPr>
              <w:t>违</w:t>
            </w:r>
            <w:r>
              <w:rPr>
                <w:rFonts w:hint="eastAsia" w:ascii="宋体" w:hAnsi="宋体" w:eastAsia="宋体" w:cs="宋体"/>
                <w:b w:val="0"/>
                <w:bCs w:val="0"/>
                <w:color w:val="auto"/>
                <w:sz w:val="24"/>
                <w:szCs w:val="24"/>
                <w:lang w:val="en-US" w:eastAsia="zh-CN"/>
              </w:rPr>
              <w:t>反</w:t>
            </w:r>
            <w:r>
              <w:rPr>
                <w:rFonts w:hint="eastAsia" w:ascii="宋体" w:hAnsi="宋体" w:eastAsia="宋体" w:cs="宋体"/>
                <w:b w:val="0"/>
                <w:bCs w:val="0"/>
                <w:color w:val="auto"/>
                <w:sz w:val="24"/>
                <w:szCs w:val="24"/>
                <w:lang w:eastAsia="zh-CN"/>
              </w:rPr>
              <w:t>上述规定</w:t>
            </w:r>
            <w:r>
              <w:rPr>
                <w:rFonts w:hint="eastAsia" w:ascii="宋体" w:hAnsi="宋体" w:eastAsia="宋体" w:cs="宋体"/>
                <w:b w:val="0"/>
                <w:bCs w:val="0"/>
                <w:color w:val="auto"/>
                <w:sz w:val="24"/>
                <w:szCs w:val="24"/>
                <w:lang w:val="en-US" w:eastAsia="zh-CN"/>
              </w:rPr>
              <w:t>1项的。</w:t>
            </w:r>
          </w:p>
        </w:tc>
        <w:tc>
          <w:tcPr>
            <w:tcW w:w="3259" w:type="dxa"/>
            <w:noWrap w:val="0"/>
            <w:vAlign w:val="center"/>
          </w:tcPr>
          <w:p w14:paraId="2DB9CC62">
            <w:pPr>
              <w:numPr>
                <w:ilvl w:val="0"/>
                <w:numId w:val="0"/>
              </w:numPr>
              <w:tabs>
                <w:tab w:val="left" w:pos="0"/>
              </w:tabs>
              <w:spacing w:line="400" w:lineRule="exact"/>
              <w:rPr>
                <w:rFonts w:hint="eastAsia" w:ascii="宋体" w:hAnsi="宋体" w:eastAsia="宋体" w:cs="宋体"/>
                <w:b w:val="0"/>
                <w:bCs w:val="0"/>
                <w:color w:val="auto"/>
                <w:sz w:val="24"/>
                <w:lang w:val="en-US"/>
              </w:rPr>
            </w:pPr>
            <w:r>
              <w:rPr>
                <w:rFonts w:hint="eastAsia" w:ascii="宋体" w:hAnsi="宋体" w:eastAsia="宋体" w:cs="宋体"/>
                <w:b w:val="0"/>
                <w:bCs w:val="0"/>
                <w:color w:val="auto"/>
                <w:sz w:val="24"/>
                <w:lang w:val="en-US" w:eastAsia="zh-CN"/>
              </w:rPr>
              <w:t>责令改正，处5万元以上9.5万元以下的罚款，有违法所得的，没收违法所得。</w:t>
            </w:r>
          </w:p>
        </w:tc>
      </w:tr>
      <w:tr w14:paraId="5528D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778" w:type="dxa"/>
            <w:vMerge w:val="continue"/>
            <w:noWrap w:val="0"/>
            <w:vAlign w:val="center"/>
          </w:tcPr>
          <w:p w14:paraId="06AE58AA">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748FB227">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0776699D">
            <w:pPr>
              <w:spacing w:line="400" w:lineRule="exact"/>
              <w:rPr>
                <w:rFonts w:hint="eastAsia" w:ascii="宋体" w:hAnsi="宋体" w:eastAsia="宋体" w:cs="宋体"/>
                <w:color w:val="auto"/>
                <w:sz w:val="24"/>
              </w:rPr>
            </w:pPr>
          </w:p>
        </w:tc>
        <w:tc>
          <w:tcPr>
            <w:tcW w:w="1133" w:type="dxa"/>
            <w:noWrap w:val="0"/>
            <w:vAlign w:val="center"/>
          </w:tcPr>
          <w:p w14:paraId="2C73B6A7">
            <w:pPr>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一般</w:t>
            </w:r>
          </w:p>
        </w:tc>
        <w:tc>
          <w:tcPr>
            <w:tcW w:w="3350" w:type="dxa"/>
            <w:noWrap w:val="0"/>
            <w:vAlign w:val="center"/>
          </w:tcPr>
          <w:p w14:paraId="1AFE5C70">
            <w:pPr>
              <w:numPr>
                <w:ilvl w:val="0"/>
                <w:numId w:val="0"/>
              </w:numPr>
              <w:spacing w:line="400" w:lineRule="exact"/>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违</w:t>
            </w:r>
            <w:r>
              <w:rPr>
                <w:rFonts w:hint="eastAsia" w:ascii="宋体" w:hAnsi="宋体" w:eastAsia="宋体" w:cs="宋体"/>
                <w:b w:val="0"/>
                <w:bCs w:val="0"/>
                <w:color w:val="auto"/>
                <w:sz w:val="24"/>
                <w:szCs w:val="24"/>
                <w:lang w:val="en-US" w:eastAsia="zh-CN"/>
              </w:rPr>
              <w:t>反</w:t>
            </w:r>
            <w:r>
              <w:rPr>
                <w:rFonts w:hint="eastAsia" w:ascii="宋体" w:hAnsi="宋体" w:eastAsia="宋体" w:cs="宋体"/>
                <w:b w:val="0"/>
                <w:bCs w:val="0"/>
                <w:color w:val="auto"/>
                <w:sz w:val="24"/>
                <w:szCs w:val="24"/>
                <w:lang w:eastAsia="zh-CN"/>
              </w:rPr>
              <w:t>上述规定</w:t>
            </w:r>
            <w:r>
              <w:rPr>
                <w:rFonts w:hint="eastAsia" w:ascii="宋体" w:hAnsi="宋体" w:eastAsia="宋体" w:cs="宋体"/>
                <w:b w:val="0"/>
                <w:bCs w:val="0"/>
                <w:color w:val="auto"/>
                <w:sz w:val="24"/>
                <w:szCs w:val="24"/>
                <w:lang w:val="en-US" w:eastAsia="zh-CN"/>
              </w:rPr>
              <w:t>2项的。</w:t>
            </w:r>
          </w:p>
        </w:tc>
        <w:tc>
          <w:tcPr>
            <w:tcW w:w="3259" w:type="dxa"/>
            <w:noWrap w:val="0"/>
            <w:vAlign w:val="center"/>
          </w:tcPr>
          <w:p w14:paraId="445E2555">
            <w:pPr>
              <w:spacing w:line="400" w:lineRule="exact"/>
              <w:rPr>
                <w:rFonts w:hint="eastAsia" w:ascii="宋体" w:hAnsi="宋体" w:eastAsia="宋体" w:cs="宋体"/>
                <w:b w:val="0"/>
                <w:bCs w:val="0"/>
                <w:color w:val="auto"/>
                <w:sz w:val="24"/>
              </w:rPr>
            </w:pPr>
            <w:r>
              <w:rPr>
                <w:rFonts w:hint="eastAsia" w:ascii="宋体" w:hAnsi="宋体" w:eastAsia="宋体" w:cs="宋体"/>
                <w:b w:val="0"/>
                <w:bCs w:val="0"/>
                <w:color w:val="auto"/>
                <w:sz w:val="24"/>
                <w:lang w:val="en-US" w:eastAsia="zh-CN"/>
              </w:rPr>
              <w:t>责令改正，处9.5万元以上15.5万元以下的罚款，有违法所得的，没收违法所得。</w:t>
            </w:r>
          </w:p>
        </w:tc>
      </w:tr>
      <w:tr w14:paraId="17E8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4" w:hRule="atLeast"/>
          <w:jc w:val="center"/>
        </w:trPr>
        <w:tc>
          <w:tcPr>
            <w:tcW w:w="778" w:type="dxa"/>
            <w:vMerge w:val="continue"/>
            <w:noWrap w:val="0"/>
            <w:vAlign w:val="center"/>
          </w:tcPr>
          <w:p w14:paraId="3B357F1E">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21C1B9AF">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0021CFFF">
            <w:pPr>
              <w:spacing w:line="400" w:lineRule="exact"/>
              <w:rPr>
                <w:rFonts w:hint="eastAsia" w:ascii="宋体" w:hAnsi="宋体" w:eastAsia="宋体" w:cs="宋体"/>
                <w:color w:val="auto"/>
                <w:sz w:val="24"/>
              </w:rPr>
            </w:pPr>
          </w:p>
        </w:tc>
        <w:tc>
          <w:tcPr>
            <w:tcW w:w="1133" w:type="dxa"/>
            <w:noWrap w:val="0"/>
            <w:vAlign w:val="center"/>
          </w:tcPr>
          <w:p w14:paraId="21D3E958">
            <w:pPr>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较重</w:t>
            </w:r>
          </w:p>
        </w:tc>
        <w:tc>
          <w:tcPr>
            <w:tcW w:w="3350" w:type="dxa"/>
            <w:noWrap w:val="0"/>
            <w:vAlign w:val="center"/>
          </w:tcPr>
          <w:p w14:paraId="76BFD8D3">
            <w:pPr>
              <w:numPr>
                <w:ilvl w:val="0"/>
                <w:numId w:val="0"/>
              </w:numPr>
              <w:spacing w:line="400" w:lineRule="exact"/>
              <w:ind w:left="0" w:leftChars="0" w:firstLine="0" w:firstLineChars="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违</w:t>
            </w:r>
            <w:r>
              <w:rPr>
                <w:rFonts w:hint="eastAsia" w:ascii="宋体" w:hAnsi="宋体" w:eastAsia="宋体" w:cs="宋体"/>
                <w:b w:val="0"/>
                <w:bCs w:val="0"/>
                <w:color w:val="auto"/>
                <w:sz w:val="24"/>
                <w:szCs w:val="24"/>
                <w:lang w:val="en-US" w:eastAsia="zh-CN"/>
              </w:rPr>
              <w:t>反</w:t>
            </w:r>
            <w:r>
              <w:rPr>
                <w:rFonts w:hint="eastAsia" w:ascii="宋体" w:hAnsi="宋体" w:eastAsia="宋体" w:cs="宋体"/>
                <w:b w:val="0"/>
                <w:bCs w:val="0"/>
                <w:color w:val="auto"/>
                <w:sz w:val="24"/>
                <w:szCs w:val="24"/>
                <w:lang w:eastAsia="zh-CN"/>
              </w:rPr>
              <w:t>上述规定</w:t>
            </w:r>
            <w:r>
              <w:rPr>
                <w:rFonts w:hint="eastAsia" w:ascii="宋体" w:hAnsi="宋体" w:eastAsia="宋体" w:cs="宋体"/>
                <w:b w:val="0"/>
                <w:bCs w:val="0"/>
                <w:color w:val="auto"/>
                <w:sz w:val="24"/>
                <w:szCs w:val="24"/>
                <w:lang w:val="en-US" w:eastAsia="zh-CN"/>
              </w:rPr>
              <w:t>3项以上的。</w:t>
            </w:r>
          </w:p>
        </w:tc>
        <w:tc>
          <w:tcPr>
            <w:tcW w:w="3259" w:type="dxa"/>
            <w:noWrap w:val="0"/>
            <w:vAlign w:val="center"/>
          </w:tcPr>
          <w:p w14:paraId="164CBB49">
            <w:pPr>
              <w:spacing w:line="400" w:lineRule="exact"/>
              <w:jc w:val="both"/>
              <w:rPr>
                <w:rFonts w:hint="eastAsia" w:ascii="宋体" w:hAnsi="宋体" w:eastAsia="宋体" w:cs="宋体"/>
                <w:b w:val="0"/>
                <w:bCs w:val="0"/>
                <w:color w:val="auto"/>
                <w:sz w:val="24"/>
                <w:lang w:eastAsia="zh-CN"/>
              </w:rPr>
            </w:pPr>
            <w:r>
              <w:rPr>
                <w:rFonts w:hint="eastAsia" w:ascii="宋体" w:hAnsi="宋体" w:eastAsia="宋体" w:cs="宋体"/>
                <w:b w:val="0"/>
                <w:bCs w:val="0"/>
                <w:color w:val="auto"/>
                <w:sz w:val="24"/>
                <w:lang w:val="en-US" w:eastAsia="zh-CN"/>
              </w:rPr>
              <w:t>责令改正，处15.5万元以上20万元以下的罚款,有违法所得的，没收违法所得，</w:t>
            </w:r>
            <w:r>
              <w:rPr>
                <w:rFonts w:hint="eastAsia" w:ascii="宋体" w:hAnsi="宋体" w:eastAsia="宋体" w:cs="宋体"/>
                <w:b w:val="0"/>
                <w:bCs w:val="0"/>
                <w:color w:val="auto"/>
                <w:sz w:val="24"/>
                <w:szCs w:val="24"/>
              </w:rPr>
              <w:t>责令停业整顿，直至撤销批准文件，并予公布</w:t>
            </w:r>
            <w:r>
              <w:rPr>
                <w:rFonts w:hint="eastAsia" w:ascii="宋体" w:hAnsi="宋体" w:eastAsia="宋体" w:cs="宋体"/>
                <w:b w:val="0"/>
                <w:bCs w:val="0"/>
                <w:color w:val="auto"/>
                <w:sz w:val="24"/>
                <w:szCs w:val="24"/>
                <w:lang w:eastAsia="zh-CN"/>
              </w:rPr>
              <w:t>。</w:t>
            </w:r>
          </w:p>
        </w:tc>
      </w:tr>
      <w:tr w14:paraId="6F42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6" w:hRule="atLeast"/>
          <w:jc w:val="center"/>
        </w:trPr>
        <w:tc>
          <w:tcPr>
            <w:tcW w:w="778" w:type="dxa"/>
            <w:vMerge w:val="restart"/>
            <w:noWrap w:val="0"/>
            <w:vAlign w:val="center"/>
          </w:tcPr>
          <w:p w14:paraId="417435EE">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214</w:t>
            </w:r>
          </w:p>
        </w:tc>
        <w:tc>
          <w:tcPr>
            <w:tcW w:w="1733" w:type="dxa"/>
            <w:vMerge w:val="restart"/>
            <w:noWrap w:val="0"/>
            <w:vAlign w:val="center"/>
          </w:tcPr>
          <w:p w14:paraId="02A613FF">
            <w:pPr>
              <w:spacing w:line="400" w:lineRule="exact"/>
              <w:ind w:left="42" w:leftChars="20" w:right="0" w:rightChars="0"/>
              <w:jc w:val="left"/>
              <w:rPr>
                <w:rFonts w:hint="eastAsia" w:ascii="宋体" w:hAnsi="宋体" w:eastAsia="宋体" w:cs="宋体"/>
                <w:color w:val="auto"/>
                <w:sz w:val="24"/>
              </w:rPr>
            </w:pPr>
            <w:r>
              <w:rPr>
                <w:rFonts w:hint="eastAsia" w:ascii="宋体" w:hAnsi="宋体" w:eastAsia="宋体" w:cs="宋体"/>
                <w:color w:val="auto"/>
                <w:sz w:val="24"/>
              </w:rPr>
              <w:t>《中华人民共和国认证认可条例》</w:t>
            </w:r>
          </w:p>
        </w:tc>
        <w:tc>
          <w:tcPr>
            <w:tcW w:w="4117" w:type="dxa"/>
            <w:vMerge w:val="restart"/>
            <w:noWrap w:val="0"/>
            <w:vAlign w:val="center"/>
          </w:tcPr>
          <w:p w14:paraId="744D3FD8">
            <w:pPr>
              <w:spacing w:line="38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第六十条</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认证机构有下列情形之一的，责令限期改正；逾期未改正的，处2万元以上10万元以下的罚款</w:t>
            </w:r>
            <w:r>
              <w:rPr>
                <w:rFonts w:hint="eastAsia" w:ascii="宋体" w:hAnsi="宋体" w:eastAsia="宋体" w:cs="宋体"/>
                <w:color w:val="auto"/>
                <w:sz w:val="24"/>
                <w:szCs w:val="24"/>
                <w:lang w:eastAsia="zh-CN"/>
              </w:rPr>
              <w:t>：</w:t>
            </w:r>
          </w:p>
          <w:p w14:paraId="79488CCD">
            <w:pPr>
              <w:numPr>
                <w:ilvl w:val="0"/>
                <w:numId w:val="0"/>
              </w:numPr>
              <w:spacing w:line="380" w:lineRule="exac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以委托人未参加认证咨询或者认证培训等为理由，拒绝提供本认证机构业务范围内的认证服务，或者向委托人提出与认证活动无关的要求或者限制条件的；</w:t>
            </w:r>
          </w:p>
          <w:p w14:paraId="3E82C2F7">
            <w:pPr>
              <w:numPr>
                <w:ilvl w:val="0"/>
                <w:numId w:val="0"/>
              </w:numPr>
              <w:spacing w:line="380" w:lineRule="exac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自行制定的认证标志的式样、文字和名称，与国家推行的认证标志相同或者近似，或者妨碍社会管理，或者有损社会道德风尚的；</w:t>
            </w:r>
          </w:p>
          <w:p w14:paraId="7A83036F">
            <w:pPr>
              <w:numPr>
                <w:ilvl w:val="0"/>
                <w:numId w:val="0"/>
              </w:numPr>
              <w:spacing w:line="380" w:lineRule="exact"/>
              <w:rPr>
                <w:rFonts w:hint="eastAsia" w:ascii="宋体" w:hAnsi="宋体" w:eastAsia="宋体" w:cs="宋体"/>
                <w:color w:val="auto"/>
                <w:sz w:val="24"/>
                <w:szCs w:val="24"/>
              </w:rPr>
            </w:pPr>
            <w:r>
              <w:rPr>
                <w:rFonts w:hint="eastAsia" w:ascii="宋体" w:hAnsi="宋体" w:eastAsia="宋体" w:cs="宋体"/>
                <w:color w:val="auto"/>
                <w:sz w:val="24"/>
                <w:szCs w:val="24"/>
              </w:rPr>
              <w:t>(三)未公开认证基本规范、认证规则、收费标准等信息的</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(四)未对认证过程作出完整记录，归档留存的；</w:t>
            </w:r>
          </w:p>
          <w:p w14:paraId="541AC3A4">
            <w:pPr>
              <w:numPr>
                <w:ilvl w:val="0"/>
                <w:numId w:val="0"/>
              </w:numPr>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(五)未及时向其认证的委托人出具认证证书的。</w:t>
            </w:r>
          </w:p>
          <w:p w14:paraId="07E5F506">
            <w:pPr>
              <w:spacing w:line="400" w:lineRule="exact"/>
              <w:rPr>
                <w:rFonts w:hint="eastAsia" w:ascii="宋体" w:hAnsi="宋体" w:eastAsia="宋体" w:cs="宋体"/>
                <w:color w:val="auto"/>
                <w:sz w:val="24"/>
              </w:rPr>
            </w:pPr>
            <w:r>
              <w:rPr>
                <w:rFonts w:hint="eastAsia" w:ascii="宋体" w:hAnsi="宋体" w:eastAsia="宋体" w:cs="宋体"/>
                <w:color w:val="auto"/>
                <w:sz w:val="24"/>
                <w:szCs w:val="24"/>
              </w:rPr>
              <w:t>与认证有关的检查机构、实验室未对与认证有关的检查、检测过程作出完整记录，归档留存的，依照前款规定处罚。</w:t>
            </w:r>
          </w:p>
        </w:tc>
        <w:tc>
          <w:tcPr>
            <w:tcW w:w="1133" w:type="dxa"/>
            <w:noWrap w:val="0"/>
            <w:vAlign w:val="center"/>
          </w:tcPr>
          <w:p w14:paraId="6E729098">
            <w:pPr>
              <w:spacing w:line="400" w:lineRule="exact"/>
              <w:jc w:val="center"/>
              <w:rPr>
                <w:rFonts w:hint="eastAsia" w:ascii="宋体" w:hAnsi="宋体" w:eastAsia="宋体" w:cs="宋体"/>
                <w:color w:val="auto"/>
                <w:sz w:val="24"/>
              </w:rPr>
            </w:pPr>
            <w:r>
              <w:rPr>
                <w:rFonts w:hint="eastAsia" w:ascii="宋体" w:hAnsi="宋体" w:eastAsia="宋体" w:cs="宋体"/>
                <w:color w:val="auto"/>
                <w:kern w:val="0"/>
                <w:sz w:val="24"/>
              </w:rPr>
              <w:t>较轻</w:t>
            </w:r>
          </w:p>
        </w:tc>
        <w:tc>
          <w:tcPr>
            <w:tcW w:w="3350" w:type="dxa"/>
            <w:noWrap w:val="0"/>
            <w:vAlign w:val="center"/>
          </w:tcPr>
          <w:p w14:paraId="5B13FE19">
            <w:pPr>
              <w:widowControl/>
              <w:spacing w:line="400" w:lineRule="exact"/>
              <w:rPr>
                <w:rFonts w:hint="eastAsia" w:ascii="宋体" w:hAnsi="宋体" w:eastAsia="宋体" w:cs="宋体"/>
                <w:color w:val="auto"/>
                <w:sz w:val="24"/>
              </w:rPr>
            </w:pPr>
            <w:r>
              <w:rPr>
                <w:rFonts w:hint="eastAsia" w:ascii="宋体" w:hAnsi="宋体" w:eastAsia="宋体" w:cs="宋体"/>
                <w:color w:val="auto"/>
                <w:kern w:val="0"/>
                <w:sz w:val="24"/>
              </w:rPr>
              <w:t>违反</w:t>
            </w:r>
            <w:r>
              <w:rPr>
                <w:rFonts w:hint="eastAsia" w:ascii="宋体" w:hAnsi="宋体" w:eastAsia="宋体" w:cs="宋体"/>
                <w:color w:val="auto"/>
                <w:kern w:val="0"/>
                <w:sz w:val="24"/>
                <w:lang w:val="en-US" w:eastAsia="zh-CN"/>
              </w:rPr>
              <w:t>1</w:t>
            </w:r>
            <w:r>
              <w:rPr>
                <w:rFonts w:hint="eastAsia" w:ascii="宋体" w:hAnsi="宋体" w:eastAsia="宋体" w:cs="宋体"/>
                <w:color w:val="auto"/>
                <w:kern w:val="0"/>
                <w:sz w:val="24"/>
              </w:rPr>
              <w:t>项的。</w:t>
            </w:r>
          </w:p>
        </w:tc>
        <w:tc>
          <w:tcPr>
            <w:tcW w:w="3259" w:type="dxa"/>
            <w:noWrap w:val="0"/>
            <w:vAlign w:val="center"/>
          </w:tcPr>
          <w:p w14:paraId="7F766E3C">
            <w:pPr>
              <w:widowControl/>
              <w:spacing w:line="400" w:lineRule="exact"/>
              <w:rPr>
                <w:rFonts w:hint="eastAsia" w:ascii="宋体" w:hAnsi="宋体" w:eastAsia="宋体" w:cs="宋体"/>
                <w:color w:val="auto"/>
                <w:sz w:val="24"/>
                <w:lang w:val="en-US" w:eastAsia="zh-CN"/>
              </w:rPr>
            </w:pPr>
            <w:r>
              <w:rPr>
                <w:rFonts w:hint="eastAsia" w:ascii="宋体" w:hAnsi="宋体" w:eastAsia="宋体" w:cs="宋体"/>
                <w:color w:val="auto"/>
                <w:kern w:val="0"/>
                <w:sz w:val="24"/>
              </w:rPr>
              <w:t>逾期未改正的，处</w:t>
            </w:r>
            <w:r>
              <w:rPr>
                <w:rFonts w:hint="eastAsia" w:ascii="宋体" w:hAnsi="宋体" w:eastAsia="宋体" w:cs="宋体"/>
                <w:color w:val="auto"/>
                <w:sz w:val="24"/>
                <w:szCs w:val="24"/>
              </w:rPr>
              <w:t>2</w:t>
            </w:r>
            <w:r>
              <w:rPr>
                <w:rFonts w:hint="eastAsia" w:ascii="宋体" w:hAnsi="宋体" w:eastAsia="宋体" w:cs="宋体"/>
                <w:color w:val="auto"/>
                <w:kern w:val="0"/>
                <w:sz w:val="24"/>
              </w:rPr>
              <w:t>万元以上</w:t>
            </w:r>
            <w:r>
              <w:rPr>
                <w:rFonts w:hint="eastAsia" w:ascii="宋体" w:hAnsi="宋体" w:eastAsia="宋体" w:cs="宋体"/>
                <w:color w:val="auto"/>
                <w:kern w:val="0"/>
                <w:sz w:val="24"/>
                <w:lang w:val="en-US" w:eastAsia="zh-CN"/>
              </w:rPr>
              <w:t>4.4</w:t>
            </w:r>
            <w:r>
              <w:rPr>
                <w:rFonts w:hint="eastAsia" w:ascii="宋体" w:hAnsi="宋体" w:eastAsia="宋体" w:cs="宋体"/>
                <w:color w:val="auto"/>
                <w:kern w:val="0"/>
                <w:sz w:val="24"/>
              </w:rPr>
              <w:t>万元以下的罚款。</w:t>
            </w:r>
          </w:p>
        </w:tc>
      </w:tr>
      <w:tr w14:paraId="2C52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7" w:hRule="atLeast"/>
          <w:jc w:val="center"/>
        </w:trPr>
        <w:tc>
          <w:tcPr>
            <w:tcW w:w="778" w:type="dxa"/>
            <w:vMerge w:val="continue"/>
            <w:noWrap w:val="0"/>
            <w:vAlign w:val="center"/>
          </w:tcPr>
          <w:p w14:paraId="6A789B56">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3F16887A">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61E3AF4D">
            <w:pPr>
              <w:spacing w:line="400" w:lineRule="exact"/>
              <w:rPr>
                <w:rFonts w:hint="eastAsia" w:ascii="宋体" w:hAnsi="宋体" w:eastAsia="宋体" w:cs="宋体"/>
                <w:color w:val="auto"/>
                <w:sz w:val="24"/>
              </w:rPr>
            </w:pPr>
          </w:p>
        </w:tc>
        <w:tc>
          <w:tcPr>
            <w:tcW w:w="1133" w:type="dxa"/>
            <w:noWrap w:val="0"/>
            <w:vAlign w:val="center"/>
          </w:tcPr>
          <w:p w14:paraId="7F5373A2">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sz w:val="24"/>
                <w:szCs w:val="24"/>
                <w:lang w:eastAsia="zh-CN"/>
              </w:rPr>
              <w:t>一般</w:t>
            </w:r>
          </w:p>
        </w:tc>
        <w:tc>
          <w:tcPr>
            <w:tcW w:w="3350" w:type="dxa"/>
            <w:noWrap w:val="0"/>
            <w:vAlign w:val="center"/>
          </w:tcPr>
          <w:p w14:paraId="662F6E2C">
            <w:pPr>
              <w:widowControl/>
              <w:spacing w:line="400" w:lineRule="exact"/>
              <w:rPr>
                <w:rFonts w:hint="eastAsia" w:ascii="宋体" w:hAnsi="宋体" w:eastAsia="宋体" w:cs="宋体"/>
                <w:color w:val="auto"/>
                <w:sz w:val="24"/>
              </w:rPr>
            </w:pPr>
            <w:r>
              <w:rPr>
                <w:rFonts w:hint="eastAsia" w:ascii="宋体" w:hAnsi="宋体" w:eastAsia="宋体" w:cs="宋体"/>
                <w:color w:val="auto"/>
                <w:kern w:val="0"/>
                <w:sz w:val="24"/>
              </w:rPr>
              <w:t>违反</w:t>
            </w:r>
            <w:r>
              <w:rPr>
                <w:rFonts w:hint="eastAsia" w:ascii="宋体" w:hAnsi="宋体" w:eastAsia="宋体" w:cs="宋体"/>
                <w:color w:val="auto"/>
                <w:kern w:val="0"/>
                <w:sz w:val="24"/>
                <w:lang w:val="en-US" w:eastAsia="zh-CN"/>
              </w:rPr>
              <w:t>2</w:t>
            </w:r>
            <w:r>
              <w:rPr>
                <w:rFonts w:hint="eastAsia" w:ascii="宋体" w:hAnsi="宋体" w:eastAsia="宋体" w:cs="宋体"/>
                <w:color w:val="auto"/>
                <w:kern w:val="0"/>
                <w:sz w:val="24"/>
              </w:rPr>
              <w:t>项的。</w:t>
            </w:r>
          </w:p>
        </w:tc>
        <w:tc>
          <w:tcPr>
            <w:tcW w:w="3259" w:type="dxa"/>
            <w:noWrap w:val="0"/>
            <w:vAlign w:val="center"/>
          </w:tcPr>
          <w:p w14:paraId="2FFD8899">
            <w:pPr>
              <w:widowControl/>
              <w:spacing w:line="400" w:lineRule="exact"/>
              <w:rPr>
                <w:rFonts w:hint="eastAsia" w:ascii="宋体" w:hAnsi="宋体" w:eastAsia="宋体" w:cs="宋体"/>
                <w:color w:val="auto"/>
                <w:sz w:val="24"/>
              </w:rPr>
            </w:pPr>
            <w:r>
              <w:rPr>
                <w:rFonts w:hint="eastAsia" w:ascii="宋体" w:hAnsi="宋体" w:eastAsia="宋体" w:cs="宋体"/>
                <w:color w:val="auto"/>
                <w:kern w:val="0"/>
                <w:sz w:val="24"/>
              </w:rPr>
              <w:t>逾期未改正的，处</w:t>
            </w:r>
            <w:r>
              <w:rPr>
                <w:rFonts w:hint="eastAsia" w:ascii="宋体" w:hAnsi="宋体" w:eastAsia="宋体" w:cs="宋体"/>
                <w:color w:val="auto"/>
                <w:kern w:val="0"/>
                <w:sz w:val="24"/>
                <w:lang w:val="en-US" w:eastAsia="zh-CN"/>
              </w:rPr>
              <w:t>4.4</w:t>
            </w:r>
            <w:r>
              <w:rPr>
                <w:rFonts w:hint="eastAsia" w:ascii="宋体" w:hAnsi="宋体" w:eastAsia="宋体" w:cs="宋体"/>
                <w:color w:val="auto"/>
                <w:kern w:val="0"/>
                <w:sz w:val="24"/>
              </w:rPr>
              <w:t>万元以上7</w:t>
            </w:r>
            <w:r>
              <w:rPr>
                <w:rFonts w:hint="eastAsia" w:ascii="宋体" w:hAnsi="宋体" w:eastAsia="宋体" w:cs="宋体"/>
                <w:color w:val="auto"/>
                <w:kern w:val="0"/>
                <w:sz w:val="24"/>
                <w:lang w:val="en-US" w:eastAsia="zh-CN"/>
              </w:rPr>
              <w:t>.6</w:t>
            </w:r>
            <w:r>
              <w:rPr>
                <w:rFonts w:hint="eastAsia" w:ascii="宋体" w:hAnsi="宋体" w:eastAsia="宋体" w:cs="宋体"/>
                <w:color w:val="auto"/>
                <w:kern w:val="0"/>
                <w:sz w:val="24"/>
              </w:rPr>
              <w:t>万元以下的罚款。</w:t>
            </w:r>
          </w:p>
        </w:tc>
      </w:tr>
      <w:tr w14:paraId="1D2E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jc w:val="center"/>
        </w:trPr>
        <w:tc>
          <w:tcPr>
            <w:tcW w:w="778" w:type="dxa"/>
            <w:vMerge w:val="continue"/>
            <w:noWrap w:val="0"/>
            <w:vAlign w:val="center"/>
          </w:tcPr>
          <w:p w14:paraId="68ADBED4">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4D7251FB">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6F11746F">
            <w:pPr>
              <w:spacing w:line="400" w:lineRule="exact"/>
              <w:rPr>
                <w:rFonts w:hint="eastAsia" w:ascii="宋体" w:hAnsi="宋体" w:eastAsia="宋体" w:cs="宋体"/>
                <w:color w:val="auto"/>
                <w:sz w:val="24"/>
              </w:rPr>
            </w:pPr>
          </w:p>
        </w:tc>
        <w:tc>
          <w:tcPr>
            <w:tcW w:w="1133" w:type="dxa"/>
            <w:noWrap w:val="0"/>
            <w:vAlign w:val="center"/>
          </w:tcPr>
          <w:p w14:paraId="7B998193">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较重</w:t>
            </w:r>
          </w:p>
        </w:tc>
        <w:tc>
          <w:tcPr>
            <w:tcW w:w="3350" w:type="dxa"/>
            <w:noWrap w:val="0"/>
            <w:vAlign w:val="center"/>
          </w:tcPr>
          <w:p w14:paraId="4B77FA56">
            <w:pPr>
              <w:widowControl/>
              <w:spacing w:line="400" w:lineRule="exact"/>
              <w:rPr>
                <w:rFonts w:hint="eastAsia" w:ascii="宋体" w:hAnsi="宋体" w:eastAsia="宋体" w:cs="宋体"/>
                <w:color w:val="auto"/>
                <w:sz w:val="24"/>
              </w:rPr>
            </w:pPr>
            <w:r>
              <w:rPr>
                <w:rFonts w:hint="eastAsia" w:ascii="宋体" w:hAnsi="宋体" w:eastAsia="宋体" w:cs="宋体"/>
                <w:color w:val="auto"/>
                <w:kern w:val="0"/>
                <w:sz w:val="24"/>
              </w:rPr>
              <w:t>违反</w:t>
            </w:r>
            <w:r>
              <w:rPr>
                <w:rFonts w:hint="eastAsia" w:ascii="宋体" w:hAnsi="宋体" w:eastAsia="宋体" w:cs="宋体"/>
                <w:color w:val="auto"/>
                <w:kern w:val="0"/>
                <w:sz w:val="24"/>
                <w:lang w:val="en-US" w:eastAsia="zh-CN"/>
              </w:rPr>
              <w:t>3</w:t>
            </w:r>
            <w:r>
              <w:rPr>
                <w:rFonts w:hint="eastAsia" w:ascii="宋体" w:hAnsi="宋体" w:eastAsia="宋体" w:cs="宋体"/>
                <w:color w:val="auto"/>
                <w:kern w:val="0"/>
                <w:sz w:val="24"/>
              </w:rPr>
              <w:t>项以上的。</w:t>
            </w:r>
          </w:p>
        </w:tc>
        <w:tc>
          <w:tcPr>
            <w:tcW w:w="3259" w:type="dxa"/>
            <w:noWrap w:val="0"/>
            <w:vAlign w:val="center"/>
          </w:tcPr>
          <w:p w14:paraId="7971EC0C">
            <w:pPr>
              <w:widowControl/>
              <w:spacing w:line="400" w:lineRule="exact"/>
              <w:rPr>
                <w:rFonts w:hint="eastAsia" w:ascii="宋体" w:hAnsi="宋体" w:eastAsia="宋体" w:cs="宋体"/>
                <w:color w:val="auto"/>
                <w:sz w:val="24"/>
              </w:rPr>
            </w:pPr>
            <w:r>
              <w:rPr>
                <w:rFonts w:hint="eastAsia" w:ascii="宋体" w:hAnsi="宋体" w:eastAsia="宋体" w:cs="宋体"/>
                <w:color w:val="auto"/>
                <w:kern w:val="0"/>
                <w:sz w:val="24"/>
              </w:rPr>
              <w:t>逾期未改正的，处7</w:t>
            </w:r>
            <w:r>
              <w:rPr>
                <w:rFonts w:hint="eastAsia" w:ascii="宋体" w:hAnsi="宋体" w:eastAsia="宋体" w:cs="宋体"/>
                <w:color w:val="auto"/>
                <w:kern w:val="0"/>
                <w:sz w:val="24"/>
                <w:lang w:val="en-US" w:eastAsia="zh-CN"/>
              </w:rPr>
              <w:t>.6</w:t>
            </w:r>
            <w:r>
              <w:rPr>
                <w:rFonts w:hint="eastAsia" w:ascii="宋体" w:hAnsi="宋体" w:eastAsia="宋体" w:cs="宋体"/>
                <w:color w:val="auto"/>
                <w:kern w:val="0"/>
                <w:sz w:val="24"/>
              </w:rPr>
              <w:t>万元以上10万元以下的罚款。</w:t>
            </w:r>
          </w:p>
        </w:tc>
      </w:tr>
      <w:tr w14:paraId="5D9D2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778" w:type="dxa"/>
            <w:vMerge w:val="restart"/>
            <w:noWrap w:val="0"/>
            <w:vAlign w:val="center"/>
          </w:tcPr>
          <w:p w14:paraId="4A81CEB9">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215</w:t>
            </w:r>
          </w:p>
        </w:tc>
        <w:tc>
          <w:tcPr>
            <w:tcW w:w="1733" w:type="dxa"/>
            <w:vMerge w:val="restart"/>
            <w:noWrap w:val="0"/>
            <w:vAlign w:val="center"/>
          </w:tcPr>
          <w:p w14:paraId="16C8021C">
            <w:pPr>
              <w:spacing w:line="400" w:lineRule="exact"/>
              <w:ind w:left="42" w:leftChars="20" w:right="0" w:rightChars="0"/>
              <w:jc w:val="left"/>
              <w:rPr>
                <w:rFonts w:hint="eastAsia" w:ascii="宋体" w:hAnsi="宋体" w:eastAsia="宋体" w:cs="宋体"/>
                <w:color w:val="auto"/>
                <w:sz w:val="24"/>
              </w:rPr>
            </w:pPr>
            <w:r>
              <w:rPr>
                <w:rFonts w:hint="eastAsia" w:ascii="宋体" w:hAnsi="宋体" w:eastAsia="宋体" w:cs="宋体"/>
                <w:color w:val="auto"/>
                <w:sz w:val="24"/>
              </w:rPr>
              <w:t>《中华人民共和国认证认可条例》</w:t>
            </w:r>
          </w:p>
        </w:tc>
        <w:tc>
          <w:tcPr>
            <w:tcW w:w="4117" w:type="dxa"/>
            <w:vMerge w:val="restart"/>
            <w:noWrap w:val="0"/>
            <w:vAlign w:val="center"/>
          </w:tcPr>
          <w:p w14:paraId="616E3C85">
            <w:pPr>
              <w:spacing w:line="400" w:lineRule="exact"/>
              <w:rPr>
                <w:rFonts w:hint="eastAsia" w:ascii="宋体" w:hAnsi="宋体" w:eastAsia="宋体" w:cs="宋体"/>
                <w:color w:val="auto"/>
                <w:sz w:val="24"/>
              </w:rPr>
            </w:pPr>
            <w:r>
              <w:rPr>
                <w:rFonts w:hint="eastAsia" w:ascii="宋体" w:hAnsi="宋体" w:eastAsia="宋体" w:cs="宋体"/>
                <w:color w:val="auto"/>
                <w:sz w:val="24"/>
              </w:rPr>
              <w:t>第六十三条</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认证机构以及与认证有关的实验室未经指定擅自从事列入目录产品的认证以及与认证有关的检查、检测活动的，责令改正，处10万元以上50万元以下的罚款，有违法所得的，没收违法所得。</w:t>
            </w:r>
          </w:p>
          <w:p w14:paraId="3AEFF7BD">
            <w:pPr>
              <w:spacing w:line="400" w:lineRule="exact"/>
              <w:ind w:firstLine="0" w:firstLineChars="0"/>
              <w:rPr>
                <w:rFonts w:hint="eastAsia" w:ascii="宋体" w:hAnsi="宋体" w:eastAsia="宋体" w:cs="宋体"/>
                <w:color w:val="auto"/>
                <w:sz w:val="24"/>
              </w:rPr>
            </w:pPr>
            <w:r>
              <w:rPr>
                <w:rFonts w:hint="eastAsia" w:ascii="宋体" w:hAnsi="宋体" w:eastAsia="宋体" w:cs="宋体"/>
                <w:color w:val="auto"/>
                <w:sz w:val="24"/>
              </w:rPr>
              <w:t>认证机构未经指定擅自从事列入目录产品的认证活动的，撤销批准文件，并予公布。</w:t>
            </w:r>
          </w:p>
        </w:tc>
        <w:tc>
          <w:tcPr>
            <w:tcW w:w="1133" w:type="dxa"/>
            <w:noWrap w:val="0"/>
            <w:vAlign w:val="center"/>
          </w:tcPr>
          <w:p w14:paraId="589B0CF3">
            <w:pPr>
              <w:spacing w:line="400" w:lineRule="exact"/>
              <w:jc w:val="center"/>
              <w:rPr>
                <w:rFonts w:hint="eastAsia" w:ascii="宋体" w:hAnsi="宋体" w:eastAsia="宋体" w:cs="宋体"/>
                <w:color w:val="auto"/>
                <w:sz w:val="24"/>
              </w:rPr>
            </w:pPr>
            <w:r>
              <w:rPr>
                <w:rFonts w:hint="eastAsia" w:ascii="宋体" w:hAnsi="宋体" w:eastAsia="宋体" w:cs="宋体"/>
                <w:color w:val="auto"/>
                <w:kern w:val="0"/>
                <w:sz w:val="24"/>
              </w:rPr>
              <w:t>较轻</w:t>
            </w:r>
          </w:p>
        </w:tc>
        <w:tc>
          <w:tcPr>
            <w:tcW w:w="3350" w:type="dxa"/>
            <w:noWrap w:val="0"/>
            <w:vAlign w:val="center"/>
          </w:tcPr>
          <w:p w14:paraId="1A9963AD">
            <w:pPr>
              <w:widowControl/>
              <w:spacing w:line="400" w:lineRule="exact"/>
              <w:rPr>
                <w:rFonts w:hint="eastAsia" w:ascii="宋体" w:hAnsi="宋体" w:eastAsia="宋体" w:cs="宋体"/>
                <w:color w:val="auto"/>
                <w:sz w:val="24"/>
              </w:rPr>
            </w:pPr>
            <w:r>
              <w:rPr>
                <w:rFonts w:hint="eastAsia" w:ascii="宋体" w:hAnsi="宋体" w:eastAsia="宋体" w:cs="宋体"/>
                <w:color w:val="auto"/>
                <w:kern w:val="0"/>
                <w:sz w:val="24"/>
              </w:rPr>
              <w:t>从事违法活动</w:t>
            </w:r>
            <w:r>
              <w:rPr>
                <w:rFonts w:hint="eastAsia" w:ascii="宋体" w:hAnsi="宋体" w:eastAsia="宋体" w:cs="宋体"/>
                <w:color w:val="auto"/>
                <w:kern w:val="0"/>
                <w:sz w:val="24"/>
                <w:lang w:val="en-US" w:eastAsia="zh-CN"/>
              </w:rPr>
              <w:t>1</w:t>
            </w:r>
            <w:r>
              <w:rPr>
                <w:rFonts w:hint="eastAsia" w:ascii="宋体" w:hAnsi="宋体" w:eastAsia="宋体" w:cs="宋体"/>
                <w:color w:val="auto"/>
                <w:kern w:val="0"/>
                <w:sz w:val="24"/>
              </w:rPr>
              <w:t>次的。</w:t>
            </w:r>
          </w:p>
        </w:tc>
        <w:tc>
          <w:tcPr>
            <w:tcW w:w="3259" w:type="dxa"/>
            <w:noWrap w:val="0"/>
            <w:vAlign w:val="center"/>
          </w:tcPr>
          <w:p w14:paraId="10DCF86D">
            <w:pPr>
              <w:numPr>
                <w:ilvl w:val="0"/>
                <w:numId w:val="0"/>
              </w:numPr>
              <w:tabs>
                <w:tab w:val="left" w:pos="0"/>
              </w:tabs>
              <w:spacing w:line="400" w:lineRule="exact"/>
              <w:rPr>
                <w:rFonts w:hint="eastAsia" w:ascii="宋体" w:hAnsi="宋体" w:eastAsia="宋体" w:cs="宋体"/>
                <w:color w:val="auto"/>
                <w:sz w:val="24"/>
                <w:lang w:val="en-US"/>
              </w:rPr>
            </w:pPr>
            <w:r>
              <w:rPr>
                <w:rFonts w:hint="eastAsia" w:ascii="宋体" w:hAnsi="宋体" w:eastAsia="宋体" w:cs="宋体"/>
                <w:color w:val="auto"/>
                <w:sz w:val="24"/>
                <w:lang w:val="en-US" w:eastAsia="zh-CN"/>
              </w:rPr>
              <w:t>责令改正，处10万元以上22万元以下的罚款，有违法所得的，没收违法所得。</w:t>
            </w:r>
          </w:p>
        </w:tc>
      </w:tr>
      <w:tr w14:paraId="75B8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778" w:type="dxa"/>
            <w:vMerge w:val="continue"/>
            <w:noWrap w:val="0"/>
            <w:vAlign w:val="center"/>
          </w:tcPr>
          <w:p w14:paraId="0A29680B">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06FB3C9F">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6E983C80">
            <w:pPr>
              <w:spacing w:line="400" w:lineRule="exact"/>
              <w:rPr>
                <w:rFonts w:hint="eastAsia" w:ascii="宋体" w:hAnsi="宋体" w:eastAsia="宋体" w:cs="宋体"/>
                <w:color w:val="auto"/>
                <w:sz w:val="24"/>
              </w:rPr>
            </w:pPr>
          </w:p>
        </w:tc>
        <w:tc>
          <w:tcPr>
            <w:tcW w:w="1133" w:type="dxa"/>
            <w:noWrap w:val="0"/>
            <w:vAlign w:val="center"/>
          </w:tcPr>
          <w:p w14:paraId="5A632E80">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sz w:val="24"/>
                <w:szCs w:val="24"/>
                <w:lang w:eastAsia="zh-CN"/>
              </w:rPr>
              <w:t>一般</w:t>
            </w:r>
          </w:p>
        </w:tc>
        <w:tc>
          <w:tcPr>
            <w:tcW w:w="3350" w:type="dxa"/>
            <w:noWrap w:val="0"/>
            <w:vAlign w:val="center"/>
          </w:tcPr>
          <w:p w14:paraId="798AE205">
            <w:pPr>
              <w:widowControl/>
              <w:spacing w:line="400" w:lineRule="exact"/>
              <w:rPr>
                <w:rFonts w:hint="eastAsia" w:ascii="宋体" w:hAnsi="宋体" w:eastAsia="宋体" w:cs="宋体"/>
                <w:color w:val="auto"/>
                <w:sz w:val="24"/>
              </w:rPr>
            </w:pPr>
            <w:r>
              <w:rPr>
                <w:rFonts w:hint="eastAsia" w:ascii="宋体" w:hAnsi="宋体" w:eastAsia="宋体" w:cs="宋体"/>
                <w:color w:val="auto"/>
                <w:kern w:val="0"/>
                <w:sz w:val="24"/>
              </w:rPr>
              <w:t>从事违法活动</w:t>
            </w:r>
            <w:r>
              <w:rPr>
                <w:rFonts w:hint="eastAsia" w:ascii="宋体" w:hAnsi="宋体" w:eastAsia="宋体" w:cs="宋体"/>
                <w:color w:val="auto"/>
                <w:kern w:val="0"/>
                <w:sz w:val="24"/>
                <w:lang w:val="en-US" w:eastAsia="zh-CN"/>
              </w:rPr>
              <w:t>2</w:t>
            </w:r>
            <w:r>
              <w:rPr>
                <w:rFonts w:hint="eastAsia" w:ascii="宋体" w:hAnsi="宋体" w:eastAsia="宋体" w:cs="宋体"/>
                <w:color w:val="auto"/>
                <w:kern w:val="0"/>
                <w:sz w:val="24"/>
              </w:rPr>
              <w:t>次的。</w:t>
            </w:r>
          </w:p>
        </w:tc>
        <w:tc>
          <w:tcPr>
            <w:tcW w:w="3259" w:type="dxa"/>
            <w:noWrap w:val="0"/>
            <w:vAlign w:val="center"/>
          </w:tcPr>
          <w:p w14:paraId="07F97D56">
            <w:pPr>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责令改正，处22万元以上38万元以下的罚款，有违法所得的，没收违法所得。</w:t>
            </w:r>
          </w:p>
        </w:tc>
      </w:tr>
      <w:tr w14:paraId="49B0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jc w:val="center"/>
        </w:trPr>
        <w:tc>
          <w:tcPr>
            <w:tcW w:w="778" w:type="dxa"/>
            <w:vMerge w:val="continue"/>
            <w:noWrap w:val="0"/>
            <w:vAlign w:val="center"/>
          </w:tcPr>
          <w:p w14:paraId="261201AD">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0FD2534C">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0BCBA4D8">
            <w:pPr>
              <w:spacing w:line="400" w:lineRule="exact"/>
              <w:rPr>
                <w:rFonts w:hint="eastAsia" w:ascii="宋体" w:hAnsi="宋体" w:eastAsia="宋体" w:cs="宋体"/>
                <w:color w:val="auto"/>
                <w:sz w:val="24"/>
              </w:rPr>
            </w:pPr>
          </w:p>
        </w:tc>
        <w:tc>
          <w:tcPr>
            <w:tcW w:w="1133" w:type="dxa"/>
            <w:noWrap w:val="0"/>
            <w:vAlign w:val="center"/>
          </w:tcPr>
          <w:p w14:paraId="54FBDD36">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较重</w:t>
            </w:r>
          </w:p>
        </w:tc>
        <w:tc>
          <w:tcPr>
            <w:tcW w:w="3350" w:type="dxa"/>
            <w:noWrap w:val="0"/>
            <w:vAlign w:val="center"/>
          </w:tcPr>
          <w:p w14:paraId="270549D1">
            <w:pPr>
              <w:widowControl/>
              <w:spacing w:line="400" w:lineRule="exact"/>
              <w:rPr>
                <w:rFonts w:hint="eastAsia" w:ascii="宋体" w:hAnsi="宋体" w:eastAsia="宋体" w:cs="宋体"/>
                <w:color w:val="auto"/>
                <w:sz w:val="24"/>
              </w:rPr>
            </w:pPr>
            <w:r>
              <w:rPr>
                <w:rFonts w:hint="eastAsia" w:ascii="宋体" w:hAnsi="宋体" w:eastAsia="宋体" w:cs="宋体"/>
                <w:color w:val="auto"/>
                <w:kern w:val="0"/>
                <w:sz w:val="24"/>
              </w:rPr>
              <w:t>从事违法活动</w:t>
            </w:r>
            <w:r>
              <w:rPr>
                <w:rFonts w:hint="eastAsia" w:ascii="宋体" w:hAnsi="宋体" w:eastAsia="宋体" w:cs="宋体"/>
                <w:color w:val="auto"/>
                <w:kern w:val="0"/>
                <w:sz w:val="24"/>
                <w:lang w:val="en-US" w:eastAsia="zh-CN"/>
              </w:rPr>
              <w:t>3</w:t>
            </w:r>
            <w:r>
              <w:rPr>
                <w:rFonts w:hint="eastAsia" w:ascii="宋体" w:hAnsi="宋体" w:eastAsia="宋体" w:cs="宋体"/>
                <w:color w:val="auto"/>
                <w:kern w:val="0"/>
                <w:sz w:val="24"/>
              </w:rPr>
              <w:t>次以上的。</w:t>
            </w:r>
          </w:p>
        </w:tc>
        <w:tc>
          <w:tcPr>
            <w:tcW w:w="3259" w:type="dxa"/>
            <w:noWrap w:val="0"/>
            <w:vAlign w:val="center"/>
          </w:tcPr>
          <w:p w14:paraId="68DABBF6">
            <w:pPr>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责令改正，处38万元以上50万元以下的罚款，有违法所得的，没收违法所得。</w:t>
            </w:r>
          </w:p>
        </w:tc>
      </w:tr>
      <w:tr w14:paraId="525B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78" w:type="dxa"/>
            <w:vMerge w:val="restart"/>
            <w:noWrap w:val="0"/>
            <w:vAlign w:val="center"/>
          </w:tcPr>
          <w:p w14:paraId="52D404A4">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216</w:t>
            </w:r>
          </w:p>
        </w:tc>
        <w:tc>
          <w:tcPr>
            <w:tcW w:w="1733" w:type="dxa"/>
            <w:vMerge w:val="restart"/>
            <w:noWrap w:val="0"/>
            <w:vAlign w:val="center"/>
          </w:tcPr>
          <w:p w14:paraId="671ED5D6">
            <w:pPr>
              <w:spacing w:line="400" w:lineRule="exact"/>
              <w:ind w:left="42" w:leftChars="20" w:right="0" w:rightChars="0"/>
              <w:jc w:val="left"/>
              <w:rPr>
                <w:rFonts w:hint="eastAsia" w:ascii="宋体" w:hAnsi="宋体" w:eastAsia="宋体" w:cs="宋体"/>
                <w:color w:val="auto"/>
                <w:sz w:val="24"/>
              </w:rPr>
            </w:pPr>
            <w:r>
              <w:rPr>
                <w:rFonts w:hint="eastAsia" w:ascii="宋体" w:hAnsi="宋体" w:eastAsia="宋体" w:cs="宋体"/>
                <w:color w:val="auto"/>
                <w:sz w:val="24"/>
              </w:rPr>
              <w:t>《中华人民共和国认证认可条例》</w:t>
            </w:r>
          </w:p>
        </w:tc>
        <w:tc>
          <w:tcPr>
            <w:tcW w:w="4117" w:type="dxa"/>
            <w:vMerge w:val="restart"/>
            <w:noWrap w:val="0"/>
            <w:vAlign w:val="center"/>
          </w:tcPr>
          <w:p w14:paraId="67E08A9D">
            <w:pPr>
              <w:spacing w:line="400" w:lineRule="exact"/>
              <w:rPr>
                <w:rFonts w:hint="eastAsia" w:ascii="宋体" w:hAnsi="宋体" w:eastAsia="宋体" w:cs="宋体"/>
                <w:color w:val="auto"/>
                <w:sz w:val="24"/>
              </w:rPr>
            </w:pPr>
            <w:r>
              <w:rPr>
                <w:rFonts w:hint="eastAsia" w:ascii="宋体" w:hAnsi="宋体" w:eastAsia="宋体" w:cs="宋体"/>
                <w:color w:val="auto"/>
                <w:sz w:val="24"/>
              </w:rPr>
              <w:t>第六十四条</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指定的认证机构、实验室超出指定的业务范围从事列入目录产品的认证以及与认证有关的检查、检测活动的，责令改正，处10万元以上50万元以下的罚款，有违法所得的，没收违法所得；情节严重的，撤销指定直至撤销批准文件，并予公布。</w:t>
            </w:r>
          </w:p>
          <w:p w14:paraId="24B50047">
            <w:pPr>
              <w:spacing w:line="400" w:lineRule="exact"/>
              <w:ind w:firstLine="0" w:firstLineChars="0"/>
              <w:rPr>
                <w:rFonts w:hint="eastAsia" w:ascii="宋体" w:hAnsi="宋体" w:eastAsia="宋体" w:cs="宋体"/>
                <w:color w:val="auto"/>
                <w:sz w:val="24"/>
              </w:rPr>
            </w:pPr>
            <w:r>
              <w:rPr>
                <w:rFonts w:hint="eastAsia" w:ascii="宋体" w:hAnsi="宋体" w:eastAsia="宋体" w:cs="宋体"/>
                <w:color w:val="auto"/>
                <w:sz w:val="24"/>
              </w:rPr>
              <w:t>指定的认证机构转让指定的认证业务的，依照前款规定处罚。</w:t>
            </w:r>
          </w:p>
        </w:tc>
        <w:tc>
          <w:tcPr>
            <w:tcW w:w="1133" w:type="dxa"/>
            <w:noWrap w:val="0"/>
            <w:vAlign w:val="center"/>
          </w:tcPr>
          <w:p w14:paraId="785B2C9D">
            <w:pPr>
              <w:spacing w:line="400" w:lineRule="exact"/>
              <w:jc w:val="center"/>
              <w:rPr>
                <w:rFonts w:hint="eastAsia" w:ascii="宋体" w:hAnsi="宋体" w:eastAsia="宋体" w:cs="宋体"/>
                <w:color w:val="auto"/>
                <w:sz w:val="24"/>
              </w:rPr>
            </w:pPr>
            <w:r>
              <w:rPr>
                <w:rFonts w:hint="eastAsia" w:ascii="宋体" w:hAnsi="宋体" w:eastAsia="宋体" w:cs="宋体"/>
                <w:color w:val="auto"/>
                <w:kern w:val="0"/>
                <w:sz w:val="24"/>
              </w:rPr>
              <w:t>较轻</w:t>
            </w:r>
          </w:p>
        </w:tc>
        <w:tc>
          <w:tcPr>
            <w:tcW w:w="3350" w:type="dxa"/>
            <w:noWrap w:val="0"/>
            <w:vAlign w:val="center"/>
          </w:tcPr>
          <w:p w14:paraId="1ECEE525">
            <w:pPr>
              <w:widowControl/>
              <w:spacing w:line="400" w:lineRule="exact"/>
              <w:rPr>
                <w:rFonts w:hint="eastAsia" w:ascii="宋体" w:hAnsi="宋体" w:eastAsia="宋体" w:cs="宋体"/>
                <w:color w:val="auto"/>
                <w:sz w:val="24"/>
              </w:rPr>
            </w:pPr>
            <w:r>
              <w:rPr>
                <w:rFonts w:hint="eastAsia" w:ascii="宋体" w:hAnsi="宋体" w:eastAsia="宋体" w:cs="宋体"/>
                <w:color w:val="auto"/>
                <w:kern w:val="0"/>
                <w:sz w:val="24"/>
              </w:rPr>
              <w:t>从事违法活动</w:t>
            </w:r>
            <w:r>
              <w:rPr>
                <w:rFonts w:hint="eastAsia" w:ascii="宋体" w:hAnsi="宋体" w:eastAsia="宋体" w:cs="宋体"/>
                <w:color w:val="auto"/>
                <w:kern w:val="0"/>
                <w:sz w:val="24"/>
                <w:lang w:val="en-US" w:eastAsia="zh-CN"/>
              </w:rPr>
              <w:t>1</w:t>
            </w:r>
            <w:r>
              <w:rPr>
                <w:rFonts w:hint="eastAsia" w:ascii="宋体" w:hAnsi="宋体" w:eastAsia="宋体" w:cs="宋体"/>
                <w:color w:val="auto"/>
                <w:kern w:val="0"/>
                <w:sz w:val="24"/>
              </w:rPr>
              <w:t>次的。</w:t>
            </w:r>
          </w:p>
        </w:tc>
        <w:tc>
          <w:tcPr>
            <w:tcW w:w="3259" w:type="dxa"/>
            <w:noWrap w:val="0"/>
            <w:vAlign w:val="center"/>
          </w:tcPr>
          <w:p w14:paraId="2AD866C4">
            <w:pPr>
              <w:numPr>
                <w:ilvl w:val="0"/>
                <w:numId w:val="0"/>
              </w:numPr>
              <w:tabs>
                <w:tab w:val="left" w:pos="0"/>
              </w:tabs>
              <w:spacing w:line="400" w:lineRule="exact"/>
              <w:rPr>
                <w:rFonts w:hint="eastAsia" w:ascii="宋体" w:hAnsi="宋体" w:eastAsia="宋体" w:cs="宋体"/>
                <w:color w:val="auto"/>
                <w:sz w:val="24"/>
                <w:lang w:val="en-US"/>
              </w:rPr>
            </w:pPr>
            <w:r>
              <w:rPr>
                <w:rFonts w:hint="eastAsia" w:ascii="宋体" w:hAnsi="宋体" w:eastAsia="宋体" w:cs="宋体"/>
                <w:color w:val="auto"/>
                <w:sz w:val="24"/>
                <w:lang w:val="en-US" w:eastAsia="zh-CN"/>
              </w:rPr>
              <w:t>责令改正，处10万元以上22万元以下的罚款，有违法所得的，没收违法所得。</w:t>
            </w:r>
          </w:p>
        </w:tc>
      </w:tr>
      <w:tr w14:paraId="3C00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78" w:type="dxa"/>
            <w:vMerge w:val="continue"/>
            <w:noWrap w:val="0"/>
            <w:vAlign w:val="center"/>
          </w:tcPr>
          <w:p w14:paraId="3405BE4F">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1E9907A6">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02BFBB44">
            <w:pPr>
              <w:spacing w:line="400" w:lineRule="exact"/>
              <w:rPr>
                <w:rFonts w:hint="eastAsia" w:ascii="宋体" w:hAnsi="宋体" w:eastAsia="宋体" w:cs="宋体"/>
                <w:color w:val="auto"/>
                <w:sz w:val="24"/>
              </w:rPr>
            </w:pPr>
          </w:p>
        </w:tc>
        <w:tc>
          <w:tcPr>
            <w:tcW w:w="1133" w:type="dxa"/>
            <w:noWrap w:val="0"/>
            <w:vAlign w:val="center"/>
          </w:tcPr>
          <w:p w14:paraId="3CC65BE8">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sz w:val="24"/>
                <w:szCs w:val="24"/>
                <w:lang w:eastAsia="zh-CN"/>
              </w:rPr>
              <w:t>一般</w:t>
            </w:r>
          </w:p>
        </w:tc>
        <w:tc>
          <w:tcPr>
            <w:tcW w:w="3350" w:type="dxa"/>
            <w:noWrap w:val="0"/>
            <w:vAlign w:val="center"/>
          </w:tcPr>
          <w:p w14:paraId="44B7CF26">
            <w:pPr>
              <w:widowControl/>
              <w:spacing w:line="400" w:lineRule="exact"/>
              <w:rPr>
                <w:rFonts w:hint="eastAsia" w:ascii="宋体" w:hAnsi="宋体" w:eastAsia="宋体" w:cs="宋体"/>
                <w:color w:val="auto"/>
                <w:sz w:val="24"/>
              </w:rPr>
            </w:pPr>
            <w:r>
              <w:rPr>
                <w:rFonts w:hint="eastAsia" w:ascii="宋体" w:hAnsi="宋体" w:eastAsia="宋体" w:cs="宋体"/>
                <w:color w:val="auto"/>
                <w:kern w:val="0"/>
                <w:sz w:val="24"/>
              </w:rPr>
              <w:t>从事违法活动</w:t>
            </w:r>
            <w:r>
              <w:rPr>
                <w:rFonts w:hint="eastAsia" w:ascii="宋体" w:hAnsi="宋体" w:eastAsia="宋体" w:cs="宋体"/>
                <w:color w:val="auto"/>
                <w:kern w:val="0"/>
                <w:sz w:val="24"/>
                <w:lang w:val="en-US" w:eastAsia="zh-CN"/>
              </w:rPr>
              <w:t>2</w:t>
            </w:r>
            <w:r>
              <w:rPr>
                <w:rFonts w:hint="eastAsia" w:ascii="宋体" w:hAnsi="宋体" w:eastAsia="宋体" w:cs="宋体"/>
                <w:color w:val="auto"/>
                <w:kern w:val="0"/>
                <w:sz w:val="24"/>
              </w:rPr>
              <w:t>次的。</w:t>
            </w:r>
          </w:p>
        </w:tc>
        <w:tc>
          <w:tcPr>
            <w:tcW w:w="3259" w:type="dxa"/>
            <w:noWrap w:val="0"/>
            <w:vAlign w:val="center"/>
          </w:tcPr>
          <w:p w14:paraId="4BD4251D">
            <w:pPr>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责令改正，处22万元以上38万元以下的罚款，有违法所得的，没收违法所得。</w:t>
            </w:r>
          </w:p>
        </w:tc>
      </w:tr>
      <w:tr w14:paraId="46F27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778" w:type="dxa"/>
            <w:vMerge w:val="continue"/>
            <w:noWrap w:val="0"/>
            <w:vAlign w:val="center"/>
          </w:tcPr>
          <w:p w14:paraId="30BF302C">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45324692">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7334EE65">
            <w:pPr>
              <w:spacing w:line="400" w:lineRule="exact"/>
              <w:rPr>
                <w:rFonts w:hint="eastAsia" w:ascii="宋体" w:hAnsi="宋体" w:eastAsia="宋体" w:cs="宋体"/>
                <w:color w:val="auto"/>
                <w:sz w:val="24"/>
              </w:rPr>
            </w:pPr>
          </w:p>
        </w:tc>
        <w:tc>
          <w:tcPr>
            <w:tcW w:w="1133" w:type="dxa"/>
            <w:noWrap w:val="0"/>
            <w:vAlign w:val="center"/>
          </w:tcPr>
          <w:p w14:paraId="5ED652EE">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较重</w:t>
            </w:r>
          </w:p>
        </w:tc>
        <w:tc>
          <w:tcPr>
            <w:tcW w:w="3350" w:type="dxa"/>
            <w:noWrap w:val="0"/>
            <w:vAlign w:val="center"/>
          </w:tcPr>
          <w:p w14:paraId="0393D1CC">
            <w:pPr>
              <w:widowControl/>
              <w:spacing w:line="400" w:lineRule="exact"/>
              <w:jc w:val="both"/>
              <w:rPr>
                <w:rFonts w:hint="eastAsia" w:ascii="宋体" w:hAnsi="宋体" w:eastAsia="宋体" w:cs="宋体"/>
                <w:color w:val="auto"/>
                <w:sz w:val="24"/>
              </w:rPr>
            </w:pPr>
            <w:r>
              <w:rPr>
                <w:rFonts w:hint="eastAsia" w:ascii="宋体" w:hAnsi="宋体" w:eastAsia="宋体" w:cs="宋体"/>
                <w:color w:val="auto"/>
                <w:kern w:val="0"/>
                <w:sz w:val="24"/>
              </w:rPr>
              <w:t>从事违法活动</w:t>
            </w:r>
            <w:r>
              <w:rPr>
                <w:rFonts w:hint="eastAsia" w:ascii="宋体" w:hAnsi="宋体" w:eastAsia="宋体" w:cs="宋体"/>
                <w:color w:val="auto"/>
                <w:kern w:val="0"/>
                <w:sz w:val="24"/>
                <w:lang w:val="en-US" w:eastAsia="zh-CN"/>
              </w:rPr>
              <w:t>3</w:t>
            </w:r>
            <w:r>
              <w:rPr>
                <w:rFonts w:hint="eastAsia" w:ascii="宋体" w:hAnsi="宋体" w:eastAsia="宋体" w:cs="宋体"/>
                <w:color w:val="auto"/>
                <w:kern w:val="0"/>
                <w:sz w:val="24"/>
              </w:rPr>
              <w:t>次以上的。</w:t>
            </w:r>
          </w:p>
        </w:tc>
        <w:tc>
          <w:tcPr>
            <w:tcW w:w="3259" w:type="dxa"/>
            <w:noWrap w:val="0"/>
            <w:vAlign w:val="center"/>
          </w:tcPr>
          <w:p w14:paraId="193F8AB2">
            <w:pPr>
              <w:spacing w:line="400" w:lineRule="exact"/>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责令改正，处38万元以上50万元以下的罚款，有违法所得的，没收违法所得，</w:t>
            </w:r>
            <w:r>
              <w:rPr>
                <w:rFonts w:hint="eastAsia" w:ascii="宋体" w:hAnsi="宋体" w:eastAsia="宋体" w:cs="宋体"/>
                <w:color w:val="auto"/>
                <w:sz w:val="24"/>
              </w:rPr>
              <w:t>情节严重的，撤销指定直至撤销批准文件，并予公布</w:t>
            </w:r>
            <w:r>
              <w:rPr>
                <w:rFonts w:hint="eastAsia" w:ascii="宋体" w:hAnsi="宋体" w:eastAsia="宋体" w:cs="宋体"/>
                <w:color w:val="auto"/>
                <w:sz w:val="24"/>
                <w:lang w:eastAsia="zh-CN"/>
              </w:rPr>
              <w:t>。</w:t>
            </w:r>
          </w:p>
        </w:tc>
      </w:tr>
      <w:tr w14:paraId="63D05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exact"/>
          <w:jc w:val="center"/>
        </w:trPr>
        <w:tc>
          <w:tcPr>
            <w:tcW w:w="778" w:type="dxa"/>
            <w:vMerge w:val="restart"/>
            <w:noWrap w:val="0"/>
            <w:vAlign w:val="center"/>
          </w:tcPr>
          <w:p w14:paraId="37F2A84B">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217</w:t>
            </w:r>
          </w:p>
        </w:tc>
        <w:tc>
          <w:tcPr>
            <w:tcW w:w="1733" w:type="dxa"/>
            <w:vMerge w:val="restart"/>
            <w:noWrap w:val="0"/>
            <w:vAlign w:val="center"/>
          </w:tcPr>
          <w:p w14:paraId="0B076766">
            <w:pPr>
              <w:spacing w:line="400" w:lineRule="exact"/>
              <w:ind w:left="42" w:leftChars="20" w:right="0" w:rightChars="0"/>
              <w:jc w:val="left"/>
              <w:rPr>
                <w:rFonts w:hint="eastAsia" w:ascii="宋体" w:hAnsi="宋体" w:eastAsia="宋体" w:cs="宋体"/>
                <w:color w:val="auto"/>
                <w:sz w:val="24"/>
              </w:rPr>
            </w:pPr>
            <w:r>
              <w:rPr>
                <w:rFonts w:hint="eastAsia" w:ascii="宋体" w:hAnsi="宋体" w:eastAsia="宋体" w:cs="宋体"/>
                <w:color w:val="auto"/>
                <w:sz w:val="24"/>
              </w:rPr>
              <w:t>《中华人民共和国认证认可条例》</w:t>
            </w:r>
          </w:p>
        </w:tc>
        <w:tc>
          <w:tcPr>
            <w:tcW w:w="4117" w:type="dxa"/>
            <w:vMerge w:val="restart"/>
            <w:noWrap w:val="0"/>
            <w:vAlign w:val="center"/>
          </w:tcPr>
          <w:p w14:paraId="7E10D9F1">
            <w:pPr>
              <w:spacing w:line="400" w:lineRule="exact"/>
              <w:jc w:val="both"/>
              <w:rPr>
                <w:rFonts w:hint="eastAsia" w:ascii="宋体" w:hAnsi="宋体" w:eastAsia="宋体" w:cs="宋体"/>
                <w:color w:val="auto"/>
                <w:sz w:val="24"/>
              </w:rPr>
            </w:pPr>
            <w:r>
              <w:rPr>
                <w:rFonts w:hint="eastAsia" w:ascii="宋体" w:hAnsi="宋体" w:eastAsia="宋体" w:cs="宋体"/>
                <w:color w:val="auto"/>
                <w:sz w:val="24"/>
              </w:rPr>
              <w:t>第六十六条</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列入目录的产品未经认证，擅自出厂、销售、进口或者在其他经营活动中使用的，责令改正，处5万元以上20万元以下的罚款</w:t>
            </w:r>
            <w:r>
              <w:rPr>
                <w:rFonts w:hint="eastAsia" w:ascii="宋体" w:hAnsi="宋体" w:eastAsia="宋体" w:cs="宋体"/>
                <w:color w:val="auto"/>
                <w:sz w:val="24"/>
                <w:lang w:eastAsia="zh-CN"/>
              </w:rPr>
              <w:t>；未经认证的违法产品货值金额不足1万元的，处货值金额2倍以下的罚款；</w:t>
            </w:r>
            <w:r>
              <w:rPr>
                <w:rFonts w:hint="eastAsia" w:ascii="宋体" w:hAnsi="宋体" w:eastAsia="宋体" w:cs="宋体"/>
                <w:color w:val="auto"/>
                <w:sz w:val="24"/>
              </w:rPr>
              <w:t>有违法所得的，没收违法所得。</w:t>
            </w:r>
          </w:p>
        </w:tc>
        <w:tc>
          <w:tcPr>
            <w:tcW w:w="1133" w:type="dxa"/>
            <w:noWrap w:val="0"/>
            <w:vAlign w:val="center"/>
          </w:tcPr>
          <w:p w14:paraId="76C29A30">
            <w:pPr>
              <w:spacing w:line="400" w:lineRule="exact"/>
              <w:jc w:val="center"/>
              <w:rPr>
                <w:rFonts w:hint="eastAsia" w:ascii="宋体" w:hAnsi="宋体" w:eastAsia="宋体" w:cs="宋体"/>
                <w:color w:val="auto"/>
                <w:sz w:val="24"/>
              </w:rPr>
            </w:pPr>
            <w:r>
              <w:rPr>
                <w:rFonts w:hint="eastAsia" w:ascii="宋体" w:hAnsi="宋体" w:eastAsia="宋体" w:cs="宋体"/>
                <w:color w:val="auto"/>
                <w:kern w:val="0"/>
                <w:sz w:val="24"/>
              </w:rPr>
              <w:t>较轻</w:t>
            </w:r>
          </w:p>
        </w:tc>
        <w:tc>
          <w:tcPr>
            <w:tcW w:w="3350" w:type="dxa"/>
            <w:noWrap w:val="0"/>
            <w:vAlign w:val="center"/>
          </w:tcPr>
          <w:p w14:paraId="5D295F30">
            <w:pPr>
              <w:numPr>
                <w:ilvl w:val="0"/>
                <w:numId w:val="0"/>
              </w:numPr>
              <w:tabs>
                <w:tab w:val="left" w:pos="0"/>
              </w:tabs>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违法产品</w:t>
            </w:r>
            <w:r>
              <w:rPr>
                <w:rFonts w:hint="eastAsia" w:ascii="宋体" w:hAnsi="宋体" w:eastAsia="宋体" w:cs="宋体"/>
                <w:color w:val="auto"/>
                <w:sz w:val="24"/>
                <w:lang w:eastAsia="zh-CN"/>
              </w:rPr>
              <w:t>货值金额不足1万元的。</w:t>
            </w:r>
          </w:p>
        </w:tc>
        <w:tc>
          <w:tcPr>
            <w:tcW w:w="3259" w:type="dxa"/>
            <w:noWrap w:val="0"/>
            <w:vAlign w:val="center"/>
          </w:tcPr>
          <w:p w14:paraId="00FB8D39">
            <w:pPr>
              <w:numPr>
                <w:ilvl w:val="0"/>
                <w:numId w:val="0"/>
              </w:numPr>
              <w:tabs>
                <w:tab w:val="left" w:pos="0"/>
              </w:tabs>
              <w:spacing w:line="400" w:lineRule="exact"/>
              <w:rPr>
                <w:rFonts w:hint="eastAsia" w:ascii="宋体" w:hAnsi="宋体" w:eastAsia="宋体" w:cs="宋体"/>
                <w:color w:val="auto"/>
                <w:sz w:val="24"/>
                <w:lang w:val="en-US"/>
              </w:rPr>
            </w:pPr>
            <w:r>
              <w:rPr>
                <w:rFonts w:hint="eastAsia" w:ascii="宋体" w:hAnsi="宋体" w:eastAsia="宋体" w:cs="宋体"/>
                <w:color w:val="auto"/>
                <w:sz w:val="24"/>
                <w:lang w:val="en-US" w:eastAsia="zh-CN"/>
              </w:rPr>
              <w:t>责令改正，</w:t>
            </w:r>
            <w:r>
              <w:rPr>
                <w:rFonts w:hint="eastAsia" w:ascii="宋体" w:hAnsi="宋体" w:eastAsia="宋体" w:cs="宋体"/>
                <w:color w:val="auto"/>
                <w:sz w:val="24"/>
                <w:lang w:eastAsia="zh-CN"/>
              </w:rPr>
              <w:t>处货值金额2倍以下的罚款；</w:t>
            </w:r>
            <w:r>
              <w:rPr>
                <w:rFonts w:hint="eastAsia" w:ascii="宋体" w:hAnsi="宋体" w:eastAsia="宋体" w:cs="宋体"/>
                <w:color w:val="auto"/>
                <w:sz w:val="24"/>
              </w:rPr>
              <w:t>有违法所得的，没收违法所得</w:t>
            </w:r>
            <w:r>
              <w:rPr>
                <w:rFonts w:hint="eastAsia" w:ascii="宋体" w:hAnsi="宋体" w:eastAsia="宋体" w:cs="宋体"/>
                <w:color w:val="auto"/>
                <w:sz w:val="24"/>
                <w:lang w:eastAsia="zh-CN"/>
              </w:rPr>
              <w:t>。</w:t>
            </w:r>
          </w:p>
        </w:tc>
      </w:tr>
      <w:tr w14:paraId="631B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7" w:hRule="exact"/>
          <w:jc w:val="center"/>
        </w:trPr>
        <w:tc>
          <w:tcPr>
            <w:tcW w:w="778" w:type="dxa"/>
            <w:vMerge w:val="continue"/>
            <w:noWrap w:val="0"/>
            <w:vAlign w:val="center"/>
          </w:tcPr>
          <w:p w14:paraId="022EAE8E">
            <w:pPr>
              <w:spacing w:line="400" w:lineRule="exact"/>
              <w:jc w:val="center"/>
              <w:rPr>
                <w:rFonts w:hint="eastAsia" w:ascii="宋体" w:hAnsi="宋体" w:eastAsia="宋体" w:cs="宋体"/>
                <w:color w:val="auto"/>
                <w:sz w:val="24"/>
                <w:lang w:val="en-US" w:eastAsia="zh-CN"/>
              </w:rPr>
            </w:pPr>
          </w:p>
        </w:tc>
        <w:tc>
          <w:tcPr>
            <w:tcW w:w="1733" w:type="dxa"/>
            <w:vMerge w:val="continue"/>
            <w:noWrap w:val="0"/>
            <w:vAlign w:val="center"/>
          </w:tcPr>
          <w:p w14:paraId="37C6E554">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780EE0D5">
            <w:pPr>
              <w:spacing w:line="400" w:lineRule="exact"/>
              <w:jc w:val="both"/>
              <w:rPr>
                <w:rFonts w:hint="eastAsia" w:ascii="宋体" w:hAnsi="宋体" w:eastAsia="宋体" w:cs="宋体"/>
                <w:color w:val="auto"/>
                <w:sz w:val="24"/>
              </w:rPr>
            </w:pPr>
          </w:p>
        </w:tc>
        <w:tc>
          <w:tcPr>
            <w:tcW w:w="1133" w:type="dxa"/>
            <w:noWrap w:val="0"/>
            <w:vAlign w:val="center"/>
          </w:tcPr>
          <w:p w14:paraId="11C35FAD">
            <w:pPr>
              <w:spacing w:line="400" w:lineRule="exact"/>
              <w:jc w:val="center"/>
              <w:rPr>
                <w:rFonts w:hint="eastAsia" w:ascii="宋体" w:hAnsi="宋体" w:eastAsia="宋体" w:cs="宋体"/>
                <w:color w:val="auto"/>
                <w:kern w:val="0"/>
                <w:sz w:val="24"/>
              </w:rPr>
            </w:pPr>
            <w:r>
              <w:rPr>
                <w:rFonts w:hint="eastAsia" w:ascii="宋体" w:hAnsi="宋体" w:eastAsia="宋体" w:cs="宋体"/>
                <w:color w:val="auto"/>
                <w:sz w:val="24"/>
                <w:szCs w:val="24"/>
                <w:lang w:eastAsia="zh-CN"/>
              </w:rPr>
              <w:t>一般</w:t>
            </w:r>
          </w:p>
        </w:tc>
        <w:tc>
          <w:tcPr>
            <w:tcW w:w="3350" w:type="dxa"/>
            <w:noWrap w:val="0"/>
            <w:vAlign w:val="center"/>
          </w:tcPr>
          <w:p w14:paraId="3BD252B1">
            <w:pPr>
              <w:numPr>
                <w:ilvl w:val="0"/>
                <w:numId w:val="0"/>
              </w:numPr>
              <w:tabs>
                <w:tab w:val="left" w:pos="0"/>
              </w:tabs>
              <w:spacing w:line="400" w:lineRule="exact"/>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违法产品货值金额在1万元以上10万元以下。</w:t>
            </w:r>
          </w:p>
        </w:tc>
        <w:tc>
          <w:tcPr>
            <w:tcW w:w="3259" w:type="dxa"/>
            <w:noWrap w:val="0"/>
            <w:vAlign w:val="center"/>
          </w:tcPr>
          <w:p w14:paraId="3840F67F">
            <w:pPr>
              <w:numPr>
                <w:ilvl w:val="0"/>
                <w:numId w:val="0"/>
              </w:numPr>
              <w:tabs>
                <w:tab w:val="left" w:pos="0"/>
              </w:tabs>
              <w:spacing w:line="400" w:lineRule="exac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责令改正，处5万元以上9.5万元以下罚款</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有违法所得的，没收违法所得。</w:t>
            </w:r>
          </w:p>
        </w:tc>
      </w:tr>
      <w:tr w14:paraId="6DDE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7" w:hRule="exact"/>
          <w:jc w:val="center"/>
        </w:trPr>
        <w:tc>
          <w:tcPr>
            <w:tcW w:w="778" w:type="dxa"/>
            <w:vMerge w:val="continue"/>
            <w:noWrap w:val="0"/>
            <w:vAlign w:val="center"/>
          </w:tcPr>
          <w:p w14:paraId="61585139">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49C83371">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1A1983B1">
            <w:pPr>
              <w:spacing w:line="400" w:lineRule="exact"/>
              <w:rPr>
                <w:rFonts w:hint="eastAsia" w:ascii="宋体" w:hAnsi="宋体" w:eastAsia="宋体" w:cs="宋体"/>
                <w:color w:val="auto"/>
                <w:sz w:val="24"/>
              </w:rPr>
            </w:pPr>
          </w:p>
        </w:tc>
        <w:tc>
          <w:tcPr>
            <w:tcW w:w="1133" w:type="dxa"/>
            <w:noWrap w:val="0"/>
            <w:vAlign w:val="center"/>
          </w:tcPr>
          <w:p w14:paraId="1BC36B91">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较重</w:t>
            </w:r>
          </w:p>
        </w:tc>
        <w:tc>
          <w:tcPr>
            <w:tcW w:w="3350" w:type="dxa"/>
            <w:noWrap w:val="0"/>
            <w:vAlign w:val="center"/>
          </w:tcPr>
          <w:p w14:paraId="0E3523A4">
            <w:pPr>
              <w:numPr>
                <w:ilvl w:val="0"/>
                <w:numId w:val="0"/>
              </w:numPr>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违法产品货值金额在10万元以上30万元以下的。</w:t>
            </w:r>
          </w:p>
        </w:tc>
        <w:tc>
          <w:tcPr>
            <w:tcW w:w="3259" w:type="dxa"/>
            <w:noWrap w:val="0"/>
            <w:vAlign w:val="center"/>
          </w:tcPr>
          <w:p w14:paraId="47A5F775">
            <w:pPr>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责令改正，处9.5万元以上15.5万元以下罚款</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有违法所得的，没收违法所得。</w:t>
            </w:r>
          </w:p>
        </w:tc>
      </w:tr>
      <w:tr w14:paraId="7058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7" w:hRule="exact"/>
          <w:jc w:val="center"/>
        </w:trPr>
        <w:tc>
          <w:tcPr>
            <w:tcW w:w="778" w:type="dxa"/>
            <w:vMerge w:val="continue"/>
            <w:noWrap w:val="0"/>
            <w:vAlign w:val="center"/>
          </w:tcPr>
          <w:p w14:paraId="43460DBC">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529840E2">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7673C2B8">
            <w:pPr>
              <w:spacing w:line="400" w:lineRule="exact"/>
              <w:rPr>
                <w:rFonts w:hint="eastAsia" w:ascii="宋体" w:hAnsi="宋体" w:eastAsia="宋体" w:cs="宋体"/>
                <w:color w:val="auto"/>
                <w:sz w:val="24"/>
              </w:rPr>
            </w:pPr>
          </w:p>
        </w:tc>
        <w:tc>
          <w:tcPr>
            <w:tcW w:w="1133" w:type="dxa"/>
            <w:noWrap w:val="0"/>
            <w:vAlign w:val="center"/>
          </w:tcPr>
          <w:p w14:paraId="7846C17E">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严重</w:t>
            </w:r>
          </w:p>
        </w:tc>
        <w:tc>
          <w:tcPr>
            <w:tcW w:w="3350" w:type="dxa"/>
            <w:noWrap w:val="0"/>
            <w:vAlign w:val="center"/>
          </w:tcPr>
          <w:p w14:paraId="6339C3B6">
            <w:pPr>
              <w:numPr>
                <w:ilvl w:val="0"/>
                <w:numId w:val="0"/>
              </w:numPr>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违法产品货值金额在30万元以上的。</w:t>
            </w:r>
          </w:p>
        </w:tc>
        <w:tc>
          <w:tcPr>
            <w:tcW w:w="3259" w:type="dxa"/>
            <w:noWrap w:val="0"/>
            <w:vAlign w:val="center"/>
          </w:tcPr>
          <w:p w14:paraId="6352CAA3">
            <w:pPr>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责令改正，处15.5万元以上20万元以下罚款</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有违法所得的，没收违法所得。</w:t>
            </w:r>
          </w:p>
        </w:tc>
      </w:tr>
      <w:tr w14:paraId="758E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778" w:type="dxa"/>
            <w:vMerge w:val="restart"/>
            <w:noWrap w:val="0"/>
            <w:vAlign w:val="center"/>
          </w:tcPr>
          <w:p w14:paraId="493612CE">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218</w:t>
            </w:r>
          </w:p>
        </w:tc>
        <w:tc>
          <w:tcPr>
            <w:tcW w:w="1733" w:type="dxa"/>
            <w:vMerge w:val="restart"/>
            <w:noWrap w:val="0"/>
            <w:vAlign w:val="center"/>
          </w:tcPr>
          <w:p w14:paraId="65940DE1">
            <w:pPr>
              <w:spacing w:line="400" w:lineRule="exact"/>
              <w:ind w:left="42" w:leftChars="20" w:right="0" w:rightChars="0"/>
              <w:jc w:val="left"/>
              <w:outlineLvl w:val="2"/>
              <w:rPr>
                <w:rFonts w:hint="eastAsia" w:ascii="宋体" w:hAnsi="宋体" w:eastAsia="宋体" w:cs="宋体"/>
                <w:color w:val="auto"/>
                <w:sz w:val="24"/>
              </w:rPr>
            </w:pPr>
            <w:bookmarkStart w:id="258" w:name="_Toc31343"/>
            <w:bookmarkStart w:id="259" w:name="_Toc11917"/>
            <w:bookmarkStart w:id="260" w:name="_Toc8682"/>
            <w:bookmarkStart w:id="261" w:name="_Toc32410"/>
            <w:r>
              <w:rPr>
                <w:rFonts w:hint="eastAsia" w:ascii="宋体" w:hAnsi="宋体" w:eastAsia="宋体" w:cs="宋体"/>
                <w:color w:val="auto"/>
                <w:sz w:val="24"/>
              </w:rPr>
              <w:t>《强制性产品认证管理规定》</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2022年11月1日起施行</w:t>
            </w:r>
            <w:r>
              <w:rPr>
                <w:rFonts w:hint="eastAsia" w:ascii="宋体" w:hAnsi="宋体" w:eastAsia="宋体" w:cs="宋体"/>
                <w:color w:val="auto"/>
                <w:sz w:val="24"/>
                <w:lang w:eastAsia="zh-CN"/>
              </w:rPr>
              <w:t>）</w:t>
            </w:r>
            <w:bookmarkEnd w:id="258"/>
            <w:bookmarkEnd w:id="259"/>
            <w:bookmarkEnd w:id="260"/>
            <w:bookmarkEnd w:id="261"/>
          </w:p>
        </w:tc>
        <w:tc>
          <w:tcPr>
            <w:tcW w:w="4117" w:type="dxa"/>
            <w:vMerge w:val="restart"/>
            <w:noWrap w:val="0"/>
            <w:vAlign w:val="center"/>
          </w:tcPr>
          <w:p w14:paraId="18073C48">
            <w:pPr>
              <w:spacing w:line="400" w:lineRule="exact"/>
              <w:jc w:val="both"/>
              <w:rPr>
                <w:rFonts w:hint="eastAsia" w:ascii="宋体" w:hAnsi="宋体" w:eastAsia="宋体" w:cs="宋体"/>
                <w:color w:val="auto"/>
                <w:sz w:val="24"/>
              </w:rPr>
            </w:pPr>
            <w:r>
              <w:rPr>
                <w:rFonts w:hint="eastAsia" w:ascii="宋体" w:hAnsi="宋体" w:eastAsia="宋体" w:cs="宋体"/>
                <w:color w:val="auto"/>
                <w:sz w:val="24"/>
                <w:szCs w:val="24"/>
              </w:rPr>
              <w:t>第五十条</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列入目录的产品经过认证后，不按照法定条件、要求从事生产经营活动或者生产、销售不符合法定要求的产品的，由县级以上地方市场监督管理部门依照《国务院关于加强食品等产品安全监督管理的特别规定》第二条、第三条第二款规定予以处理。</w:t>
            </w:r>
          </w:p>
        </w:tc>
        <w:tc>
          <w:tcPr>
            <w:tcW w:w="1133" w:type="dxa"/>
            <w:noWrap w:val="0"/>
            <w:vAlign w:val="center"/>
          </w:tcPr>
          <w:p w14:paraId="3407B9F3">
            <w:pPr>
              <w:spacing w:line="400" w:lineRule="exact"/>
              <w:jc w:val="center"/>
              <w:rPr>
                <w:rFonts w:hint="eastAsia" w:ascii="宋体" w:hAnsi="宋体" w:eastAsia="宋体" w:cs="宋体"/>
                <w:color w:val="auto"/>
                <w:sz w:val="24"/>
              </w:rPr>
            </w:pPr>
            <w:r>
              <w:rPr>
                <w:rFonts w:hint="eastAsia" w:ascii="宋体" w:hAnsi="宋体" w:eastAsia="宋体" w:cs="宋体"/>
                <w:color w:val="auto"/>
                <w:kern w:val="0"/>
                <w:sz w:val="24"/>
                <w:lang w:eastAsia="zh-CN"/>
              </w:rPr>
              <w:t>较轻</w:t>
            </w:r>
          </w:p>
        </w:tc>
        <w:tc>
          <w:tcPr>
            <w:tcW w:w="3350" w:type="dxa"/>
            <w:noWrap w:val="0"/>
            <w:vAlign w:val="center"/>
          </w:tcPr>
          <w:p w14:paraId="52543F73">
            <w:pPr>
              <w:spacing w:line="400" w:lineRule="exact"/>
              <w:jc w:val="both"/>
              <w:rPr>
                <w:rFonts w:hint="eastAsia" w:ascii="宋体" w:hAnsi="宋体" w:eastAsia="宋体" w:cs="宋体"/>
                <w:color w:val="auto"/>
                <w:sz w:val="24"/>
                <w:lang w:eastAsia="zh-CN"/>
              </w:rPr>
            </w:pPr>
            <w:r>
              <w:rPr>
                <w:rFonts w:hint="eastAsia" w:ascii="宋体" w:hAnsi="宋体" w:eastAsia="宋体" w:cs="宋体"/>
                <w:color w:val="auto"/>
                <w:kern w:val="0"/>
                <w:sz w:val="24"/>
              </w:rPr>
              <w:t>货值金额5000元以下的</w:t>
            </w:r>
            <w:r>
              <w:rPr>
                <w:rFonts w:hint="eastAsia" w:ascii="宋体" w:hAnsi="宋体" w:eastAsia="宋体" w:cs="宋体"/>
                <w:color w:val="auto"/>
                <w:kern w:val="0"/>
                <w:sz w:val="24"/>
                <w:lang w:eastAsia="zh-CN"/>
              </w:rPr>
              <w:t>。</w:t>
            </w:r>
          </w:p>
        </w:tc>
        <w:tc>
          <w:tcPr>
            <w:tcW w:w="3259" w:type="dxa"/>
            <w:noWrap w:val="0"/>
            <w:vAlign w:val="center"/>
          </w:tcPr>
          <w:p w14:paraId="2EFF736F">
            <w:pPr>
              <w:spacing w:line="400" w:lineRule="exact"/>
              <w:jc w:val="both"/>
              <w:rPr>
                <w:rFonts w:hint="eastAsia" w:ascii="宋体" w:hAnsi="宋体" w:eastAsia="宋体" w:cs="宋体"/>
                <w:color w:val="auto"/>
                <w:sz w:val="24"/>
                <w:lang w:eastAsia="zh-CN"/>
              </w:rPr>
            </w:pPr>
            <w:r>
              <w:rPr>
                <w:rFonts w:hint="eastAsia" w:ascii="宋体" w:hAnsi="宋体" w:eastAsia="宋体" w:cs="宋体"/>
                <w:color w:val="auto"/>
                <w:kern w:val="0"/>
                <w:sz w:val="24"/>
              </w:rPr>
              <w:t>没收违法所得、产品和用于违法生产的工具、设备、原材料等物品,并处5万元罚款</w:t>
            </w:r>
            <w:r>
              <w:rPr>
                <w:rFonts w:hint="eastAsia" w:ascii="宋体" w:hAnsi="宋体" w:eastAsia="宋体" w:cs="宋体"/>
                <w:color w:val="auto"/>
                <w:kern w:val="0"/>
                <w:sz w:val="24"/>
                <w:lang w:eastAsia="zh-CN"/>
              </w:rPr>
              <w:t>。</w:t>
            </w:r>
          </w:p>
        </w:tc>
      </w:tr>
      <w:tr w14:paraId="759E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778" w:type="dxa"/>
            <w:vMerge w:val="continue"/>
            <w:noWrap w:val="0"/>
            <w:vAlign w:val="center"/>
          </w:tcPr>
          <w:p w14:paraId="7CD1FDDE">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19381043">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798471CC">
            <w:pPr>
              <w:spacing w:line="400" w:lineRule="exact"/>
              <w:jc w:val="both"/>
              <w:rPr>
                <w:rFonts w:hint="eastAsia" w:ascii="宋体" w:hAnsi="宋体" w:eastAsia="宋体" w:cs="宋体"/>
                <w:color w:val="auto"/>
                <w:sz w:val="24"/>
              </w:rPr>
            </w:pPr>
          </w:p>
        </w:tc>
        <w:tc>
          <w:tcPr>
            <w:tcW w:w="1133" w:type="dxa"/>
            <w:noWrap w:val="0"/>
            <w:vAlign w:val="center"/>
          </w:tcPr>
          <w:p w14:paraId="041C84DB">
            <w:pPr>
              <w:spacing w:line="400" w:lineRule="exact"/>
              <w:jc w:val="center"/>
              <w:rPr>
                <w:rFonts w:hint="eastAsia" w:ascii="宋体" w:hAnsi="宋体" w:eastAsia="宋体" w:cs="宋体"/>
                <w:color w:val="auto"/>
                <w:sz w:val="24"/>
              </w:rPr>
            </w:pPr>
            <w:r>
              <w:rPr>
                <w:rFonts w:hint="eastAsia" w:ascii="宋体" w:hAnsi="宋体" w:eastAsia="宋体" w:cs="宋体"/>
                <w:color w:val="auto"/>
                <w:kern w:val="0"/>
                <w:sz w:val="24"/>
              </w:rPr>
              <w:t>一般</w:t>
            </w:r>
          </w:p>
        </w:tc>
        <w:tc>
          <w:tcPr>
            <w:tcW w:w="3350" w:type="dxa"/>
            <w:noWrap w:val="0"/>
            <w:vAlign w:val="center"/>
          </w:tcPr>
          <w:p w14:paraId="146F04DA">
            <w:pPr>
              <w:spacing w:line="400" w:lineRule="exact"/>
              <w:jc w:val="both"/>
              <w:rPr>
                <w:rFonts w:hint="eastAsia" w:ascii="宋体" w:hAnsi="宋体" w:eastAsia="宋体" w:cs="宋体"/>
                <w:color w:val="auto"/>
                <w:sz w:val="24"/>
                <w:szCs w:val="24"/>
                <w:lang w:eastAsia="zh-CN"/>
              </w:rPr>
            </w:pPr>
            <w:r>
              <w:rPr>
                <w:rFonts w:hint="eastAsia" w:ascii="宋体" w:hAnsi="宋体" w:eastAsia="宋体" w:cs="宋体"/>
                <w:color w:val="auto"/>
                <w:kern w:val="0"/>
                <w:sz w:val="24"/>
              </w:rPr>
              <w:t>货值金额5000元以上1万元以下的</w:t>
            </w:r>
            <w:r>
              <w:rPr>
                <w:rFonts w:hint="eastAsia" w:ascii="宋体" w:hAnsi="宋体" w:eastAsia="宋体" w:cs="宋体"/>
                <w:color w:val="auto"/>
                <w:kern w:val="0"/>
                <w:sz w:val="24"/>
                <w:lang w:eastAsia="zh-CN"/>
              </w:rPr>
              <w:t>。</w:t>
            </w:r>
          </w:p>
        </w:tc>
        <w:tc>
          <w:tcPr>
            <w:tcW w:w="3259" w:type="dxa"/>
            <w:noWrap w:val="0"/>
            <w:vAlign w:val="center"/>
          </w:tcPr>
          <w:p w14:paraId="01C58DBD">
            <w:pPr>
              <w:spacing w:line="400" w:lineRule="exact"/>
              <w:jc w:val="both"/>
              <w:rPr>
                <w:rFonts w:hint="eastAsia" w:ascii="宋体" w:hAnsi="宋体" w:eastAsia="宋体" w:cs="宋体"/>
                <w:color w:val="auto"/>
                <w:sz w:val="24"/>
                <w:szCs w:val="24"/>
                <w:lang w:eastAsia="zh-CN"/>
              </w:rPr>
            </w:pPr>
            <w:r>
              <w:rPr>
                <w:rFonts w:hint="eastAsia" w:ascii="宋体" w:hAnsi="宋体" w:eastAsia="宋体" w:cs="宋体"/>
                <w:color w:val="auto"/>
                <w:kern w:val="0"/>
                <w:sz w:val="24"/>
              </w:rPr>
              <w:t>没收违法所得、产品和用于违法生产的工具、设备、原材料等物品,并处10万元罚款</w:t>
            </w:r>
            <w:r>
              <w:rPr>
                <w:rFonts w:hint="eastAsia" w:ascii="宋体" w:hAnsi="宋体" w:eastAsia="宋体" w:cs="宋体"/>
                <w:color w:val="auto"/>
                <w:kern w:val="0"/>
                <w:sz w:val="24"/>
                <w:lang w:eastAsia="zh-CN"/>
              </w:rPr>
              <w:t>。</w:t>
            </w:r>
          </w:p>
        </w:tc>
      </w:tr>
      <w:tr w14:paraId="3396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jc w:val="center"/>
        </w:trPr>
        <w:tc>
          <w:tcPr>
            <w:tcW w:w="778" w:type="dxa"/>
            <w:vMerge w:val="continue"/>
            <w:noWrap w:val="0"/>
            <w:vAlign w:val="center"/>
          </w:tcPr>
          <w:p w14:paraId="60C1CBCC">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050F8F4F">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3AD20954">
            <w:pPr>
              <w:spacing w:line="400" w:lineRule="exact"/>
              <w:jc w:val="both"/>
              <w:rPr>
                <w:rFonts w:hint="eastAsia" w:ascii="宋体" w:hAnsi="宋体" w:eastAsia="宋体" w:cs="宋体"/>
                <w:color w:val="auto"/>
                <w:sz w:val="24"/>
              </w:rPr>
            </w:pPr>
          </w:p>
        </w:tc>
        <w:tc>
          <w:tcPr>
            <w:tcW w:w="1133" w:type="dxa"/>
            <w:noWrap w:val="0"/>
            <w:vAlign w:val="center"/>
          </w:tcPr>
          <w:p w14:paraId="5A0BA73A">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kern w:val="0"/>
                <w:sz w:val="24"/>
                <w:lang w:eastAsia="zh-CN"/>
              </w:rPr>
              <w:t>较重</w:t>
            </w:r>
          </w:p>
        </w:tc>
        <w:tc>
          <w:tcPr>
            <w:tcW w:w="3350" w:type="dxa"/>
            <w:noWrap w:val="0"/>
            <w:vAlign w:val="center"/>
          </w:tcPr>
          <w:p w14:paraId="15B3012B">
            <w:pPr>
              <w:spacing w:line="400" w:lineRule="exact"/>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货值金额1万元以上的，产品尚未销售的或者主动追回已售出产品的</w:t>
            </w:r>
            <w:r>
              <w:rPr>
                <w:rFonts w:hint="eastAsia" w:ascii="宋体" w:hAnsi="宋体" w:eastAsia="宋体" w:cs="宋体"/>
                <w:color w:val="auto"/>
                <w:sz w:val="24"/>
                <w:szCs w:val="24"/>
                <w:lang w:eastAsia="zh-CN"/>
              </w:rPr>
              <w:t>。</w:t>
            </w:r>
          </w:p>
        </w:tc>
        <w:tc>
          <w:tcPr>
            <w:tcW w:w="3259" w:type="dxa"/>
            <w:noWrap w:val="0"/>
            <w:vAlign w:val="center"/>
          </w:tcPr>
          <w:p w14:paraId="1A7F149A">
            <w:pPr>
              <w:spacing w:line="400" w:lineRule="exact"/>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没收违法所得、产品和用于违法生产的工具、设备、原材料等物品,并处货值金额10倍以上15倍以下罚款</w:t>
            </w:r>
            <w:r>
              <w:rPr>
                <w:rFonts w:hint="eastAsia" w:ascii="宋体" w:hAnsi="宋体" w:eastAsia="宋体" w:cs="宋体"/>
                <w:color w:val="auto"/>
                <w:sz w:val="24"/>
                <w:szCs w:val="24"/>
                <w:lang w:eastAsia="zh-CN"/>
              </w:rPr>
              <w:t>。</w:t>
            </w:r>
          </w:p>
        </w:tc>
      </w:tr>
      <w:tr w14:paraId="7514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jc w:val="center"/>
        </w:trPr>
        <w:tc>
          <w:tcPr>
            <w:tcW w:w="778" w:type="dxa"/>
            <w:vMerge w:val="continue"/>
            <w:noWrap w:val="0"/>
            <w:vAlign w:val="center"/>
          </w:tcPr>
          <w:p w14:paraId="0F91A0CE">
            <w:pPr>
              <w:spacing w:line="400" w:lineRule="exact"/>
              <w:jc w:val="center"/>
              <w:rPr>
                <w:rFonts w:hint="eastAsia" w:ascii="宋体" w:hAnsi="宋体" w:eastAsia="宋体" w:cs="宋体"/>
                <w:color w:val="auto"/>
                <w:sz w:val="24"/>
                <w:lang w:val="en-US" w:eastAsia="zh-CN"/>
              </w:rPr>
            </w:pPr>
          </w:p>
        </w:tc>
        <w:tc>
          <w:tcPr>
            <w:tcW w:w="1733" w:type="dxa"/>
            <w:vMerge w:val="continue"/>
            <w:noWrap w:val="0"/>
            <w:vAlign w:val="center"/>
          </w:tcPr>
          <w:p w14:paraId="1D37DB46">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06016F6C">
            <w:pPr>
              <w:spacing w:line="400" w:lineRule="exact"/>
              <w:jc w:val="both"/>
              <w:rPr>
                <w:rFonts w:hint="eastAsia" w:ascii="宋体" w:hAnsi="宋体" w:eastAsia="宋体" w:cs="宋体"/>
                <w:color w:val="auto"/>
                <w:sz w:val="24"/>
                <w:szCs w:val="24"/>
              </w:rPr>
            </w:pPr>
          </w:p>
        </w:tc>
        <w:tc>
          <w:tcPr>
            <w:tcW w:w="1133" w:type="dxa"/>
            <w:noWrap w:val="0"/>
            <w:vAlign w:val="center"/>
          </w:tcPr>
          <w:p w14:paraId="35911725">
            <w:pPr>
              <w:spacing w:line="400" w:lineRule="exact"/>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严重</w:t>
            </w:r>
          </w:p>
        </w:tc>
        <w:tc>
          <w:tcPr>
            <w:tcW w:w="3350" w:type="dxa"/>
            <w:noWrap w:val="0"/>
            <w:vAlign w:val="center"/>
          </w:tcPr>
          <w:p w14:paraId="46211DAE">
            <w:pPr>
              <w:spacing w:line="400" w:lineRule="exact"/>
              <w:jc w:val="both"/>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货值金额1万元以上的，已无法追回已售出产品的或者拒不追回已售出产品的。</w:t>
            </w:r>
          </w:p>
        </w:tc>
        <w:tc>
          <w:tcPr>
            <w:tcW w:w="3259" w:type="dxa"/>
            <w:noWrap w:val="0"/>
            <w:vAlign w:val="center"/>
          </w:tcPr>
          <w:p w14:paraId="0A9C5D8C">
            <w:pPr>
              <w:spacing w:line="400" w:lineRule="exact"/>
              <w:jc w:val="both"/>
              <w:rPr>
                <w:rFonts w:hint="eastAsia" w:ascii="宋体" w:hAnsi="宋体" w:eastAsia="宋体" w:cs="宋体"/>
                <w:color w:val="auto"/>
                <w:kern w:val="0"/>
                <w:sz w:val="24"/>
                <w:lang w:eastAsia="zh-CN"/>
              </w:rPr>
            </w:pPr>
            <w:r>
              <w:rPr>
                <w:rFonts w:hint="eastAsia" w:ascii="宋体" w:hAnsi="宋体" w:eastAsia="宋体" w:cs="宋体"/>
                <w:color w:val="auto"/>
                <w:kern w:val="0"/>
                <w:sz w:val="24"/>
              </w:rPr>
              <w:t>没收违法所得、产品和用于违法生产的工具、设备、原材料等物品,并处货值金额15倍以上20倍以下罚款</w:t>
            </w:r>
            <w:r>
              <w:rPr>
                <w:rFonts w:hint="eastAsia" w:ascii="宋体" w:hAnsi="宋体" w:eastAsia="宋体" w:cs="宋体"/>
                <w:color w:val="auto"/>
                <w:kern w:val="0"/>
                <w:sz w:val="24"/>
                <w:lang w:eastAsia="zh-CN"/>
              </w:rPr>
              <w:t>。</w:t>
            </w:r>
          </w:p>
        </w:tc>
      </w:tr>
      <w:tr w14:paraId="4737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78" w:type="dxa"/>
            <w:vMerge w:val="continue"/>
            <w:noWrap w:val="0"/>
            <w:vAlign w:val="center"/>
          </w:tcPr>
          <w:p w14:paraId="2F7D8D00">
            <w:pPr>
              <w:spacing w:line="400" w:lineRule="exact"/>
              <w:jc w:val="center"/>
              <w:rPr>
                <w:rFonts w:hint="eastAsia" w:ascii="宋体" w:hAnsi="宋体" w:eastAsia="宋体" w:cs="宋体"/>
                <w:color w:val="auto"/>
                <w:sz w:val="24"/>
                <w:lang w:val="en-US" w:eastAsia="zh-CN"/>
              </w:rPr>
            </w:pPr>
          </w:p>
        </w:tc>
        <w:tc>
          <w:tcPr>
            <w:tcW w:w="1733" w:type="dxa"/>
            <w:vMerge w:val="continue"/>
            <w:noWrap w:val="0"/>
            <w:vAlign w:val="center"/>
          </w:tcPr>
          <w:p w14:paraId="24C1B57A">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2621D2DD">
            <w:pPr>
              <w:spacing w:line="400" w:lineRule="exact"/>
              <w:jc w:val="both"/>
              <w:rPr>
                <w:rFonts w:hint="eastAsia" w:ascii="宋体" w:hAnsi="宋体" w:eastAsia="宋体" w:cs="宋体"/>
                <w:color w:val="auto"/>
                <w:sz w:val="24"/>
                <w:szCs w:val="24"/>
              </w:rPr>
            </w:pPr>
          </w:p>
        </w:tc>
        <w:tc>
          <w:tcPr>
            <w:tcW w:w="1133" w:type="dxa"/>
            <w:noWrap w:val="0"/>
            <w:vAlign w:val="center"/>
          </w:tcPr>
          <w:p w14:paraId="528D6458">
            <w:pPr>
              <w:spacing w:line="400" w:lineRule="exact"/>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特别严重</w:t>
            </w:r>
          </w:p>
        </w:tc>
        <w:tc>
          <w:tcPr>
            <w:tcW w:w="3350" w:type="dxa"/>
            <w:noWrap w:val="0"/>
            <w:vAlign w:val="center"/>
          </w:tcPr>
          <w:p w14:paraId="39E7F945">
            <w:pPr>
              <w:spacing w:line="400" w:lineRule="exact"/>
              <w:jc w:val="both"/>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违法行为造成严重后果的。</w:t>
            </w:r>
          </w:p>
        </w:tc>
        <w:tc>
          <w:tcPr>
            <w:tcW w:w="3259" w:type="dxa"/>
            <w:noWrap w:val="0"/>
            <w:vAlign w:val="center"/>
          </w:tcPr>
          <w:p w14:paraId="1ABC7C2E">
            <w:pPr>
              <w:spacing w:line="400" w:lineRule="exact"/>
              <w:jc w:val="both"/>
              <w:rPr>
                <w:rFonts w:hint="eastAsia" w:ascii="宋体" w:hAnsi="宋体" w:eastAsia="宋体" w:cs="宋体"/>
                <w:color w:val="auto"/>
                <w:kern w:val="0"/>
                <w:sz w:val="24"/>
                <w:lang w:eastAsia="zh-CN"/>
              </w:rPr>
            </w:pPr>
            <w:r>
              <w:rPr>
                <w:rFonts w:hint="eastAsia" w:ascii="宋体" w:hAnsi="宋体" w:eastAsia="宋体" w:cs="宋体"/>
                <w:color w:val="auto"/>
                <w:kern w:val="0"/>
                <w:sz w:val="24"/>
              </w:rPr>
              <w:t>没收违法所得、产品和用于违法生产的工具、设备、原材料等物品,并处货值金额20倍罚款，由原发证部门吊销许可证照</w:t>
            </w:r>
            <w:r>
              <w:rPr>
                <w:rFonts w:hint="eastAsia" w:ascii="宋体" w:hAnsi="宋体" w:eastAsia="宋体" w:cs="宋体"/>
                <w:color w:val="auto"/>
                <w:kern w:val="0"/>
                <w:sz w:val="24"/>
                <w:lang w:eastAsia="zh-CN"/>
              </w:rPr>
              <w:t>。</w:t>
            </w:r>
          </w:p>
        </w:tc>
      </w:tr>
      <w:tr w14:paraId="2DD5A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778" w:type="dxa"/>
            <w:vMerge w:val="restart"/>
            <w:noWrap w:val="0"/>
            <w:vAlign w:val="center"/>
          </w:tcPr>
          <w:p w14:paraId="157C9833">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219</w:t>
            </w:r>
          </w:p>
        </w:tc>
        <w:tc>
          <w:tcPr>
            <w:tcW w:w="1733" w:type="dxa"/>
            <w:vMerge w:val="restart"/>
            <w:noWrap w:val="0"/>
            <w:vAlign w:val="center"/>
          </w:tcPr>
          <w:p w14:paraId="7986D849">
            <w:pPr>
              <w:spacing w:line="400" w:lineRule="exact"/>
              <w:ind w:left="42" w:leftChars="20" w:right="0" w:rightChars="0"/>
              <w:jc w:val="left"/>
              <w:rPr>
                <w:rFonts w:hint="eastAsia" w:ascii="宋体" w:hAnsi="宋体" w:eastAsia="宋体" w:cs="宋体"/>
                <w:color w:val="auto"/>
                <w:sz w:val="24"/>
              </w:rPr>
            </w:pPr>
            <w:r>
              <w:rPr>
                <w:rFonts w:hint="eastAsia" w:ascii="宋体" w:hAnsi="宋体" w:eastAsia="宋体" w:cs="宋体"/>
                <w:color w:val="auto"/>
                <w:sz w:val="24"/>
              </w:rPr>
              <w:t>《强制性产品认证管理规定》</w:t>
            </w:r>
          </w:p>
        </w:tc>
        <w:tc>
          <w:tcPr>
            <w:tcW w:w="4117" w:type="dxa"/>
            <w:vMerge w:val="restart"/>
            <w:noWrap w:val="0"/>
            <w:vAlign w:val="center"/>
          </w:tcPr>
          <w:p w14:paraId="6D52196C">
            <w:pPr>
              <w:spacing w:line="400" w:lineRule="exact"/>
              <w:jc w:val="both"/>
              <w:rPr>
                <w:rFonts w:hint="eastAsia" w:ascii="宋体" w:hAnsi="宋体" w:eastAsia="宋体" w:cs="宋体"/>
                <w:color w:val="auto"/>
                <w:sz w:val="24"/>
              </w:rPr>
            </w:pPr>
            <w:r>
              <w:rPr>
                <w:rFonts w:hint="eastAsia" w:ascii="宋体" w:hAnsi="宋体" w:eastAsia="宋体" w:cs="宋体"/>
                <w:color w:val="auto"/>
                <w:sz w:val="24"/>
                <w:szCs w:val="24"/>
              </w:rPr>
              <w:t>第五十三条</w:t>
            </w:r>
            <w:r>
              <w:rPr>
                <w:rFonts w:hint="eastAsia" w:ascii="宋体" w:hAnsi="宋体" w:eastAsia="宋体" w:cs="宋体"/>
                <w:color w:val="auto"/>
                <w:sz w:val="24"/>
                <w:szCs w:val="24"/>
                <w:lang w:val="en-US" w:eastAsia="zh-CN"/>
              </w:rPr>
              <w:t xml:space="preserve">第二款 </w:t>
            </w:r>
            <w:r>
              <w:rPr>
                <w:rFonts w:hint="eastAsia" w:ascii="宋体" w:hAnsi="宋体" w:eastAsia="宋体" w:cs="宋体"/>
                <w:color w:val="auto"/>
                <w:sz w:val="24"/>
                <w:szCs w:val="24"/>
              </w:rPr>
              <w:t>转让或者倒卖认证标志的，由县级以上地方市场监督管理部门责令其改正，处3万元以下罚款。</w:t>
            </w:r>
          </w:p>
        </w:tc>
        <w:tc>
          <w:tcPr>
            <w:tcW w:w="1133" w:type="dxa"/>
            <w:noWrap w:val="0"/>
            <w:vAlign w:val="center"/>
          </w:tcPr>
          <w:p w14:paraId="490A25C2">
            <w:pPr>
              <w:spacing w:line="400" w:lineRule="exact"/>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t>较轻</w:t>
            </w:r>
          </w:p>
        </w:tc>
        <w:tc>
          <w:tcPr>
            <w:tcW w:w="3350" w:type="dxa"/>
            <w:noWrap w:val="0"/>
            <w:vAlign w:val="center"/>
          </w:tcPr>
          <w:p w14:paraId="53FD4CDE">
            <w:pPr>
              <w:spacing w:line="400" w:lineRule="exact"/>
              <w:jc w:val="both"/>
              <w:rPr>
                <w:rFonts w:hint="eastAsia" w:ascii="宋体" w:hAnsi="宋体" w:eastAsia="宋体" w:cs="宋体"/>
                <w:color w:val="auto"/>
                <w:sz w:val="24"/>
                <w:szCs w:val="24"/>
                <w:lang w:eastAsia="zh-CN"/>
              </w:rPr>
            </w:pPr>
            <w:r>
              <w:rPr>
                <w:rFonts w:hint="eastAsia" w:ascii="宋体" w:hAnsi="宋体" w:eastAsia="宋体" w:cs="宋体"/>
                <w:color w:val="auto"/>
                <w:sz w:val="24"/>
              </w:rPr>
              <w:t>涉及认证标志数量500个以下的</w:t>
            </w:r>
            <w:r>
              <w:rPr>
                <w:rFonts w:hint="eastAsia" w:ascii="宋体" w:hAnsi="宋体" w:eastAsia="宋体" w:cs="宋体"/>
                <w:color w:val="auto"/>
                <w:sz w:val="24"/>
                <w:lang w:eastAsia="zh-CN"/>
              </w:rPr>
              <w:t>。</w:t>
            </w:r>
          </w:p>
        </w:tc>
        <w:tc>
          <w:tcPr>
            <w:tcW w:w="3259" w:type="dxa"/>
            <w:noWrap w:val="0"/>
            <w:vAlign w:val="center"/>
          </w:tcPr>
          <w:p w14:paraId="6C1293A9">
            <w:pPr>
              <w:widowControl/>
              <w:spacing w:line="400" w:lineRule="exact"/>
              <w:jc w:val="both"/>
              <w:rPr>
                <w:rFonts w:hint="eastAsia" w:ascii="宋体" w:hAnsi="宋体" w:eastAsia="宋体" w:cs="宋体"/>
                <w:color w:val="auto"/>
                <w:kern w:val="0"/>
                <w:sz w:val="24"/>
                <w:lang w:eastAsia="zh-CN"/>
              </w:rPr>
            </w:pPr>
            <w:r>
              <w:rPr>
                <w:rFonts w:hint="eastAsia" w:ascii="宋体" w:hAnsi="宋体" w:eastAsia="宋体" w:cs="宋体"/>
                <w:color w:val="auto"/>
                <w:kern w:val="0"/>
                <w:sz w:val="24"/>
              </w:rPr>
              <w:t>有以下情形的责令改正，处</w:t>
            </w:r>
            <w:r>
              <w:rPr>
                <w:rFonts w:hint="eastAsia" w:ascii="宋体" w:hAnsi="宋体" w:eastAsia="宋体" w:cs="宋体"/>
                <w:color w:val="auto"/>
                <w:kern w:val="0"/>
                <w:sz w:val="24"/>
                <w:lang w:val="en-US" w:eastAsia="zh-CN"/>
              </w:rPr>
              <w:t>9000</w:t>
            </w:r>
            <w:r>
              <w:rPr>
                <w:rFonts w:hint="eastAsia" w:ascii="宋体" w:hAnsi="宋体" w:eastAsia="宋体" w:cs="宋体"/>
                <w:color w:val="auto"/>
                <w:kern w:val="0"/>
                <w:sz w:val="24"/>
              </w:rPr>
              <w:t>元以下罚款</w:t>
            </w:r>
            <w:r>
              <w:rPr>
                <w:rFonts w:hint="eastAsia" w:ascii="宋体" w:hAnsi="宋体" w:eastAsia="宋体" w:cs="宋体"/>
                <w:color w:val="auto"/>
                <w:kern w:val="0"/>
                <w:sz w:val="24"/>
                <w:lang w:eastAsia="zh-CN"/>
              </w:rPr>
              <w:t>。</w:t>
            </w:r>
          </w:p>
        </w:tc>
      </w:tr>
      <w:tr w14:paraId="6C04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778" w:type="dxa"/>
            <w:vMerge w:val="continue"/>
            <w:noWrap w:val="0"/>
            <w:vAlign w:val="center"/>
          </w:tcPr>
          <w:p w14:paraId="4CFC6609">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423ABDA3">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358AE687">
            <w:pPr>
              <w:spacing w:line="400" w:lineRule="exact"/>
              <w:jc w:val="both"/>
              <w:rPr>
                <w:rFonts w:hint="eastAsia" w:ascii="宋体" w:hAnsi="宋体" w:eastAsia="宋体" w:cs="宋体"/>
                <w:color w:val="auto"/>
                <w:sz w:val="24"/>
              </w:rPr>
            </w:pPr>
          </w:p>
        </w:tc>
        <w:tc>
          <w:tcPr>
            <w:tcW w:w="1133" w:type="dxa"/>
            <w:noWrap w:val="0"/>
            <w:vAlign w:val="center"/>
          </w:tcPr>
          <w:p w14:paraId="5A5591C5">
            <w:pPr>
              <w:spacing w:line="400" w:lineRule="exact"/>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rPr>
              <w:t>一般</w:t>
            </w:r>
          </w:p>
        </w:tc>
        <w:tc>
          <w:tcPr>
            <w:tcW w:w="3350" w:type="dxa"/>
            <w:noWrap w:val="0"/>
            <w:vAlign w:val="center"/>
          </w:tcPr>
          <w:p w14:paraId="06E20CAF">
            <w:pPr>
              <w:spacing w:line="400" w:lineRule="exact"/>
              <w:jc w:val="both"/>
              <w:rPr>
                <w:rFonts w:hint="eastAsia" w:ascii="宋体" w:hAnsi="宋体" w:eastAsia="宋体" w:cs="宋体"/>
                <w:color w:val="auto"/>
                <w:sz w:val="24"/>
                <w:szCs w:val="24"/>
                <w:lang w:eastAsia="zh-CN"/>
              </w:rPr>
            </w:pPr>
            <w:r>
              <w:rPr>
                <w:rFonts w:hint="eastAsia" w:ascii="宋体" w:hAnsi="宋体" w:eastAsia="宋体" w:cs="宋体"/>
                <w:color w:val="auto"/>
                <w:kern w:val="0"/>
                <w:sz w:val="24"/>
              </w:rPr>
              <w:t>涉及认证标志数量500个以上1000个以下的</w:t>
            </w:r>
            <w:r>
              <w:rPr>
                <w:rFonts w:hint="eastAsia" w:ascii="宋体" w:hAnsi="宋体" w:eastAsia="宋体" w:cs="宋体"/>
                <w:color w:val="auto"/>
                <w:kern w:val="0"/>
                <w:sz w:val="24"/>
                <w:lang w:eastAsia="zh-CN"/>
              </w:rPr>
              <w:t>。</w:t>
            </w:r>
          </w:p>
        </w:tc>
        <w:tc>
          <w:tcPr>
            <w:tcW w:w="3259" w:type="dxa"/>
            <w:noWrap w:val="0"/>
            <w:vAlign w:val="center"/>
          </w:tcPr>
          <w:p w14:paraId="0E671EC1">
            <w:pPr>
              <w:widowControl/>
              <w:spacing w:line="400" w:lineRule="exact"/>
              <w:jc w:val="both"/>
              <w:rPr>
                <w:rFonts w:hint="eastAsia" w:ascii="宋体" w:hAnsi="宋体" w:eastAsia="宋体" w:cs="宋体"/>
                <w:color w:val="auto"/>
                <w:spacing w:val="-6"/>
                <w:kern w:val="0"/>
                <w:sz w:val="24"/>
                <w:lang w:eastAsia="zh-CN"/>
              </w:rPr>
            </w:pPr>
            <w:r>
              <w:rPr>
                <w:rFonts w:hint="eastAsia" w:ascii="宋体" w:hAnsi="宋体" w:eastAsia="宋体" w:cs="宋体"/>
                <w:color w:val="auto"/>
                <w:spacing w:val="-11"/>
                <w:sz w:val="24"/>
              </w:rPr>
              <w:t>有以下情形的，责令改正，处</w:t>
            </w:r>
            <w:r>
              <w:rPr>
                <w:rFonts w:hint="eastAsia" w:ascii="宋体" w:hAnsi="宋体" w:eastAsia="宋体" w:cs="宋体"/>
                <w:color w:val="auto"/>
                <w:spacing w:val="-11"/>
                <w:sz w:val="24"/>
                <w:lang w:val="en-US" w:eastAsia="zh-CN"/>
              </w:rPr>
              <w:t>9000</w:t>
            </w:r>
            <w:r>
              <w:rPr>
                <w:rFonts w:hint="eastAsia" w:ascii="宋体" w:hAnsi="宋体" w:eastAsia="宋体" w:cs="宋体"/>
                <w:color w:val="auto"/>
                <w:spacing w:val="-11"/>
                <w:sz w:val="24"/>
              </w:rPr>
              <w:t>元以上2</w:t>
            </w:r>
            <w:r>
              <w:rPr>
                <w:rFonts w:hint="eastAsia" w:ascii="宋体" w:hAnsi="宋体" w:eastAsia="宋体" w:cs="宋体"/>
                <w:color w:val="auto"/>
                <w:spacing w:val="-11"/>
                <w:sz w:val="24"/>
                <w:lang w:val="en-US" w:eastAsia="zh-CN"/>
              </w:rPr>
              <w:t>.1</w:t>
            </w:r>
            <w:r>
              <w:rPr>
                <w:rFonts w:hint="eastAsia" w:ascii="宋体" w:hAnsi="宋体" w:eastAsia="宋体" w:cs="宋体"/>
                <w:color w:val="auto"/>
                <w:spacing w:val="-11"/>
                <w:sz w:val="24"/>
              </w:rPr>
              <w:t>万元以下罚款</w:t>
            </w:r>
            <w:r>
              <w:rPr>
                <w:rFonts w:hint="eastAsia" w:ascii="宋体" w:hAnsi="宋体" w:eastAsia="宋体" w:cs="宋体"/>
                <w:color w:val="auto"/>
                <w:spacing w:val="-11"/>
                <w:sz w:val="24"/>
                <w:lang w:eastAsia="zh-CN"/>
              </w:rPr>
              <w:t>。</w:t>
            </w:r>
          </w:p>
        </w:tc>
      </w:tr>
      <w:tr w14:paraId="5925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778" w:type="dxa"/>
            <w:vMerge w:val="continue"/>
            <w:noWrap w:val="0"/>
            <w:vAlign w:val="center"/>
          </w:tcPr>
          <w:p w14:paraId="78831011">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788083E3">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36D01491">
            <w:pPr>
              <w:spacing w:line="400" w:lineRule="exact"/>
              <w:jc w:val="both"/>
              <w:rPr>
                <w:rFonts w:hint="eastAsia" w:ascii="宋体" w:hAnsi="宋体" w:eastAsia="宋体" w:cs="宋体"/>
                <w:color w:val="auto"/>
                <w:sz w:val="24"/>
              </w:rPr>
            </w:pPr>
          </w:p>
        </w:tc>
        <w:tc>
          <w:tcPr>
            <w:tcW w:w="1133" w:type="dxa"/>
            <w:noWrap w:val="0"/>
            <w:vAlign w:val="center"/>
          </w:tcPr>
          <w:p w14:paraId="2A8FA103">
            <w:pPr>
              <w:spacing w:line="400" w:lineRule="exact"/>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t>较重</w:t>
            </w:r>
          </w:p>
        </w:tc>
        <w:tc>
          <w:tcPr>
            <w:tcW w:w="3350" w:type="dxa"/>
            <w:noWrap w:val="0"/>
            <w:vAlign w:val="center"/>
          </w:tcPr>
          <w:p w14:paraId="5885579E">
            <w:pPr>
              <w:spacing w:line="400" w:lineRule="exact"/>
              <w:jc w:val="both"/>
              <w:rPr>
                <w:rFonts w:hint="eastAsia" w:ascii="宋体" w:hAnsi="宋体" w:eastAsia="宋体" w:cs="宋体"/>
                <w:color w:val="auto"/>
                <w:sz w:val="24"/>
                <w:szCs w:val="24"/>
                <w:lang w:eastAsia="zh-CN"/>
              </w:rPr>
            </w:pPr>
            <w:r>
              <w:rPr>
                <w:rFonts w:hint="eastAsia" w:ascii="宋体" w:hAnsi="宋体" w:eastAsia="宋体" w:cs="宋体"/>
                <w:color w:val="auto"/>
                <w:sz w:val="24"/>
              </w:rPr>
              <w:t>涉及认证标志数量1000个以上的</w:t>
            </w:r>
            <w:r>
              <w:rPr>
                <w:rFonts w:hint="eastAsia" w:ascii="宋体" w:hAnsi="宋体" w:eastAsia="宋体" w:cs="宋体"/>
                <w:color w:val="auto"/>
                <w:sz w:val="24"/>
                <w:lang w:eastAsia="zh-CN"/>
              </w:rPr>
              <w:t>。</w:t>
            </w:r>
          </w:p>
        </w:tc>
        <w:tc>
          <w:tcPr>
            <w:tcW w:w="3259" w:type="dxa"/>
            <w:noWrap w:val="0"/>
            <w:vAlign w:val="center"/>
          </w:tcPr>
          <w:p w14:paraId="2894C33E">
            <w:pPr>
              <w:widowControl/>
              <w:spacing w:line="400" w:lineRule="exact"/>
              <w:jc w:val="both"/>
              <w:rPr>
                <w:rFonts w:hint="eastAsia" w:ascii="宋体" w:hAnsi="宋体" w:eastAsia="宋体" w:cs="宋体"/>
                <w:color w:val="auto"/>
                <w:spacing w:val="-6"/>
                <w:kern w:val="0"/>
                <w:sz w:val="24"/>
                <w:lang w:eastAsia="zh-CN"/>
              </w:rPr>
            </w:pPr>
            <w:r>
              <w:rPr>
                <w:rFonts w:hint="eastAsia" w:ascii="宋体" w:hAnsi="宋体" w:eastAsia="宋体" w:cs="宋体"/>
                <w:color w:val="auto"/>
                <w:spacing w:val="-6"/>
                <w:kern w:val="0"/>
                <w:sz w:val="24"/>
              </w:rPr>
              <w:t>有以下情形的，责令改正，处2</w:t>
            </w:r>
            <w:r>
              <w:rPr>
                <w:rFonts w:hint="eastAsia" w:ascii="宋体" w:hAnsi="宋体" w:eastAsia="宋体" w:cs="宋体"/>
                <w:color w:val="auto"/>
                <w:spacing w:val="-6"/>
                <w:kern w:val="0"/>
                <w:sz w:val="24"/>
                <w:lang w:val="en-US" w:eastAsia="zh-CN"/>
              </w:rPr>
              <w:t>.1</w:t>
            </w:r>
            <w:r>
              <w:rPr>
                <w:rFonts w:hint="eastAsia" w:ascii="宋体" w:hAnsi="宋体" w:eastAsia="宋体" w:cs="宋体"/>
                <w:color w:val="auto"/>
                <w:spacing w:val="-6"/>
                <w:kern w:val="0"/>
                <w:sz w:val="24"/>
              </w:rPr>
              <w:t>万元以上3万元以下罚款</w:t>
            </w:r>
            <w:r>
              <w:rPr>
                <w:rFonts w:hint="eastAsia" w:ascii="宋体" w:hAnsi="宋体" w:eastAsia="宋体" w:cs="宋体"/>
                <w:color w:val="auto"/>
                <w:spacing w:val="-6"/>
                <w:kern w:val="0"/>
                <w:sz w:val="24"/>
                <w:lang w:eastAsia="zh-CN"/>
              </w:rPr>
              <w:t>。</w:t>
            </w:r>
          </w:p>
        </w:tc>
      </w:tr>
      <w:tr w14:paraId="27DA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778" w:type="dxa"/>
            <w:vMerge w:val="restart"/>
            <w:noWrap w:val="0"/>
            <w:vAlign w:val="center"/>
          </w:tcPr>
          <w:p w14:paraId="3A735F76">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220</w:t>
            </w:r>
          </w:p>
        </w:tc>
        <w:tc>
          <w:tcPr>
            <w:tcW w:w="1733" w:type="dxa"/>
            <w:vMerge w:val="restart"/>
            <w:noWrap w:val="0"/>
            <w:vAlign w:val="center"/>
          </w:tcPr>
          <w:p w14:paraId="4D8E693A">
            <w:pPr>
              <w:spacing w:line="400" w:lineRule="exact"/>
              <w:ind w:left="42" w:leftChars="20" w:right="0" w:rightChars="0"/>
              <w:jc w:val="left"/>
              <w:rPr>
                <w:rFonts w:hint="eastAsia" w:ascii="宋体" w:hAnsi="宋体" w:eastAsia="宋体" w:cs="宋体"/>
                <w:color w:val="auto"/>
                <w:sz w:val="24"/>
              </w:rPr>
            </w:pPr>
            <w:r>
              <w:rPr>
                <w:rFonts w:hint="eastAsia" w:ascii="宋体" w:hAnsi="宋体" w:eastAsia="宋体" w:cs="宋体"/>
                <w:color w:val="auto"/>
                <w:sz w:val="24"/>
              </w:rPr>
              <w:t>《强制性产品认证管理规定》</w:t>
            </w:r>
          </w:p>
        </w:tc>
        <w:tc>
          <w:tcPr>
            <w:tcW w:w="4117" w:type="dxa"/>
            <w:vMerge w:val="restart"/>
            <w:noWrap w:val="0"/>
            <w:vAlign w:val="center"/>
          </w:tcPr>
          <w:p w14:paraId="52B14694">
            <w:pPr>
              <w:spacing w:line="380" w:lineRule="exact"/>
              <w:jc w:val="both"/>
              <w:rPr>
                <w:rFonts w:hint="eastAsia" w:ascii="宋体" w:hAnsi="宋体" w:eastAsia="宋体" w:cs="宋体"/>
                <w:color w:val="auto"/>
                <w:sz w:val="24"/>
              </w:rPr>
            </w:pPr>
            <w:r>
              <w:rPr>
                <w:rFonts w:hint="eastAsia" w:ascii="宋体" w:hAnsi="宋体" w:eastAsia="宋体" w:cs="宋体"/>
                <w:color w:val="auto"/>
                <w:sz w:val="24"/>
              </w:rPr>
              <w:t>第五十四条 有下列情形之一的，由县级以上地方市场监督管理部门责令其改正，处3万元以下的罚款：</w:t>
            </w:r>
          </w:p>
          <w:p w14:paraId="65BEC0AA">
            <w:pPr>
              <w:numPr>
                <w:ilvl w:val="0"/>
                <w:numId w:val="3"/>
              </w:numPr>
              <w:spacing w:line="380" w:lineRule="exact"/>
              <w:jc w:val="both"/>
              <w:rPr>
                <w:rFonts w:hint="eastAsia" w:ascii="宋体" w:hAnsi="宋体" w:eastAsia="宋体" w:cs="宋体"/>
                <w:color w:val="auto"/>
                <w:sz w:val="24"/>
              </w:rPr>
            </w:pPr>
            <w:r>
              <w:rPr>
                <w:rFonts w:hint="eastAsia" w:ascii="宋体" w:hAnsi="宋体" w:eastAsia="宋体" w:cs="宋体"/>
                <w:color w:val="auto"/>
                <w:sz w:val="24"/>
              </w:rPr>
              <w:t>违反本规定第十三条第一款规定，认证委托人提供的样品与实际生产的产品不一致的；</w:t>
            </w:r>
          </w:p>
          <w:p w14:paraId="203FD4F8">
            <w:pPr>
              <w:numPr>
                <w:ilvl w:val="0"/>
                <w:numId w:val="3"/>
              </w:numPr>
              <w:spacing w:line="380" w:lineRule="exact"/>
              <w:jc w:val="both"/>
              <w:rPr>
                <w:rFonts w:hint="eastAsia" w:ascii="宋体" w:hAnsi="宋体" w:eastAsia="宋体" w:cs="宋体"/>
                <w:color w:val="auto"/>
                <w:sz w:val="24"/>
              </w:rPr>
            </w:pPr>
            <w:r>
              <w:rPr>
                <w:rFonts w:hint="eastAsia" w:ascii="宋体" w:hAnsi="宋体" w:eastAsia="宋体" w:cs="宋体"/>
                <w:color w:val="auto"/>
                <w:sz w:val="24"/>
              </w:rPr>
              <w:t>违反本规定第二十四条规定，</w:t>
            </w:r>
            <w:r>
              <w:rPr>
                <w:rFonts w:hint="eastAsia" w:ascii="宋体" w:hAnsi="宋体" w:eastAsia="宋体" w:cs="宋体"/>
                <w:color w:val="auto"/>
                <w:spacing w:val="-6"/>
                <w:sz w:val="24"/>
              </w:rPr>
              <w:t>未按照规定向认证机构申请认证证书变更，擅自出厂、销售、进口或者在其他经营活动中使用列入目录产品的</w:t>
            </w:r>
            <w:r>
              <w:rPr>
                <w:rFonts w:hint="eastAsia" w:ascii="宋体" w:hAnsi="宋体" w:eastAsia="宋体" w:cs="宋体"/>
                <w:color w:val="auto"/>
                <w:spacing w:val="-6"/>
                <w:sz w:val="24"/>
                <w:lang w:eastAsia="zh-CN"/>
              </w:rPr>
              <w:t>；</w:t>
            </w:r>
          </w:p>
          <w:p w14:paraId="2D1FFBB4">
            <w:pPr>
              <w:numPr>
                <w:ilvl w:val="0"/>
                <w:numId w:val="0"/>
              </w:numPr>
              <w:spacing w:line="380" w:lineRule="exact"/>
              <w:jc w:val="both"/>
              <w:rPr>
                <w:rFonts w:hint="eastAsia" w:ascii="宋体" w:hAnsi="宋体" w:eastAsia="宋体" w:cs="宋体"/>
                <w:color w:val="auto"/>
                <w:sz w:val="24"/>
              </w:rPr>
            </w:pPr>
            <w:r>
              <w:rPr>
                <w:rFonts w:hint="eastAsia" w:ascii="宋体" w:hAnsi="宋体" w:eastAsia="宋体" w:cs="宋体"/>
                <w:color w:val="auto"/>
                <w:sz w:val="24"/>
              </w:rPr>
              <w:t>（三）违反本规定第二十五条规定，未按照规定向认证机构申请认证证书扩展，擅自出厂、销售、进口或者在</w:t>
            </w:r>
            <w:r>
              <w:rPr>
                <w:rFonts w:hint="eastAsia" w:ascii="宋体" w:hAnsi="宋体" w:eastAsia="宋体" w:cs="宋体"/>
                <w:color w:val="auto"/>
                <w:spacing w:val="-6"/>
                <w:sz w:val="24"/>
              </w:rPr>
              <w:t>其他经营活动中使用列入目录产品的。</w:t>
            </w:r>
          </w:p>
        </w:tc>
        <w:tc>
          <w:tcPr>
            <w:tcW w:w="1133" w:type="dxa"/>
            <w:noWrap w:val="0"/>
            <w:vAlign w:val="center"/>
          </w:tcPr>
          <w:p w14:paraId="04B50999">
            <w:pPr>
              <w:spacing w:line="400" w:lineRule="exact"/>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t>较轻</w:t>
            </w:r>
          </w:p>
        </w:tc>
        <w:tc>
          <w:tcPr>
            <w:tcW w:w="3350" w:type="dxa"/>
            <w:noWrap w:val="0"/>
            <w:vAlign w:val="center"/>
          </w:tcPr>
          <w:p w14:paraId="0B087D1A">
            <w:pPr>
              <w:spacing w:line="400" w:lineRule="exact"/>
              <w:rPr>
                <w:rFonts w:hint="eastAsia" w:ascii="宋体" w:hAnsi="宋体" w:eastAsia="宋体" w:cs="宋体"/>
                <w:color w:val="auto"/>
                <w:kern w:val="0"/>
                <w:sz w:val="24"/>
              </w:rPr>
            </w:pPr>
            <w:r>
              <w:rPr>
                <w:rFonts w:hint="eastAsia" w:ascii="宋体" w:hAnsi="宋体" w:eastAsia="宋体" w:cs="宋体"/>
                <w:color w:val="auto"/>
                <w:kern w:val="0"/>
                <w:sz w:val="24"/>
              </w:rPr>
              <w:t>违法产品货值金额10万元以下的。</w:t>
            </w:r>
          </w:p>
          <w:p w14:paraId="62070455">
            <w:pPr>
              <w:spacing w:line="400" w:lineRule="exact"/>
              <w:rPr>
                <w:rFonts w:hint="eastAsia" w:ascii="宋体" w:hAnsi="宋体" w:eastAsia="宋体" w:cs="宋体"/>
                <w:color w:val="auto"/>
                <w:sz w:val="24"/>
              </w:rPr>
            </w:pPr>
          </w:p>
        </w:tc>
        <w:tc>
          <w:tcPr>
            <w:tcW w:w="3259" w:type="dxa"/>
            <w:noWrap w:val="0"/>
            <w:vAlign w:val="center"/>
          </w:tcPr>
          <w:p w14:paraId="2CC64CEB">
            <w:pPr>
              <w:spacing w:line="400" w:lineRule="exact"/>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责令改正，处</w:t>
            </w:r>
            <w:r>
              <w:rPr>
                <w:rFonts w:hint="eastAsia" w:ascii="宋体" w:hAnsi="宋体" w:eastAsia="宋体" w:cs="宋体"/>
                <w:color w:val="auto"/>
                <w:sz w:val="24"/>
                <w:szCs w:val="24"/>
                <w:lang w:val="en-US" w:eastAsia="zh-CN"/>
              </w:rPr>
              <w:t>9000</w:t>
            </w:r>
            <w:r>
              <w:rPr>
                <w:rFonts w:hint="eastAsia" w:ascii="宋体" w:hAnsi="宋体" w:eastAsia="宋体" w:cs="宋体"/>
                <w:color w:val="auto"/>
                <w:sz w:val="24"/>
                <w:szCs w:val="24"/>
              </w:rPr>
              <w:t>元以下罚款</w:t>
            </w:r>
            <w:r>
              <w:rPr>
                <w:rFonts w:hint="eastAsia" w:ascii="宋体" w:hAnsi="宋体" w:eastAsia="宋体" w:cs="宋体"/>
                <w:color w:val="auto"/>
                <w:sz w:val="24"/>
                <w:szCs w:val="24"/>
                <w:lang w:eastAsia="zh-CN"/>
              </w:rPr>
              <w:t>。</w:t>
            </w:r>
          </w:p>
        </w:tc>
      </w:tr>
      <w:tr w14:paraId="4172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jc w:val="center"/>
        </w:trPr>
        <w:tc>
          <w:tcPr>
            <w:tcW w:w="778" w:type="dxa"/>
            <w:vMerge w:val="continue"/>
            <w:noWrap w:val="0"/>
            <w:vAlign w:val="center"/>
          </w:tcPr>
          <w:p w14:paraId="4F781160">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1AB686F8">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65888A3B">
            <w:pPr>
              <w:spacing w:line="400" w:lineRule="exact"/>
              <w:jc w:val="both"/>
              <w:rPr>
                <w:rFonts w:hint="eastAsia" w:ascii="宋体" w:hAnsi="宋体" w:eastAsia="宋体" w:cs="宋体"/>
                <w:color w:val="auto"/>
                <w:sz w:val="24"/>
              </w:rPr>
            </w:pPr>
          </w:p>
        </w:tc>
        <w:tc>
          <w:tcPr>
            <w:tcW w:w="1133" w:type="dxa"/>
            <w:noWrap w:val="0"/>
            <w:vAlign w:val="center"/>
          </w:tcPr>
          <w:p w14:paraId="5B66E7E8">
            <w:pPr>
              <w:spacing w:line="400" w:lineRule="exact"/>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rPr>
              <w:t>一般</w:t>
            </w:r>
          </w:p>
        </w:tc>
        <w:tc>
          <w:tcPr>
            <w:tcW w:w="3350" w:type="dxa"/>
            <w:noWrap w:val="0"/>
            <w:vAlign w:val="center"/>
          </w:tcPr>
          <w:p w14:paraId="270DB175">
            <w:pPr>
              <w:numPr>
                <w:ilvl w:val="0"/>
                <w:numId w:val="0"/>
              </w:numPr>
              <w:spacing w:line="400" w:lineRule="exact"/>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rPr>
              <w:t>违法产品货值金额10万以上30万元以下的</w:t>
            </w:r>
            <w:r>
              <w:rPr>
                <w:rFonts w:hint="eastAsia" w:ascii="宋体" w:hAnsi="宋体" w:eastAsia="宋体" w:cs="宋体"/>
                <w:color w:val="auto"/>
                <w:kern w:val="0"/>
                <w:sz w:val="24"/>
                <w:lang w:eastAsia="zh-CN"/>
              </w:rPr>
              <w:t>。</w:t>
            </w:r>
          </w:p>
          <w:p w14:paraId="77BBBFE2">
            <w:pPr>
              <w:numPr>
                <w:ilvl w:val="0"/>
                <w:numId w:val="0"/>
              </w:numPr>
              <w:spacing w:line="400" w:lineRule="exact"/>
              <w:ind w:left="0" w:leftChars="0" w:firstLine="0" w:firstLineChars="0"/>
              <w:rPr>
                <w:rFonts w:hint="eastAsia" w:ascii="宋体" w:hAnsi="宋体" w:eastAsia="宋体" w:cs="宋体"/>
                <w:color w:val="auto"/>
                <w:sz w:val="24"/>
              </w:rPr>
            </w:pPr>
          </w:p>
        </w:tc>
        <w:tc>
          <w:tcPr>
            <w:tcW w:w="3259" w:type="dxa"/>
            <w:noWrap w:val="0"/>
            <w:vAlign w:val="center"/>
          </w:tcPr>
          <w:p w14:paraId="65FE04FA">
            <w:pPr>
              <w:spacing w:line="400" w:lineRule="exact"/>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责令改正，处</w:t>
            </w:r>
            <w:r>
              <w:rPr>
                <w:rFonts w:hint="eastAsia" w:ascii="宋体" w:hAnsi="宋体" w:eastAsia="宋体" w:cs="宋体"/>
                <w:color w:val="auto"/>
                <w:sz w:val="24"/>
                <w:szCs w:val="24"/>
                <w:lang w:val="en-US" w:eastAsia="zh-CN"/>
              </w:rPr>
              <w:t>9000</w:t>
            </w:r>
            <w:r>
              <w:rPr>
                <w:rFonts w:hint="eastAsia" w:ascii="宋体" w:hAnsi="宋体" w:eastAsia="宋体" w:cs="宋体"/>
                <w:color w:val="auto"/>
                <w:sz w:val="24"/>
                <w:szCs w:val="24"/>
              </w:rPr>
              <w:t>元以上2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万元以下罚款</w:t>
            </w:r>
            <w:r>
              <w:rPr>
                <w:rFonts w:hint="eastAsia" w:ascii="宋体" w:hAnsi="宋体" w:eastAsia="宋体" w:cs="宋体"/>
                <w:color w:val="auto"/>
                <w:sz w:val="24"/>
                <w:szCs w:val="24"/>
                <w:lang w:eastAsia="zh-CN"/>
              </w:rPr>
              <w:t>。</w:t>
            </w:r>
          </w:p>
        </w:tc>
      </w:tr>
      <w:tr w14:paraId="3E67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jc w:val="center"/>
        </w:trPr>
        <w:tc>
          <w:tcPr>
            <w:tcW w:w="778" w:type="dxa"/>
            <w:vMerge w:val="continue"/>
            <w:noWrap w:val="0"/>
            <w:vAlign w:val="center"/>
          </w:tcPr>
          <w:p w14:paraId="142F344F">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4E516659">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322F7AE0">
            <w:pPr>
              <w:spacing w:line="400" w:lineRule="exact"/>
              <w:jc w:val="both"/>
              <w:rPr>
                <w:rFonts w:hint="eastAsia" w:ascii="宋体" w:hAnsi="宋体" w:eastAsia="宋体" w:cs="宋体"/>
                <w:color w:val="auto"/>
                <w:sz w:val="24"/>
              </w:rPr>
            </w:pPr>
          </w:p>
        </w:tc>
        <w:tc>
          <w:tcPr>
            <w:tcW w:w="1133" w:type="dxa"/>
            <w:noWrap w:val="0"/>
            <w:vAlign w:val="center"/>
          </w:tcPr>
          <w:p w14:paraId="58338D88">
            <w:pPr>
              <w:spacing w:line="400" w:lineRule="exact"/>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t>较重</w:t>
            </w:r>
          </w:p>
        </w:tc>
        <w:tc>
          <w:tcPr>
            <w:tcW w:w="3350" w:type="dxa"/>
            <w:noWrap w:val="0"/>
            <w:vAlign w:val="center"/>
          </w:tcPr>
          <w:p w14:paraId="19C75C1C">
            <w:pPr>
              <w:numPr>
                <w:ilvl w:val="0"/>
                <w:numId w:val="0"/>
              </w:numPr>
              <w:spacing w:line="400" w:lineRule="exact"/>
              <w:ind w:left="0" w:leftChars="0" w:firstLine="0" w:firstLineChars="0"/>
              <w:rPr>
                <w:rFonts w:hint="eastAsia" w:ascii="宋体" w:hAnsi="宋体" w:eastAsia="宋体" w:cs="宋体"/>
                <w:color w:val="auto"/>
                <w:sz w:val="24"/>
                <w:lang w:eastAsia="zh-CN"/>
              </w:rPr>
            </w:pPr>
            <w:r>
              <w:rPr>
                <w:rFonts w:hint="eastAsia" w:ascii="宋体" w:hAnsi="宋体" w:eastAsia="宋体" w:cs="宋体"/>
                <w:color w:val="auto"/>
                <w:kern w:val="0"/>
                <w:sz w:val="24"/>
              </w:rPr>
              <w:t>违法产品货值金额30万元以上的</w:t>
            </w:r>
            <w:r>
              <w:rPr>
                <w:rFonts w:hint="eastAsia" w:ascii="宋体" w:hAnsi="宋体" w:eastAsia="宋体" w:cs="宋体"/>
                <w:color w:val="auto"/>
                <w:kern w:val="0"/>
                <w:sz w:val="24"/>
                <w:lang w:eastAsia="zh-CN"/>
              </w:rPr>
              <w:t>。</w:t>
            </w:r>
          </w:p>
          <w:p w14:paraId="304C3FAF">
            <w:pPr>
              <w:numPr>
                <w:ilvl w:val="0"/>
                <w:numId w:val="0"/>
              </w:numPr>
              <w:spacing w:line="400" w:lineRule="exact"/>
              <w:ind w:left="0" w:leftChars="0" w:firstLine="0" w:firstLineChars="0"/>
              <w:rPr>
                <w:rFonts w:hint="eastAsia" w:ascii="宋体" w:hAnsi="宋体" w:eastAsia="宋体" w:cs="宋体"/>
                <w:color w:val="auto"/>
                <w:sz w:val="24"/>
              </w:rPr>
            </w:pPr>
          </w:p>
        </w:tc>
        <w:tc>
          <w:tcPr>
            <w:tcW w:w="3259" w:type="dxa"/>
            <w:noWrap w:val="0"/>
            <w:vAlign w:val="center"/>
          </w:tcPr>
          <w:p w14:paraId="14C11ECD">
            <w:pPr>
              <w:spacing w:line="400" w:lineRule="exact"/>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责令改正，处2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万元以上3万元以下罚款</w:t>
            </w:r>
            <w:r>
              <w:rPr>
                <w:rFonts w:hint="eastAsia" w:ascii="宋体" w:hAnsi="宋体" w:eastAsia="宋体" w:cs="宋体"/>
                <w:color w:val="auto"/>
                <w:sz w:val="24"/>
                <w:szCs w:val="24"/>
                <w:lang w:eastAsia="zh-CN"/>
              </w:rPr>
              <w:t>。</w:t>
            </w:r>
          </w:p>
        </w:tc>
      </w:tr>
      <w:tr w14:paraId="30D4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78" w:type="dxa"/>
            <w:vMerge w:val="restart"/>
            <w:noWrap w:val="0"/>
            <w:vAlign w:val="center"/>
          </w:tcPr>
          <w:p w14:paraId="502B1A27">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221</w:t>
            </w:r>
          </w:p>
        </w:tc>
        <w:tc>
          <w:tcPr>
            <w:tcW w:w="1733" w:type="dxa"/>
            <w:vMerge w:val="restart"/>
            <w:noWrap w:val="0"/>
            <w:vAlign w:val="center"/>
          </w:tcPr>
          <w:p w14:paraId="03B26BA3">
            <w:pPr>
              <w:spacing w:line="400" w:lineRule="exact"/>
              <w:ind w:left="42" w:leftChars="20" w:right="0" w:rightChars="0"/>
              <w:jc w:val="left"/>
              <w:rPr>
                <w:rFonts w:hint="eastAsia" w:ascii="宋体" w:hAnsi="宋体" w:eastAsia="宋体" w:cs="宋体"/>
                <w:color w:val="auto"/>
                <w:sz w:val="24"/>
              </w:rPr>
            </w:pPr>
            <w:r>
              <w:rPr>
                <w:rFonts w:hint="eastAsia" w:ascii="宋体" w:hAnsi="宋体" w:eastAsia="宋体" w:cs="宋体"/>
                <w:color w:val="auto"/>
                <w:sz w:val="24"/>
              </w:rPr>
              <w:t>《强制性产品认证管理规定》</w:t>
            </w:r>
          </w:p>
        </w:tc>
        <w:tc>
          <w:tcPr>
            <w:tcW w:w="4117" w:type="dxa"/>
            <w:vMerge w:val="restart"/>
            <w:noWrap w:val="0"/>
            <w:vAlign w:val="center"/>
          </w:tcPr>
          <w:p w14:paraId="46E9FA3E">
            <w:pPr>
              <w:spacing w:line="400" w:lineRule="exact"/>
              <w:jc w:val="both"/>
              <w:rPr>
                <w:rFonts w:hint="eastAsia" w:ascii="宋体" w:hAnsi="宋体" w:eastAsia="宋体" w:cs="宋体"/>
                <w:color w:val="auto"/>
                <w:sz w:val="24"/>
                <w:szCs w:val="24"/>
              </w:rPr>
            </w:pPr>
            <w:r>
              <w:rPr>
                <w:rFonts w:hint="eastAsia" w:ascii="宋体" w:hAnsi="宋体" w:eastAsia="宋体" w:cs="宋体"/>
                <w:color w:val="auto"/>
                <w:sz w:val="24"/>
                <w:szCs w:val="24"/>
              </w:rPr>
              <w:t>第五十五条 有下列情形之一的，由县级以上地方市场监督管理部门责令其限期改正，逾期未改正的，处2万元以下罚款。</w:t>
            </w:r>
          </w:p>
          <w:p w14:paraId="3D5D2F50">
            <w:pPr>
              <w:numPr>
                <w:ilvl w:val="0"/>
                <w:numId w:val="4"/>
              </w:numPr>
              <w:spacing w:line="400" w:lineRule="exact"/>
              <w:jc w:val="both"/>
              <w:rPr>
                <w:rFonts w:hint="eastAsia" w:ascii="宋体" w:hAnsi="宋体" w:eastAsia="宋体" w:cs="宋体"/>
                <w:color w:val="auto"/>
                <w:sz w:val="24"/>
                <w:szCs w:val="24"/>
              </w:rPr>
            </w:pPr>
            <w:r>
              <w:rPr>
                <w:rFonts w:hint="eastAsia" w:ascii="宋体" w:hAnsi="宋体" w:eastAsia="宋体" w:cs="宋体"/>
                <w:color w:val="auto"/>
                <w:sz w:val="24"/>
                <w:szCs w:val="24"/>
              </w:rPr>
              <w:t>违反本规定第二十三条规定，获证产品及其销售包装上标注的认证证书所含内容与认证证书内容不一致的；</w:t>
            </w:r>
          </w:p>
          <w:p w14:paraId="0C9EDCE4">
            <w:pPr>
              <w:numPr>
                <w:ilvl w:val="0"/>
                <w:numId w:val="0"/>
              </w:numPr>
              <w:spacing w:line="400" w:lineRule="exact"/>
              <w:jc w:val="both"/>
              <w:rPr>
                <w:rFonts w:hint="eastAsia" w:ascii="宋体" w:hAnsi="宋体" w:eastAsia="宋体" w:cs="宋体"/>
                <w:color w:val="auto"/>
                <w:sz w:val="24"/>
              </w:rPr>
            </w:pPr>
            <w:r>
              <w:rPr>
                <w:rFonts w:hint="eastAsia" w:ascii="宋体" w:hAnsi="宋体" w:eastAsia="宋体" w:cs="宋体"/>
                <w:color w:val="auto"/>
                <w:sz w:val="24"/>
                <w:szCs w:val="24"/>
              </w:rPr>
              <w:t>（二）违反本规定第三十二条规定，未按照规定使用认证标志的。</w:t>
            </w:r>
          </w:p>
        </w:tc>
        <w:tc>
          <w:tcPr>
            <w:tcW w:w="1133" w:type="dxa"/>
            <w:noWrap w:val="0"/>
            <w:vAlign w:val="center"/>
          </w:tcPr>
          <w:p w14:paraId="23E0F3C1">
            <w:pPr>
              <w:spacing w:line="400" w:lineRule="exact"/>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t>较轻</w:t>
            </w:r>
          </w:p>
        </w:tc>
        <w:tc>
          <w:tcPr>
            <w:tcW w:w="3350" w:type="dxa"/>
            <w:noWrap w:val="0"/>
            <w:vAlign w:val="center"/>
          </w:tcPr>
          <w:p w14:paraId="60935DDE">
            <w:pPr>
              <w:spacing w:line="400" w:lineRule="exact"/>
              <w:rPr>
                <w:rFonts w:hint="eastAsia" w:ascii="宋体" w:hAnsi="宋体" w:eastAsia="宋体" w:cs="宋体"/>
                <w:color w:val="auto"/>
                <w:kern w:val="0"/>
                <w:sz w:val="24"/>
              </w:rPr>
            </w:pPr>
            <w:r>
              <w:rPr>
                <w:rFonts w:hint="eastAsia" w:ascii="宋体" w:hAnsi="宋体" w:eastAsia="宋体" w:cs="宋体"/>
                <w:color w:val="auto"/>
                <w:kern w:val="0"/>
                <w:sz w:val="24"/>
              </w:rPr>
              <w:t>违法产品货值金额10万元以下的。</w:t>
            </w:r>
          </w:p>
          <w:p w14:paraId="5C8691BB">
            <w:pPr>
              <w:spacing w:line="400" w:lineRule="exact"/>
              <w:rPr>
                <w:rFonts w:hint="eastAsia" w:ascii="宋体" w:hAnsi="宋体" w:eastAsia="宋体" w:cs="宋体"/>
                <w:color w:val="auto"/>
                <w:sz w:val="24"/>
                <w:szCs w:val="24"/>
              </w:rPr>
            </w:pPr>
          </w:p>
        </w:tc>
        <w:tc>
          <w:tcPr>
            <w:tcW w:w="3259" w:type="dxa"/>
            <w:noWrap w:val="0"/>
            <w:vAlign w:val="center"/>
          </w:tcPr>
          <w:p w14:paraId="57FB1957">
            <w:pPr>
              <w:widowControl/>
              <w:spacing w:line="400" w:lineRule="exact"/>
              <w:jc w:val="both"/>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rPr>
              <w:t>处</w:t>
            </w:r>
            <w:r>
              <w:rPr>
                <w:rFonts w:hint="eastAsia" w:ascii="宋体" w:hAnsi="宋体" w:eastAsia="宋体" w:cs="宋体"/>
                <w:color w:val="auto"/>
                <w:kern w:val="0"/>
                <w:sz w:val="24"/>
                <w:lang w:val="en-US" w:eastAsia="zh-CN"/>
              </w:rPr>
              <w:t>6000</w:t>
            </w:r>
            <w:r>
              <w:rPr>
                <w:rFonts w:hint="eastAsia" w:ascii="宋体" w:hAnsi="宋体" w:eastAsia="宋体" w:cs="宋体"/>
                <w:color w:val="auto"/>
                <w:kern w:val="0"/>
                <w:sz w:val="24"/>
              </w:rPr>
              <w:t>元以下罚款。</w:t>
            </w:r>
          </w:p>
        </w:tc>
      </w:tr>
      <w:tr w14:paraId="5E4D7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78" w:type="dxa"/>
            <w:vMerge w:val="continue"/>
            <w:noWrap w:val="0"/>
            <w:vAlign w:val="center"/>
          </w:tcPr>
          <w:p w14:paraId="4478D855">
            <w:pPr>
              <w:spacing w:line="400" w:lineRule="exact"/>
              <w:jc w:val="center"/>
              <w:rPr>
                <w:rFonts w:hint="eastAsia" w:ascii="宋体" w:hAnsi="宋体" w:eastAsia="宋体" w:cs="宋体"/>
                <w:color w:val="auto"/>
                <w:sz w:val="24"/>
                <w:lang w:val="en-US" w:eastAsia="zh-CN"/>
              </w:rPr>
            </w:pPr>
          </w:p>
        </w:tc>
        <w:tc>
          <w:tcPr>
            <w:tcW w:w="1733" w:type="dxa"/>
            <w:vMerge w:val="continue"/>
            <w:noWrap w:val="0"/>
            <w:vAlign w:val="center"/>
          </w:tcPr>
          <w:p w14:paraId="7009D2F7">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2620B90C">
            <w:pPr>
              <w:spacing w:line="400" w:lineRule="exact"/>
              <w:jc w:val="both"/>
              <w:rPr>
                <w:rFonts w:hint="eastAsia" w:ascii="宋体" w:hAnsi="宋体" w:eastAsia="宋体" w:cs="宋体"/>
                <w:color w:val="auto"/>
                <w:sz w:val="24"/>
              </w:rPr>
            </w:pPr>
          </w:p>
        </w:tc>
        <w:tc>
          <w:tcPr>
            <w:tcW w:w="1133" w:type="dxa"/>
            <w:noWrap w:val="0"/>
            <w:vAlign w:val="center"/>
          </w:tcPr>
          <w:p w14:paraId="0CCFCDDE">
            <w:pPr>
              <w:spacing w:line="400" w:lineRule="exact"/>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一般</w:t>
            </w:r>
          </w:p>
        </w:tc>
        <w:tc>
          <w:tcPr>
            <w:tcW w:w="3350" w:type="dxa"/>
            <w:noWrap w:val="0"/>
            <w:vAlign w:val="center"/>
          </w:tcPr>
          <w:p w14:paraId="342D47F9">
            <w:pPr>
              <w:numPr>
                <w:ilvl w:val="0"/>
                <w:numId w:val="0"/>
              </w:numPr>
              <w:spacing w:line="400" w:lineRule="exact"/>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rPr>
              <w:t>违法产品货值金额10万以上30万元以下的</w:t>
            </w:r>
            <w:r>
              <w:rPr>
                <w:rFonts w:hint="eastAsia" w:ascii="宋体" w:hAnsi="宋体" w:eastAsia="宋体" w:cs="宋体"/>
                <w:color w:val="auto"/>
                <w:kern w:val="0"/>
                <w:sz w:val="24"/>
                <w:lang w:eastAsia="zh-CN"/>
              </w:rPr>
              <w:t>。</w:t>
            </w:r>
          </w:p>
          <w:p w14:paraId="19D28C48">
            <w:pPr>
              <w:numPr>
                <w:ilvl w:val="0"/>
                <w:numId w:val="0"/>
              </w:numPr>
              <w:spacing w:line="400" w:lineRule="exact"/>
              <w:ind w:left="0" w:leftChars="0" w:firstLine="0" w:firstLineChars="0"/>
              <w:rPr>
                <w:rFonts w:hint="eastAsia" w:ascii="宋体" w:hAnsi="宋体" w:eastAsia="宋体" w:cs="宋体"/>
                <w:color w:val="auto"/>
                <w:kern w:val="0"/>
                <w:sz w:val="24"/>
              </w:rPr>
            </w:pPr>
          </w:p>
        </w:tc>
        <w:tc>
          <w:tcPr>
            <w:tcW w:w="3259" w:type="dxa"/>
            <w:noWrap w:val="0"/>
            <w:vAlign w:val="center"/>
          </w:tcPr>
          <w:p w14:paraId="54047E6C">
            <w:pPr>
              <w:widowControl/>
              <w:spacing w:line="400" w:lineRule="exact"/>
              <w:jc w:val="both"/>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处6000元以上1.4万元以下罚款。</w:t>
            </w:r>
          </w:p>
        </w:tc>
      </w:tr>
      <w:tr w14:paraId="05CC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3" w:hRule="atLeast"/>
          <w:jc w:val="center"/>
        </w:trPr>
        <w:tc>
          <w:tcPr>
            <w:tcW w:w="778" w:type="dxa"/>
            <w:vMerge w:val="continue"/>
            <w:noWrap w:val="0"/>
            <w:vAlign w:val="center"/>
          </w:tcPr>
          <w:p w14:paraId="4E66140E">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69FC6714">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0DA85037">
            <w:pPr>
              <w:spacing w:line="400" w:lineRule="exact"/>
              <w:jc w:val="both"/>
              <w:rPr>
                <w:rFonts w:hint="eastAsia" w:ascii="宋体" w:hAnsi="宋体" w:eastAsia="宋体" w:cs="宋体"/>
                <w:color w:val="auto"/>
                <w:sz w:val="24"/>
              </w:rPr>
            </w:pPr>
          </w:p>
        </w:tc>
        <w:tc>
          <w:tcPr>
            <w:tcW w:w="1133" w:type="dxa"/>
            <w:noWrap w:val="0"/>
            <w:vAlign w:val="center"/>
          </w:tcPr>
          <w:p w14:paraId="4B7D9A94">
            <w:pPr>
              <w:spacing w:line="400" w:lineRule="exact"/>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rPr>
              <w:t>较重</w:t>
            </w:r>
          </w:p>
        </w:tc>
        <w:tc>
          <w:tcPr>
            <w:tcW w:w="3350" w:type="dxa"/>
            <w:noWrap w:val="0"/>
            <w:vAlign w:val="center"/>
          </w:tcPr>
          <w:p w14:paraId="1EFC12A7">
            <w:pPr>
              <w:numPr>
                <w:ilvl w:val="0"/>
                <w:numId w:val="0"/>
              </w:numPr>
              <w:spacing w:line="400" w:lineRule="exact"/>
              <w:ind w:left="0" w:leftChars="0" w:firstLine="0" w:firstLineChars="0"/>
              <w:rPr>
                <w:rFonts w:hint="eastAsia" w:ascii="宋体" w:hAnsi="宋体" w:eastAsia="宋体" w:cs="宋体"/>
                <w:color w:val="auto"/>
                <w:sz w:val="24"/>
                <w:lang w:eastAsia="zh-CN"/>
              </w:rPr>
            </w:pPr>
            <w:r>
              <w:rPr>
                <w:rFonts w:hint="eastAsia" w:ascii="宋体" w:hAnsi="宋体" w:eastAsia="宋体" w:cs="宋体"/>
                <w:color w:val="auto"/>
                <w:kern w:val="0"/>
                <w:sz w:val="24"/>
              </w:rPr>
              <w:t>违法产品货值金额30万元以上的</w:t>
            </w:r>
            <w:r>
              <w:rPr>
                <w:rFonts w:hint="eastAsia" w:ascii="宋体" w:hAnsi="宋体" w:eastAsia="宋体" w:cs="宋体"/>
                <w:color w:val="auto"/>
                <w:kern w:val="0"/>
                <w:sz w:val="24"/>
                <w:lang w:eastAsia="zh-CN"/>
              </w:rPr>
              <w:t>。</w:t>
            </w:r>
          </w:p>
          <w:p w14:paraId="3258F145">
            <w:pPr>
              <w:numPr>
                <w:ilvl w:val="0"/>
                <w:numId w:val="0"/>
              </w:numPr>
              <w:spacing w:line="400" w:lineRule="exact"/>
              <w:ind w:left="0" w:leftChars="0" w:firstLine="0" w:firstLineChars="0"/>
              <w:rPr>
                <w:rFonts w:hint="eastAsia" w:ascii="宋体" w:hAnsi="宋体" w:eastAsia="宋体" w:cs="宋体"/>
                <w:color w:val="auto"/>
                <w:sz w:val="24"/>
                <w:szCs w:val="24"/>
              </w:rPr>
            </w:pPr>
          </w:p>
        </w:tc>
        <w:tc>
          <w:tcPr>
            <w:tcW w:w="3259" w:type="dxa"/>
            <w:noWrap w:val="0"/>
            <w:vAlign w:val="center"/>
          </w:tcPr>
          <w:p w14:paraId="75E0EF91">
            <w:pPr>
              <w:widowControl/>
              <w:spacing w:line="400" w:lineRule="exact"/>
              <w:jc w:val="both"/>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rPr>
              <w:t>处</w:t>
            </w:r>
            <w:r>
              <w:rPr>
                <w:rFonts w:hint="eastAsia" w:ascii="宋体" w:hAnsi="宋体" w:eastAsia="宋体" w:cs="宋体"/>
                <w:color w:val="auto"/>
                <w:kern w:val="0"/>
                <w:sz w:val="24"/>
                <w:lang w:val="en-US" w:eastAsia="zh-CN"/>
              </w:rPr>
              <w:t>1.4</w:t>
            </w:r>
            <w:r>
              <w:rPr>
                <w:rFonts w:hint="eastAsia" w:ascii="宋体" w:hAnsi="宋体" w:eastAsia="宋体" w:cs="宋体"/>
                <w:color w:val="auto"/>
                <w:kern w:val="0"/>
                <w:sz w:val="24"/>
              </w:rPr>
              <w:t>万元以上2万元以下罚款。</w:t>
            </w:r>
          </w:p>
        </w:tc>
      </w:tr>
      <w:tr w14:paraId="1597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778" w:type="dxa"/>
            <w:vMerge w:val="restart"/>
            <w:noWrap w:val="0"/>
            <w:vAlign w:val="center"/>
          </w:tcPr>
          <w:p w14:paraId="6E0456FB">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222</w:t>
            </w:r>
          </w:p>
        </w:tc>
        <w:tc>
          <w:tcPr>
            <w:tcW w:w="1733" w:type="dxa"/>
            <w:vMerge w:val="restart"/>
            <w:noWrap w:val="0"/>
            <w:vAlign w:val="center"/>
          </w:tcPr>
          <w:p w14:paraId="0AB27A82">
            <w:pPr>
              <w:spacing w:line="400" w:lineRule="exact"/>
              <w:ind w:left="42" w:leftChars="20" w:right="0" w:rightChars="0"/>
              <w:jc w:val="left"/>
              <w:outlineLvl w:val="2"/>
              <w:rPr>
                <w:rFonts w:hint="eastAsia" w:ascii="宋体" w:hAnsi="宋体" w:eastAsia="宋体" w:cs="宋体"/>
                <w:color w:val="auto"/>
                <w:sz w:val="24"/>
                <w:lang w:val="en-US" w:eastAsia="zh-CN"/>
              </w:rPr>
            </w:pPr>
            <w:bookmarkStart w:id="262" w:name="_Toc22053"/>
            <w:bookmarkStart w:id="263" w:name="_Toc2771"/>
            <w:bookmarkStart w:id="264" w:name="_Toc21663"/>
            <w:bookmarkStart w:id="265" w:name="_Toc13781"/>
            <w:r>
              <w:rPr>
                <w:rFonts w:hint="eastAsia" w:ascii="宋体" w:hAnsi="宋体" w:eastAsia="宋体" w:cs="宋体"/>
                <w:color w:val="auto"/>
                <w:sz w:val="24"/>
              </w:rPr>
              <w:t>《检验检测机构资质认定管理办法》</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2021年6月1日起施行</w:t>
            </w:r>
            <w:r>
              <w:rPr>
                <w:rFonts w:hint="eastAsia" w:ascii="宋体" w:hAnsi="宋体" w:eastAsia="宋体" w:cs="宋体"/>
                <w:color w:val="auto"/>
                <w:sz w:val="24"/>
                <w:lang w:eastAsia="zh-CN"/>
              </w:rPr>
              <w:t>）</w:t>
            </w:r>
            <w:bookmarkEnd w:id="262"/>
            <w:bookmarkEnd w:id="263"/>
            <w:bookmarkEnd w:id="264"/>
            <w:bookmarkEnd w:id="265"/>
          </w:p>
        </w:tc>
        <w:tc>
          <w:tcPr>
            <w:tcW w:w="4117" w:type="dxa"/>
            <w:vMerge w:val="restart"/>
            <w:noWrap w:val="0"/>
            <w:vAlign w:val="center"/>
          </w:tcPr>
          <w:p w14:paraId="589076BF">
            <w:pPr>
              <w:spacing w:line="400" w:lineRule="exact"/>
              <w:rPr>
                <w:rFonts w:hint="eastAsia" w:ascii="宋体" w:hAnsi="宋体" w:eastAsia="宋体" w:cs="宋体"/>
                <w:color w:val="auto"/>
                <w:sz w:val="24"/>
              </w:rPr>
            </w:pPr>
            <w:r>
              <w:rPr>
                <w:rFonts w:hint="eastAsia" w:ascii="宋体" w:hAnsi="宋体" w:eastAsia="宋体" w:cs="宋体"/>
                <w:color w:val="auto"/>
                <w:sz w:val="24"/>
              </w:rPr>
              <w:t>第三十五条 检验检测机构有下列情形之一的，由县级以上市场监督管理部门责令限期改正；逾期未改正或者改正后仍不符合要求的，处1万元以下罚款。</w:t>
            </w:r>
          </w:p>
          <w:p w14:paraId="20E81693">
            <w:pPr>
              <w:numPr>
                <w:ilvl w:val="0"/>
                <w:numId w:val="5"/>
              </w:numPr>
              <w:spacing w:line="400" w:lineRule="exact"/>
              <w:rPr>
                <w:rFonts w:hint="eastAsia" w:ascii="宋体" w:hAnsi="宋体" w:eastAsia="宋体" w:cs="宋体"/>
                <w:color w:val="auto"/>
                <w:sz w:val="24"/>
              </w:rPr>
            </w:pPr>
            <w:r>
              <w:rPr>
                <w:rFonts w:hint="eastAsia" w:ascii="宋体" w:hAnsi="宋体" w:eastAsia="宋体" w:cs="宋体"/>
                <w:color w:val="auto"/>
                <w:sz w:val="24"/>
              </w:rPr>
              <w:t>未按照本办法第十四条规定办理变更手续的；</w:t>
            </w:r>
          </w:p>
          <w:p w14:paraId="095584B1">
            <w:pPr>
              <w:numPr>
                <w:ilvl w:val="0"/>
                <w:numId w:val="0"/>
              </w:numPr>
              <w:spacing w:line="400" w:lineRule="exact"/>
              <w:rPr>
                <w:rFonts w:hint="eastAsia" w:ascii="宋体" w:hAnsi="宋体" w:eastAsia="宋体" w:cs="宋体"/>
                <w:color w:val="auto"/>
                <w:sz w:val="24"/>
              </w:rPr>
            </w:pPr>
            <w:r>
              <w:rPr>
                <w:rFonts w:hint="eastAsia" w:ascii="宋体" w:hAnsi="宋体" w:eastAsia="宋体" w:cs="宋体"/>
                <w:color w:val="auto"/>
                <w:sz w:val="24"/>
              </w:rPr>
              <w:t>（二）未按照本办法第二十一条规定标注资质认定标志的。</w:t>
            </w:r>
          </w:p>
        </w:tc>
        <w:tc>
          <w:tcPr>
            <w:tcW w:w="1133" w:type="dxa"/>
            <w:noWrap w:val="0"/>
            <w:vAlign w:val="center"/>
          </w:tcPr>
          <w:p w14:paraId="2696D999">
            <w:pPr>
              <w:spacing w:line="400" w:lineRule="exact"/>
              <w:jc w:val="center"/>
              <w:rPr>
                <w:rFonts w:hint="eastAsia" w:ascii="宋体" w:hAnsi="宋体" w:eastAsia="宋体" w:cs="宋体"/>
                <w:color w:val="auto"/>
                <w:sz w:val="24"/>
              </w:rPr>
            </w:pPr>
            <w:r>
              <w:rPr>
                <w:rFonts w:hint="eastAsia" w:ascii="宋体" w:hAnsi="宋体" w:eastAsia="宋体" w:cs="宋体"/>
                <w:color w:val="auto"/>
                <w:kern w:val="0"/>
                <w:sz w:val="24"/>
              </w:rPr>
              <w:t>较轻</w:t>
            </w:r>
          </w:p>
        </w:tc>
        <w:tc>
          <w:tcPr>
            <w:tcW w:w="3350" w:type="dxa"/>
            <w:noWrap w:val="0"/>
            <w:vAlign w:val="center"/>
          </w:tcPr>
          <w:p w14:paraId="60D5F3AC">
            <w:pPr>
              <w:numPr>
                <w:ilvl w:val="0"/>
                <w:numId w:val="0"/>
              </w:numPr>
              <w:tabs>
                <w:tab w:val="left" w:pos="0"/>
              </w:tabs>
              <w:spacing w:line="400" w:lineRule="exact"/>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逾期30日以下未改正</w:t>
            </w:r>
            <w:r>
              <w:rPr>
                <w:rFonts w:hint="eastAsia" w:ascii="宋体" w:hAnsi="宋体" w:eastAsia="宋体" w:cs="宋体"/>
                <w:color w:val="auto"/>
                <w:sz w:val="24"/>
              </w:rPr>
              <w:t>或者改正后仍不符合要求的</w:t>
            </w:r>
            <w:r>
              <w:rPr>
                <w:rFonts w:hint="eastAsia" w:ascii="宋体" w:hAnsi="宋体" w:eastAsia="宋体" w:cs="宋体"/>
                <w:color w:val="auto"/>
                <w:sz w:val="24"/>
                <w:lang w:eastAsia="zh-CN"/>
              </w:rPr>
              <w:t>。</w:t>
            </w:r>
          </w:p>
        </w:tc>
        <w:tc>
          <w:tcPr>
            <w:tcW w:w="3259" w:type="dxa"/>
            <w:noWrap w:val="0"/>
            <w:vAlign w:val="center"/>
          </w:tcPr>
          <w:p w14:paraId="08D09A78">
            <w:pPr>
              <w:numPr>
                <w:ilvl w:val="0"/>
                <w:numId w:val="0"/>
              </w:numPr>
              <w:tabs>
                <w:tab w:val="left" w:pos="0"/>
              </w:tabs>
              <w:spacing w:line="400" w:lineRule="exact"/>
              <w:rPr>
                <w:rFonts w:hint="eastAsia" w:ascii="宋体" w:hAnsi="宋体" w:eastAsia="宋体" w:cs="宋体"/>
                <w:color w:val="auto"/>
                <w:sz w:val="24"/>
                <w:lang w:val="en-US"/>
              </w:rPr>
            </w:pPr>
            <w:r>
              <w:rPr>
                <w:rFonts w:hint="eastAsia" w:ascii="宋体" w:hAnsi="宋体" w:eastAsia="宋体" w:cs="宋体"/>
                <w:color w:val="auto"/>
                <w:sz w:val="24"/>
                <w:lang w:val="en-US" w:eastAsia="zh-CN"/>
              </w:rPr>
              <w:t>处3000元以下罚款。</w:t>
            </w:r>
          </w:p>
        </w:tc>
      </w:tr>
      <w:tr w14:paraId="60FD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778" w:type="dxa"/>
            <w:vMerge w:val="continue"/>
            <w:noWrap w:val="0"/>
            <w:vAlign w:val="center"/>
          </w:tcPr>
          <w:p w14:paraId="7E2CCD09">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34D43048">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4C4EB5C8">
            <w:pPr>
              <w:spacing w:line="400" w:lineRule="exact"/>
              <w:rPr>
                <w:rFonts w:hint="eastAsia" w:ascii="宋体" w:hAnsi="宋体" w:eastAsia="宋体" w:cs="宋体"/>
                <w:color w:val="auto"/>
                <w:sz w:val="24"/>
              </w:rPr>
            </w:pPr>
          </w:p>
        </w:tc>
        <w:tc>
          <w:tcPr>
            <w:tcW w:w="1133" w:type="dxa"/>
            <w:noWrap w:val="0"/>
            <w:vAlign w:val="center"/>
          </w:tcPr>
          <w:p w14:paraId="1504C47F">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sz w:val="24"/>
                <w:szCs w:val="24"/>
                <w:lang w:eastAsia="zh-CN"/>
              </w:rPr>
              <w:t>一般</w:t>
            </w:r>
          </w:p>
        </w:tc>
        <w:tc>
          <w:tcPr>
            <w:tcW w:w="3350" w:type="dxa"/>
            <w:noWrap w:val="0"/>
            <w:vAlign w:val="center"/>
          </w:tcPr>
          <w:p w14:paraId="432F6947">
            <w:pPr>
              <w:numPr>
                <w:ilvl w:val="0"/>
                <w:numId w:val="0"/>
              </w:numPr>
              <w:spacing w:line="400" w:lineRule="exact"/>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逾期30日以上60日以下未改正</w:t>
            </w:r>
            <w:r>
              <w:rPr>
                <w:rFonts w:hint="eastAsia" w:ascii="宋体" w:hAnsi="宋体" w:eastAsia="宋体" w:cs="宋体"/>
                <w:color w:val="auto"/>
                <w:sz w:val="24"/>
              </w:rPr>
              <w:t>或者改正后仍不符合要求的</w:t>
            </w:r>
            <w:r>
              <w:rPr>
                <w:rFonts w:hint="eastAsia" w:ascii="宋体" w:hAnsi="宋体" w:eastAsia="宋体" w:cs="宋体"/>
                <w:color w:val="auto"/>
                <w:sz w:val="24"/>
                <w:lang w:eastAsia="zh-CN"/>
              </w:rPr>
              <w:t>。</w:t>
            </w:r>
          </w:p>
        </w:tc>
        <w:tc>
          <w:tcPr>
            <w:tcW w:w="3259" w:type="dxa"/>
            <w:noWrap w:val="0"/>
            <w:vAlign w:val="center"/>
          </w:tcPr>
          <w:p w14:paraId="7A372C05">
            <w:pPr>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处3000以上7000元以下罚款。</w:t>
            </w:r>
          </w:p>
        </w:tc>
      </w:tr>
      <w:tr w14:paraId="66FD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778" w:type="dxa"/>
            <w:vMerge w:val="continue"/>
            <w:noWrap w:val="0"/>
            <w:vAlign w:val="center"/>
          </w:tcPr>
          <w:p w14:paraId="175FF911">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3D0AF787">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6CFE8A28">
            <w:pPr>
              <w:spacing w:line="400" w:lineRule="exact"/>
              <w:rPr>
                <w:rFonts w:hint="eastAsia" w:ascii="宋体" w:hAnsi="宋体" w:eastAsia="宋体" w:cs="宋体"/>
                <w:color w:val="auto"/>
                <w:sz w:val="24"/>
              </w:rPr>
            </w:pPr>
          </w:p>
        </w:tc>
        <w:tc>
          <w:tcPr>
            <w:tcW w:w="1133" w:type="dxa"/>
            <w:noWrap w:val="0"/>
            <w:vAlign w:val="center"/>
          </w:tcPr>
          <w:p w14:paraId="74A68BA4">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较重</w:t>
            </w:r>
          </w:p>
        </w:tc>
        <w:tc>
          <w:tcPr>
            <w:tcW w:w="3350" w:type="dxa"/>
            <w:noWrap w:val="0"/>
            <w:vAlign w:val="center"/>
          </w:tcPr>
          <w:p w14:paraId="65F1ACE5">
            <w:pPr>
              <w:numPr>
                <w:ilvl w:val="0"/>
                <w:numId w:val="0"/>
              </w:numPr>
              <w:spacing w:line="400" w:lineRule="exact"/>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逾期60日以上未改正</w:t>
            </w:r>
            <w:r>
              <w:rPr>
                <w:rFonts w:hint="eastAsia" w:ascii="宋体" w:hAnsi="宋体" w:eastAsia="宋体" w:cs="宋体"/>
                <w:color w:val="auto"/>
                <w:sz w:val="24"/>
              </w:rPr>
              <w:t>或者改正后仍不符合要求的</w:t>
            </w:r>
            <w:r>
              <w:rPr>
                <w:rFonts w:hint="eastAsia" w:ascii="宋体" w:hAnsi="宋体" w:eastAsia="宋体" w:cs="宋体"/>
                <w:color w:val="auto"/>
                <w:sz w:val="24"/>
                <w:lang w:eastAsia="zh-CN"/>
              </w:rPr>
              <w:t>。</w:t>
            </w:r>
          </w:p>
        </w:tc>
        <w:tc>
          <w:tcPr>
            <w:tcW w:w="3259" w:type="dxa"/>
            <w:noWrap w:val="0"/>
            <w:vAlign w:val="center"/>
          </w:tcPr>
          <w:p w14:paraId="30AF0AF3">
            <w:pPr>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处7000以上1万元以下罚款。</w:t>
            </w:r>
          </w:p>
        </w:tc>
      </w:tr>
      <w:tr w14:paraId="424F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778" w:type="dxa"/>
            <w:vMerge w:val="restart"/>
            <w:noWrap w:val="0"/>
            <w:vAlign w:val="center"/>
          </w:tcPr>
          <w:p w14:paraId="475EEED2">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223</w:t>
            </w:r>
          </w:p>
        </w:tc>
        <w:tc>
          <w:tcPr>
            <w:tcW w:w="1733" w:type="dxa"/>
            <w:vMerge w:val="restart"/>
            <w:noWrap w:val="0"/>
            <w:vAlign w:val="center"/>
          </w:tcPr>
          <w:p w14:paraId="15DA500D">
            <w:pPr>
              <w:spacing w:line="400" w:lineRule="exact"/>
              <w:ind w:left="42" w:leftChars="20" w:right="0" w:rightChars="0"/>
              <w:jc w:val="left"/>
              <w:rPr>
                <w:rFonts w:hint="eastAsia" w:ascii="宋体" w:hAnsi="宋体" w:eastAsia="宋体" w:cs="宋体"/>
                <w:color w:val="auto"/>
                <w:sz w:val="24"/>
              </w:rPr>
            </w:pPr>
            <w:r>
              <w:rPr>
                <w:rFonts w:hint="eastAsia" w:ascii="宋体" w:hAnsi="宋体" w:eastAsia="宋体" w:cs="宋体"/>
                <w:color w:val="auto"/>
                <w:sz w:val="24"/>
              </w:rPr>
              <w:t>《检验检测机构资质认定管理办法》</w:t>
            </w:r>
          </w:p>
        </w:tc>
        <w:tc>
          <w:tcPr>
            <w:tcW w:w="4117" w:type="dxa"/>
            <w:vMerge w:val="restart"/>
            <w:noWrap w:val="0"/>
            <w:vAlign w:val="center"/>
          </w:tcPr>
          <w:p w14:paraId="5E092723">
            <w:pPr>
              <w:spacing w:line="400" w:lineRule="exact"/>
              <w:rPr>
                <w:rFonts w:hint="eastAsia" w:ascii="宋体" w:hAnsi="宋体" w:eastAsia="宋体" w:cs="宋体"/>
                <w:color w:val="auto"/>
                <w:sz w:val="24"/>
              </w:rPr>
            </w:pPr>
            <w:r>
              <w:rPr>
                <w:rFonts w:hint="eastAsia" w:ascii="宋体" w:hAnsi="宋体" w:eastAsia="宋体" w:cs="宋体"/>
                <w:color w:val="auto"/>
                <w:sz w:val="24"/>
                <w:szCs w:val="24"/>
              </w:rPr>
              <w:t>第三十七条 检验检测机构违反本办法规定，转让、出租、出借资质认定证书或者标志，伪造、变造、冒用资质认定证书或者标志，使用已经过期或者被撤销、注销的资质认定证书或者标志的，由县级以上市场监督管理部门责令改正，处3万元以下罚款。</w:t>
            </w:r>
          </w:p>
        </w:tc>
        <w:tc>
          <w:tcPr>
            <w:tcW w:w="1133" w:type="dxa"/>
            <w:noWrap w:val="0"/>
            <w:vAlign w:val="center"/>
          </w:tcPr>
          <w:p w14:paraId="19038967">
            <w:pPr>
              <w:spacing w:line="400" w:lineRule="exact"/>
              <w:jc w:val="center"/>
              <w:rPr>
                <w:rFonts w:hint="eastAsia" w:ascii="宋体" w:hAnsi="宋体" w:eastAsia="宋体" w:cs="宋体"/>
                <w:color w:val="auto"/>
                <w:sz w:val="24"/>
              </w:rPr>
            </w:pPr>
            <w:r>
              <w:rPr>
                <w:rFonts w:hint="eastAsia" w:ascii="宋体" w:hAnsi="宋体" w:eastAsia="宋体" w:cs="宋体"/>
                <w:color w:val="auto"/>
                <w:kern w:val="0"/>
                <w:sz w:val="24"/>
              </w:rPr>
              <w:t>较轻</w:t>
            </w:r>
          </w:p>
        </w:tc>
        <w:tc>
          <w:tcPr>
            <w:tcW w:w="3350" w:type="dxa"/>
            <w:noWrap w:val="0"/>
            <w:vAlign w:val="center"/>
          </w:tcPr>
          <w:p w14:paraId="04F6FE1C">
            <w:pPr>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违法所得在2000元以下的。</w:t>
            </w:r>
          </w:p>
        </w:tc>
        <w:tc>
          <w:tcPr>
            <w:tcW w:w="3259" w:type="dxa"/>
            <w:noWrap w:val="0"/>
            <w:vAlign w:val="center"/>
          </w:tcPr>
          <w:p w14:paraId="01E31630">
            <w:pPr>
              <w:numPr>
                <w:ilvl w:val="0"/>
                <w:numId w:val="0"/>
              </w:numPr>
              <w:tabs>
                <w:tab w:val="left" w:pos="0"/>
              </w:tabs>
              <w:spacing w:line="400" w:lineRule="exact"/>
              <w:rPr>
                <w:rFonts w:hint="eastAsia" w:ascii="宋体" w:hAnsi="宋体" w:eastAsia="宋体" w:cs="宋体"/>
                <w:color w:val="auto"/>
                <w:sz w:val="24"/>
                <w:lang w:val="en-US"/>
              </w:rPr>
            </w:pPr>
            <w:r>
              <w:rPr>
                <w:rFonts w:hint="eastAsia" w:ascii="宋体" w:hAnsi="宋体" w:eastAsia="宋体" w:cs="宋体"/>
                <w:color w:val="auto"/>
                <w:sz w:val="24"/>
                <w:lang w:val="en-US" w:eastAsia="zh-CN"/>
              </w:rPr>
              <w:t>责令改正，处9000元以下罚款。</w:t>
            </w:r>
          </w:p>
        </w:tc>
      </w:tr>
      <w:tr w14:paraId="545E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778" w:type="dxa"/>
            <w:vMerge w:val="continue"/>
            <w:noWrap w:val="0"/>
            <w:vAlign w:val="center"/>
          </w:tcPr>
          <w:p w14:paraId="567FF5D2">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453B3D9B">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62A71160">
            <w:pPr>
              <w:spacing w:line="400" w:lineRule="exact"/>
              <w:rPr>
                <w:rFonts w:hint="eastAsia" w:ascii="宋体" w:hAnsi="宋体" w:eastAsia="宋体" w:cs="宋体"/>
                <w:color w:val="auto"/>
                <w:sz w:val="24"/>
              </w:rPr>
            </w:pPr>
          </w:p>
        </w:tc>
        <w:tc>
          <w:tcPr>
            <w:tcW w:w="1133" w:type="dxa"/>
            <w:noWrap w:val="0"/>
            <w:vAlign w:val="center"/>
          </w:tcPr>
          <w:p w14:paraId="56F55561">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sz w:val="24"/>
                <w:szCs w:val="24"/>
                <w:lang w:eastAsia="zh-CN"/>
              </w:rPr>
              <w:t>一般</w:t>
            </w:r>
          </w:p>
        </w:tc>
        <w:tc>
          <w:tcPr>
            <w:tcW w:w="3350" w:type="dxa"/>
            <w:noWrap w:val="0"/>
            <w:vAlign w:val="center"/>
          </w:tcPr>
          <w:p w14:paraId="5425827D">
            <w:pPr>
              <w:numPr>
                <w:ilvl w:val="0"/>
                <w:numId w:val="0"/>
              </w:numPr>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违法所得在2000元以上1万元以下的。</w:t>
            </w:r>
          </w:p>
        </w:tc>
        <w:tc>
          <w:tcPr>
            <w:tcW w:w="3259" w:type="dxa"/>
            <w:noWrap w:val="0"/>
            <w:vAlign w:val="center"/>
          </w:tcPr>
          <w:p w14:paraId="2E4F19B7">
            <w:pPr>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责令改正，处9000元以上2.1万元以下罚款。</w:t>
            </w:r>
          </w:p>
        </w:tc>
      </w:tr>
      <w:tr w14:paraId="2840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78" w:type="dxa"/>
            <w:vMerge w:val="continue"/>
            <w:noWrap w:val="0"/>
            <w:vAlign w:val="center"/>
          </w:tcPr>
          <w:p w14:paraId="67EB90CB">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7DA21F9E">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5305BDEB">
            <w:pPr>
              <w:spacing w:line="400" w:lineRule="exact"/>
              <w:rPr>
                <w:rFonts w:hint="eastAsia" w:ascii="宋体" w:hAnsi="宋体" w:eastAsia="宋体" w:cs="宋体"/>
                <w:color w:val="auto"/>
                <w:sz w:val="24"/>
              </w:rPr>
            </w:pPr>
          </w:p>
        </w:tc>
        <w:tc>
          <w:tcPr>
            <w:tcW w:w="1133" w:type="dxa"/>
            <w:noWrap w:val="0"/>
            <w:vAlign w:val="center"/>
          </w:tcPr>
          <w:p w14:paraId="76D8896B">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sz w:val="24"/>
                <w:szCs w:val="24"/>
                <w:lang w:eastAsia="zh-CN"/>
              </w:rPr>
              <w:t>较重</w:t>
            </w:r>
          </w:p>
        </w:tc>
        <w:tc>
          <w:tcPr>
            <w:tcW w:w="3350" w:type="dxa"/>
            <w:noWrap w:val="0"/>
            <w:vAlign w:val="center"/>
          </w:tcPr>
          <w:p w14:paraId="18C39B11">
            <w:pPr>
              <w:numPr>
                <w:ilvl w:val="0"/>
                <w:numId w:val="0"/>
              </w:numPr>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违法所得在１万元以上的。</w:t>
            </w:r>
          </w:p>
        </w:tc>
        <w:tc>
          <w:tcPr>
            <w:tcW w:w="3259" w:type="dxa"/>
            <w:noWrap w:val="0"/>
            <w:vAlign w:val="center"/>
          </w:tcPr>
          <w:p w14:paraId="41B26E14">
            <w:pPr>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责令改正，处2.1万元以上3万元以下罚款。</w:t>
            </w:r>
          </w:p>
        </w:tc>
      </w:tr>
      <w:tr w14:paraId="6B41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778" w:type="dxa"/>
            <w:vMerge w:val="restart"/>
            <w:noWrap w:val="0"/>
            <w:vAlign w:val="center"/>
          </w:tcPr>
          <w:p w14:paraId="37744B1E">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224</w:t>
            </w:r>
          </w:p>
        </w:tc>
        <w:tc>
          <w:tcPr>
            <w:tcW w:w="1733" w:type="dxa"/>
            <w:vMerge w:val="restart"/>
            <w:noWrap w:val="0"/>
            <w:vAlign w:val="center"/>
          </w:tcPr>
          <w:p w14:paraId="20FA6851">
            <w:pPr>
              <w:spacing w:line="400" w:lineRule="exact"/>
              <w:ind w:left="42" w:leftChars="20" w:right="0" w:rightChars="0"/>
              <w:jc w:val="left"/>
              <w:outlineLvl w:val="2"/>
              <w:rPr>
                <w:rFonts w:hint="eastAsia" w:ascii="宋体" w:hAnsi="宋体" w:eastAsia="宋体" w:cs="宋体"/>
                <w:color w:val="auto"/>
                <w:sz w:val="24"/>
                <w:lang w:eastAsia="zh-CN"/>
              </w:rPr>
            </w:pPr>
            <w:bookmarkStart w:id="266" w:name="_Toc30987"/>
            <w:bookmarkStart w:id="267" w:name="_Toc6688"/>
            <w:bookmarkStart w:id="268" w:name="_Toc12127"/>
            <w:bookmarkStart w:id="269" w:name="_Toc10660"/>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检验检测机构监督管理办法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2025年5月1日起施行</w:t>
            </w:r>
            <w:r>
              <w:rPr>
                <w:rFonts w:hint="eastAsia" w:ascii="宋体" w:hAnsi="宋体" w:eastAsia="宋体" w:cs="宋体"/>
                <w:color w:val="auto"/>
                <w:sz w:val="24"/>
                <w:szCs w:val="24"/>
                <w:lang w:eastAsia="zh-CN"/>
              </w:rPr>
              <w:t>）</w:t>
            </w:r>
            <w:bookmarkEnd w:id="266"/>
            <w:bookmarkEnd w:id="267"/>
            <w:bookmarkEnd w:id="268"/>
            <w:bookmarkEnd w:id="269"/>
          </w:p>
        </w:tc>
        <w:tc>
          <w:tcPr>
            <w:tcW w:w="4117" w:type="dxa"/>
            <w:vMerge w:val="restart"/>
            <w:noWrap w:val="0"/>
            <w:vAlign w:val="center"/>
          </w:tcPr>
          <w:p w14:paraId="3F520328">
            <w:pPr>
              <w:spacing w:line="400" w:lineRule="exact"/>
              <w:rPr>
                <w:rFonts w:hint="eastAsia" w:ascii="宋体" w:hAnsi="宋体" w:eastAsia="宋体" w:cs="宋体"/>
                <w:i w:val="0"/>
                <w:iCs w:val="0"/>
                <w:caps w:val="0"/>
                <w:color w:val="auto"/>
                <w:spacing w:val="0"/>
                <w:sz w:val="24"/>
                <w:szCs w:val="24"/>
                <w:shd w:val="clear" w:color="auto" w:fill="auto"/>
              </w:rPr>
            </w:pPr>
            <w:r>
              <w:rPr>
                <w:rFonts w:hint="eastAsia" w:ascii="宋体" w:hAnsi="宋体" w:eastAsia="宋体" w:cs="宋体"/>
                <w:i w:val="0"/>
                <w:iCs w:val="0"/>
                <w:caps w:val="0"/>
                <w:color w:val="auto"/>
                <w:spacing w:val="0"/>
                <w:sz w:val="24"/>
                <w:szCs w:val="24"/>
                <w:shd w:val="clear" w:color="auto" w:fill="auto"/>
              </w:rPr>
              <w:t>第二十六条 检验检测机构有下列情形之一的，由县级以上市场监督管理部门责令限期改正；逾期未改正或者改正后仍不符合要求的，处3万元以下罚款：</w:t>
            </w:r>
          </w:p>
          <w:p w14:paraId="506AB4F6">
            <w:pPr>
              <w:spacing w:line="400" w:lineRule="exact"/>
              <w:rPr>
                <w:rFonts w:hint="eastAsia" w:ascii="宋体" w:hAnsi="宋体" w:eastAsia="宋体" w:cs="宋体"/>
                <w:i w:val="0"/>
                <w:iCs w:val="0"/>
                <w:caps w:val="0"/>
                <w:color w:val="auto"/>
                <w:spacing w:val="0"/>
                <w:sz w:val="24"/>
                <w:szCs w:val="24"/>
                <w:shd w:val="clear" w:color="auto" w:fill="auto"/>
              </w:rPr>
            </w:pPr>
            <w:r>
              <w:rPr>
                <w:rFonts w:hint="eastAsia" w:ascii="宋体" w:hAnsi="宋体" w:eastAsia="宋体" w:cs="宋体"/>
                <w:i w:val="0"/>
                <w:iCs w:val="0"/>
                <w:caps w:val="0"/>
                <w:color w:val="auto"/>
                <w:spacing w:val="0"/>
                <w:sz w:val="24"/>
                <w:szCs w:val="24"/>
                <w:shd w:val="clear" w:color="auto" w:fill="auto"/>
              </w:rPr>
              <w:t>（一）违反本办法第九条第一款规定，进行检验检测的；</w:t>
            </w:r>
          </w:p>
          <w:p w14:paraId="4E9F0EEC">
            <w:pPr>
              <w:spacing w:line="400" w:lineRule="exact"/>
              <w:rPr>
                <w:rFonts w:hint="eastAsia" w:ascii="宋体" w:hAnsi="宋体" w:eastAsia="宋体" w:cs="宋体"/>
                <w:color w:val="auto"/>
                <w:sz w:val="24"/>
              </w:rPr>
            </w:pPr>
            <w:r>
              <w:rPr>
                <w:rFonts w:hint="eastAsia" w:ascii="宋体" w:hAnsi="宋体" w:eastAsia="宋体" w:cs="宋体"/>
                <w:i w:val="0"/>
                <w:iCs w:val="0"/>
                <w:caps w:val="0"/>
                <w:color w:val="auto"/>
                <w:spacing w:val="0"/>
                <w:sz w:val="24"/>
                <w:szCs w:val="24"/>
                <w:shd w:val="clear" w:color="auto" w:fill="auto"/>
              </w:rPr>
              <w:t>（二）违反本办法第十一条规定分包检验检测项目，或者应当注明而未注明的；</w:t>
            </w:r>
          </w:p>
        </w:tc>
        <w:tc>
          <w:tcPr>
            <w:tcW w:w="1133" w:type="dxa"/>
            <w:noWrap w:val="0"/>
            <w:vAlign w:val="center"/>
          </w:tcPr>
          <w:p w14:paraId="7C64EECE">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较轻</w:t>
            </w:r>
          </w:p>
        </w:tc>
        <w:tc>
          <w:tcPr>
            <w:tcW w:w="3350" w:type="dxa"/>
            <w:noWrap w:val="0"/>
            <w:vAlign w:val="center"/>
          </w:tcPr>
          <w:p w14:paraId="0486CCFF">
            <w:pPr>
              <w:numPr>
                <w:ilvl w:val="0"/>
                <w:numId w:val="0"/>
              </w:numPr>
              <w:spacing w:line="400" w:lineRule="exact"/>
              <w:rPr>
                <w:rFonts w:hint="eastAsia" w:ascii="宋体" w:hAnsi="宋体" w:eastAsia="宋体" w:cs="宋体"/>
                <w:color w:val="auto"/>
                <w:sz w:val="24"/>
                <w:lang w:val="en-US" w:eastAsia="zh-CN"/>
              </w:rPr>
            </w:pPr>
            <w:r>
              <w:rPr>
                <w:rFonts w:hint="eastAsia" w:ascii="宋体" w:hAnsi="宋体" w:eastAsia="宋体" w:cs="宋体"/>
                <w:i w:val="0"/>
                <w:iCs w:val="0"/>
                <w:caps w:val="0"/>
                <w:color w:val="auto"/>
                <w:spacing w:val="0"/>
                <w:sz w:val="24"/>
                <w:szCs w:val="24"/>
                <w:shd w:val="clear" w:color="auto" w:fill="auto"/>
              </w:rPr>
              <w:t>未按照国家有关要求进行检验检测1次</w:t>
            </w:r>
            <w:r>
              <w:rPr>
                <w:rFonts w:hint="eastAsia" w:ascii="宋体" w:hAnsi="宋体" w:eastAsia="宋体" w:cs="宋体"/>
                <w:i w:val="0"/>
                <w:iCs w:val="0"/>
                <w:caps w:val="0"/>
                <w:color w:val="auto"/>
                <w:spacing w:val="0"/>
                <w:sz w:val="24"/>
                <w:szCs w:val="24"/>
                <w:shd w:val="clear" w:color="auto" w:fill="auto"/>
                <w:lang w:eastAsia="zh-CN"/>
              </w:rPr>
              <w:t>。</w:t>
            </w:r>
          </w:p>
        </w:tc>
        <w:tc>
          <w:tcPr>
            <w:tcW w:w="3259" w:type="dxa"/>
            <w:noWrap w:val="0"/>
            <w:vAlign w:val="center"/>
          </w:tcPr>
          <w:p w14:paraId="0BF69AAF">
            <w:pPr>
              <w:numPr>
                <w:ilvl w:val="0"/>
                <w:numId w:val="0"/>
              </w:numPr>
              <w:tabs>
                <w:tab w:val="left" w:pos="0"/>
              </w:tabs>
              <w:spacing w:line="400" w:lineRule="exact"/>
              <w:ind w:left="0" w:leftChars="0" w:firstLine="0" w:firstLineChars="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处9000元以下罚款。</w:t>
            </w:r>
          </w:p>
        </w:tc>
      </w:tr>
      <w:tr w14:paraId="16F2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778" w:type="dxa"/>
            <w:vMerge w:val="continue"/>
            <w:noWrap w:val="0"/>
            <w:vAlign w:val="center"/>
          </w:tcPr>
          <w:p w14:paraId="32A78FA6">
            <w:pPr>
              <w:spacing w:line="400" w:lineRule="exact"/>
              <w:jc w:val="center"/>
              <w:rPr>
                <w:rFonts w:hint="eastAsia" w:ascii="宋体" w:hAnsi="宋体" w:eastAsia="宋体" w:cs="宋体"/>
                <w:color w:val="auto"/>
                <w:sz w:val="24"/>
                <w:lang w:val="en-US" w:eastAsia="zh-CN"/>
              </w:rPr>
            </w:pPr>
          </w:p>
        </w:tc>
        <w:tc>
          <w:tcPr>
            <w:tcW w:w="1733" w:type="dxa"/>
            <w:vMerge w:val="continue"/>
            <w:noWrap w:val="0"/>
            <w:vAlign w:val="center"/>
          </w:tcPr>
          <w:p w14:paraId="2CC335D3">
            <w:pPr>
              <w:spacing w:line="400" w:lineRule="exact"/>
              <w:ind w:left="42" w:leftChars="20" w:right="0" w:rightChars="0"/>
              <w:jc w:val="left"/>
              <w:rPr>
                <w:rFonts w:hint="eastAsia" w:ascii="宋体" w:hAnsi="宋体" w:eastAsia="宋体" w:cs="宋体"/>
                <w:color w:val="auto"/>
                <w:sz w:val="24"/>
                <w:szCs w:val="24"/>
                <w:lang w:eastAsia="zh-CN"/>
              </w:rPr>
            </w:pPr>
          </w:p>
        </w:tc>
        <w:tc>
          <w:tcPr>
            <w:tcW w:w="4117" w:type="dxa"/>
            <w:vMerge w:val="continue"/>
            <w:noWrap w:val="0"/>
            <w:vAlign w:val="center"/>
          </w:tcPr>
          <w:p w14:paraId="670FEA29">
            <w:pPr>
              <w:spacing w:line="400" w:lineRule="exact"/>
              <w:rPr>
                <w:rFonts w:hint="eastAsia" w:ascii="宋体" w:hAnsi="宋体" w:eastAsia="宋体" w:cs="宋体"/>
                <w:i w:val="0"/>
                <w:iCs w:val="0"/>
                <w:caps w:val="0"/>
                <w:color w:val="auto"/>
                <w:spacing w:val="0"/>
                <w:sz w:val="24"/>
                <w:szCs w:val="24"/>
                <w:shd w:val="clear" w:color="auto" w:fill="auto"/>
              </w:rPr>
            </w:pPr>
          </w:p>
        </w:tc>
        <w:tc>
          <w:tcPr>
            <w:tcW w:w="1133" w:type="dxa"/>
            <w:noWrap w:val="0"/>
            <w:vAlign w:val="center"/>
          </w:tcPr>
          <w:p w14:paraId="004FA20F">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一般</w:t>
            </w:r>
          </w:p>
        </w:tc>
        <w:tc>
          <w:tcPr>
            <w:tcW w:w="3350" w:type="dxa"/>
            <w:noWrap w:val="0"/>
            <w:vAlign w:val="center"/>
          </w:tcPr>
          <w:p w14:paraId="63E574C1">
            <w:pPr>
              <w:numPr>
                <w:ilvl w:val="0"/>
                <w:numId w:val="0"/>
              </w:numPr>
              <w:spacing w:line="400" w:lineRule="exact"/>
              <w:rPr>
                <w:rFonts w:hint="eastAsia" w:ascii="宋体" w:hAnsi="宋体" w:eastAsia="宋体" w:cs="宋体"/>
                <w:color w:val="auto"/>
                <w:sz w:val="24"/>
                <w:lang w:val="en-US" w:eastAsia="zh-CN"/>
              </w:rPr>
            </w:pPr>
            <w:r>
              <w:rPr>
                <w:rFonts w:hint="eastAsia" w:ascii="宋体" w:hAnsi="宋体" w:eastAsia="宋体" w:cs="宋体"/>
                <w:i w:val="0"/>
                <w:iCs w:val="0"/>
                <w:caps w:val="0"/>
                <w:color w:val="auto"/>
                <w:spacing w:val="0"/>
                <w:sz w:val="24"/>
                <w:szCs w:val="24"/>
                <w:shd w:val="clear" w:color="auto" w:fill="auto"/>
              </w:rPr>
              <w:t>未按照国家有关要求进行检验检测</w:t>
            </w:r>
            <w:r>
              <w:rPr>
                <w:rFonts w:hint="eastAsia" w:ascii="宋体" w:hAnsi="宋体" w:eastAsia="宋体" w:cs="宋体"/>
                <w:i w:val="0"/>
                <w:iCs w:val="0"/>
                <w:caps w:val="0"/>
                <w:color w:val="auto"/>
                <w:spacing w:val="0"/>
                <w:sz w:val="24"/>
                <w:szCs w:val="24"/>
                <w:shd w:val="clear" w:color="auto" w:fill="auto"/>
                <w:lang w:val="en-US" w:eastAsia="zh-CN"/>
              </w:rPr>
              <w:t>2</w:t>
            </w:r>
            <w:r>
              <w:rPr>
                <w:rFonts w:hint="eastAsia" w:ascii="宋体" w:hAnsi="宋体" w:eastAsia="宋体" w:cs="宋体"/>
                <w:i w:val="0"/>
                <w:iCs w:val="0"/>
                <w:caps w:val="0"/>
                <w:color w:val="auto"/>
                <w:spacing w:val="0"/>
                <w:sz w:val="24"/>
                <w:szCs w:val="24"/>
                <w:shd w:val="clear" w:color="auto" w:fill="auto"/>
              </w:rPr>
              <w:t>次</w:t>
            </w:r>
            <w:r>
              <w:rPr>
                <w:rFonts w:hint="eastAsia" w:ascii="宋体" w:hAnsi="宋体" w:eastAsia="宋体" w:cs="宋体"/>
                <w:i w:val="0"/>
                <w:iCs w:val="0"/>
                <w:caps w:val="0"/>
                <w:color w:val="auto"/>
                <w:spacing w:val="0"/>
                <w:sz w:val="24"/>
                <w:szCs w:val="24"/>
                <w:shd w:val="clear" w:color="auto" w:fill="auto"/>
                <w:lang w:val="en-US" w:eastAsia="zh-CN"/>
              </w:rPr>
              <w:t>以上5次以下</w:t>
            </w:r>
            <w:r>
              <w:rPr>
                <w:rFonts w:hint="eastAsia" w:ascii="宋体" w:hAnsi="宋体" w:eastAsia="宋体" w:cs="宋体"/>
                <w:i w:val="0"/>
                <w:iCs w:val="0"/>
                <w:caps w:val="0"/>
                <w:color w:val="auto"/>
                <w:spacing w:val="0"/>
                <w:sz w:val="24"/>
                <w:szCs w:val="24"/>
                <w:shd w:val="clear" w:color="auto" w:fill="auto"/>
                <w:lang w:eastAsia="zh-CN"/>
              </w:rPr>
              <w:t>。</w:t>
            </w:r>
          </w:p>
        </w:tc>
        <w:tc>
          <w:tcPr>
            <w:tcW w:w="3259" w:type="dxa"/>
            <w:noWrap w:val="0"/>
            <w:vAlign w:val="center"/>
          </w:tcPr>
          <w:p w14:paraId="0BA9E895">
            <w:pPr>
              <w:spacing w:line="400" w:lineRule="exac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处9000元以上2.1万元以下罚款。</w:t>
            </w:r>
          </w:p>
        </w:tc>
      </w:tr>
      <w:tr w14:paraId="3888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778" w:type="dxa"/>
            <w:vMerge w:val="continue"/>
            <w:noWrap w:val="0"/>
            <w:vAlign w:val="center"/>
          </w:tcPr>
          <w:p w14:paraId="5F54CAB1">
            <w:pPr>
              <w:spacing w:line="400" w:lineRule="exact"/>
              <w:jc w:val="center"/>
              <w:rPr>
                <w:rFonts w:hint="eastAsia" w:ascii="宋体" w:hAnsi="宋体" w:eastAsia="宋体" w:cs="宋体"/>
                <w:color w:val="auto"/>
                <w:sz w:val="24"/>
                <w:lang w:val="en-US" w:eastAsia="zh-CN"/>
              </w:rPr>
            </w:pPr>
          </w:p>
        </w:tc>
        <w:tc>
          <w:tcPr>
            <w:tcW w:w="1733" w:type="dxa"/>
            <w:vMerge w:val="continue"/>
            <w:noWrap w:val="0"/>
            <w:vAlign w:val="center"/>
          </w:tcPr>
          <w:p w14:paraId="0C52131B">
            <w:pPr>
              <w:spacing w:line="400" w:lineRule="exact"/>
              <w:ind w:left="42" w:leftChars="20" w:right="0" w:rightChars="0"/>
              <w:jc w:val="left"/>
              <w:rPr>
                <w:rFonts w:hint="eastAsia" w:ascii="宋体" w:hAnsi="宋体" w:eastAsia="宋体" w:cs="宋体"/>
                <w:color w:val="auto"/>
                <w:sz w:val="24"/>
                <w:szCs w:val="24"/>
                <w:lang w:eastAsia="zh-CN"/>
              </w:rPr>
            </w:pPr>
          </w:p>
        </w:tc>
        <w:tc>
          <w:tcPr>
            <w:tcW w:w="4117" w:type="dxa"/>
            <w:vMerge w:val="continue"/>
            <w:noWrap w:val="0"/>
            <w:vAlign w:val="center"/>
          </w:tcPr>
          <w:p w14:paraId="3BF42CA2">
            <w:pPr>
              <w:spacing w:line="400" w:lineRule="exact"/>
              <w:rPr>
                <w:rFonts w:hint="eastAsia" w:ascii="宋体" w:hAnsi="宋体" w:eastAsia="宋体" w:cs="宋体"/>
                <w:i w:val="0"/>
                <w:iCs w:val="0"/>
                <w:caps w:val="0"/>
                <w:color w:val="auto"/>
                <w:spacing w:val="0"/>
                <w:sz w:val="24"/>
                <w:szCs w:val="24"/>
                <w:shd w:val="clear" w:color="auto" w:fill="auto"/>
              </w:rPr>
            </w:pPr>
          </w:p>
        </w:tc>
        <w:tc>
          <w:tcPr>
            <w:tcW w:w="1133" w:type="dxa"/>
            <w:noWrap w:val="0"/>
            <w:vAlign w:val="center"/>
          </w:tcPr>
          <w:p w14:paraId="349907D4">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较重</w:t>
            </w:r>
          </w:p>
        </w:tc>
        <w:tc>
          <w:tcPr>
            <w:tcW w:w="3350" w:type="dxa"/>
            <w:noWrap w:val="0"/>
            <w:vAlign w:val="center"/>
          </w:tcPr>
          <w:p w14:paraId="259913B4">
            <w:pPr>
              <w:numPr>
                <w:ilvl w:val="0"/>
                <w:numId w:val="0"/>
              </w:numPr>
              <w:spacing w:line="400" w:lineRule="exact"/>
              <w:rPr>
                <w:rFonts w:hint="eastAsia" w:ascii="宋体" w:hAnsi="宋体" w:eastAsia="宋体" w:cs="宋体"/>
                <w:color w:val="auto"/>
                <w:sz w:val="24"/>
                <w:lang w:val="en-US" w:eastAsia="zh-CN"/>
              </w:rPr>
            </w:pPr>
            <w:r>
              <w:rPr>
                <w:rFonts w:hint="eastAsia" w:ascii="宋体" w:hAnsi="宋体" w:eastAsia="宋体" w:cs="宋体"/>
                <w:i w:val="0"/>
                <w:iCs w:val="0"/>
                <w:caps w:val="0"/>
                <w:color w:val="auto"/>
                <w:spacing w:val="0"/>
                <w:sz w:val="24"/>
                <w:szCs w:val="24"/>
                <w:shd w:val="clear" w:color="auto" w:fill="auto"/>
              </w:rPr>
              <w:t>未按照国家有关要求进行检验检测</w:t>
            </w:r>
            <w:r>
              <w:rPr>
                <w:rFonts w:hint="eastAsia" w:ascii="宋体" w:hAnsi="宋体" w:eastAsia="宋体" w:cs="宋体"/>
                <w:i w:val="0"/>
                <w:iCs w:val="0"/>
                <w:caps w:val="0"/>
                <w:color w:val="auto"/>
                <w:spacing w:val="0"/>
                <w:sz w:val="24"/>
                <w:szCs w:val="24"/>
                <w:shd w:val="clear" w:color="auto" w:fill="auto"/>
                <w:lang w:val="en-US" w:eastAsia="zh-CN"/>
              </w:rPr>
              <w:t>5</w:t>
            </w:r>
            <w:r>
              <w:rPr>
                <w:rFonts w:hint="eastAsia" w:ascii="宋体" w:hAnsi="宋体" w:eastAsia="宋体" w:cs="宋体"/>
                <w:i w:val="0"/>
                <w:iCs w:val="0"/>
                <w:caps w:val="0"/>
                <w:color w:val="auto"/>
                <w:spacing w:val="0"/>
                <w:sz w:val="24"/>
                <w:szCs w:val="24"/>
                <w:shd w:val="clear" w:color="auto" w:fill="auto"/>
              </w:rPr>
              <w:t>次</w:t>
            </w:r>
            <w:r>
              <w:rPr>
                <w:rFonts w:hint="eastAsia" w:ascii="宋体" w:hAnsi="宋体" w:eastAsia="宋体" w:cs="宋体"/>
                <w:i w:val="0"/>
                <w:iCs w:val="0"/>
                <w:caps w:val="0"/>
                <w:color w:val="auto"/>
                <w:spacing w:val="0"/>
                <w:sz w:val="24"/>
                <w:szCs w:val="24"/>
                <w:shd w:val="clear" w:color="auto" w:fill="auto"/>
                <w:lang w:val="en-US" w:eastAsia="zh-CN"/>
              </w:rPr>
              <w:t>以上</w:t>
            </w:r>
            <w:r>
              <w:rPr>
                <w:rFonts w:hint="eastAsia" w:ascii="宋体" w:hAnsi="宋体" w:eastAsia="宋体" w:cs="宋体"/>
                <w:i w:val="0"/>
                <w:iCs w:val="0"/>
                <w:caps w:val="0"/>
                <w:color w:val="auto"/>
                <w:spacing w:val="0"/>
                <w:sz w:val="24"/>
                <w:szCs w:val="24"/>
                <w:shd w:val="clear" w:color="auto" w:fill="auto"/>
                <w:lang w:eastAsia="zh-CN"/>
              </w:rPr>
              <w:t>。</w:t>
            </w:r>
          </w:p>
        </w:tc>
        <w:tc>
          <w:tcPr>
            <w:tcW w:w="3259" w:type="dxa"/>
            <w:noWrap w:val="0"/>
            <w:vAlign w:val="center"/>
          </w:tcPr>
          <w:p w14:paraId="25B9F837">
            <w:pPr>
              <w:spacing w:line="400" w:lineRule="exac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处2.1万元以上3万元以下罚款。</w:t>
            </w:r>
          </w:p>
        </w:tc>
      </w:tr>
      <w:tr w14:paraId="137B2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778" w:type="dxa"/>
            <w:vMerge w:val="restart"/>
            <w:noWrap w:val="0"/>
            <w:vAlign w:val="center"/>
          </w:tcPr>
          <w:p w14:paraId="1B3F2C1B">
            <w:pPr>
              <w:spacing w:line="4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lang w:val="en-US" w:eastAsia="zh-CN"/>
              </w:rPr>
              <w:t>225</w:t>
            </w:r>
          </w:p>
        </w:tc>
        <w:tc>
          <w:tcPr>
            <w:tcW w:w="1733" w:type="dxa"/>
            <w:vMerge w:val="restart"/>
            <w:noWrap w:val="0"/>
            <w:vAlign w:val="center"/>
          </w:tcPr>
          <w:p w14:paraId="6B472E3F">
            <w:pPr>
              <w:spacing w:line="400" w:lineRule="exact"/>
              <w:ind w:left="42" w:leftChars="20" w:right="0" w:rightChars="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检验检测机构监督管理办法</w:t>
            </w:r>
            <w:r>
              <w:rPr>
                <w:rFonts w:hint="eastAsia" w:ascii="宋体" w:hAnsi="宋体" w:eastAsia="宋体" w:cs="宋体"/>
                <w:color w:val="auto"/>
                <w:sz w:val="24"/>
                <w:szCs w:val="24"/>
                <w:lang w:eastAsia="zh-CN"/>
              </w:rPr>
              <w:t>》</w:t>
            </w:r>
          </w:p>
        </w:tc>
        <w:tc>
          <w:tcPr>
            <w:tcW w:w="4117" w:type="dxa"/>
            <w:vMerge w:val="restart"/>
            <w:noWrap w:val="0"/>
            <w:vAlign w:val="center"/>
          </w:tcPr>
          <w:p w14:paraId="7FFFABEE">
            <w:pPr>
              <w:spacing w:line="400" w:lineRule="exact"/>
              <w:rPr>
                <w:rFonts w:hint="eastAsia" w:ascii="宋体" w:hAnsi="宋体" w:eastAsia="宋体" w:cs="宋体"/>
                <w:i w:val="0"/>
                <w:iCs w:val="0"/>
                <w:caps w:val="0"/>
                <w:color w:val="auto"/>
                <w:spacing w:val="0"/>
                <w:sz w:val="24"/>
                <w:szCs w:val="24"/>
                <w:shd w:val="clear" w:color="auto" w:fill="auto"/>
              </w:rPr>
            </w:pPr>
            <w:r>
              <w:rPr>
                <w:rFonts w:hint="eastAsia" w:ascii="宋体" w:hAnsi="宋体" w:eastAsia="宋体" w:cs="宋体"/>
                <w:i w:val="0"/>
                <w:iCs w:val="0"/>
                <w:caps w:val="0"/>
                <w:color w:val="auto"/>
                <w:spacing w:val="0"/>
                <w:sz w:val="24"/>
                <w:szCs w:val="24"/>
                <w:shd w:val="clear" w:color="auto" w:fill="auto"/>
              </w:rPr>
              <w:t>第二十六条 检验检测机构有下列情形之一的，由县级以上市场监督管理部门责令限期改正；逾期未改正或者改正后仍不符合要求的，处3万元以下罚款：</w:t>
            </w:r>
          </w:p>
          <w:p w14:paraId="2EB70492">
            <w:pPr>
              <w:spacing w:line="400" w:lineRule="exact"/>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auto"/>
              </w:rPr>
              <w:t>（三）违反本办法第十二条第一款规定，未在检验检测报告上加盖检验检测机构公章或者检验检测专用章，或者未经授权签字人签发或者授权签字人超出其技术能力范围签发的。</w:t>
            </w:r>
          </w:p>
        </w:tc>
        <w:tc>
          <w:tcPr>
            <w:tcW w:w="1133" w:type="dxa"/>
            <w:noWrap w:val="0"/>
            <w:vAlign w:val="center"/>
          </w:tcPr>
          <w:p w14:paraId="34A4912D">
            <w:pPr>
              <w:spacing w:line="4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lang w:val="en-US" w:eastAsia="zh-CN"/>
              </w:rPr>
              <w:t>较轻</w:t>
            </w:r>
          </w:p>
        </w:tc>
        <w:tc>
          <w:tcPr>
            <w:tcW w:w="3350" w:type="dxa"/>
            <w:noWrap w:val="0"/>
            <w:vAlign w:val="center"/>
          </w:tcPr>
          <w:p w14:paraId="5FA1720E">
            <w:pPr>
              <w:numPr>
                <w:ilvl w:val="0"/>
                <w:numId w:val="0"/>
              </w:numPr>
              <w:spacing w:line="400" w:lineRule="exact"/>
              <w:ind w:left="0" w:leftChars="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涉案检测报告1份。</w:t>
            </w:r>
          </w:p>
        </w:tc>
        <w:tc>
          <w:tcPr>
            <w:tcW w:w="3259" w:type="dxa"/>
            <w:noWrap w:val="0"/>
            <w:vAlign w:val="center"/>
          </w:tcPr>
          <w:p w14:paraId="50B7EE31">
            <w:pPr>
              <w:numPr>
                <w:ilvl w:val="0"/>
                <w:numId w:val="0"/>
              </w:numPr>
              <w:tabs>
                <w:tab w:val="left" w:pos="0"/>
              </w:tabs>
              <w:spacing w:line="400" w:lineRule="exact"/>
              <w:ind w:left="0" w:leftChars="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lang w:val="en-US" w:eastAsia="zh-CN"/>
              </w:rPr>
              <w:t>处9000元以下罚款。</w:t>
            </w:r>
          </w:p>
        </w:tc>
      </w:tr>
      <w:tr w14:paraId="1D1E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778" w:type="dxa"/>
            <w:vMerge w:val="continue"/>
            <w:noWrap w:val="0"/>
            <w:vAlign w:val="center"/>
          </w:tcPr>
          <w:p w14:paraId="665422A9">
            <w:pPr>
              <w:spacing w:line="400" w:lineRule="exact"/>
              <w:jc w:val="center"/>
              <w:rPr>
                <w:rFonts w:hint="eastAsia" w:ascii="宋体" w:hAnsi="宋体" w:eastAsia="宋体" w:cs="宋体"/>
                <w:color w:val="auto"/>
                <w:kern w:val="2"/>
                <w:sz w:val="24"/>
                <w:szCs w:val="24"/>
                <w:lang w:val="en-US" w:eastAsia="zh-CN" w:bidi="ar-SA"/>
              </w:rPr>
            </w:pPr>
          </w:p>
        </w:tc>
        <w:tc>
          <w:tcPr>
            <w:tcW w:w="1733" w:type="dxa"/>
            <w:vMerge w:val="continue"/>
            <w:noWrap w:val="0"/>
            <w:vAlign w:val="center"/>
          </w:tcPr>
          <w:p w14:paraId="0F7EA7F8">
            <w:pPr>
              <w:spacing w:line="400" w:lineRule="exact"/>
              <w:ind w:left="42" w:leftChars="20" w:right="0" w:rightChars="0"/>
              <w:jc w:val="left"/>
              <w:rPr>
                <w:rFonts w:hint="eastAsia" w:ascii="宋体" w:hAnsi="宋体" w:eastAsia="宋体" w:cs="宋体"/>
                <w:color w:val="auto"/>
                <w:sz w:val="24"/>
                <w:szCs w:val="24"/>
                <w:lang w:eastAsia="zh-CN"/>
              </w:rPr>
            </w:pPr>
          </w:p>
        </w:tc>
        <w:tc>
          <w:tcPr>
            <w:tcW w:w="4117" w:type="dxa"/>
            <w:vMerge w:val="continue"/>
            <w:noWrap w:val="0"/>
            <w:vAlign w:val="center"/>
          </w:tcPr>
          <w:p w14:paraId="20CE3339">
            <w:pPr>
              <w:spacing w:line="400" w:lineRule="exact"/>
              <w:rPr>
                <w:rFonts w:hint="eastAsia" w:ascii="宋体" w:hAnsi="宋体" w:eastAsia="宋体" w:cs="宋体"/>
                <w:i w:val="0"/>
                <w:iCs w:val="0"/>
                <w:caps w:val="0"/>
                <w:color w:val="auto"/>
                <w:spacing w:val="0"/>
                <w:sz w:val="24"/>
                <w:szCs w:val="24"/>
                <w:shd w:val="clear" w:color="auto" w:fill="auto"/>
              </w:rPr>
            </w:pPr>
          </w:p>
        </w:tc>
        <w:tc>
          <w:tcPr>
            <w:tcW w:w="1133" w:type="dxa"/>
            <w:noWrap w:val="0"/>
            <w:vAlign w:val="center"/>
          </w:tcPr>
          <w:p w14:paraId="15C1E4DD">
            <w:pPr>
              <w:spacing w:line="4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lang w:val="en-US" w:eastAsia="zh-CN"/>
              </w:rPr>
              <w:t>一般</w:t>
            </w:r>
          </w:p>
        </w:tc>
        <w:tc>
          <w:tcPr>
            <w:tcW w:w="3350" w:type="dxa"/>
            <w:noWrap w:val="0"/>
            <w:vAlign w:val="center"/>
          </w:tcPr>
          <w:p w14:paraId="12790F9B">
            <w:pPr>
              <w:numPr>
                <w:ilvl w:val="0"/>
                <w:numId w:val="0"/>
              </w:numPr>
              <w:spacing w:line="400" w:lineRule="exact"/>
              <w:ind w:left="0" w:leftChars="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涉案检测报告</w:t>
            </w:r>
            <w:r>
              <w:rPr>
                <w:rFonts w:hint="eastAsia" w:ascii="宋体" w:hAnsi="宋体" w:eastAsia="宋体" w:cs="宋体"/>
                <w:i w:val="0"/>
                <w:iCs w:val="0"/>
                <w:caps w:val="0"/>
                <w:color w:val="auto"/>
                <w:spacing w:val="0"/>
                <w:sz w:val="24"/>
                <w:szCs w:val="24"/>
                <w:shd w:val="clear" w:color="auto" w:fill="auto"/>
                <w:lang w:val="en-US" w:eastAsia="zh-CN"/>
              </w:rPr>
              <w:t>2份以上5份以下</w:t>
            </w:r>
            <w:r>
              <w:rPr>
                <w:rFonts w:hint="eastAsia" w:ascii="宋体" w:hAnsi="宋体" w:eastAsia="宋体" w:cs="宋体"/>
                <w:i w:val="0"/>
                <w:iCs w:val="0"/>
                <w:caps w:val="0"/>
                <w:color w:val="auto"/>
                <w:spacing w:val="0"/>
                <w:sz w:val="24"/>
                <w:szCs w:val="24"/>
                <w:shd w:val="clear" w:color="auto" w:fill="auto"/>
                <w:lang w:eastAsia="zh-CN"/>
              </w:rPr>
              <w:t>。</w:t>
            </w:r>
          </w:p>
        </w:tc>
        <w:tc>
          <w:tcPr>
            <w:tcW w:w="3259" w:type="dxa"/>
            <w:noWrap w:val="0"/>
            <w:vAlign w:val="center"/>
          </w:tcPr>
          <w:p w14:paraId="2FB8657C">
            <w:pPr>
              <w:spacing w:line="400" w:lineRule="exac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lang w:val="en-US" w:eastAsia="zh-CN"/>
              </w:rPr>
              <w:t>处9000元以上2.1万元以下罚款。</w:t>
            </w:r>
          </w:p>
        </w:tc>
      </w:tr>
      <w:tr w14:paraId="64C8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778" w:type="dxa"/>
            <w:vMerge w:val="continue"/>
            <w:noWrap w:val="0"/>
            <w:vAlign w:val="center"/>
          </w:tcPr>
          <w:p w14:paraId="10B3D249">
            <w:pPr>
              <w:spacing w:line="400" w:lineRule="exact"/>
              <w:jc w:val="center"/>
              <w:rPr>
                <w:rFonts w:hint="eastAsia" w:ascii="宋体" w:hAnsi="宋体" w:eastAsia="宋体" w:cs="宋体"/>
                <w:color w:val="auto"/>
                <w:kern w:val="2"/>
                <w:sz w:val="24"/>
                <w:szCs w:val="24"/>
                <w:lang w:val="en-US" w:eastAsia="zh-CN" w:bidi="ar-SA"/>
              </w:rPr>
            </w:pPr>
          </w:p>
        </w:tc>
        <w:tc>
          <w:tcPr>
            <w:tcW w:w="1733" w:type="dxa"/>
            <w:vMerge w:val="continue"/>
            <w:noWrap w:val="0"/>
            <w:vAlign w:val="center"/>
          </w:tcPr>
          <w:p w14:paraId="380284EF">
            <w:pPr>
              <w:spacing w:line="400" w:lineRule="exact"/>
              <w:ind w:left="42" w:leftChars="20" w:right="0" w:rightChars="0"/>
              <w:jc w:val="left"/>
              <w:rPr>
                <w:rFonts w:hint="eastAsia" w:ascii="宋体" w:hAnsi="宋体" w:eastAsia="宋体" w:cs="宋体"/>
                <w:color w:val="auto"/>
                <w:sz w:val="24"/>
                <w:szCs w:val="24"/>
                <w:lang w:eastAsia="zh-CN"/>
              </w:rPr>
            </w:pPr>
          </w:p>
        </w:tc>
        <w:tc>
          <w:tcPr>
            <w:tcW w:w="4117" w:type="dxa"/>
            <w:vMerge w:val="continue"/>
            <w:noWrap w:val="0"/>
            <w:vAlign w:val="center"/>
          </w:tcPr>
          <w:p w14:paraId="19C4F8F2">
            <w:pPr>
              <w:spacing w:line="400" w:lineRule="exact"/>
              <w:rPr>
                <w:rFonts w:hint="eastAsia" w:ascii="宋体" w:hAnsi="宋体" w:eastAsia="宋体" w:cs="宋体"/>
                <w:i w:val="0"/>
                <w:iCs w:val="0"/>
                <w:caps w:val="0"/>
                <w:color w:val="auto"/>
                <w:spacing w:val="0"/>
                <w:sz w:val="24"/>
                <w:szCs w:val="24"/>
                <w:shd w:val="clear" w:color="auto" w:fill="auto"/>
              </w:rPr>
            </w:pPr>
          </w:p>
        </w:tc>
        <w:tc>
          <w:tcPr>
            <w:tcW w:w="1133" w:type="dxa"/>
            <w:noWrap w:val="0"/>
            <w:vAlign w:val="center"/>
          </w:tcPr>
          <w:p w14:paraId="6D561AC5">
            <w:pPr>
              <w:spacing w:line="4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lang w:val="en-US" w:eastAsia="zh-CN"/>
              </w:rPr>
              <w:t>较重</w:t>
            </w:r>
          </w:p>
        </w:tc>
        <w:tc>
          <w:tcPr>
            <w:tcW w:w="3350" w:type="dxa"/>
            <w:noWrap w:val="0"/>
            <w:vAlign w:val="center"/>
          </w:tcPr>
          <w:p w14:paraId="6A6F37EF">
            <w:pPr>
              <w:numPr>
                <w:ilvl w:val="0"/>
                <w:numId w:val="0"/>
              </w:numPr>
              <w:spacing w:line="400" w:lineRule="exact"/>
              <w:ind w:left="0" w:leftChars="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涉案检测报告</w:t>
            </w:r>
            <w:r>
              <w:rPr>
                <w:rFonts w:hint="eastAsia" w:ascii="宋体" w:hAnsi="宋体" w:eastAsia="宋体" w:cs="宋体"/>
                <w:i w:val="0"/>
                <w:iCs w:val="0"/>
                <w:caps w:val="0"/>
                <w:color w:val="auto"/>
                <w:spacing w:val="0"/>
                <w:sz w:val="24"/>
                <w:szCs w:val="24"/>
                <w:shd w:val="clear" w:color="auto" w:fill="auto"/>
                <w:lang w:val="en-US" w:eastAsia="zh-CN"/>
              </w:rPr>
              <w:t>5份以上</w:t>
            </w:r>
            <w:r>
              <w:rPr>
                <w:rFonts w:hint="eastAsia" w:ascii="宋体" w:hAnsi="宋体" w:eastAsia="宋体" w:cs="宋体"/>
                <w:i w:val="0"/>
                <w:iCs w:val="0"/>
                <w:caps w:val="0"/>
                <w:color w:val="auto"/>
                <w:spacing w:val="0"/>
                <w:sz w:val="24"/>
                <w:szCs w:val="24"/>
                <w:shd w:val="clear" w:color="auto" w:fill="auto"/>
                <w:lang w:eastAsia="zh-CN"/>
              </w:rPr>
              <w:t>。</w:t>
            </w:r>
          </w:p>
        </w:tc>
        <w:tc>
          <w:tcPr>
            <w:tcW w:w="3259" w:type="dxa"/>
            <w:noWrap w:val="0"/>
            <w:vAlign w:val="center"/>
          </w:tcPr>
          <w:p w14:paraId="416DB7BF">
            <w:pPr>
              <w:spacing w:line="400" w:lineRule="exac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lang w:val="en-US" w:eastAsia="zh-CN"/>
              </w:rPr>
              <w:t>处2.1万元以上3万元以下罚款。</w:t>
            </w:r>
          </w:p>
        </w:tc>
      </w:tr>
      <w:tr w14:paraId="4F1F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778" w:type="dxa"/>
            <w:vMerge w:val="restart"/>
            <w:noWrap w:val="0"/>
            <w:vAlign w:val="center"/>
          </w:tcPr>
          <w:p w14:paraId="5A317FAF">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226</w:t>
            </w:r>
          </w:p>
        </w:tc>
        <w:tc>
          <w:tcPr>
            <w:tcW w:w="1733" w:type="dxa"/>
            <w:vMerge w:val="restart"/>
            <w:noWrap w:val="0"/>
            <w:vAlign w:val="center"/>
          </w:tcPr>
          <w:p w14:paraId="70C7C50C">
            <w:pPr>
              <w:spacing w:line="400" w:lineRule="exact"/>
              <w:ind w:left="42" w:leftChars="20" w:right="0" w:rightChars="0"/>
              <w:jc w:val="left"/>
              <w:rPr>
                <w:rFonts w:hint="eastAsia" w:ascii="宋体" w:hAnsi="宋体" w:eastAsia="宋体" w:cs="宋体"/>
                <w:color w:val="auto"/>
                <w:sz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检验检测机构监督管理办法</w:t>
            </w:r>
            <w:r>
              <w:rPr>
                <w:rFonts w:hint="eastAsia" w:ascii="宋体" w:hAnsi="宋体" w:eastAsia="宋体" w:cs="宋体"/>
                <w:color w:val="auto"/>
                <w:sz w:val="24"/>
                <w:szCs w:val="24"/>
                <w:lang w:eastAsia="zh-CN"/>
              </w:rPr>
              <w:t>》</w:t>
            </w:r>
          </w:p>
        </w:tc>
        <w:tc>
          <w:tcPr>
            <w:tcW w:w="4117" w:type="dxa"/>
            <w:vMerge w:val="restart"/>
            <w:noWrap w:val="0"/>
            <w:vAlign w:val="center"/>
          </w:tcPr>
          <w:p w14:paraId="148C3CC0">
            <w:pPr>
              <w:spacing w:line="400" w:lineRule="exact"/>
              <w:rPr>
                <w:rFonts w:hint="eastAsia" w:ascii="宋体" w:hAnsi="宋体" w:eastAsia="宋体" w:cs="宋体"/>
                <w:i w:val="0"/>
                <w:iCs w:val="0"/>
                <w:caps w:val="0"/>
                <w:color w:val="auto"/>
                <w:spacing w:val="0"/>
                <w:sz w:val="24"/>
                <w:szCs w:val="24"/>
                <w:shd w:val="clear" w:color="auto" w:fill="auto"/>
              </w:rPr>
            </w:pPr>
            <w:r>
              <w:rPr>
                <w:rFonts w:hint="eastAsia" w:ascii="宋体" w:hAnsi="宋体" w:eastAsia="宋体" w:cs="宋体"/>
                <w:i w:val="0"/>
                <w:iCs w:val="0"/>
                <w:caps w:val="0"/>
                <w:color w:val="auto"/>
                <w:spacing w:val="0"/>
                <w:sz w:val="24"/>
                <w:szCs w:val="24"/>
                <w:shd w:val="clear" w:color="auto" w:fill="auto"/>
              </w:rPr>
              <w:t>第二十七条 检验检测机构违反本办法第十四条、第十五条规定，法律、法规、规章对行政处罚有规定的，从其规定；法律、法规、规章未作规定的，由县级以上市场监督管理部门责令限期改正，通报批评，对出具不实检验检测报告的检验检测机构处五万元以下罚款，对出具虚假检验检测报告的检验检测机构处十万元以下罚款。</w:t>
            </w:r>
          </w:p>
        </w:tc>
        <w:tc>
          <w:tcPr>
            <w:tcW w:w="1133" w:type="dxa"/>
            <w:noWrap w:val="0"/>
            <w:vAlign w:val="center"/>
          </w:tcPr>
          <w:p w14:paraId="3FC91922">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较轻</w:t>
            </w:r>
          </w:p>
        </w:tc>
        <w:tc>
          <w:tcPr>
            <w:tcW w:w="3350" w:type="dxa"/>
            <w:noWrap w:val="0"/>
            <w:vAlign w:val="center"/>
          </w:tcPr>
          <w:p w14:paraId="5ADEBB0B">
            <w:pPr>
              <w:numPr>
                <w:ilvl w:val="0"/>
                <w:numId w:val="0"/>
              </w:numPr>
              <w:spacing w:line="400" w:lineRule="exact"/>
              <w:ind w:left="0" w:leftChars="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auto"/>
              </w:rPr>
              <w:t>出具不实检验检测报告</w:t>
            </w:r>
            <w:r>
              <w:rPr>
                <w:rFonts w:hint="eastAsia" w:ascii="宋体" w:hAnsi="宋体" w:eastAsia="宋体" w:cs="宋体"/>
                <w:color w:val="auto"/>
                <w:kern w:val="2"/>
                <w:sz w:val="24"/>
                <w:szCs w:val="24"/>
                <w:lang w:val="en-US" w:eastAsia="zh-CN" w:bidi="ar-SA"/>
              </w:rPr>
              <w:t>1份。</w:t>
            </w:r>
          </w:p>
        </w:tc>
        <w:tc>
          <w:tcPr>
            <w:tcW w:w="3259" w:type="dxa"/>
            <w:noWrap w:val="0"/>
            <w:vAlign w:val="center"/>
          </w:tcPr>
          <w:p w14:paraId="6B2CEFFE">
            <w:pPr>
              <w:spacing w:line="400" w:lineRule="exac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处1.5万元以下罚款。</w:t>
            </w:r>
          </w:p>
        </w:tc>
      </w:tr>
      <w:tr w14:paraId="0FC05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778" w:type="dxa"/>
            <w:vMerge w:val="continue"/>
            <w:noWrap w:val="0"/>
            <w:vAlign w:val="center"/>
          </w:tcPr>
          <w:p w14:paraId="04C6E125">
            <w:pPr>
              <w:spacing w:line="400" w:lineRule="exact"/>
              <w:jc w:val="center"/>
              <w:rPr>
                <w:rFonts w:hint="eastAsia" w:ascii="宋体" w:hAnsi="宋体" w:eastAsia="宋体" w:cs="宋体"/>
                <w:color w:val="auto"/>
                <w:sz w:val="24"/>
                <w:lang w:val="en-US" w:eastAsia="zh-CN"/>
              </w:rPr>
            </w:pPr>
          </w:p>
        </w:tc>
        <w:tc>
          <w:tcPr>
            <w:tcW w:w="1733" w:type="dxa"/>
            <w:vMerge w:val="continue"/>
            <w:noWrap w:val="0"/>
            <w:vAlign w:val="center"/>
          </w:tcPr>
          <w:p w14:paraId="421F9F13">
            <w:pPr>
              <w:spacing w:line="400" w:lineRule="exact"/>
              <w:ind w:left="42" w:leftChars="20" w:right="0" w:rightChars="0"/>
              <w:jc w:val="left"/>
              <w:rPr>
                <w:rFonts w:hint="eastAsia" w:ascii="宋体" w:hAnsi="宋体" w:eastAsia="宋体" w:cs="宋体"/>
                <w:color w:val="auto"/>
                <w:sz w:val="24"/>
                <w:szCs w:val="24"/>
                <w:lang w:eastAsia="zh-CN"/>
              </w:rPr>
            </w:pPr>
          </w:p>
        </w:tc>
        <w:tc>
          <w:tcPr>
            <w:tcW w:w="4117" w:type="dxa"/>
            <w:vMerge w:val="continue"/>
            <w:noWrap w:val="0"/>
            <w:vAlign w:val="center"/>
          </w:tcPr>
          <w:p w14:paraId="639C469E">
            <w:pPr>
              <w:spacing w:line="400" w:lineRule="exact"/>
              <w:rPr>
                <w:rFonts w:hint="eastAsia" w:ascii="宋体" w:hAnsi="宋体" w:eastAsia="宋体" w:cs="宋体"/>
                <w:i w:val="0"/>
                <w:iCs w:val="0"/>
                <w:caps w:val="0"/>
                <w:color w:val="auto"/>
                <w:spacing w:val="0"/>
                <w:sz w:val="24"/>
                <w:szCs w:val="24"/>
                <w:shd w:val="clear" w:color="auto" w:fill="auto"/>
              </w:rPr>
            </w:pPr>
          </w:p>
        </w:tc>
        <w:tc>
          <w:tcPr>
            <w:tcW w:w="1133" w:type="dxa"/>
            <w:noWrap w:val="0"/>
            <w:vAlign w:val="center"/>
          </w:tcPr>
          <w:p w14:paraId="6255B173">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一般</w:t>
            </w:r>
          </w:p>
        </w:tc>
        <w:tc>
          <w:tcPr>
            <w:tcW w:w="3350" w:type="dxa"/>
            <w:noWrap w:val="0"/>
            <w:vAlign w:val="center"/>
          </w:tcPr>
          <w:p w14:paraId="6421EFC3">
            <w:pPr>
              <w:numPr>
                <w:ilvl w:val="0"/>
                <w:numId w:val="0"/>
              </w:numPr>
              <w:spacing w:line="400" w:lineRule="exact"/>
              <w:ind w:left="0" w:leftChars="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auto"/>
              </w:rPr>
              <w:t>出具不实检验检测报告</w:t>
            </w:r>
            <w:r>
              <w:rPr>
                <w:rFonts w:hint="eastAsia" w:ascii="宋体" w:hAnsi="宋体" w:eastAsia="宋体" w:cs="宋体"/>
                <w:i w:val="0"/>
                <w:iCs w:val="0"/>
                <w:caps w:val="0"/>
                <w:color w:val="auto"/>
                <w:spacing w:val="0"/>
                <w:sz w:val="24"/>
                <w:szCs w:val="24"/>
                <w:shd w:val="clear" w:color="auto" w:fill="auto"/>
                <w:lang w:val="en-US" w:eastAsia="zh-CN"/>
              </w:rPr>
              <w:t>2份以上5份以下</w:t>
            </w:r>
            <w:r>
              <w:rPr>
                <w:rFonts w:hint="eastAsia" w:ascii="宋体" w:hAnsi="宋体" w:eastAsia="宋体" w:cs="宋体"/>
                <w:i w:val="0"/>
                <w:iCs w:val="0"/>
                <w:caps w:val="0"/>
                <w:color w:val="auto"/>
                <w:spacing w:val="0"/>
                <w:sz w:val="24"/>
                <w:szCs w:val="24"/>
                <w:shd w:val="clear" w:color="auto" w:fill="auto"/>
                <w:lang w:eastAsia="zh-CN"/>
              </w:rPr>
              <w:t>。</w:t>
            </w:r>
          </w:p>
        </w:tc>
        <w:tc>
          <w:tcPr>
            <w:tcW w:w="3259" w:type="dxa"/>
            <w:noWrap w:val="0"/>
            <w:vAlign w:val="center"/>
          </w:tcPr>
          <w:p w14:paraId="71A025F5">
            <w:pPr>
              <w:spacing w:line="400" w:lineRule="exac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处1.5万元以上3.5万元以下罚款。</w:t>
            </w:r>
          </w:p>
        </w:tc>
      </w:tr>
      <w:tr w14:paraId="57AFC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778" w:type="dxa"/>
            <w:vMerge w:val="continue"/>
            <w:noWrap w:val="0"/>
            <w:vAlign w:val="center"/>
          </w:tcPr>
          <w:p w14:paraId="06169624">
            <w:pPr>
              <w:spacing w:line="400" w:lineRule="exact"/>
              <w:jc w:val="center"/>
              <w:rPr>
                <w:rFonts w:hint="eastAsia" w:ascii="宋体" w:hAnsi="宋体" w:eastAsia="宋体" w:cs="宋体"/>
                <w:color w:val="auto"/>
                <w:sz w:val="24"/>
                <w:lang w:val="en-US" w:eastAsia="zh-CN"/>
              </w:rPr>
            </w:pPr>
          </w:p>
        </w:tc>
        <w:tc>
          <w:tcPr>
            <w:tcW w:w="1733" w:type="dxa"/>
            <w:vMerge w:val="continue"/>
            <w:noWrap w:val="0"/>
            <w:vAlign w:val="center"/>
          </w:tcPr>
          <w:p w14:paraId="0F236599">
            <w:pPr>
              <w:spacing w:line="400" w:lineRule="exact"/>
              <w:ind w:left="42" w:leftChars="20" w:right="0" w:rightChars="0"/>
              <w:jc w:val="left"/>
              <w:rPr>
                <w:rFonts w:hint="eastAsia" w:ascii="宋体" w:hAnsi="宋体" w:eastAsia="宋体" w:cs="宋体"/>
                <w:color w:val="auto"/>
                <w:sz w:val="24"/>
                <w:szCs w:val="24"/>
                <w:lang w:eastAsia="zh-CN"/>
              </w:rPr>
            </w:pPr>
          </w:p>
        </w:tc>
        <w:tc>
          <w:tcPr>
            <w:tcW w:w="4117" w:type="dxa"/>
            <w:vMerge w:val="continue"/>
            <w:noWrap w:val="0"/>
            <w:vAlign w:val="center"/>
          </w:tcPr>
          <w:p w14:paraId="0D9528CC">
            <w:pPr>
              <w:spacing w:line="400" w:lineRule="exact"/>
              <w:rPr>
                <w:rFonts w:hint="eastAsia" w:ascii="宋体" w:hAnsi="宋体" w:eastAsia="宋体" w:cs="宋体"/>
                <w:i w:val="0"/>
                <w:iCs w:val="0"/>
                <w:caps w:val="0"/>
                <w:color w:val="auto"/>
                <w:spacing w:val="0"/>
                <w:sz w:val="24"/>
                <w:szCs w:val="24"/>
                <w:shd w:val="clear" w:color="auto" w:fill="auto"/>
              </w:rPr>
            </w:pPr>
          </w:p>
        </w:tc>
        <w:tc>
          <w:tcPr>
            <w:tcW w:w="1133" w:type="dxa"/>
            <w:noWrap w:val="0"/>
            <w:vAlign w:val="center"/>
          </w:tcPr>
          <w:p w14:paraId="47620D66">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较重</w:t>
            </w:r>
          </w:p>
        </w:tc>
        <w:tc>
          <w:tcPr>
            <w:tcW w:w="3350" w:type="dxa"/>
            <w:noWrap w:val="0"/>
            <w:vAlign w:val="center"/>
          </w:tcPr>
          <w:p w14:paraId="773240FD">
            <w:pPr>
              <w:numPr>
                <w:ilvl w:val="0"/>
                <w:numId w:val="0"/>
              </w:numPr>
              <w:spacing w:line="400" w:lineRule="exact"/>
              <w:ind w:left="0" w:leftChars="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auto"/>
              </w:rPr>
              <w:t>出具不实检验检测报告</w:t>
            </w:r>
            <w:r>
              <w:rPr>
                <w:rFonts w:hint="eastAsia" w:ascii="宋体" w:hAnsi="宋体" w:eastAsia="宋体" w:cs="宋体"/>
                <w:i w:val="0"/>
                <w:iCs w:val="0"/>
                <w:caps w:val="0"/>
                <w:color w:val="auto"/>
                <w:spacing w:val="0"/>
                <w:sz w:val="24"/>
                <w:szCs w:val="24"/>
                <w:shd w:val="clear" w:color="auto" w:fill="auto"/>
                <w:lang w:val="en-US" w:eastAsia="zh-CN"/>
              </w:rPr>
              <w:t>5份以上</w:t>
            </w:r>
            <w:r>
              <w:rPr>
                <w:rFonts w:hint="eastAsia" w:ascii="宋体" w:hAnsi="宋体" w:eastAsia="宋体" w:cs="宋体"/>
                <w:i w:val="0"/>
                <w:iCs w:val="0"/>
                <w:caps w:val="0"/>
                <w:color w:val="auto"/>
                <w:spacing w:val="0"/>
                <w:sz w:val="24"/>
                <w:szCs w:val="24"/>
                <w:shd w:val="clear" w:color="auto" w:fill="auto"/>
                <w:lang w:eastAsia="zh-CN"/>
              </w:rPr>
              <w:t>。</w:t>
            </w:r>
          </w:p>
        </w:tc>
        <w:tc>
          <w:tcPr>
            <w:tcW w:w="3259" w:type="dxa"/>
            <w:noWrap w:val="0"/>
            <w:vAlign w:val="center"/>
          </w:tcPr>
          <w:p w14:paraId="5F393BCD">
            <w:pPr>
              <w:spacing w:line="400" w:lineRule="exac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处3.5万元以上5万元以下罚款。</w:t>
            </w:r>
          </w:p>
        </w:tc>
      </w:tr>
      <w:tr w14:paraId="5CED9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778" w:type="dxa"/>
            <w:vMerge w:val="restart"/>
            <w:noWrap w:val="0"/>
            <w:vAlign w:val="center"/>
          </w:tcPr>
          <w:p w14:paraId="2D36FAA4">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227</w:t>
            </w:r>
          </w:p>
        </w:tc>
        <w:tc>
          <w:tcPr>
            <w:tcW w:w="1733" w:type="dxa"/>
            <w:vMerge w:val="restart"/>
            <w:noWrap w:val="0"/>
            <w:vAlign w:val="center"/>
          </w:tcPr>
          <w:p w14:paraId="4422EC99">
            <w:pPr>
              <w:spacing w:line="400" w:lineRule="exact"/>
              <w:ind w:left="42" w:leftChars="20" w:right="0" w:rightChars="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检验检测机构监督管理办法</w:t>
            </w:r>
            <w:r>
              <w:rPr>
                <w:rFonts w:hint="eastAsia" w:ascii="宋体" w:hAnsi="宋体" w:eastAsia="宋体" w:cs="宋体"/>
                <w:color w:val="auto"/>
                <w:sz w:val="24"/>
                <w:szCs w:val="24"/>
                <w:lang w:eastAsia="zh-CN"/>
              </w:rPr>
              <w:t>》</w:t>
            </w:r>
          </w:p>
        </w:tc>
        <w:tc>
          <w:tcPr>
            <w:tcW w:w="4117" w:type="dxa"/>
            <w:vMerge w:val="restart"/>
            <w:noWrap w:val="0"/>
            <w:vAlign w:val="center"/>
          </w:tcPr>
          <w:p w14:paraId="2BE5A22D">
            <w:pPr>
              <w:spacing w:line="400" w:lineRule="exact"/>
              <w:rPr>
                <w:rFonts w:hint="eastAsia" w:ascii="宋体" w:hAnsi="宋体" w:eastAsia="宋体" w:cs="宋体"/>
                <w:i w:val="0"/>
                <w:iCs w:val="0"/>
                <w:caps w:val="0"/>
                <w:color w:val="auto"/>
                <w:spacing w:val="0"/>
                <w:kern w:val="2"/>
                <w:sz w:val="24"/>
                <w:szCs w:val="24"/>
                <w:shd w:val="clear" w:color="auto" w:fill="auto"/>
                <w:lang w:val="en-US" w:eastAsia="zh-CN" w:bidi="ar-SA"/>
              </w:rPr>
            </w:pPr>
            <w:r>
              <w:rPr>
                <w:rFonts w:hint="eastAsia" w:ascii="宋体" w:hAnsi="宋体" w:eastAsia="宋体" w:cs="宋体"/>
                <w:i w:val="0"/>
                <w:iCs w:val="0"/>
                <w:caps w:val="0"/>
                <w:color w:val="auto"/>
                <w:spacing w:val="0"/>
                <w:sz w:val="24"/>
                <w:szCs w:val="24"/>
                <w:shd w:val="clear" w:color="auto" w:fill="auto"/>
              </w:rPr>
              <w:t>第二十七条 检验检测机构违反本办法第十四条、第十五条规定，法律、法规、规章对行政处罚有规定的，从其规定；法律、法规、规章未作规定的，由县级以上市场监督管理部门责令限期改正，通报批评，对出具不实检验检测报告的检验检测机构处五万元以下罚款，对出具虚假检验检测报告的检验检测机构处十万元以下罚款。</w:t>
            </w:r>
          </w:p>
        </w:tc>
        <w:tc>
          <w:tcPr>
            <w:tcW w:w="1133" w:type="dxa"/>
            <w:noWrap w:val="0"/>
            <w:vAlign w:val="center"/>
          </w:tcPr>
          <w:p w14:paraId="4E3406C5">
            <w:pPr>
              <w:spacing w:line="4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lang w:val="en-US" w:eastAsia="zh-CN"/>
              </w:rPr>
              <w:t>较轻</w:t>
            </w:r>
          </w:p>
        </w:tc>
        <w:tc>
          <w:tcPr>
            <w:tcW w:w="3350" w:type="dxa"/>
            <w:noWrap w:val="0"/>
            <w:vAlign w:val="center"/>
          </w:tcPr>
          <w:p w14:paraId="6296B658">
            <w:pPr>
              <w:numPr>
                <w:ilvl w:val="0"/>
                <w:numId w:val="0"/>
              </w:numPr>
              <w:spacing w:line="400" w:lineRule="exact"/>
              <w:ind w:left="0" w:leftChars="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auto"/>
              </w:rPr>
              <w:t>出具虚假检验检测报告</w:t>
            </w:r>
            <w:r>
              <w:rPr>
                <w:rFonts w:hint="eastAsia" w:ascii="宋体" w:hAnsi="宋体" w:eastAsia="宋体" w:cs="宋体"/>
                <w:color w:val="auto"/>
                <w:kern w:val="2"/>
                <w:sz w:val="24"/>
                <w:szCs w:val="24"/>
                <w:lang w:val="en-US" w:eastAsia="zh-CN" w:bidi="ar-SA"/>
              </w:rPr>
              <w:t>1份。</w:t>
            </w:r>
          </w:p>
        </w:tc>
        <w:tc>
          <w:tcPr>
            <w:tcW w:w="3259" w:type="dxa"/>
            <w:noWrap w:val="0"/>
            <w:vAlign w:val="center"/>
          </w:tcPr>
          <w:p w14:paraId="1AD3E807">
            <w:pPr>
              <w:spacing w:line="400" w:lineRule="exac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lang w:val="en-US" w:eastAsia="zh-CN"/>
              </w:rPr>
              <w:t>处3万元以下罚款。</w:t>
            </w:r>
          </w:p>
        </w:tc>
      </w:tr>
      <w:tr w14:paraId="03FD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778" w:type="dxa"/>
            <w:vMerge w:val="continue"/>
            <w:noWrap w:val="0"/>
            <w:vAlign w:val="center"/>
          </w:tcPr>
          <w:p w14:paraId="36C37139">
            <w:pPr>
              <w:spacing w:line="400" w:lineRule="exact"/>
              <w:jc w:val="center"/>
              <w:rPr>
                <w:rFonts w:hint="eastAsia" w:ascii="宋体" w:hAnsi="宋体" w:eastAsia="宋体" w:cs="宋体"/>
                <w:color w:val="auto"/>
                <w:sz w:val="24"/>
                <w:lang w:val="en-US" w:eastAsia="zh-CN"/>
              </w:rPr>
            </w:pPr>
          </w:p>
        </w:tc>
        <w:tc>
          <w:tcPr>
            <w:tcW w:w="1733" w:type="dxa"/>
            <w:vMerge w:val="continue"/>
            <w:noWrap w:val="0"/>
            <w:vAlign w:val="center"/>
          </w:tcPr>
          <w:p w14:paraId="257D2F38">
            <w:pPr>
              <w:spacing w:line="400" w:lineRule="exact"/>
              <w:ind w:left="42" w:leftChars="20" w:right="0" w:rightChars="0"/>
              <w:jc w:val="left"/>
              <w:rPr>
                <w:rFonts w:hint="eastAsia" w:ascii="宋体" w:hAnsi="宋体" w:eastAsia="宋体" w:cs="宋体"/>
                <w:color w:val="auto"/>
                <w:sz w:val="24"/>
                <w:szCs w:val="24"/>
                <w:lang w:eastAsia="zh-CN"/>
              </w:rPr>
            </w:pPr>
          </w:p>
        </w:tc>
        <w:tc>
          <w:tcPr>
            <w:tcW w:w="4117" w:type="dxa"/>
            <w:vMerge w:val="continue"/>
            <w:noWrap w:val="0"/>
            <w:vAlign w:val="center"/>
          </w:tcPr>
          <w:p w14:paraId="2D61CF08">
            <w:pPr>
              <w:spacing w:line="400" w:lineRule="exact"/>
              <w:rPr>
                <w:rFonts w:hint="eastAsia" w:ascii="宋体" w:hAnsi="宋体" w:eastAsia="宋体" w:cs="宋体"/>
                <w:i w:val="0"/>
                <w:iCs w:val="0"/>
                <w:caps w:val="0"/>
                <w:color w:val="auto"/>
                <w:spacing w:val="0"/>
                <w:sz w:val="24"/>
                <w:szCs w:val="24"/>
                <w:shd w:val="clear" w:color="auto" w:fill="auto"/>
              </w:rPr>
            </w:pPr>
          </w:p>
        </w:tc>
        <w:tc>
          <w:tcPr>
            <w:tcW w:w="1133" w:type="dxa"/>
            <w:noWrap w:val="0"/>
            <w:vAlign w:val="center"/>
          </w:tcPr>
          <w:p w14:paraId="2FB92CBA">
            <w:pPr>
              <w:spacing w:line="4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lang w:val="en-US" w:eastAsia="zh-CN"/>
              </w:rPr>
              <w:t>一般</w:t>
            </w:r>
          </w:p>
        </w:tc>
        <w:tc>
          <w:tcPr>
            <w:tcW w:w="3350" w:type="dxa"/>
            <w:noWrap w:val="0"/>
            <w:vAlign w:val="center"/>
          </w:tcPr>
          <w:p w14:paraId="16C31D3D">
            <w:pPr>
              <w:numPr>
                <w:ilvl w:val="0"/>
                <w:numId w:val="0"/>
              </w:numPr>
              <w:spacing w:line="400" w:lineRule="exact"/>
              <w:ind w:left="0" w:leftChars="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auto"/>
              </w:rPr>
              <w:t>出具虚假检验检测报告</w:t>
            </w:r>
            <w:r>
              <w:rPr>
                <w:rFonts w:hint="eastAsia" w:ascii="宋体" w:hAnsi="宋体" w:eastAsia="宋体" w:cs="宋体"/>
                <w:i w:val="0"/>
                <w:iCs w:val="0"/>
                <w:caps w:val="0"/>
                <w:color w:val="auto"/>
                <w:spacing w:val="0"/>
                <w:sz w:val="24"/>
                <w:szCs w:val="24"/>
                <w:shd w:val="clear" w:color="auto" w:fill="auto"/>
                <w:lang w:val="en-US" w:eastAsia="zh-CN"/>
              </w:rPr>
              <w:t>2份以上5份以下</w:t>
            </w:r>
            <w:r>
              <w:rPr>
                <w:rFonts w:hint="eastAsia" w:ascii="宋体" w:hAnsi="宋体" w:eastAsia="宋体" w:cs="宋体"/>
                <w:i w:val="0"/>
                <w:iCs w:val="0"/>
                <w:caps w:val="0"/>
                <w:color w:val="auto"/>
                <w:spacing w:val="0"/>
                <w:sz w:val="24"/>
                <w:szCs w:val="24"/>
                <w:shd w:val="clear" w:color="auto" w:fill="auto"/>
                <w:lang w:eastAsia="zh-CN"/>
              </w:rPr>
              <w:t>。</w:t>
            </w:r>
          </w:p>
        </w:tc>
        <w:tc>
          <w:tcPr>
            <w:tcW w:w="3259" w:type="dxa"/>
            <w:noWrap w:val="0"/>
            <w:vAlign w:val="center"/>
          </w:tcPr>
          <w:p w14:paraId="42B508EB">
            <w:pPr>
              <w:spacing w:line="400" w:lineRule="exac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lang w:val="en-US" w:eastAsia="zh-CN"/>
              </w:rPr>
              <w:t>处3万元以上7万元以下罚款。</w:t>
            </w:r>
          </w:p>
        </w:tc>
      </w:tr>
      <w:tr w14:paraId="7C0B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778" w:type="dxa"/>
            <w:vMerge w:val="continue"/>
            <w:noWrap w:val="0"/>
            <w:vAlign w:val="center"/>
          </w:tcPr>
          <w:p w14:paraId="0DF7458B">
            <w:pPr>
              <w:spacing w:line="400" w:lineRule="exact"/>
              <w:jc w:val="center"/>
              <w:rPr>
                <w:rFonts w:hint="eastAsia" w:ascii="宋体" w:hAnsi="宋体" w:eastAsia="宋体" w:cs="宋体"/>
                <w:color w:val="auto"/>
                <w:sz w:val="24"/>
                <w:lang w:val="en-US" w:eastAsia="zh-CN"/>
              </w:rPr>
            </w:pPr>
          </w:p>
        </w:tc>
        <w:tc>
          <w:tcPr>
            <w:tcW w:w="1733" w:type="dxa"/>
            <w:vMerge w:val="continue"/>
            <w:noWrap w:val="0"/>
            <w:vAlign w:val="center"/>
          </w:tcPr>
          <w:p w14:paraId="7D02D43B">
            <w:pPr>
              <w:spacing w:line="400" w:lineRule="exact"/>
              <w:ind w:left="42" w:leftChars="20" w:right="0" w:rightChars="0"/>
              <w:jc w:val="left"/>
              <w:rPr>
                <w:rFonts w:hint="eastAsia" w:ascii="宋体" w:hAnsi="宋体" w:eastAsia="宋体" w:cs="宋体"/>
                <w:color w:val="auto"/>
                <w:sz w:val="24"/>
                <w:szCs w:val="24"/>
                <w:lang w:eastAsia="zh-CN"/>
              </w:rPr>
            </w:pPr>
          </w:p>
        </w:tc>
        <w:tc>
          <w:tcPr>
            <w:tcW w:w="4117" w:type="dxa"/>
            <w:vMerge w:val="continue"/>
            <w:noWrap w:val="0"/>
            <w:vAlign w:val="center"/>
          </w:tcPr>
          <w:p w14:paraId="53D494F4">
            <w:pPr>
              <w:spacing w:line="400" w:lineRule="exact"/>
              <w:rPr>
                <w:rFonts w:hint="eastAsia" w:ascii="宋体" w:hAnsi="宋体" w:eastAsia="宋体" w:cs="宋体"/>
                <w:i w:val="0"/>
                <w:iCs w:val="0"/>
                <w:caps w:val="0"/>
                <w:color w:val="auto"/>
                <w:spacing w:val="0"/>
                <w:sz w:val="24"/>
                <w:szCs w:val="24"/>
                <w:shd w:val="clear" w:color="auto" w:fill="auto"/>
              </w:rPr>
            </w:pPr>
          </w:p>
        </w:tc>
        <w:tc>
          <w:tcPr>
            <w:tcW w:w="1133" w:type="dxa"/>
            <w:noWrap w:val="0"/>
            <w:vAlign w:val="center"/>
          </w:tcPr>
          <w:p w14:paraId="6DCB4B20">
            <w:pPr>
              <w:spacing w:line="40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lang w:val="en-US" w:eastAsia="zh-CN"/>
              </w:rPr>
              <w:t>较重</w:t>
            </w:r>
          </w:p>
        </w:tc>
        <w:tc>
          <w:tcPr>
            <w:tcW w:w="3350" w:type="dxa"/>
            <w:noWrap w:val="0"/>
            <w:vAlign w:val="center"/>
          </w:tcPr>
          <w:p w14:paraId="00B959AA">
            <w:pPr>
              <w:numPr>
                <w:ilvl w:val="0"/>
                <w:numId w:val="0"/>
              </w:numPr>
              <w:spacing w:line="400" w:lineRule="exact"/>
              <w:ind w:left="0" w:leftChars="0"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auto"/>
              </w:rPr>
              <w:t>出具虚假检验检测报告</w:t>
            </w:r>
            <w:r>
              <w:rPr>
                <w:rFonts w:hint="eastAsia" w:ascii="宋体" w:hAnsi="宋体" w:eastAsia="宋体" w:cs="宋体"/>
                <w:i w:val="0"/>
                <w:iCs w:val="0"/>
                <w:caps w:val="0"/>
                <w:color w:val="auto"/>
                <w:spacing w:val="0"/>
                <w:sz w:val="24"/>
                <w:szCs w:val="24"/>
                <w:shd w:val="clear" w:color="auto" w:fill="auto"/>
                <w:lang w:val="en-US" w:eastAsia="zh-CN"/>
              </w:rPr>
              <w:t>5份以上</w:t>
            </w:r>
            <w:r>
              <w:rPr>
                <w:rFonts w:hint="eastAsia" w:ascii="宋体" w:hAnsi="宋体" w:eastAsia="宋体" w:cs="宋体"/>
                <w:i w:val="0"/>
                <w:iCs w:val="0"/>
                <w:caps w:val="0"/>
                <w:color w:val="auto"/>
                <w:spacing w:val="0"/>
                <w:sz w:val="24"/>
                <w:szCs w:val="24"/>
                <w:shd w:val="clear" w:color="auto" w:fill="auto"/>
                <w:lang w:eastAsia="zh-CN"/>
              </w:rPr>
              <w:t>。</w:t>
            </w:r>
          </w:p>
        </w:tc>
        <w:tc>
          <w:tcPr>
            <w:tcW w:w="3259" w:type="dxa"/>
            <w:noWrap w:val="0"/>
            <w:vAlign w:val="center"/>
          </w:tcPr>
          <w:p w14:paraId="058E5638">
            <w:pPr>
              <w:spacing w:line="400" w:lineRule="exac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lang w:val="en-US" w:eastAsia="zh-CN"/>
              </w:rPr>
              <w:t>处7万元以上10万元以下罚款。</w:t>
            </w:r>
          </w:p>
        </w:tc>
      </w:tr>
      <w:tr w14:paraId="2DAD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78" w:type="dxa"/>
            <w:vMerge w:val="restart"/>
            <w:noWrap w:val="0"/>
            <w:vAlign w:val="center"/>
          </w:tcPr>
          <w:p w14:paraId="655D4C35">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228</w:t>
            </w:r>
          </w:p>
        </w:tc>
        <w:tc>
          <w:tcPr>
            <w:tcW w:w="1733" w:type="dxa"/>
            <w:vMerge w:val="restart"/>
            <w:noWrap w:val="0"/>
            <w:vAlign w:val="center"/>
          </w:tcPr>
          <w:p w14:paraId="0AA8CA1A">
            <w:pPr>
              <w:spacing w:line="400" w:lineRule="exact"/>
              <w:ind w:left="42" w:leftChars="20" w:right="0" w:rightChars="0"/>
              <w:jc w:val="left"/>
              <w:outlineLvl w:val="2"/>
              <w:rPr>
                <w:rFonts w:hint="eastAsia" w:ascii="宋体" w:hAnsi="宋体" w:eastAsia="宋体" w:cs="宋体"/>
                <w:color w:val="auto"/>
                <w:sz w:val="24"/>
              </w:rPr>
            </w:pPr>
            <w:bookmarkStart w:id="270" w:name="_Toc21092"/>
            <w:bookmarkStart w:id="271" w:name="_Toc22455"/>
            <w:bookmarkStart w:id="272" w:name="_Toc29565"/>
            <w:bookmarkStart w:id="273" w:name="_Toc6408"/>
            <w:r>
              <w:rPr>
                <w:rFonts w:hint="eastAsia" w:ascii="宋体" w:hAnsi="宋体" w:eastAsia="宋体" w:cs="宋体"/>
                <w:color w:val="auto"/>
                <w:sz w:val="24"/>
              </w:rPr>
              <w:t>《认证证书和认证标志管理办法》</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2022年11月1日起施行</w:t>
            </w:r>
            <w:r>
              <w:rPr>
                <w:rFonts w:hint="eastAsia" w:ascii="宋体" w:hAnsi="宋体" w:eastAsia="宋体" w:cs="宋体"/>
                <w:color w:val="auto"/>
                <w:sz w:val="24"/>
                <w:lang w:eastAsia="zh-CN"/>
              </w:rPr>
              <w:t>）</w:t>
            </w:r>
            <w:bookmarkEnd w:id="270"/>
            <w:bookmarkEnd w:id="271"/>
            <w:bookmarkEnd w:id="272"/>
            <w:bookmarkEnd w:id="273"/>
          </w:p>
        </w:tc>
        <w:tc>
          <w:tcPr>
            <w:tcW w:w="4117" w:type="dxa"/>
            <w:vMerge w:val="restart"/>
            <w:noWrap w:val="0"/>
            <w:vAlign w:val="center"/>
          </w:tcPr>
          <w:p w14:paraId="1B955E9F">
            <w:pPr>
              <w:bidi w:val="0"/>
              <w:spacing w:line="400" w:lineRule="exact"/>
              <w:jc w:val="left"/>
              <w:rPr>
                <w:rFonts w:hint="eastAsia" w:ascii="宋体" w:hAnsi="宋体" w:eastAsia="宋体" w:cs="宋体"/>
                <w:color w:val="auto"/>
                <w:sz w:val="24"/>
                <w:lang w:val="en-US" w:eastAsia="zh-CN"/>
              </w:rPr>
            </w:pPr>
            <w:r>
              <w:rPr>
                <w:rFonts w:hint="eastAsia" w:ascii="宋体" w:hAnsi="宋体" w:eastAsia="宋体" w:cs="宋体"/>
                <w:color w:val="auto"/>
                <w:sz w:val="24"/>
                <w:szCs w:val="24"/>
                <w:shd w:val="clear" w:color="auto" w:fill="auto"/>
              </w:rPr>
              <w:t>第二十五条 违反本办法第十二条规定，对混淆使用认证证书和认证标志的，地方认证监督管理部门应当责令其限期改正，逾期不改的处以2万元以下罚款</w:t>
            </w:r>
            <w:r>
              <w:rPr>
                <w:rFonts w:hint="eastAsia" w:ascii="宋体" w:hAnsi="宋体" w:eastAsia="宋体" w:cs="宋体"/>
                <w:color w:val="auto"/>
                <w:sz w:val="24"/>
                <w:szCs w:val="24"/>
                <w:shd w:val="clear" w:color="auto" w:fill="auto"/>
                <w:lang w:eastAsia="zh-CN"/>
              </w:rPr>
              <w:t>。</w:t>
            </w:r>
          </w:p>
        </w:tc>
        <w:tc>
          <w:tcPr>
            <w:tcW w:w="1133" w:type="dxa"/>
            <w:noWrap w:val="0"/>
            <w:vAlign w:val="center"/>
          </w:tcPr>
          <w:p w14:paraId="027EFE3D">
            <w:pPr>
              <w:widowControl/>
              <w:spacing w:line="400" w:lineRule="exact"/>
              <w:jc w:val="center"/>
              <w:rPr>
                <w:rFonts w:hint="eastAsia" w:ascii="宋体" w:hAnsi="宋体" w:eastAsia="宋体" w:cs="宋体"/>
                <w:color w:val="auto"/>
                <w:kern w:val="0"/>
                <w:sz w:val="24"/>
              </w:rPr>
            </w:pPr>
            <w:r>
              <w:rPr>
                <w:rFonts w:hint="eastAsia" w:ascii="宋体" w:hAnsi="宋体" w:eastAsia="宋体" w:cs="宋体"/>
                <w:color w:val="auto"/>
                <w:kern w:val="0"/>
                <w:sz w:val="24"/>
              </w:rPr>
              <w:t>较轻</w:t>
            </w:r>
          </w:p>
        </w:tc>
        <w:tc>
          <w:tcPr>
            <w:tcW w:w="3350" w:type="dxa"/>
            <w:noWrap w:val="0"/>
            <w:vAlign w:val="center"/>
          </w:tcPr>
          <w:p w14:paraId="61EDFAD7">
            <w:pPr>
              <w:numPr>
                <w:ilvl w:val="0"/>
                <w:numId w:val="0"/>
              </w:numPr>
              <w:tabs>
                <w:tab w:val="left" w:pos="0"/>
              </w:tabs>
              <w:spacing w:line="400" w:lineRule="exact"/>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违法产品数量100件以</w:t>
            </w:r>
            <w:r>
              <w:rPr>
                <w:rFonts w:hint="eastAsia" w:ascii="宋体" w:hAnsi="宋体" w:eastAsia="宋体" w:cs="宋体"/>
                <w:color w:val="auto"/>
                <w:sz w:val="24"/>
                <w:lang w:val="en-US" w:eastAsia="zh-CN"/>
              </w:rPr>
              <w:t>下的</w:t>
            </w:r>
            <w:r>
              <w:rPr>
                <w:rFonts w:hint="eastAsia" w:ascii="宋体" w:hAnsi="宋体" w:eastAsia="宋体" w:cs="宋体"/>
                <w:color w:val="auto"/>
                <w:sz w:val="24"/>
                <w:lang w:eastAsia="zh-CN"/>
              </w:rPr>
              <w:t>。</w:t>
            </w:r>
          </w:p>
        </w:tc>
        <w:tc>
          <w:tcPr>
            <w:tcW w:w="3259" w:type="dxa"/>
            <w:noWrap w:val="0"/>
            <w:vAlign w:val="center"/>
          </w:tcPr>
          <w:p w14:paraId="158BA5DB">
            <w:pPr>
              <w:numPr>
                <w:ilvl w:val="0"/>
                <w:numId w:val="0"/>
              </w:numPr>
              <w:tabs>
                <w:tab w:val="left" w:pos="0"/>
              </w:tabs>
              <w:spacing w:line="400" w:lineRule="exact"/>
              <w:ind w:left="0" w:leftChars="0" w:firstLine="0" w:firstLineChars="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处</w:t>
            </w:r>
            <w:r>
              <w:rPr>
                <w:rFonts w:hint="eastAsia" w:ascii="宋体" w:hAnsi="宋体" w:eastAsia="宋体" w:cs="宋体"/>
                <w:color w:val="auto"/>
                <w:sz w:val="24"/>
                <w:szCs w:val="24"/>
                <w:shd w:val="clear" w:color="auto" w:fill="auto"/>
              </w:rPr>
              <w:t>以</w:t>
            </w:r>
            <w:r>
              <w:rPr>
                <w:rFonts w:hint="eastAsia" w:ascii="宋体" w:hAnsi="宋体" w:eastAsia="宋体" w:cs="宋体"/>
                <w:color w:val="auto"/>
                <w:sz w:val="24"/>
                <w:lang w:val="en-US" w:eastAsia="zh-CN"/>
              </w:rPr>
              <w:t>6000元以下</w:t>
            </w:r>
            <w:r>
              <w:rPr>
                <w:rFonts w:hint="eastAsia" w:ascii="宋体" w:hAnsi="宋体" w:cs="宋体"/>
                <w:color w:val="auto"/>
                <w:sz w:val="24"/>
                <w:lang w:val="en-US" w:eastAsia="zh-CN"/>
              </w:rPr>
              <w:t>罚款</w:t>
            </w:r>
            <w:r>
              <w:rPr>
                <w:rFonts w:hint="eastAsia" w:ascii="宋体" w:hAnsi="宋体" w:eastAsia="宋体" w:cs="宋体"/>
                <w:color w:val="auto"/>
                <w:sz w:val="24"/>
                <w:lang w:val="en-US" w:eastAsia="zh-CN"/>
              </w:rPr>
              <w:t>。</w:t>
            </w:r>
          </w:p>
        </w:tc>
      </w:tr>
      <w:tr w14:paraId="33D4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78" w:type="dxa"/>
            <w:vMerge w:val="continue"/>
            <w:noWrap w:val="0"/>
            <w:vAlign w:val="center"/>
          </w:tcPr>
          <w:p w14:paraId="419CC56C">
            <w:pPr>
              <w:spacing w:line="400" w:lineRule="exact"/>
              <w:jc w:val="center"/>
              <w:rPr>
                <w:rFonts w:hint="eastAsia" w:ascii="宋体" w:hAnsi="宋体" w:eastAsia="宋体" w:cs="宋体"/>
                <w:color w:val="auto"/>
                <w:sz w:val="24"/>
                <w:lang w:val="en-US" w:eastAsia="zh-CN"/>
              </w:rPr>
            </w:pPr>
          </w:p>
        </w:tc>
        <w:tc>
          <w:tcPr>
            <w:tcW w:w="1733" w:type="dxa"/>
            <w:vMerge w:val="continue"/>
            <w:noWrap w:val="0"/>
            <w:vAlign w:val="center"/>
          </w:tcPr>
          <w:p w14:paraId="2AF399C8">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45E63305">
            <w:pPr>
              <w:spacing w:line="400" w:lineRule="exact"/>
              <w:rPr>
                <w:rFonts w:hint="eastAsia" w:ascii="宋体" w:hAnsi="宋体" w:eastAsia="宋体" w:cs="宋体"/>
                <w:color w:val="auto"/>
                <w:sz w:val="24"/>
              </w:rPr>
            </w:pPr>
          </w:p>
        </w:tc>
        <w:tc>
          <w:tcPr>
            <w:tcW w:w="1133" w:type="dxa"/>
            <w:noWrap w:val="0"/>
            <w:vAlign w:val="center"/>
          </w:tcPr>
          <w:p w14:paraId="36B98677">
            <w:pPr>
              <w:widowControl/>
              <w:spacing w:line="400" w:lineRule="exact"/>
              <w:jc w:val="center"/>
              <w:rPr>
                <w:rFonts w:hint="eastAsia" w:ascii="宋体" w:hAnsi="宋体" w:eastAsia="宋体" w:cs="宋体"/>
                <w:color w:val="auto"/>
                <w:kern w:val="0"/>
                <w:sz w:val="24"/>
              </w:rPr>
            </w:pPr>
            <w:r>
              <w:rPr>
                <w:rFonts w:hint="eastAsia" w:ascii="宋体" w:hAnsi="宋体" w:eastAsia="宋体" w:cs="宋体"/>
                <w:color w:val="auto"/>
                <w:kern w:val="0"/>
                <w:sz w:val="24"/>
              </w:rPr>
              <w:t>一般</w:t>
            </w:r>
          </w:p>
        </w:tc>
        <w:tc>
          <w:tcPr>
            <w:tcW w:w="3350" w:type="dxa"/>
            <w:noWrap w:val="0"/>
            <w:vAlign w:val="center"/>
          </w:tcPr>
          <w:p w14:paraId="1632ADC7">
            <w:pPr>
              <w:numPr>
                <w:ilvl w:val="0"/>
                <w:numId w:val="0"/>
              </w:numPr>
              <w:spacing w:line="400" w:lineRule="exact"/>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违法产品数量100件以上</w:t>
            </w:r>
            <w:r>
              <w:rPr>
                <w:rFonts w:hint="eastAsia" w:ascii="宋体" w:hAnsi="宋体" w:eastAsia="宋体" w:cs="宋体"/>
                <w:color w:val="auto"/>
                <w:sz w:val="24"/>
                <w:szCs w:val="24"/>
                <w:lang w:val="en-US" w:eastAsia="zh-CN"/>
              </w:rPr>
              <w:t>500件以下</w:t>
            </w:r>
            <w:r>
              <w:rPr>
                <w:rFonts w:hint="eastAsia" w:ascii="宋体" w:hAnsi="宋体" w:eastAsia="宋体" w:cs="宋体"/>
                <w:color w:val="auto"/>
                <w:sz w:val="24"/>
                <w:szCs w:val="24"/>
              </w:rPr>
              <w:t>的</w:t>
            </w:r>
            <w:r>
              <w:rPr>
                <w:rFonts w:hint="eastAsia" w:ascii="宋体" w:hAnsi="宋体" w:eastAsia="宋体" w:cs="宋体"/>
                <w:color w:val="auto"/>
                <w:sz w:val="24"/>
                <w:szCs w:val="24"/>
                <w:lang w:eastAsia="zh-CN"/>
              </w:rPr>
              <w:t>。</w:t>
            </w:r>
          </w:p>
        </w:tc>
        <w:tc>
          <w:tcPr>
            <w:tcW w:w="3259" w:type="dxa"/>
            <w:noWrap w:val="0"/>
            <w:vAlign w:val="center"/>
          </w:tcPr>
          <w:p w14:paraId="1C57BB66">
            <w:pPr>
              <w:spacing w:line="400" w:lineRule="exact"/>
              <w:rPr>
                <w:rFonts w:hint="eastAsia" w:ascii="宋体" w:hAnsi="宋体" w:eastAsia="宋体" w:cs="宋体"/>
                <w:color w:val="auto"/>
                <w:sz w:val="24"/>
                <w:lang w:val="en-US" w:eastAsia="zh-CN"/>
              </w:rPr>
            </w:pPr>
            <w:r>
              <w:rPr>
                <w:rFonts w:hint="eastAsia" w:ascii="宋体" w:hAnsi="宋体" w:eastAsia="宋体" w:cs="宋体"/>
                <w:color w:val="auto"/>
                <w:sz w:val="24"/>
                <w:szCs w:val="24"/>
              </w:rPr>
              <w:t>处</w:t>
            </w:r>
            <w:r>
              <w:rPr>
                <w:rFonts w:hint="eastAsia" w:ascii="宋体" w:hAnsi="宋体" w:eastAsia="宋体" w:cs="宋体"/>
                <w:color w:val="auto"/>
                <w:sz w:val="24"/>
                <w:szCs w:val="24"/>
                <w:shd w:val="clear" w:color="auto" w:fill="auto"/>
              </w:rPr>
              <w:t>以</w:t>
            </w:r>
            <w:r>
              <w:rPr>
                <w:rFonts w:hint="eastAsia" w:ascii="宋体" w:hAnsi="宋体" w:eastAsia="宋体" w:cs="宋体"/>
                <w:color w:val="auto"/>
                <w:sz w:val="24"/>
                <w:szCs w:val="24"/>
                <w:lang w:val="en-US" w:eastAsia="zh-CN"/>
              </w:rPr>
              <w:t>6000元以上1.4</w:t>
            </w:r>
            <w:r>
              <w:rPr>
                <w:rFonts w:hint="eastAsia" w:ascii="宋体" w:hAnsi="宋体" w:eastAsia="宋体" w:cs="宋体"/>
                <w:color w:val="auto"/>
                <w:sz w:val="24"/>
                <w:szCs w:val="24"/>
              </w:rPr>
              <w:t>万元以下罚款</w:t>
            </w:r>
            <w:r>
              <w:rPr>
                <w:rFonts w:hint="eastAsia" w:ascii="宋体" w:hAnsi="宋体" w:eastAsia="宋体" w:cs="宋体"/>
                <w:color w:val="auto"/>
                <w:sz w:val="24"/>
                <w:szCs w:val="24"/>
                <w:lang w:eastAsia="zh-CN"/>
              </w:rPr>
              <w:t>。</w:t>
            </w:r>
          </w:p>
        </w:tc>
      </w:tr>
      <w:tr w14:paraId="78A9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778" w:type="dxa"/>
            <w:vMerge w:val="continue"/>
            <w:noWrap w:val="0"/>
            <w:vAlign w:val="center"/>
          </w:tcPr>
          <w:p w14:paraId="3FC4220B">
            <w:pPr>
              <w:spacing w:line="400" w:lineRule="exact"/>
              <w:jc w:val="center"/>
              <w:rPr>
                <w:rFonts w:hint="eastAsia" w:ascii="宋体" w:hAnsi="宋体" w:eastAsia="宋体" w:cs="宋体"/>
                <w:color w:val="auto"/>
                <w:sz w:val="24"/>
                <w:lang w:val="en-US" w:eastAsia="zh-CN"/>
              </w:rPr>
            </w:pPr>
          </w:p>
        </w:tc>
        <w:tc>
          <w:tcPr>
            <w:tcW w:w="1733" w:type="dxa"/>
            <w:vMerge w:val="continue"/>
            <w:noWrap w:val="0"/>
            <w:vAlign w:val="center"/>
          </w:tcPr>
          <w:p w14:paraId="0258B6C2">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436421C9">
            <w:pPr>
              <w:spacing w:line="400" w:lineRule="exact"/>
              <w:rPr>
                <w:rFonts w:hint="eastAsia" w:ascii="宋体" w:hAnsi="宋体" w:eastAsia="宋体" w:cs="宋体"/>
                <w:color w:val="auto"/>
                <w:sz w:val="24"/>
              </w:rPr>
            </w:pPr>
          </w:p>
        </w:tc>
        <w:tc>
          <w:tcPr>
            <w:tcW w:w="1133" w:type="dxa"/>
            <w:noWrap w:val="0"/>
            <w:vAlign w:val="center"/>
          </w:tcPr>
          <w:p w14:paraId="0113D66D">
            <w:pPr>
              <w:widowControl/>
              <w:spacing w:line="400" w:lineRule="exact"/>
              <w:jc w:val="center"/>
              <w:rPr>
                <w:rFonts w:hint="eastAsia" w:ascii="宋体" w:hAnsi="宋体" w:eastAsia="宋体" w:cs="宋体"/>
                <w:color w:val="auto"/>
                <w:kern w:val="0"/>
                <w:sz w:val="24"/>
              </w:rPr>
            </w:pPr>
            <w:r>
              <w:rPr>
                <w:rFonts w:hint="eastAsia" w:ascii="宋体" w:hAnsi="宋体" w:eastAsia="宋体" w:cs="宋体"/>
                <w:color w:val="auto"/>
                <w:kern w:val="0"/>
                <w:sz w:val="24"/>
                <w:lang w:eastAsia="zh-CN"/>
              </w:rPr>
              <w:t>较重</w:t>
            </w:r>
          </w:p>
        </w:tc>
        <w:tc>
          <w:tcPr>
            <w:tcW w:w="3350" w:type="dxa"/>
            <w:noWrap w:val="0"/>
            <w:vAlign w:val="center"/>
          </w:tcPr>
          <w:p w14:paraId="261E20D7">
            <w:pPr>
              <w:numPr>
                <w:ilvl w:val="0"/>
                <w:numId w:val="0"/>
              </w:numPr>
              <w:spacing w:line="400" w:lineRule="exact"/>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rPr>
              <w:t>违法产品数量达</w:t>
            </w:r>
            <w:r>
              <w:rPr>
                <w:rFonts w:hint="eastAsia" w:ascii="宋体" w:hAnsi="宋体" w:eastAsia="宋体" w:cs="宋体"/>
                <w:color w:val="auto"/>
                <w:sz w:val="24"/>
                <w:lang w:val="en-US" w:eastAsia="zh-CN"/>
              </w:rPr>
              <w:t>5</w:t>
            </w:r>
            <w:r>
              <w:rPr>
                <w:rFonts w:hint="eastAsia" w:ascii="宋体" w:hAnsi="宋体" w:eastAsia="宋体" w:cs="宋体"/>
                <w:color w:val="auto"/>
                <w:sz w:val="24"/>
              </w:rPr>
              <w:t>00件以上的</w:t>
            </w:r>
            <w:r>
              <w:rPr>
                <w:rFonts w:hint="eastAsia" w:ascii="宋体" w:hAnsi="宋体" w:eastAsia="宋体" w:cs="宋体"/>
                <w:color w:val="auto"/>
                <w:sz w:val="24"/>
                <w:lang w:eastAsia="zh-CN"/>
              </w:rPr>
              <w:t>。</w:t>
            </w:r>
          </w:p>
        </w:tc>
        <w:tc>
          <w:tcPr>
            <w:tcW w:w="3259" w:type="dxa"/>
            <w:noWrap w:val="0"/>
            <w:vAlign w:val="center"/>
          </w:tcPr>
          <w:p w14:paraId="6982F9F7">
            <w:pPr>
              <w:spacing w:line="400" w:lineRule="exact"/>
              <w:rPr>
                <w:rFonts w:hint="eastAsia" w:ascii="宋体" w:hAnsi="宋体" w:eastAsia="宋体" w:cs="宋体"/>
                <w:color w:val="auto"/>
                <w:sz w:val="24"/>
                <w:lang w:val="en-US" w:eastAsia="zh-CN"/>
              </w:rPr>
            </w:pPr>
            <w:r>
              <w:rPr>
                <w:rFonts w:hint="eastAsia" w:ascii="宋体" w:hAnsi="宋体" w:eastAsia="宋体" w:cs="宋体"/>
                <w:color w:val="auto"/>
                <w:sz w:val="24"/>
                <w:szCs w:val="24"/>
              </w:rPr>
              <w:t>处</w:t>
            </w:r>
            <w:r>
              <w:rPr>
                <w:rFonts w:hint="eastAsia" w:ascii="宋体" w:hAnsi="宋体" w:eastAsia="宋体" w:cs="宋体"/>
                <w:color w:val="auto"/>
                <w:sz w:val="24"/>
                <w:szCs w:val="24"/>
                <w:shd w:val="clear" w:color="auto" w:fill="auto"/>
              </w:rPr>
              <w:t>以</w:t>
            </w:r>
            <w:r>
              <w:rPr>
                <w:rFonts w:hint="eastAsia" w:ascii="宋体" w:hAnsi="宋体" w:eastAsia="宋体" w:cs="宋体"/>
                <w:color w:val="auto"/>
                <w:sz w:val="24"/>
                <w:szCs w:val="24"/>
                <w:lang w:val="en-US" w:eastAsia="zh-CN"/>
              </w:rPr>
              <w:t>1.4万元以上2</w:t>
            </w:r>
            <w:r>
              <w:rPr>
                <w:rFonts w:hint="eastAsia" w:ascii="宋体" w:hAnsi="宋体" w:eastAsia="宋体" w:cs="宋体"/>
                <w:color w:val="auto"/>
                <w:sz w:val="24"/>
                <w:szCs w:val="24"/>
              </w:rPr>
              <w:t>万元以下罚款</w:t>
            </w:r>
            <w:r>
              <w:rPr>
                <w:rFonts w:hint="eastAsia" w:ascii="宋体" w:hAnsi="宋体" w:eastAsia="宋体" w:cs="宋体"/>
                <w:color w:val="auto"/>
                <w:sz w:val="24"/>
                <w:szCs w:val="24"/>
                <w:lang w:eastAsia="zh-CN"/>
              </w:rPr>
              <w:t>。</w:t>
            </w:r>
          </w:p>
        </w:tc>
      </w:tr>
      <w:tr w14:paraId="1F9C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78" w:type="dxa"/>
            <w:vMerge w:val="restart"/>
            <w:noWrap w:val="0"/>
            <w:vAlign w:val="center"/>
          </w:tcPr>
          <w:p w14:paraId="4BCDE840">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229</w:t>
            </w:r>
          </w:p>
        </w:tc>
        <w:tc>
          <w:tcPr>
            <w:tcW w:w="1733" w:type="dxa"/>
            <w:vMerge w:val="restart"/>
            <w:noWrap w:val="0"/>
            <w:vAlign w:val="center"/>
          </w:tcPr>
          <w:p w14:paraId="364711CD">
            <w:pPr>
              <w:spacing w:line="400" w:lineRule="exact"/>
              <w:ind w:left="42" w:leftChars="20" w:right="0" w:rightChars="0"/>
              <w:jc w:val="left"/>
              <w:outlineLvl w:val="2"/>
              <w:rPr>
                <w:rFonts w:hint="eastAsia" w:ascii="宋体" w:hAnsi="宋体" w:eastAsia="宋体" w:cs="宋体"/>
                <w:color w:val="auto"/>
                <w:sz w:val="24"/>
              </w:rPr>
            </w:pPr>
            <w:bookmarkStart w:id="274" w:name="_Toc27626"/>
            <w:bookmarkStart w:id="275" w:name="_Toc26732"/>
            <w:bookmarkStart w:id="276" w:name="_Toc10266"/>
            <w:bookmarkStart w:id="277" w:name="_Toc29685"/>
            <w:r>
              <w:rPr>
                <w:rFonts w:hint="eastAsia" w:ascii="宋体" w:hAnsi="宋体" w:eastAsia="宋体" w:cs="宋体"/>
                <w:color w:val="auto"/>
                <w:sz w:val="24"/>
              </w:rPr>
              <w:t>《有机产品认证管理办</w:t>
            </w:r>
            <w:r>
              <w:rPr>
                <w:rFonts w:hint="eastAsia" w:ascii="宋体" w:hAnsi="宋体" w:eastAsia="宋体" w:cs="宋体"/>
                <w:color w:val="auto"/>
                <w:sz w:val="24"/>
                <w:highlight w:val="none"/>
              </w:rPr>
              <w:t>法》</w:t>
            </w:r>
            <w:r>
              <w:rPr>
                <w:rFonts w:hint="eastAsia" w:ascii="宋体" w:hAnsi="宋体" w:eastAsia="宋体" w:cs="宋体"/>
                <w:color w:val="auto"/>
                <w:sz w:val="24"/>
                <w:highlight w:val="none"/>
                <w:lang w:eastAsia="zh-CN"/>
              </w:rPr>
              <w:t>（</w:t>
            </w:r>
            <w:r>
              <w:rPr>
                <w:rFonts w:hint="eastAsia" w:ascii="宋体" w:hAnsi="宋体" w:eastAsia="宋体" w:cs="宋体"/>
                <w:color w:val="auto"/>
                <w:sz w:val="24"/>
                <w:lang w:val="en-US" w:eastAsia="zh-CN"/>
              </w:rPr>
              <w:t>2022年11月1日起施行</w:t>
            </w:r>
            <w:r>
              <w:rPr>
                <w:rFonts w:hint="eastAsia" w:ascii="宋体" w:hAnsi="宋体" w:eastAsia="宋体" w:cs="宋体"/>
                <w:color w:val="auto"/>
                <w:sz w:val="24"/>
                <w:highlight w:val="none"/>
                <w:lang w:eastAsia="zh-CN"/>
              </w:rPr>
              <w:t>）</w:t>
            </w:r>
            <w:bookmarkEnd w:id="274"/>
            <w:bookmarkEnd w:id="275"/>
            <w:bookmarkEnd w:id="276"/>
            <w:bookmarkEnd w:id="277"/>
          </w:p>
        </w:tc>
        <w:tc>
          <w:tcPr>
            <w:tcW w:w="4117" w:type="dxa"/>
            <w:vMerge w:val="restart"/>
            <w:noWrap w:val="0"/>
            <w:vAlign w:val="center"/>
          </w:tcPr>
          <w:p w14:paraId="521129CE">
            <w:pPr>
              <w:widowControl/>
              <w:shd w:val="clear" w:color="auto" w:fill="FFFFFF"/>
              <w:spacing w:after="225" w:line="400" w:lineRule="exact"/>
              <w:rPr>
                <w:rFonts w:hint="eastAsia" w:ascii="宋体" w:hAnsi="宋体" w:eastAsia="宋体" w:cs="宋体"/>
                <w:color w:val="auto"/>
                <w:sz w:val="24"/>
              </w:rPr>
            </w:pPr>
            <w:r>
              <w:rPr>
                <w:rFonts w:hint="eastAsia" w:ascii="宋体" w:hAnsi="宋体" w:eastAsia="宋体" w:cs="宋体"/>
                <w:b w:val="0"/>
                <w:i w:val="0"/>
                <w:caps w:val="0"/>
                <w:color w:val="auto"/>
                <w:spacing w:val="0"/>
                <w:kern w:val="0"/>
                <w:sz w:val="24"/>
                <w:szCs w:val="24"/>
                <w:shd w:val="clear" w:color="auto" w:fill="FFFFFF"/>
                <w:lang w:val="en-US" w:eastAsia="zh-CN" w:bidi="ar"/>
              </w:rPr>
              <w:t>第四十八条 违反本办法第三十四条的规定，在产品或者产品包装及标签上标注含有“有机”、“ORGANIC”等字样且可能误导公众认为该产品为有机产品的文字表述和图案的，县级以上地方市场监督管理部门责令改正，处3万元以下罚款。</w:t>
            </w:r>
          </w:p>
        </w:tc>
        <w:tc>
          <w:tcPr>
            <w:tcW w:w="1133" w:type="dxa"/>
            <w:noWrap w:val="0"/>
            <w:vAlign w:val="center"/>
          </w:tcPr>
          <w:p w14:paraId="716AB594">
            <w:pPr>
              <w:spacing w:line="400" w:lineRule="exact"/>
              <w:jc w:val="center"/>
              <w:rPr>
                <w:rFonts w:hint="eastAsia" w:ascii="宋体" w:hAnsi="宋体" w:eastAsia="宋体" w:cs="宋体"/>
                <w:color w:val="auto"/>
                <w:sz w:val="24"/>
              </w:rPr>
            </w:pPr>
            <w:r>
              <w:rPr>
                <w:rFonts w:hint="eastAsia" w:ascii="宋体" w:hAnsi="宋体" w:eastAsia="宋体" w:cs="宋体"/>
                <w:color w:val="auto"/>
                <w:kern w:val="0"/>
                <w:sz w:val="24"/>
              </w:rPr>
              <w:t>较轻</w:t>
            </w:r>
          </w:p>
        </w:tc>
        <w:tc>
          <w:tcPr>
            <w:tcW w:w="3350" w:type="dxa"/>
            <w:noWrap w:val="0"/>
            <w:vAlign w:val="center"/>
          </w:tcPr>
          <w:p w14:paraId="2452F716">
            <w:pPr>
              <w:numPr>
                <w:ilvl w:val="0"/>
                <w:numId w:val="0"/>
              </w:numPr>
              <w:tabs>
                <w:tab w:val="left" w:pos="0"/>
              </w:tabs>
              <w:spacing w:line="400" w:lineRule="exact"/>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违法产品数量100件以</w:t>
            </w:r>
            <w:r>
              <w:rPr>
                <w:rFonts w:hint="eastAsia" w:ascii="宋体" w:hAnsi="宋体" w:eastAsia="宋体" w:cs="宋体"/>
                <w:color w:val="auto"/>
                <w:sz w:val="24"/>
                <w:lang w:val="en-US" w:eastAsia="zh-CN"/>
              </w:rPr>
              <w:t>下的</w:t>
            </w:r>
            <w:r>
              <w:rPr>
                <w:rFonts w:hint="eastAsia" w:ascii="宋体" w:hAnsi="宋体" w:eastAsia="宋体" w:cs="宋体"/>
                <w:color w:val="auto"/>
                <w:sz w:val="24"/>
                <w:lang w:eastAsia="zh-CN"/>
              </w:rPr>
              <w:t>。</w:t>
            </w:r>
          </w:p>
        </w:tc>
        <w:tc>
          <w:tcPr>
            <w:tcW w:w="3259" w:type="dxa"/>
            <w:noWrap w:val="0"/>
            <w:vAlign w:val="center"/>
          </w:tcPr>
          <w:p w14:paraId="45A02DEA">
            <w:pPr>
              <w:numPr>
                <w:ilvl w:val="0"/>
                <w:numId w:val="0"/>
              </w:numPr>
              <w:tabs>
                <w:tab w:val="left" w:pos="0"/>
              </w:tabs>
              <w:spacing w:line="400" w:lineRule="exact"/>
              <w:rPr>
                <w:rFonts w:hint="eastAsia" w:ascii="宋体" w:hAnsi="宋体" w:eastAsia="宋体" w:cs="宋体"/>
                <w:color w:val="auto"/>
                <w:sz w:val="24"/>
                <w:lang w:val="en-US"/>
              </w:rPr>
            </w:pPr>
            <w:r>
              <w:rPr>
                <w:rFonts w:hint="eastAsia" w:ascii="宋体" w:hAnsi="宋体" w:eastAsia="宋体" w:cs="宋体"/>
                <w:color w:val="auto"/>
                <w:sz w:val="24"/>
                <w:lang w:val="en-US" w:eastAsia="zh-CN"/>
              </w:rPr>
              <w:t>责令改正，处9000元以下罚款。</w:t>
            </w:r>
          </w:p>
        </w:tc>
      </w:tr>
      <w:tr w14:paraId="4692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778" w:type="dxa"/>
            <w:vMerge w:val="continue"/>
            <w:noWrap w:val="0"/>
            <w:vAlign w:val="center"/>
          </w:tcPr>
          <w:p w14:paraId="7C7B1A64">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76AD6E20">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344B6EB0">
            <w:pPr>
              <w:spacing w:line="400" w:lineRule="exact"/>
              <w:rPr>
                <w:rFonts w:hint="eastAsia" w:ascii="宋体" w:hAnsi="宋体" w:eastAsia="宋体" w:cs="宋体"/>
                <w:color w:val="auto"/>
                <w:sz w:val="24"/>
              </w:rPr>
            </w:pPr>
          </w:p>
        </w:tc>
        <w:tc>
          <w:tcPr>
            <w:tcW w:w="1133" w:type="dxa"/>
            <w:noWrap w:val="0"/>
            <w:vAlign w:val="center"/>
          </w:tcPr>
          <w:p w14:paraId="35A47385">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sz w:val="24"/>
                <w:szCs w:val="24"/>
                <w:lang w:eastAsia="zh-CN"/>
              </w:rPr>
              <w:t>一般</w:t>
            </w:r>
          </w:p>
        </w:tc>
        <w:tc>
          <w:tcPr>
            <w:tcW w:w="3350" w:type="dxa"/>
            <w:noWrap w:val="0"/>
            <w:vAlign w:val="center"/>
          </w:tcPr>
          <w:p w14:paraId="22077AB9">
            <w:pPr>
              <w:numPr>
                <w:ilvl w:val="0"/>
                <w:numId w:val="0"/>
              </w:numPr>
              <w:spacing w:line="400" w:lineRule="exact"/>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违法产品数量100件以上</w:t>
            </w:r>
            <w:r>
              <w:rPr>
                <w:rFonts w:hint="eastAsia" w:ascii="宋体" w:hAnsi="宋体" w:eastAsia="宋体" w:cs="宋体"/>
                <w:color w:val="auto"/>
                <w:sz w:val="24"/>
                <w:szCs w:val="24"/>
                <w:lang w:val="en-US" w:eastAsia="zh-CN"/>
              </w:rPr>
              <w:t>500件以下</w:t>
            </w:r>
            <w:r>
              <w:rPr>
                <w:rFonts w:hint="eastAsia" w:ascii="宋体" w:hAnsi="宋体" w:eastAsia="宋体" w:cs="宋体"/>
                <w:color w:val="auto"/>
                <w:sz w:val="24"/>
                <w:szCs w:val="24"/>
              </w:rPr>
              <w:t>的</w:t>
            </w:r>
            <w:r>
              <w:rPr>
                <w:rFonts w:hint="eastAsia" w:ascii="宋体" w:hAnsi="宋体" w:eastAsia="宋体" w:cs="宋体"/>
                <w:color w:val="auto"/>
                <w:sz w:val="24"/>
                <w:szCs w:val="24"/>
                <w:lang w:eastAsia="zh-CN"/>
              </w:rPr>
              <w:t>。</w:t>
            </w:r>
          </w:p>
        </w:tc>
        <w:tc>
          <w:tcPr>
            <w:tcW w:w="3259" w:type="dxa"/>
            <w:noWrap w:val="0"/>
            <w:vAlign w:val="center"/>
          </w:tcPr>
          <w:p w14:paraId="1A06F9A9">
            <w:pPr>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责令改正，处9000元以上2.1万元以下罚款。</w:t>
            </w:r>
          </w:p>
        </w:tc>
      </w:tr>
      <w:tr w14:paraId="0CFB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778" w:type="dxa"/>
            <w:vMerge w:val="continue"/>
            <w:noWrap w:val="0"/>
            <w:vAlign w:val="center"/>
          </w:tcPr>
          <w:p w14:paraId="2E30202A">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3ABE3261">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76390199">
            <w:pPr>
              <w:spacing w:line="400" w:lineRule="exact"/>
              <w:rPr>
                <w:rFonts w:hint="eastAsia" w:ascii="宋体" w:hAnsi="宋体" w:eastAsia="宋体" w:cs="宋体"/>
                <w:color w:val="auto"/>
                <w:sz w:val="24"/>
              </w:rPr>
            </w:pPr>
          </w:p>
        </w:tc>
        <w:tc>
          <w:tcPr>
            <w:tcW w:w="1133" w:type="dxa"/>
            <w:noWrap w:val="0"/>
            <w:vAlign w:val="center"/>
          </w:tcPr>
          <w:p w14:paraId="16AF556A">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sz w:val="24"/>
                <w:szCs w:val="24"/>
                <w:lang w:eastAsia="zh-CN"/>
              </w:rPr>
              <w:t>较重</w:t>
            </w:r>
          </w:p>
        </w:tc>
        <w:tc>
          <w:tcPr>
            <w:tcW w:w="3350" w:type="dxa"/>
            <w:noWrap w:val="0"/>
            <w:vAlign w:val="center"/>
          </w:tcPr>
          <w:p w14:paraId="25AF5DB9">
            <w:pPr>
              <w:numPr>
                <w:ilvl w:val="0"/>
                <w:numId w:val="0"/>
              </w:numPr>
              <w:spacing w:line="400" w:lineRule="exact"/>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违法产品数量达</w:t>
            </w:r>
            <w:r>
              <w:rPr>
                <w:rFonts w:hint="eastAsia" w:ascii="宋体" w:hAnsi="宋体" w:eastAsia="宋体" w:cs="宋体"/>
                <w:color w:val="auto"/>
                <w:sz w:val="24"/>
                <w:lang w:val="en-US" w:eastAsia="zh-CN"/>
              </w:rPr>
              <w:t>5</w:t>
            </w:r>
            <w:r>
              <w:rPr>
                <w:rFonts w:hint="eastAsia" w:ascii="宋体" w:hAnsi="宋体" w:eastAsia="宋体" w:cs="宋体"/>
                <w:color w:val="auto"/>
                <w:sz w:val="24"/>
              </w:rPr>
              <w:t>00件以上的</w:t>
            </w:r>
            <w:r>
              <w:rPr>
                <w:rFonts w:hint="eastAsia" w:ascii="宋体" w:hAnsi="宋体" w:eastAsia="宋体" w:cs="宋体"/>
                <w:color w:val="auto"/>
                <w:sz w:val="24"/>
                <w:lang w:eastAsia="zh-CN"/>
              </w:rPr>
              <w:t>。</w:t>
            </w:r>
          </w:p>
        </w:tc>
        <w:tc>
          <w:tcPr>
            <w:tcW w:w="3259" w:type="dxa"/>
            <w:noWrap w:val="0"/>
            <w:vAlign w:val="center"/>
          </w:tcPr>
          <w:p w14:paraId="3A174B00">
            <w:pPr>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责令改正，处2.1万元以上3万元以下罚款。</w:t>
            </w:r>
          </w:p>
        </w:tc>
      </w:tr>
      <w:tr w14:paraId="23B5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778" w:type="dxa"/>
            <w:vMerge w:val="restart"/>
            <w:noWrap w:val="0"/>
            <w:vAlign w:val="center"/>
          </w:tcPr>
          <w:p w14:paraId="35F3DC89">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230</w:t>
            </w:r>
          </w:p>
        </w:tc>
        <w:tc>
          <w:tcPr>
            <w:tcW w:w="1733" w:type="dxa"/>
            <w:vMerge w:val="restart"/>
            <w:noWrap w:val="0"/>
            <w:vAlign w:val="center"/>
          </w:tcPr>
          <w:p w14:paraId="3A6717AE">
            <w:pPr>
              <w:spacing w:line="400" w:lineRule="exact"/>
              <w:ind w:left="42" w:leftChars="20" w:right="0" w:rightChars="0"/>
              <w:jc w:val="left"/>
              <w:rPr>
                <w:rFonts w:hint="eastAsia" w:ascii="宋体" w:hAnsi="宋体" w:eastAsia="宋体" w:cs="宋体"/>
                <w:color w:val="auto"/>
                <w:sz w:val="24"/>
              </w:rPr>
            </w:pPr>
            <w:r>
              <w:rPr>
                <w:rFonts w:hint="eastAsia" w:ascii="宋体" w:hAnsi="宋体" w:eastAsia="宋体" w:cs="宋体"/>
                <w:color w:val="auto"/>
                <w:sz w:val="24"/>
              </w:rPr>
              <w:t>《有机产品认证管理办法》</w:t>
            </w:r>
          </w:p>
        </w:tc>
        <w:tc>
          <w:tcPr>
            <w:tcW w:w="4117" w:type="dxa"/>
            <w:vMerge w:val="restart"/>
            <w:noWrap w:val="0"/>
            <w:vAlign w:val="center"/>
          </w:tcPr>
          <w:p w14:paraId="677F3951">
            <w:pPr>
              <w:spacing w:line="400" w:lineRule="exact"/>
              <w:rPr>
                <w:rFonts w:hint="eastAsia" w:ascii="宋体" w:hAnsi="宋体" w:eastAsia="宋体" w:cs="宋体"/>
                <w:color w:val="auto"/>
                <w:sz w:val="24"/>
              </w:rPr>
            </w:pPr>
            <w:r>
              <w:rPr>
                <w:rFonts w:hint="eastAsia" w:ascii="宋体" w:hAnsi="宋体" w:eastAsia="宋体" w:cs="宋体"/>
                <w:color w:val="auto"/>
                <w:sz w:val="24"/>
              </w:rPr>
              <w:t>第五十条 违反本办法第十六条的规定，认证机构对有机配料含量低于95％的加工产品进行有机认证的，县级以上地方市场监督管理部门责令改正，处3万元以下罚款。</w:t>
            </w:r>
          </w:p>
        </w:tc>
        <w:tc>
          <w:tcPr>
            <w:tcW w:w="1133" w:type="dxa"/>
            <w:noWrap w:val="0"/>
            <w:vAlign w:val="center"/>
          </w:tcPr>
          <w:p w14:paraId="33A660D4">
            <w:pPr>
              <w:spacing w:line="400" w:lineRule="exact"/>
              <w:jc w:val="center"/>
              <w:rPr>
                <w:rFonts w:hint="eastAsia" w:ascii="宋体" w:hAnsi="宋体" w:eastAsia="宋体" w:cs="宋体"/>
                <w:color w:val="auto"/>
                <w:kern w:val="0"/>
                <w:sz w:val="24"/>
              </w:rPr>
            </w:pPr>
            <w:r>
              <w:rPr>
                <w:rFonts w:hint="eastAsia" w:ascii="宋体" w:hAnsi="宋体" w:eastAsia="宋体" w:cs="宋体"/>
                <w:color w:val="auto"/>
                <w:kern w:val="0"/>
                <w:sz w:val="24"/>
              </w:rPr>
              <w:t>较轻</w:t>
            </w:r>
          </w:p>
        </w:tc>
        <w:tc>
          <w:tcPr>
            <w:tcW w:w="3350" w:type="dxa"/>
            <w:noWrap w:val="0"/>
            <w:vAlign w:val="center"/>
          </w:tcPr>
          <w:p w14:paraId="2B0F7639">
            <w:pPr>
              <w:numPr>
                <w:ilvl w:val="0"/>
                <w:numId w:val="0"/>
              </w:numPr>
              <w:spacing w:line="400" w:lineRule="exact"/>
              <w:ind w:left="0" w:leftChars="0" w:firstLine="0" w:firstLineChars="0"/>
              <w:rPr>
                <w:rFonts w:hint="eastAsia" w:ascii="宋体" w:hAnsi="宋体" w:eastAsia="宋体" w:cs="宋体"/>
                <w:color w:val="auto"/>
                <w:sz w:val="24"/>
                <w:lang w:val="en-US" w:eastAsia="zh-CN"/>
              </w:rPr>
            </w:pPr>
            <w:r>
              <w:rPr>
                <w:rFonts w:hint="eastAsia" w:ascii="宋体" w:hAnsi="宋体" w:eastAsia="宋体" w:cs="宋体"/>
                <w:color w:val="auto"/>
                <w:sz w:val="24"/>
                <w:szCs w:val="24"/>
                <w:lang w:val="en-US" w:eastAsia="zh-CN"/>
              </w:rPr>
              <w:t>违法行为涉及1种产品。</w:t>
            </w:r>
          </w:p>
        </w:tc>
        <w:tc>
          <w:tcPr>
            <w:tcW w:w="3259" w:type="dxa"/>
            <w:noWrap w:val="0"/>
            <w:vAlign w:val="center"/>
          </w:tcPr>
          <w:p w14:paraId="72627594">
            <w:pPr>
              <w:numPr>
                <w:ilvl w:val="0"/>
                <w:numId w:val="0"/>
              </w:numPr>
              <w:tabs>
                <w:tab w:val="left" w:pos="0"/>
              </w:tabs>
              <w:spacing w:line="400" w:lineRule="exact"/>
              <w:ind w:left="0" w:leftChars="0" w:firstLine="0" w:firstLineChars="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责令改正，处9000元以下罚款。</w:t>
            </w:r>
          </w:p>
        </w:tc>
      </w:tr>
      <w:tr w14:paraId="3E76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778" w:type="dxa"/>
            <w:vMerge w:val="continue"/>
            <w:noWrap w:val="0"/>
            <w:vAlign w:val="center"/>
          </w:tcPr>
          <w:p w14:paraId="690AC1D8">
            <w:pPr>
              <w:spacing w:line="400" w:lineRule="exact"/>
              <w:jc w:val="center"/>
              <w:rPr>
                <w:rFonts w:hint="eastAsia" w:ascii="宋体" w:hAnsi="宋体" w:eastAsia="宋体" w:cs="宋体"/>
                <w:color w:val="auto"/>
                <w:sz w:val="24"/>
                <w:lang w:val="en-US" w:eastAsia="zh-CN"/>
              </w:rPr>
            </w:pPr>
          </w:p>
        </w:tc>
        <w:tc>
          <w:tcPr>
            <w:tcW w:w="1733" w:type="dxa"/>
            <w:vMerge w:val="continue"/>
            <w:noWrap w:val="0"/>
            <w:vAlign w:val="center"/>
          </w:tcPr>
          <w:p w14:paraId="4DB2DABC">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58AE0D47">
            <w:pPr>
              <w:spacing w:line="400" w:lineRule="exact"/>
              <w:rPr>
                <w:rFonts w:hint="eastAsia" w:ascii="宋体" w:hAnsi="宋体" w:eastAsia="宋体" w:cs="宋体"/>
                <w:color w:val="auto"/>
                <w:sz w:val="24"/>
              </w:rPr>
            </w:pPr>
          </w:p>
        </w:tc>
        <w:tc>
          <w:tcPr>
            <w:tcW w:w="1133" w:type="dxa"/>
            <w:noWrap w:val="0"/>
            <w:vAlign w:val="center"/>
          </w:tcPr>
          <w:p w14:paraId="7968B400">
            <w:pPr>
              <w:spacing w:line="400" w:lineRule="exact"/>
              <w:jc w:val="center"/>
              <w:rPr>
                <w:rFonts w:hint="eastAsia" w:ascii="宋体" w:hAnsi="宋体" w:eastAsia="宋体" w:cs="宋体"/>
                <w:color w:val="auto"/>
                <w:kern w:val="0"/>
                <w:sz w:val="24"/>
              </w:rPr>
            </w:pPr>
            <w:r>
              <w:rPr>
                <w:rFonts w:hint="eastAsia" w:ascii="宋体" w:hAnsi="宋体" w:eastAsia="宋体" w:cs="宋体"/>
                <w:color w:val="auto"/>
                <w:sz w:val="24"/>
                <w:szCs w:val="24"/>
                <w:lang w:eastAsia="zh-CN"/>
              </w:rPr>
              <w:t>一般</w:t>
            </w:r>
          </w:p>
        </w:tc>
        <w:tc>
          <w:tcPr>
            <w:tcW w:w="3350" w:type="dxa"/>
            <w:noWrap w:val="0"/>
            <w:vAlign w:val="center"/>
          </w:tcPr>
          <w:p w14:paraId="3FE86C73">
            <w:pPr>
              <w:numPr>
                <w:ilvl w:val="0"/>
                <w:numId w:val="0"/>
              </w:numPr>
              <w:spacing w:line="400" w:lineRule="exact"/>
              <w:ind w:left="0" w:leftChars="0" w:firstLine="0" w:firstLineChars="0"/>
              <w:rPr>
                <w:rFonts w:hint="eastAsia" w:ascii="宋体" w:hAnsi="宋体" w:eastAsia="宋体" w:cs="宋体"/>
                <w:color w:val="auto"/>
                <w:sz w:val="24"/>
                <w:lang w:val="en-US" w:eastAsia="zh-CN"/>
              </w:rPr>
            </w:pPr>
            <w:r>
              <w:rPr>
                <w:rFonts w:hint="eastAsia" w:ascii="宋体" w:hAnsi="宋体" w:eastAsia="宋体" w:cs="宋体"/>
                <w:color w:val="auto"/>
                <w:sz w:val="24"/>
                <w:szCs w:val="24"/>
                <w:lang w:val="en-US" w:eastAsia="zh-CN"/>
              </w:rPr>
              <w:t>违法行为涉及2种以上5种以下产品。</w:t>
            </w:r>
          </w:p>
        </w:tc>
        <w:tc>
          <w:tcPr>
            <w:tcW w:w="3259" w:type="dxa"/>
            <w:noWrap w:val="0"/>
            <w:vAlign w:val="center"/>
          </w:tcPr>
          <w:p w14:paraId="46B21532">
            <w:pPr>
              <w:spacing w:line="400" w:lineRule="exac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责令改正，处9000元以上2.1万元以下罚款。</w:t>
            </w:r>
          </w:p>
        </w:tc>
      </w:tr>
      <w:tr w14:paraId="28F9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78" w:type="dxa"/>
            <w:vMerge w:val="continue"/>
            <w:noWrap w:val="0"/>
            <w:vAlign w:val="center"/>
          </w:tcPr>
          <w:p w14:paraId="317FA8EE">
            <w:pPr>
              <w:spacing w:line="400" w:lineRule="exact"/>
              <w:jc w:val="center"/>
              <w:rPr>
                <w:rFonts w:hint="eastAsia" w:ascii="宋体" w:hAnsi="宋体" w:eastAsia="宋体" w:cs="宋体"/>
                <w:color w:val="auto"/>
                <w:sz w:val="24"/>
                <w:lang w:val="en-US" w:eastAsia="zh-CN"/>
              </w:rPr>
            </w:pPr>
          </w:p>
        </w:tc>
        <w:tc>
          <w:tcPr>
            <w:tcW w:w="1733" w:type="dxa"/>
            <w:vMerge w:val="continue"/>
            <w:noWrap w:val="0"/>
            <w:vAlign w:val="center"/>
          </w:tcPr>
          <w:p w14:paraId="6AACD269">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032CC238">
            <w:pPr>
              <w:spacing w:line="400" w:lineRule="exact"/>
              <w:rPr>
                <w:rFonts w:hint="eastAsia" w:ascii="宋体" w:hAnsi="宋体" w:eastAsia="宋体" w:cs="宋体"/>
                <w:color w:val="auto"/>
                <w:sz w:val="24"/>
              </w:rPr>
            </w:pPr>
          </w:p>
        </w:tc>
        <w:tc>
          <w:tcPr>
            <w:tcW w:w="1133" w:type="dxa"/>
            <w:noWrap w:val="0"/>
            <w:vAlign w:val="center"/>
          </w:tcPr>
          <w:p w14:paraId="64405E8C">
            <w:pPr>
              <w:spacing w:line="400" w:lineRule="exact"/>
              <w:jc w:val="center"/>
              <w:rPr>
                <w:rFonts w:hint="eastAsia" w:ascii="宋体" w:hAnsi="宋体" w:eastAsia="宋体" w:cs="宋体"/>
                <w:color w:val="auto"/>
                <w:kern w:val="0"/>
                <w:sz w:val="24"/>
              </w:rPr>
            </w:pPr>
            <w:r>
              <w:rPr>
                <w:rFonts w:hint="eastAsia" w:ascii="宋体" w:hAnsi="宋体" w:eastAsia="宋体" w:cs="宋体"/>
                <w:color w:val="auto"/>
                <w:sz w:val="24"/>
                <w:szCs w:val="24"/>
                <w:lang w:eastAsia="zh-CN"/>
              </w:rPr>
              <w:t>较重</w:t>
            </w:r>
          </w:p>
        </w:tc>
        <w:tc>
          <w:tcPr>
            <w:tcW w:w="3350" w:type="dxa"/>
            <w:noWrap w:val="0"/>
            <w:vAlign w:val="center"/>
          </w:tcPr>
          <w:p w14:paraId="3E198D4C">
            <w:pPr>
              <w:numPr>
                <w:ilvl w:val="0"/>
                <w:numId w:val="0"/>
              </w:numPr>
              <w:spacing w:line="400" w:lineRule="exact"/>
              <w:ind w:left="0" w:leftChars="0" w:firstLine="0" w:firstLineChars="0"/>
              <w:rPr>
                <w:rFonts w:hint="eastAsia" w:ascii="宋体" w:hAnsi="宋体" w:eastAsia="宋体" w:cs="宋体"/>
                <w:color w:val="auto"/>
                <w:sz w:val="24"/>
                <w:lang w:val="en-US" w:eastAsia="zh-CN"/>
              </w:rPr>
            </w:pPr>
            <w:r>
              <w:rPr>
                <w:rFonts w:hint="eastAsia" w:ascii="宋体" w:hAnsi="宋体" w:eastAsia="宋体" w:cs="宋体"/>
                <w:color w:val="auto"/>
                <w:sz w:val="24"/>
                <w:szCs w:val="24"/>
                <w:lang w:val="en-US" w:eastAsia="zh-CN"/>
              </w:rPr>
              <w:t>违法行为涉及5种以上产品。</w:t>
            </w:r>
          </w:p>
        </w:tc>
        <w:tc>
          <w:tcPr>
            <w:tcW w:w="3259" w:type="dxa"/>
            <w:noWrap w:val="0"/>
            <w:vAlign w:val="center"/>
          </w:tcPr>
          <w:p w14:paraId="5CE037C3">
            <w:pPr>
              <w:spacing w:line="400" w:lineRule="exac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责令改正，处2.1万元以上3万元以下罚款。</w:t>
            </w:r>
          </w:p>
        </w:tc>
      </w:tr>
      <w:tr w14:paraId="57F5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78" w:type="dxa"/>
            <w:vMerge w:val="restart"/>
            <w:noWrap w:val="0"/>
            <w:vAlign w:val="center"/>
          </w:tcPr>
          <w:p w14:paraId="3A023693">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231</w:t>
            </w:r>
          </w:p>
        </w:tc>
        <w:tc>
          <w:tcPr>
            <w:tcW w:w="1733" w:type="dxa"/>
            <w:vMerge w:val="restart"/>
            <w:noWrap w:val="0"/>
            <w:vAlign w:val="center"/>
          </w:tcPr>
          <w:p w14:paraId="56B70066">
            <w:pPr>
              <w:spacing w:line="400" w:lineRule="exact"/>
              <w:ind w:left="42" w:leftChars="20" w:right="0" w:rightChars="0"/>
              <w:jc w:val="left"/>
              <w:rPr>
                <w:rFonts w:hint="eastAsia" w:ascii="宋体" w:hAnsi="宋体" w:eastAsia="宋体" w:cs="宋体"/>
                <w:color w:val="auto"/>
                <w:sz w:val="24"/>
              </w:rPr>
            </w:pPr>
            <w:r>
              <w:rPr>
                <w:rFonts w:hint="eastAsia" w:ascii="宋体" w:hAnsi="宋体" w:eastAsia="宋体" w:cs="宋体"/>
                <w:color w:val="auto"/>
                <w:sz w:val="24"/>
              </w:rPr>
              <w:t>《有机产品认证管理办法》</w:t>
            </w:r>
          </w:p>
        </w:tc>
        <w:tc>
          <w:tcPr>
            <w:tcW w:w="4117" w:type="dxa"/>
            <w:vMerge w:val="restart"/>
            <w:noWrap w:val="0"/>
            <w:vAlign w:val="center"/>
          </w:tcPr>
          <w:p w14:paraId="4B7C3060">
            <w:pPr>
              <w:spacing w:line="400" w:lineRule="exact"/>
              <w:rPr>
                <w:rFonts w:hint="eastAsia" w:ascii="宋体" w:hAnsi="宋体" w:eastAsia="宋体" w:cs="宋体"/>
                <w:color w:val="auto"/>
                <w:sz w:val="24"/>
              </w:rPr>
            </w:pPr>
            <w:r>
              <w:rPr>
                <w:rFonts w:hint="eastAsia" w:ascii="宋体" w:hAnsi="宋体" w:eastAsia="宋体" w:cs="宋体"/>
                <w:color w:val="auto"/>
                <w:sz w:val="24"/>
                <w:szCs w:val="24"/>
              </w:rPr>
              <w:t>第五十</w:t>
            </w: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rPr>
              <w:t>条</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rPr>
              <w:t>认证机构、获证产品的认证委托人拒绝接受国家</w:t>
            </w:r>
            <w:r>
              <w:rPr>
                <w:rFonts w:hint="eastAsia" w:ascii="宋体" w:hAnsi="宋体" w:eastAsia="宋体" w:cs="宋体"/>
                <w:color w:val="auto"/>
                <w:sz w:val="24"/>
                <w:szCs w:val="24"/>
                <w:lang w:val="en-US" w:eastAsia="zh-CN"/>
              </w:rPr>
              <w:t>市场监督管理总局</w:t>
            </w:r>
            <w:r>
              <w:rPr>
                <w:rFonts w:hint="eastAsia" w:ascii="宋体" w:hAnsi="宋体" w:eastAsia="宋体" w:cs="宋体"/>
                <w:color w:val="auto"/>
                <w:sz w:val="24"/>
                <w:szCs w:val="24"/>
              </w:rPr>
              <w:t>或者</w:t>
            </w:r>
            <w:r>
              <w:rPr>
                <w:rFonts w:hint="eastAsia" w:ascii="宋体" w:hAnsi="宋体" w:eastAsia="宋体" w:cs="宋体"/>
                <w:color w:val="auto"/>
                <w:sz w:val="24"/>
                <w:szCs w:val="24"/>
                <w:lang w:val="en-US" w:eastAsia="zh-CN"/>
              </w:rPr>
              <w:t>县级以上地方市场监督管理部门</w:t>
            </w:r>
            <w:r>
              <w:rPr>
                <w:rFonts w:hint="eastAsia" w:ascii="宋体" w:hAnsi="宋体" w:eastAsia="宋体" w:cs="宋体"/>
                <w:color w:val="auto"/>
                <w:sz w:val="24"/>
                <w:szCs w:val="24"/>
              </w:rPr>
              <w:t>检查的，责令限期改正；逾期未改正的，处3万元以下罚款。</w:t>
            </w:r>
          </w:p>
        </w:tc>
        <w:tc>
          <w:tcPr>
            <w:tcW w:w="1133" w:type="dxa"/>
            <w:noWrap w:val="0"/>
            <w:vAlign w:val="center"/>
          </w:tcPr>
          <w:p w14:paraId="7930745F">
            <w:pPr>
              <w:spacing w:line="400" w:lineRule="exact"/>
              <w:jc w:val="center"/>
              <w:rPr>
                <w:rFonts w:hint="eastAsia" w:ascii="宋体" w:hAnsi="宋体" w:eastAsia="宋体" w:cs="宋体"/>
                <w:color w:val="auto"/>
                <w:sz w:val="24"/>
              </w:rPr>
            </w:pPr>
            <w:r>
              <w:rPr>
                <w:rFonts w:hint="eastAsia" w:ascii="宋体" w:hAnsi="宋体" w:eastAsia="宋体" w:cs="宋体"/>
                <w:color w:val="auto"/>
                <w:kern w:val="0"/>
                <w:sz w:val="24"/>
              </w:rPr>
              <w:t>较轻</w:t>
            </w:r>
          </w:p>
        </w:tc>
        <w:tc>
          <w:tcPr>
            <w:tcW w:w="3350" w:type="dxa"/>
            <w:noWrap w:val="0"/>
            <w:vAlign w:val="center"/>
          </w:tcPr>
          <w:p w14:paraId="528DACFB">
            <w:pPr>
              <w:numPr>
                <w:ilvl w:val="0"/>
                <w:numId w:val="0"/>
              </w:numPr>
              <w:tabs>
                <w:tab w:val="left" w:pos="0"/>
              </w:tabs>
              <w:spacing w:line="400" w:lineRule="exact"/>
              <w:ind w:left="0" w:leftChars="0" w:firstLine="0" w:firstLineChars="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逾期30日以下未改正的。</w:t>
            </w:r>
          </w:p>
        </w:tc>
        <w:tc>
          <w:tcPr>
            <w:tcW w:w="3259" w:type="dxa"/>
            <w:noWrap w:val="0"/>
            <w:vAlign w:val="center"/>
          </w:tcPr>
          <w:p w14:paraId="3FB1C570">
            <w:pPr>
              <w:numPr>
                <w:ilvl w:val="0"/>
                <w:numId w:val="0"/>
              </w:numPr>
              <w:tabs>
                <w:tab w:val="left" w:pos="0"/>
              </w:tabs>
              <w:spacing w:line="400" w:lineRule="exact"/>
              <w:rPr>
                <w:rFonts w:hint="eastAsia" w:ascii="宋体" w:hAnsi="宋体" w:eastAsia="宋体" w:cs="宋体"/>
                <w:color w:val="auto"/>
                <w:sz w:val="24"/>
                <w:lang w:val="en-US"/>
              </w:rPr>
            </w:pPr>
            <w:r>
              <w:rPr>
                <w:rFonts w:hint="eastAsia" w:ascii="宋体" w:hAnsi="宋体" w:eastAsia="宋体" w:cs="宋体"/>
                <w:color w:val="auto"/>
                <w:sz w:val="24"/>
                <w:lang w:val="en-US" w:eastAsia="zh-CN"/>
              </w:rPr>
              <w:t>处9000元以下。</w:t>
            </w:r>
          </w:p>
        </w:tc>
      </w:tr>
      <w:tr w14:paraId="429D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78" w:type="dxa"/>
            <w:vMerge w:val="continue"/>
            <w:noWrap w:val="0"/>
            <w:vAlign w:val="center"/>
          </w:tcPr>
          <w:p w14:paraId="01A6156B">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269DE893">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0BBE1F6E">
            <w:pPr>
              <w:spacing w:line="400" w:lineRule="exact"/>
              <w:rPr>
                <w:rFonts w:hint="eastAsia" w:ascii="宋体" w:hAnsi="宋体" w:eastAsia="宋体" w:cs="宋体"/>
                <w:color w:val="auto"/>
                <w:sz w:val="24"/>
              </w:rPr>
            </w:pPr>
          </w:p>
        </w:tc>
        <w:tc>
          <w:tcPr>
            <w:tcW w:w="1133" w:type="dxa"/>
            <w:noWrap w:val="0"/>
            <w:vAlign w:val="center"/>
          </w:tcPr>
          <w:p w14:paraId="2F110C0D">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sz w:val="24"/>
                <w:szCs w:val="24"/>
                <w:lang w:eastAsia="zh-CN"/>
              </w:rPr>
              <w:t>一般</w:t>
            </w:r>
          </w:p>
        </w:tc>
        <w:tc>
          <w:tcPr>
            <w:tcW w:w="3350" w:type="dxa"/>
            <w:noWrap w:val="0"/>
            <w:vAlign w:val="center"/>
          </w:tcPr>
          <w:p w14:paraId="05748FC8">
            <w:pPr>
              <w:numPr>
                <w:ilvl w:val="0"/>
                <w:numId w:val="0"/>
              </w:numPr>
              <w:spacing w:line="400" w:lineRule="exact"/>
              <w:ind w:left="0" w:leftChars="0" w:firstLine="0" w:firstLineChars="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逾期30日以上60日以下未改正的。</w:t>
            </w:r>
          </w:p>
        </w:tc>
        <w:tc>
          <w:tcPr>
            <w:tcW w:w="3259" w:type="dxa"/>
            <w:noWrap w:val="0"/>
            <w:vAlign w:val="center"/>
          </w:tcPr>
          <w:p w14:paraId="21F80054">
            <w:pPr>
              <w:spacing w:line="400" w:lineRule="exact"/>
              <w:rPr>
                <w:rFonts w:hint="eastAsia" w:ascii="宋体" w:hAnsi="宋体" w:eastAsia="宋体" w:cs="宋体"/>
                <w:color w:val="auto"/>
                <w:sz w:val="24"/>
                <w:lang w:eastAsia="zh-CN"/>
              </w:rPr>
            </w:pPr>
            <w:r>
              <w:rPr>
                <w:rFonts w:hint="eastAsia" w:ascii="宋体" w:hAnsi="宋体" w:eastAsia="宋体" w:cs="宋体"/>
                <w:color w:val="auto"/>
                <w:sz w:val="24"/>
                <w:szCs w:val="24"/>
              </w:rPr>
              <w:t>处</w:t>
            </w:r>
            <w:r>
              <w:rPr>
                <w:rFonts w:hint="eastAsia" w:ascii="宋体" w:hAnsi="宋体" w:eastAsia="宋体" w:cs="宋体"/>
                <w:color w:val="auto"/>
                <w:sz w:val="24"/>
                <w:szCs w:val="24"/>
                <w:lang w:val="en-US" w:eastAsia="zh-CN"/>
              </w:rPr>
              <w:t>9000元以上</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万元以下罚款</w:t>
            </w:r>
            <w:r>
              <w:rPr>
                <w:rFonts w:hint="eastAsia" w:ascii="宋体" w:hAnsi="宋体" w:eastAsia="宋体" w:cs="宋体"/>
                <w:color w:val="auto"/>
                <w:sz w:val="24"/>
                <w:szCs w:val="24"/>
                <w:lang w:eastAsia="zh-CN"/>
              </w:rPr>
              <w:t>。</w:t>
            </w:r>
          </w:p>
        </w:tc>
      </w:tr>
      <w:tr w14:paraId="459A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78" w:type="dxa"/>
            <w:vMerge w:val="continue"/>
            <w:noWrap w:val="0"/>
            <w:vAlign w:val="center"/>
          </w:tcPr>
          <w:p w14:paraId="1FDB00EE">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4EB17A42">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62E0B4CE">
            <w:pPr>
              <w:spacing w:line="400" w:lineRule="exact"/>
              <w:rPr>
                <w:rFonts w:hint="eastAsia" w:ascii="宋体" w:hAnsi="宋体" w:eastAsia="宋体" w:cs="宋体"/>
                <w:color w:val="auto"/>
                <w:sz w:val="24"/>
              </w:rPr>
            </w:pPr>
          </w:p>
        </w:tc>
        <w:tc>
          <w:tcPr>
            <w:tcW w:w="1133" w:type="dxa"/>
            <w:noWrap w:val="0"/>
            <w:vAlign w:val="center"/>
          </w:tcPr>
          <w:p w14:paraId="09C3D25E">
            <w:pPr>
              <w:spacing w:line="400" w:lineRule="exact"/>
              <w:jc w:val="center"/>
              <w:rPr>
                <w:rFonts w:hint="eastAsia" w:ascii="宋体" w:hAnsi="宋体" w:eastAsia="宋体" w:cs="宋体"/>
                <w:color w:val="auto"/>
                <w:sz w:val="24"/>
                <w:lang w:eastAsia="zh-CN"/>
              </w:rPr>
            </w:pPr>
            <w:r>
              <w:rPr>
                <w:rFonts w:hint="eastAsia" w:ascii="宋体" w:hAnsi="宋体" w:eastAsia="宋体" w:cs="宋体"/>
                <w:color w:val="auto"/>
                <w:sz w:val="24"/>
                <w:szCs w:val="24"/>
                <w:lang w:eastAsia="zh-CN"/>
              </w:rPr>
              <w:t>较重</w:t>
            </w:r>
          </w:p>
        </w:tc>
        <w:tc>
          <w:tcPr>
            <w:tcW w:w="3350" w:type="dxa"/>
            <w:noWrap w:val="0"/>
            <w:vAlign w:val="center"/>
          </w:tcPr>
          <w:p w14:paraId="2C4CEEAC">
            <w:pPr>
              <w:numPr>
                <w:ilvl w:val="0"/>
                <w:numId w:val="0"/>
              </w:numPr>
              <w:spacing w:line="400" w:lineRule="exact"/>
              <w:ind w:left="0" w:leftChars="0" w:firstLine="0" w:firstLineChars="0"/>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逾期60日以上未改正</w:t>
            </w:r>
            <w:r>
              <w:rPr>
                <w:rFonts w:hint="eastAsia" w:ascii="宋体" w:hAnsi="宋体" w:eastAsia="宋体" w:cs="宋体"/>
                <w:color w:val="auto"/>
                <w:sz w:val="24"/>
              </w:rPr>
              <w:t>的</w:t>
            </w:r>
            <w:r>
              <w:rPr>
                <w:rFonts w:hint="eastAsia" w:ascii="宋体" w:hAnsi="宋体" w:eastAsia="宋体" w:cs="宋体"/>
                <w:color w:val="auto"/>
                <w:sz w:val="24"/>
                <w:lang w:eastAsia="zh-CN"/>
              </w:rPr>
              <w:t>。</w:t>
            </w:r>
          </w:p>
        </w:tc>
        <w:tc>
          <w:tcPr>
            <w:tcW w:w="3259" w:type="dxa"/>
            <w:noWrap w:val="0"/>
            <w:vAlign w:val="center"/>
          </w:tcPr>
          <w:p w14:paraId="0E14A9FD">
            <w:pPr>
              <w:spacing w:line="400" w:lineRule="exact"/>
              <w:rPr>
                <w:rFonts w:hint="eastAsia" w:ascii="宋体" w:hAnsi="宋体" w:eastAsia="宋体" w:cs="宋体"/>
                <w:color w:val="auto"/>
                <w:sz w:val="24"/>
                <w:lang w:eastAsia="zh-CN"/>
              </w:rPr>
            </w:pPr>
            <w:r>
              <w:rPr>
                <w:rFonts w:hint="eastAsia" w:ascii="宋体" w:hAnsi="宋体" w:eastAsia="宋体" w:cs="宋体"/>
                <w:color w:val="auto"/>
                <w:sz w:val="24"/>
                <w:szCs w:val="24"/>
              </w:rPr>
              <w:t>处2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万元以上3万元以下罚款</w:t>
            </w:r>
            <w:r>
              <w:rPr>
                <w:rFonts w:hint="eastAsia" w:ascii="宋体" w:hAnsi="宋体" w:eastAsia="宋体" w:cs="宋体"/>
                <w:color w:val="auto"/>
                <w:sz w:val="24"/>
                <w:szCs w:val="24"/>
                <w:lang w:eastAsia="zh-CN"/>
              </w:rPr>
              <w:t>。</w:t>
            </w:r>
          </w:p>
        </w:tc>
      </w:tr>
      <w:tr w14:paraId="47B16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778" w:type="dxa"/>
            <w:vMerge w:val="restart"/>
            <w:noWrap w:val="0"/>
            <w:vAlign w:val="center"/>
          </w:tcPr>
          <w:p w14:paraId="40BF3BFE">
            <w:pPr>
              <w:spacing w:line="4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232</w:t>
            </w:r>
          </w:p>
        </w:tc>
        <w:tc>
          <w:tcPr>
            <w:tcW w:w="1733" w:type="dxa"/>
            <w:vMerge w:val="restart"/>
            <w:noWrap w:val="0"/>
            <w:vAlign w:val="center"/>
          </w:tcPr>
          <w:p w14:paraId="44C2B3E6">
            <w:pPr>
              <w:spacing w:line="400" w:lineRule="exact"/>
              <w:ind w:left="42" w:leftChars="20" w:right="0" w:rightChars="0"/>
              <w:jc w:val="left"/>
              <w:rPr>
                <w:rFonts w:hint="eastAsia" w:ascii="宋体" w:hAnsi="宋体" w:eastAsia="宋体" w:cs="宋体"/>
                <w:color w:val="auto"/>
                <w:sz w:val="24"/>
              </w:rPr>
            </w:pPr>
          </w:p>
          <w:p w14:paraId="4CEBD1FE">
            <w:pPr>
              <w:spacing w:line="400" w:lineRule="exact"/>
              <w:ind w:left="42" w:leftChars="20" w:right="0" w:rightChars="0"/>
              <w:jc w:val="left"/>
              <w:outlineLvl w:val="2"/>
              <w:rPr>
                <w:rFonts w:hint="eastAsia" w:ascii="宋体" w:hAnsi="宋体" w:eastAsia="宋体" w:cs="宋体"/>
                <w:color w:val="auto"/>
                <w:sz w:val="24"/>
                <w:lang w:val="en-US" w:eastAsia="zh-CN"/>
              </w:rPr>
            </w:pPr>
            <w:bookmarkStart w:id="278" w:name="_Toc30227"/>
            <w:bookmarkStart w:id="279" w:name="_Toc3538"/>
            <w:bookmarkStart w:id="280" w:name="_Toc11147"/>
            <w:bookmarkStart w:id="281" w:name="_Toc19089"/>
            <w:r>
              <w:rPr>
                <w:rFonts w:hint="eastAsia" w:ascii="宋体" w:hAnsi="宋体" w:eastAsia="宋体" w:cs="宋体"/>
                <w:color w:val="auto"/>
                <w:sz w:val="24"/>
              </w:rPr>
              <w:t>《节能低碳产品认证管理办法》</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2015年11月1日起施行</w:t>
            </w:r>
            <w:r>
              <w:rPr>
                <w:rFonts w:hint="eastAsia" w:ascii="宋体" w:hAnsi="宋体" w:eastAsia="宋体" w:cs="宋体"/>
                <w:color w:val="auto"/>
                <w:sz w:val="24"/>
                <w:lang w:eastAsia="zh-CN"/>
              </w:rPr>
              <w:t>）</w:t>
            </w:r>
            <w:bookmarkEnd w:id="278"/>
            <w:bookmarkEnd w:id="279"/>
            <w:bookmarkEnd w:id="280"/>
            <w:bookmarkEnd w:id="281"/>
          </w:p>
        </w:tc>
        <w:tc>
          <w:tcPr>
            <w:tcW w:w="4117" w:type="dxa"/>
            <w:vMerge w:val="restart"/>
            <w:noWrap w:val="0"/>
            <w:vAlign w:val="center"/>
          </w:tcPr>
          <w:p w14:paraId="712ABB40">
            <w:pPr>
              <w:widowControl/>
              <w:spacing w:line="400" w:lineRule="exact"/>
              <w:rPr>
                <w:rFonts w:hint="eastAsia" w:ascii="宋体" w:hAnsi="宋体" w:eastAsia="宋体" w:cs="宋体"/>
                <w:color w:val="auto"/>
                <w:sz w:val="24"/>
                <w:lang w:eastAsia="zh-CN"/>
              </w:rPr>
            </w:pPr>
            <w:r>
              <w:rPr>
                <w:rFonts w:hint="eastAsia" w:ascii="宋体" w:hAnsi="宋体" w:eastAsia="宋体" w:cs="宋体"/>
                <w:color w:val="auto"/>
                <w:sz w:val="24"/>
              </w:rPr>
              <w:t>第三十五条</w:t>
            </w:r>
            <w:r>
              <w:rPr>
                <w:rFonts w:hint="eastAsia" w:ascii="宋体" w:hAnsi="宋体" w:eastAsia="宋体" w:cs="宋体"/>
                <w:color w:val="auto"/>
                <w:sz w:val="24"/>
                <w:lang w:eastAsia="zh-CN"/>
              </w:rPr>
              <w:t>第二款</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转让节能、低碳产品认证标志的，由地方质检两局责令改正，并处3万元以下的罚款</w:t>
            </w:r>
            <w:r>
              <w:rPr>
                <w:rFonts w:hint="eastAsia" w:ascii="宋体" w:hAnsi="宋体" w:eastAsia="宋体" w:cs="宋体"/>
                <w:color w:val="auto"/>
                <w:sz w:val="24"/>
                <w:lang w:eastAsia="zh-CN"/>
              </w:rPr>
              <w:t>。</w:t>
            </w:r>
          </w:p>
        </w:tc>
        <w:tc>
          <w:tcPr>
            <w:tcW w:w="1133" w:type="dxa"/>
            <w:noWrap w:val="0"/>
            <w:vAlign w:val="center"/>
          </w:tcPr>
          <w:p w14:paraId="4238B92C">
            <w:pPr>
              <w:widowControl/>
              <w:spacing w:line="400" w:lineRule="exact"/>
              <w:jc w:val="center"/>
              <w:rPr>
                <w:rFonts w:hint="eastAsia" w:ascii="宋体" w:hAnsi="宋体" w:eastAsia="宋体" w:cs="宋体"/>
                <w:color w:val="auto"/>
                <w:kern w:val="0"/>
                <w:sz w:val="24"/>
              </w:rPr>
            </w:pPr>
            <w:r>
              <w:rPr>
                <w:rFonts w:hint="eastAsia" w:ascii="宋体" w:hAnsi="宋体" w:eastAsia="宋体" w:cs="宋体"/>
                <w:color w:val="auto"/>
                <w:kern w:val="0"/>
                <w:sz w:val="24"/>
              </w:rPr>
              <w:t>较轻</w:t>
            </w:r>
          </w:p>
        </w:tc>
        <w:tc>
          <w:tcPr>
            <w:tcW w:w="3350" w:type="dxa"/>
            <w:noWrap w:val="0"/>
            <w:vAlign w:val="center"/>
          </w:tcPr>
          <w:p w14:paraId="5BEE7A8F">
            <w:pPr>
              <w:numPr>
                <w:ilvl w:val="0"/>
                <w:numId w:val="0"/>
              </w:numPr>
              <w:tabs>
                <w:tab w:val="left" w:pos="0"/>
              </w:tabs>
              <w:spacing w:line="400" w:lineRule="exact"/>
              <w:rPr>
                <w:rFonts w:hint="eastAsia" w:ascii="宋体" w:hAnsi="宋体" w:eastAsia="宋体" w:cs="宋体"/>
                <w:color w:val="auto"/>
                <w:sz w:val="24"/>
                <w:lang w:eastAsia="zh-CN"/>
              </w:rPr>
            </w:pPr>
            <w:r>
              <w:rPr>
                <w:rFonts w:hint="eastAsia" w:ascii="宋体" w:hAnsi="宋体" w:eastAsia="宋体" w:cs="宋体"/>
                <w:color w:val="auto"/>
                <w:sz w:val="24"/>
              </w:rPr>
              <w:t>涉案产品尚未销售或使用</w:t>
            </w:r>
            <w:r>
              <w:rPr>
                <w:rFonts w:hint="eastAsia" w:ascii="宋体" w:hAnsi="宋体" w:eastAsia="宋体" w:cs="宋体"/>
                <w:color w:val="auto"/>
                <w:sz w:val="24"/>
                <w:lang w:eastAsia="zh-CN"/>
              </w:rPr>
              <w:t>的。</w:t>
            </w:r>
          </w:p>
        </w:tc>
        <w:tc>
          <w:tcPr>
            <w:tcW w:w="3259" w:type="dxa"/>
            <w:noWrap w:val="0"/>
            <w:vAlign w:val="center"/>
          </w:tcPr>
          <w:p w14:paraId="06F5EFF5">
            <w:pPr>
              <w:widowControl/>
              <w:spacing w:line="400" w:lineRule="exact"/>
              <w:rPr>
                <w:rFonts w:hint="eastAsia" w:ascii="宋体" w:hAnsi="宋体" w:eastAsia="宋体" w:cs="宋体"/>
                <w:color w:val="auto"/>
                <w:kern w:val="0"/>
                <w:sz w:val="24"/>
                <w:lang w:eastAsia="zh-CN"/>
              </w:rPr>
            </w:pPr>
            <w:r>
              <w:rPr>
                <w:rFonts w:hint="eastAsia" w:ascii="宋体" w:hAnsi="宋体" w:eastAsia="宋体" w:cs="宋体"/>
                <w:color w:val="auto"/>
                <w:sz w:val="24"/>
              </w:rPr>
              <w:t>有下列情形</w:t>
            </w:r>
            <w:r>
              <w:rPr>
                <w:rFonts w:hint="eastAsia" w:ascii="宋体" w:hAnsi="宋体" w:eastAsia="宋体" w:cs="宋体"/>
                <w:color w:val="auto"/>
                <w:sz w:val="24"/>
                <w:lang w:val="en-US" w:eastAsia="zh-CN"/>
              </w:rPr>
              <w:t>之一</w:t>
            </w:r>
            <w:r>
              <w:rPr>
                <w:rFonts w:hint="eastAsia" w:ascii="宋体" w:hAnsi="宋体" w:eastAsia="宋体" w:cs="宋体"/>
                <w:color w:val="auto"/>
                <w:sz w:val="24"/>
              </w:rPr>
              <w:t>的，处</w:t>
            </w:r>
            <w:r>
              <w:rPr>
                <w:rFonts w:hint="eastAsia" w:ascii="宋体" w:hAnsi="宋体" w:eastAsia="宋体" w:cs="宋体"/>
                <w:color w:val="auto"/>
                <w:sz w:val="24"/>
                <w:lang w:val="en-US" w:eastAsia="zh-CN"/>
              </w:rPr>
              <w:t>9000</w:t>
            </w:r>
            <w:r>
              <w:rPr>
                <w:rFonts w:hint="eastAsia" w:ascii="宋体" w:hAnsi="宋体" w:eastAsia="宋体" w:cs="宋体"/>
                <w:color w:val="auto"/>
                <w:sz w:val="24"/>
              </w:rPr>
              <w:t>元</w:t>
            </w:r>
            <w:r>
              <w:rPr>
                <w:rFonts w:hint="eastAsia" w:ascii="宋体" w:hAnsi="宋体" w:eastAsia="宋体" w:cs="宋体"/>
                <w:color w:val="auto"/>
                <w:sz w:val="24"/>
                <w:lang w:eastAsia="zh-CN"/>
              </w:rPr>
              <w:t>以下</w:t>
            </w:r>
            <w:r>
              <w:rPr>
                <w:rFonts w:hint="eastAsia" w:ascii="宋体" w:hAnsi="宋体" w:eastAsia="宋体" w:cs="宋体"/>
                <w:color w:val="auto"/>
                <w:sz w:val="24"/>
              </w:rPr>
              <w:t>的罚款</w:t>
            </w:r>
            <w:r>
              <w:rPr>
                <w:rFonts w:hint="eastAsia" w:ascii="宋体" w:hAnsi="宋体" w:eastAsia="宋体" w:cs="宋体"/>
                <w:color w:val="auto"/>
                <w:sz w:val="24"/>
                <w:lang w:eastAsia="zh-CN"/>
              </w:rPr>
              <w:t>。</w:t>
            </w:r>
          </w:p>
        </w:tc>
      </w:tr>
      <w:tr w14:paraId="4A45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778" w:type="dxa"/>
            <w:vMerge w:val="continue"/>
            <w:noWrap w:val="0"/>
            <w:vAlign w:val="center"/>
          </w:tcPr>
          <w:p w14:paraId="2F2E41DC">
            <w:pPr>
              <w:spacing w:line="400" w:lineRule="exact"/>
              <w:jc w:val="center"/>
              <w:rPr>
                <w:rFonts w:hint="eastAsia" w:ascii="宋体" w:hAnsi="宋体" w:eastAsia="宋体" w:cs="宋体"/>
                <w:color w:val="auto"/>
                <w:sz w:val="24"/>
              </w:rPr>
            </w:pPr>
          </w:p>
        </w:tc>
        <w:tc>
          <w:tcPr>
            <w:tcW w:w="1733" w:type="dxa"/>
            <w:vMerge w:val="continue"/>
            <w:noWrap w:val="0"/>
            <w:vAlign w:val="center"/>
          </w:tcPr>
          <w:p w14:paraId="49EA5EF9">
            <w:pPr>
              <w:spacing w:line="400" w:lineRule="exact"/>
              <w:ind w:left="42" w:leftChars="20" w:right="0" w:rightChars="0"/>
              <w:jc w:val="left"/>
              <w:rPr>
                <w:rFonts w:hint="eastAsia" w:ascii="宋体" w:hAnsi="宋体" w:eastAsia="宋体" w:cs="宋体"/>
                <w:color w:val="auto"/>
                <w:sz w:val="24"/>
              </w:rPr>
            </w:pPr>
          </w:p>
        </w:tc>
        <w:tc>
          <w:tcPr>
            <w:tcW w:w="4117" w:type="dxa"/>
            <w:vMerge w:val="continue"/>
            <w:noWrap w:val="0"/>
            <w:vAlign w:val="center"/>
          </w:tcPr>
          <w:p w14:paraId="254D74AD">
            <w:pPr>
              <w:widowControl/>
              <w:spacing w:line="400" w:lineRule="exact"/>
              <w:rPr>
                <w:rFonts w:hint="eastAsia" w:ascii="宋体" w:hAnsi="宋体" w:eastAsia="宋体" w:cs="宋体"/>
                <w:color w:val="auto"/>
                <w:sz w:val="24"/>
              </w:rPr>
            </w:pPr>
          </w:p>
        </w:tc>
        <w:tc>
          <w:tcPr>
            <w:tcW w:w="1133" w:type="dxa"/>
            <w:noWrap w:val="0"/>
            <w:vAlign w:val="center"/>
          </w:tcPr>
          <w:p w14:paraId="199BCFC8">
            <w:pPr>
              <w:widowControl/>
              <w:spacing w:line="400" w:lineRule="exact"/>
              <w:jc w:val="center"/>
              <w:rPr>
                <w:rFonts w:hint="eastAsia" w:ascii="宋体" w:hAnsi="宋体" w:eastAsia="宋体" w:cs="宋体"/>
                <w:color w:val="auto"/>
                <w:kern w:val="0"/>
                <w:sz w:val="24"/>
              </w:rPr>
            </w:pPr>
            <w:r>
              <w:rPr>
                <w:rFonts w:hint="eastAsia" w:ascii="宋体" w:hAnsi="宋体" w:eastAsia="宋体" w:cs="宋体"/>
                <w:color w:val="auto"/>
                <w:kern w:val="0"/>
                <w:sz w:val="24"/>
              </w:rPr>
              <w:t>一般</w:t>
            </w:r>
          </w:p>
        </w:tc>
        <w:tc>
          <w:tcPr>
            <w:tcW w:w="3350" w:type="dxa"/>
            <w:noWrap w:val="0"/>
            <w:vAlign w:val="center"/>
          </w:tcPr>
          <w:p w14:paraId="5EC12CCA">
            <w:pPr>
              <w:numPr>
                <w:ilvl w:val="0"/>
                <w:numId w:val="0"/>
              </w:numPr>
              <w:spacing w:line="400" w:lineRule="exact"/>
              <w:rPr>
                <w:rFonts w:hint="eastAsia" w:ascii="宋体" w:hAnsi="宋体" w:eastAsia="宋体" w:cs="宋体"/>
                <w:color w:val="auto"/>
                <w:kern w:val="0"/>
                <w:sz w:val="24"/>
                <w:lang w:eastAsia="zh-CN"/>
              </w:rPr>
            </w:pPr>
            <w:r>
              <w:rPr>
                <w:rFonts w:hint="eastAsia" w:ascii="宋体" w:hAnsi="宋体" w:eastAsia="宋体" w:cs="宋体"/>
                <w:color w:val="auto"/>
                <w:sz w:val="24"/>
                <w:szCs w:val="24"/>
              </w:rPr>
              <w:t>违法行为涉及2种产品或违法产品数量100件以上的</w:t>
            </w:r>
            <w:r>
              <w:rPr>
                <w:rFonts w:hint="eastAsia" w:ascii="宋体" w:hAnsi="宋体" w:eastAsia="宋体" w:cs="宋体"/>
                <w:color w:val="auto"/>
                <w:sz w:val="24"/>
                <w:szCs w:val="24"/>
                <w:lang w:eastAsia="zh-CN"/>
              </w:rPr>
              <w:t>。</w:t>
            </w:r>
          </w:p>
        </w:tc>
        <w:tc>
          <w:tcPr>
            <w:tcW w:w="3259" w:type="dxa"/>
            <w:noWrap w:val="0"/>
            <w:vAlign w:val="center"/>
          </w:tcPr>
          <w:p w14:paraId="60C11E6F">
            <w:pPr>
              <w:widowControl/>
              <w:spacing w:line="400" w:lineRule="exact"/>
              <w:rPr>
                <w:rFonts w:hint="eastAsia" w:ascii="宋体" w:hAnsi="宋体" w:eastAsia="宋体" w:cs="宋体"/>
                <w:color w:val="auto"/>
                <w:sz w:val="24"/>
              </w:rPr>
            </w:pPr>
            <w:r>
              <w:rPr>
                <w:rFonts w:hint="eastAsia" w:ascii="宋体" w:hAnsi="宋体" w:eastAsia="宋体" w:cs="宋体"/>
                <w:color w:val="auto"/>
                <w:sz w:val="24"/>
                <w:lang w:val="en-US" w:eastAsia="zh-CN"/>
              </w:rPr>
              <w:t>有以下情形之一的，责令改正，处9000元以上2.1万元以上罚款。</w:t>
            </w:r>
          </w:p>
        </w:tc>
      </w:tr>
      <w:tr w14:paraId="5EE0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778" w:type="dxa"/>
            <w:vMerge w:val="continue"/>
            <w:noWrap w:val="0"/>
            <w:vAlign w:val="top"/>
          </w:tcPr>
          <w:p w14:paraId="1F579493">
            <w:pPr>
              <w:spacing w:line="400" w:lineRule="exact"/>
              <w:ind w:firstLine="475" w:firstLineChars="198"/>
              <w:rPr>
                <w:rFonts w:hint="eastAsia" w:ascii="宋体" w:hAnsi="宋体" w:eastAsia="宋体" w:cs="宋体"/>
                <w:color w:val="auto"/>
                <w:sz w:val="24"/>
              </w:rPr>
            </w:pPr>
          </w:p>
        </w:tc>
        <w:tc>
          <w:tcPr>
            <w:tcW w:w="1733" w:type="dxa"/>
            <w:vMerge w:val="continue"/>
            <w:noWrap w:val="0"/>
            <w:vAlign w:val="center"/>
          </w:tcPr>
          <w:p w14:paraId="3A6B5FB1">
            <w:pPr>
              <w:spacing w:line="400" w:lineRule="exact"/>
              <w:ind w:left="42" w:leftChars="20" w:right="0" w:rightChars="0" w:firstLine="475" w:firstLineChars="198"/>
              <w:jc w:val="left"/>
              <w:rPr>
                <w:rFonts w:hint="eastAsia" w:ascii="宋体" w:hAnsi="宋体" w:eastAsia="宋体" w:cs="宋体"/>
                <w:color w:val="auto"/>
                <w:sz w:val="24"/>
              </w:rPr>
            </w:pPr>
          </w:p>
        </w:tc>
        <w:tc>
          <w:tcPr>
            <w:tcW w:w="4117" w:type="dxa"/>
            <w:vMerge w:val="continue"/>
            <w:noWrap w:val="0"/>
            <w:vAlign w:val="center"/>
          </w:tcPr>
          <w:p w14:paraId="19FD3F37">
            <w:pPr>
              <w:widowControl/>
              <w:spacing w:line="400" w:lineRule="exact"/>
              <w:rPr>
                <w:rFonts w:hint="eastAsia" w:ascii="宋体" w:hAnsi="宋体" w:eastAsia="宋体" w:cs="宋体"/>
                <w:color w:val="auto"/>
                <w:sz w:val="24"/>
              </w:rPr>
            </w:pPr>
          </w:p>
        </w:tc>
        <w:tc>
          <w:tcPr>
            <w:tcW w:w="1133" w:type="dxa"/>
            <w:noWrap w:val="0"/>
            <w:vAlign w:val="center"/>
          </w:tcPr>
          <w:p w14:paraId="3F6D966E">
            <w:pPr>
              <w:widowControl/>
              <w:spacing w:line="400" w:lineRule="exact"/>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t>较重</w:t>
            </w:r>
          </w:p>
        </w:tc>
        <w:tc>
          <w:tcPr>
            <w:tcW w:w="3350" w:type="dxa"/>
            <w:noWrap w:val="0"/>
            <w:vAlign w:val="center"/>
          </w:tcPr>
          <w:p w14:paraId="1D4A05CF">
            <w:pPr>
              <w:numPr>
                <w:ilvl w:val="0"/>
                <w:numId w:val="0"/>
              </w:numPr>
              <w:spacing w:line="400" w:lineRule="exact"/>
              <w:rPr>
                <w:rFonts w:hint="eastAsia" w:ascii="宋体" w:hAnsi="宋体" w:eastAsia="宋体" w:cs="宋体"/>
                <w:color w:val="auto"/>
                <w:sz w:val="24"/>
                <w:lang w:eastAsia="zh-CN"/>
              </w:rPr>
            </w:pPr>
            <w:r>
              <w:rPr>
                <w:rFonts w:hint="eastAsia" w:ascii="宋体" w:hAnsi="宋体" w:eastAsia="宋体" w:cs="宋体"/>
                <w:color w:val="auto"/>
                <w:sz w:val="24"/>
              </w:rPr>
              <w:t>违法行为涉及3种以上产品或违法产品数量达300件以上的</w:t>
            </w:r>
            <w:r>
              <w:rPr>
                <w:rFonts w:hint="eastAsia" w:ascii="宋体" w:hAnsi="宋体" w:eastAsia="宋体" w:cs="宋体"/>
                <w:color w:val="auto"/>
                <w:sz w:val="24"/>
                <w:lang w:eastAsia="zh-CN"/>
              </w:rPr>
              <w:t>。</w:t>
            </w:r>
          </w:p>
        </w:tc>
        <w:tc>
          <w:tcPr>
            <w:tcW w:w="3259" w:type="dxa"/>
            <w:noWrap w:val="0"/>
            <w:vAlign w:val="center"/>
          </w:tcPr>
          <w:p w14:paraId="3804CF16">
            <w:pPr>
              <w:widowControl/>
              <w:spacing w:line="400" w:lineRule="exact"/>
              <w:rPr>
                <w:rFonts w:hint="eastAsia" w:ascii="宋体" w:hAnsi="宋体" w:eastAsia="宋体" w:cs="宋体"/>
                <w:color w:val="auto"/>
                <w:kern w:val="0"/>
                <w:sz w:val="24"/>
              </w:rPr>
            </w:pPr>
            <w:r>
              <w:rPr>
                <w:rFonts w:hint="eastAsia" w:ascii="宋体" w:hAnsi="宋体" w:eastAsia="宋体" w:cs="宋体"/>
                <w:color w:val="auto"/>
                <w:sz w:val="24"/>
                <w:lang w:val="en-US" w:eastAsia="zh-CN"/>
              </w:rPr>
              <w:t>有以下情形之一的，责令改正，处2.1万元以上3万元以下罚款。</w:t>
            </w:r>
          </w:p>
        </w:tc>
      </w:tr>
    </w:tbl>
    <w:p w14:paraId="55EA4958">
      <w:pPr>
        <w:rPr>
          <w:rFonts w:hint="eastAsia" w:ascii="仿宋_GB2312" w:hAnsi="仿宋_GB2312" w:eastAsia="仿宋_GB2312" w:cs="仿宋_GB2312"/>
          <w:color w:val="auto"/>
        </w:rPr>
      </w:pPr>
    </w:p>
    <w:p w14:paraId="56878570">
      <w:pPr>
        <w:rPr>
          <w:rFonts w:hint="eastAsia" w:ascii="宋体" w:hAnsi="宋体" w:cs="宋体"/>
          <w:sz w:val="24"/>
        </w:rPr>
        <w:sectPr>
          <w:headerReference r:id="rId8" w:type="default"/>
          <w:footerReference r:id="rId9" w:type="default"/>
          <w:footerReference r:id="rId10" w:type="even"/>
          <w:pgSz w:w="16838" w:h="11906" w:orient="landscape"/>
          <w:pgMar w:top="1417" w:right="1417" w:bottom="1417" w:left="1417" w:header="851" w:footer="992" w:gutter="0"/>
          <w:cols w:space="0" w:num="1"/>
          <w:rtlGutter w:val="0"/>
          <w:docGrid w:type="lines" w:linePitch="312" w:charSpace="0"/>
        </w:sectPr>
      </w:pPr>
    </w:p>
    <w:p w14:paraId="52F067D8">
      <w:pPr>
        <w:spacing w:line="240" w:lineRule="auto"/>
        <w:jc w:val="center"/>
        <w:outlineLvl w:val="1"/>
        <w:rPr>
          <w:rFonts w:hint="default" w:ascii="方正小标宋简体" w:hAnsi="方正小标宋简体" w:eastAsia="方正小标宋简体" w:cs="方正小标宋简体"/>
          <w:b w:val="0"/>
          <w:bCs/>
          <w:kern w:val="44"/>
          <w:sz w:val="36"/>
          <w:szCs w:val="20"/>
          <w:highlight w:val="none"/>
          <w:lang w:val="en-US" w:eastAsia="zh-CN" w:bidi="ar-SA"/>
        </w:rPr>
      </w:pPr>
      <w:bookmarkStart w:id="282" w:name="_Toc10366"/>
      <w:bookmarkStart w:id="283" w:name="_Toc16623"/>
      <w:bookmarkStart w:id="284" w:name="_Toc4793"/>
      <w:bookmarkStart w:id="285" w:name="_Toc31739"/>
      <w:bookmarkStart w:id="286" w:name="_Toc19517"/>
      <w:r>
        <w:rPr>
          <w:rFonts w:hint="default" w:ascii="方正小标宋简体" w:hAnsi="方正小标宋简体" w:eastAsia="方正小标宋简体" w:cs="方正小标宋简体"/>
          <w:b w:val="0"/>
          <w:bCs/>
          <w:kern w:val="44"/>
          <w:sz w:val="36"/>
          <w:szCs w:val="20"/>
          <w:highlight w:val="none"/>
          <w:lang w:val="en-US" w:eastAsia="zh-CN" w:bidi="ar-SA"/>
        </w:rPr>
        <w:t>第九节  适用食品安全监管法律、法规、规章的裁量标准</w:t>
      </w:r>
      <w:bookmarkEnd w:id="282"/>
      <w:bookmarkEnd w:id="283"/>
      <w:bookmarkEnd w:id="284"/>
      <w:bookmarkEnd w:id="285"/>
      <w:bookmarkEnd w:id="286"/>
    </w:p>
    <w:tbl>
      <w:tblPr>
        <w:tblStyle w:val="10"/>
        <w:tblW w:w="14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718"/>
        <w:gridCol w:w="4132"/>
        <w:gridCol w:w="1133"/>
        <w:gridCol w:w="3316"/>
        <w:gridCol w:w="3267"/>
      </w:tblGrid>
      <w:tr w14:paraId="46B0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787" w:type="dxa"/>
            <w:tcBorders>
              <w:tl2br w:val="nil"/>
              <w:tr2bl w:val="nil"/>
            </w:tcBorders>
            <w:noWrap w:val="0"/>
            <w:vAlign w:val="center"/>
          </w:tcPr>
          <w:p w14:paraId="179FCDBF">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序号</w:t>
            </w:r>
          </w:p>
        </w:tc>
        <w:tc>
          <w:tcPr>
            <w:tcW w:w="1718" w:type="dxa"/>
            <w:tcBorders>
              <w:tl2br w:val="nil"/>
              <w:tr2bl w:val="nil"/>
            </w:tcBorders>
            <w:noWrap w:val="0"/>
            <w:vAlign w:val="center"/>
          </w:tcPr>
          <w:p w14:paraId="70CD5871">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center"/>
              <w:textAlignment w:val="auto"/>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法律名称</w:t>
            </w:r>
          </w:p>
        </w:tc>
        <w:tc>
          <w:tcPr>
            <w:tcW w:w="4132" w:type="dxa"/>
            <w:tcBorders>
              <w:tl2br w:val="nil"/>
              <w:tr2bl w:val="nil"/>
            </w:tcBorders>
            <w:noWrap w:val="0"/>
            <w:vAlign w:val="center"/>
          </w:tcPr>
          <w:p w14:paraId="2AC19F4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法律依据</w:t>
            </w:r>
          </w:p>
        </w:tc>
        <w:tc>
          <w:tcPr>
            <w:tcW w:w="1133" w:type="dxa"/>
            <w:tcBorders>
              <w:tl2br w:val="nil"/>
              <w:tr2bl w:val="nil"/>
            </w:tcBorders>
            <w:noWrap w:val="0"/>
            <w:vAlign w:val="center"/>
          </w:tcPr>
          <w:p w14:paraId="4B458C58">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违法程度</w:t>
            </w:r>
          </w:p>
        </w:tc>
        <w:tc>
          <w:tcPr>
            <w:tcW w:w="3316" w:type="dxa"/>
            <w:tcBorders>
              <w:tl2br w:val="nil"/>
              <w:tr2bl w:val="nil"/>
            </w:tcBorders>
            <w:noWrap w:val="0"/>
            <w:vAlign w:val="center"/>
          </w:tcPr>
          <w:p w14:paraId="26C6808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判断标准</w:t>
            </w:r>
          </w:p>
        </w:tc>
        <w:tc>
          <w:tcPr>
            <w:tcW w:w="3267" w:type="dxa"/>
            <w:tcBorders>
              <w:tl2br w:val="nil"/>
              <w:tr2bl w:val="nil"/>
            </w:tcBorders>
            <w:noWrap w:val="0"/>
            <w:vAlign w:val="center"/>
          </w:tcPr>
          <w:p w14:paraId="4B13574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处罚标准</w:t>
            </w:r>
          </w:p>
        </w:tc>
      </w:tr>
      <w:tr w14:paraId="6E85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5" w:hRule="atLeast"/>
          <w:jc w:val="center"/>
        </w:trPr>
        <w:tc>
          <w:tcPr>
            <w:tcW w:w="787" w:type="dxa"/>
            <w:vMerge w:val="restart"/>
            <w:tcBorders>
              <w:tl2br w:val="nil"/>
              <w:tr2bl w:val="nil"/>
            </w:tcBorders>
            <w:noWrap w:val="0"/>
            <w:vAlign w:val="center"/>
          </w:tcPr>
          <w:p w14:paraId="795079F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 w:eastAsia="zh-CN"/>
              </w:rPr>
              <w:t>2</w:t>
            </w:r>
            <w:r>
              <w:rPr>
                <w:rFonts w:hint="eastAsia" w:ascii="宋体" w:hAnsi="宋体" w:cs="宋体"/>
                <w:b w:val="0"/>
                <w:bCs w:val="0"/>
                <w:color w:val="auto"/>
                <w:kern w:val="0"/>
                <w:sz w:val="24"/>
                <w:szCs w:val="24"/>
                <w:highlight w:val="none"/>
                <w:lang w:val="en-US" w:eastAsia="zh-CN"/>
              </w:rPr>
              <w:t>33</w:t>
            </w:r>
          </w:p>
        </w:tc>
        <w:tc>
          <w:tcPr>
            <w:tcW w:w="1718" w:type="dxa"/>
            <w:vMerge w:val="restart"/>
            <w:tcBorders>
              <w:tl2br w:val="nil"/>
              <w:tr2bl w:val="nil"/>
            </w:tcBorders>
            <w:noWrap w:val="0"/>
            <w:vAlign w:val="center"/>
          </w:tcPr>
          <w:p w14:paraId="404534D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outlineLvl w:val="2"/>
              <w:rPr>
                <w:rFonts w:hint="eastAsia" w:ascii="宋体" w:hAnsi="宋体" w:eastAsia="宋体" w:cs="宋体"/>
                <w:b w:val="0"/>
                <w:bCs w:val="0"/>
                <w:color w:val="auto"/>
                <w:kern w:val="0"/>
                <w:sz w:val="24"/>
                <w:szCs w:val="24"/>
                <w:highlight w:val="none"/>
                <w:lang w:val="en"/>
              </w:rPr>
            </w:pPr>
            <w:bookmarkStart w:id="287" w:name="_Toc25000"/>
            <w:bookmarkStart w:id="288" w:name="_Toc32469"/>
            <w:bookmarkStart w:id="289" w:name="_Toc21272"/>
            <w:bookmarkStart w:id="290" w:name="_Toc28158"/>
            <w:bookmarkStart w:id="291" w:name="_Toc28339"/>
            <w:r>
              <w:rPr>
                <w:rFonts w:hint="eastAsia" w:ascii="宋体" w:hAnsi="宋体" w:eastAsia="宋体" w:cs="宋体"/>
                <w:b w:val="0"/>
                <w:bCs w:val="0"/>
                <w:color w:val="auto"/>
                <w:kern w:val="0"/>
                <w:sz w:val="24"/>
                <w:szCs w:val="24"/>
                <w:highlight w:val="none"/>
              </w:rPr>
              <w:t>《中华人民共和国食品安全法》</w:t>
            </w:r>
            <w:r>
              <w:rPr>
                <w:rFonts w:hint="eastAsia" w:ascii="宋体" w:hAnsi="宋体" w:eastAsia="宋体" w:cs="宋体"/>
                <w:b w:val="0"/>
                <w:bCs w:val="0"/>
                <w:color w:val="auto"/>
                <w:kern w:val="0"/>
                <w:sz w:val="24"/>
                <w:szCs w:val="24"/>
                <w:highlight w:val="none"/>
                <w:lang w:val="en"/>
              </w:rPr>
              <w:t>(202</w:t>
            </w:r>
            <w:r>
              <w:rPr>
                <w:rFonts w:hint="eastAsia" w:ascii="宋体" w:hAnsi="宋体" w:cs="宋体"/>
                <w:b w:val="0"/>
                <w:bCs w:val="0"/>
                <w:color w:val="auto"/>
                <w:kern w:val="0"/>
                <w:sz w:val="24"/>
                <w:szCs w:val="24"/>
                <w:highlight w:val="none"/>
                <w:lang w:val="en-US" w:eastAsia="zh-CN"/>
              </w:rPr>
              <w:t>5</w:t>
            </w:r>
            <w:r>
              <w:rPr>
                <w:rFonts w:hint="eastAsia" w:ascii="宋体" w:hAnsi="宋体" w:eastAsia="宋体" w:cs="宋体"/>
                <w:b w:val="0"/>
                <w:bCs w:val="0"/>
                <w:color w:val="auto"/>
                <w:kern w:val="0"/>
                <w:sz w:val="24"/>
                <w:szCs w:val="24"/>
                <w:highlight w:val="none"/>
                <w:lang w:val="en" w:eastAsia="zh-CN"/>
              </w:rPr>
              <w:t>年</w:t>
            </w:r>
            <w:r>
              <w:rPr>
                <w:rFonts w:hint="eastAsia" w:ascii="宋体" w:hAnsi="宋体" w:cs="宋体"/>
                <w:b w:val="0"/>
                <w:bCs w:val="0"/>
                <w:color w:val="auto"/>
                <w:kern w:val="0"/>
                <w:sz w:val="24"/>
                <w:szCs w:val="24"/>
                <w:highlight w:val="none"/>
                <w:lang w:val="en-US" w:eastAsia="zh-CN"/>
              </w:rPr>
              <w:t>12</w:t>
            </w:r>
            <w:r>
              <w:rPr>
                <w:rFonts w:hint="eastAsia" w:ascii="宋体" w:hAnsi="宋体" w:eastAsia="宋体" w:cs="宋体"/>
                <w:b w:val="0"/>
                <w:bCs w:val="0"/>
                <w:color w:val="auto"/>
                <w:kern w:val="0"/>
                <w:sz w:val="24"/>
                <w:szCs w:val="24"/>
                <w:highlight w:val="none"/>
                <w:lang w:val="en-US" w:eastAsia="zh-CN"/>
              </w:rPr>
              <w:t>月</w:t>
            </w: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日</w:t>
            </w:r>
            <w:r>
              <w:rPr>
                <w:rFonts w:hint="eastAsia" w:ascii="宋体" w:hAnsi="宋体" w:cs="宋体"/>
                <w:b w:val="0"/>
                <w:bCs w:val="0"/>
                <w:color w:val="auto"/>
                <w:kern w:val="0"/>
                <w:sz w:val="24"/>
                <w:szCs w:val="24"/>
                <w:highlight w:val="none"/>
                <w:lang w:val="en-US" w:eastAsia="zh-CN"/>
              </w:rPr>
              <w:t>起施行</w:t>
            </w:r>
            <w:r>
              <w:rPr>
                <w:rFonts w:hint="eastAsia" w:ascii="宋体" w:hAnsi="宋体" w:eastAsia="宋体" w:cs="宋体"/>
                <w:b w:val="0"/>
                <w:bCs w:val="0"/>
                <w:color w:val="auto"/>
                <w:kern w:val="0"/>
                <w:sz w:val="24"/>
                <w:szCs w:val="24"/>
                <w:highlight w:val="none"/>
                <w:lang w:val="en"/>
              </w:rPr>
              <w:t>)</w:t>
            </w:r>
            <w:bookmarkEnd w:id="287"/>
            <w:bookmarkEnd w:id="288"/>
            <w:bookmarkEnd w:id="289"/>
            <w:bookmarkEnd w:id="290"/>
            <w:bookmarkEnd w:id="291"/>
          </w:p>
        </w:tc>
        <w:tc>
          <w:tcPr>
            <w:tcW w:w="4132" w:type="dxa"/>
            <w:vMerge w:val="restart"/>
            <w:tcBorders>
              <w:tl2br w:val="nil"/>
              <w:tr2bl w:val="nil"/>
            </w:tcBorders>
            <w:noWrap w:val="0"/>
            <w:vAlign w:val="center"/>
          </w:tcPr>
          <w:p w14:paraId="4C93AB6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ascii="宋体" w:hAnsi="宋体" w:eastAsia="宋体" w:cs="宋体"/>
                <w:color w:val="auto"/>
                <w:sz w:val="24"/>
                <w:szCs w:val="24"/>
              </w:rPr>
              <w:t>第一百二十二条</w:t>
            </w:r>
            <w:r>
              <w:rPr>
                <w:rFonts w:hint="eastAsia" w:ascii="宋体" w:hAnsi="宋体" w:cs="宋体"/>
                <w:color w:val="auto"/>
                <w:sz w:val="24"/>
                <w:szCs w:val="24"/>
                <w:lang w:val="en-US" w:eastAsia="zh-CN"/>
              </w:rPr>
              <w:t xml:space="preserve">第一款 </w:t>
            </w:r>
            <w:r>
              <w:rPr>
                <w:rFonts w:ascii="宋体" w:hAnsi="宋体" w:eastAsia="宋体" w:cs="宋体"/>
                <w:color w:val="auto"/>
                <w:sz w:val="24"/>
                <w:szCs w:val="24"/>
              </w:rPr>
              <w:t>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w:t>
            </w:r>
            <w:r>
              <w:rPr>
                <w:rFonts w:hint="eastAsia" w:ascii="宋体" w:hAnsi="宋体" w:cs="宋体"/>
                <w:color w:val="auto"/>
                <w:sz w:val="24"/>
                <w:szCs w:val="24"/>
                <w:lang w:eastAsia="zh-CN"/>
              </w:rPr>
              <w:t>。</w:t>
            </w:r>
          </w:p>
        </w:tc>
        <w:tc>
          <w:tcPr>
            <w:tcW w:w="1133" w:type="dxa"/>
            <w:tcBorders>
              <w:tl2br w:val="nil"/>
              <w:tr2bl w:val="nil"/>
            </w:tcBorders>
            <w:noWrap w:val="0"/>
            <w:vAlign w:val="center"/>
          </w:tcPr>
          <w:p w14:paraId="392B953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2D38606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违法生产经营的食品、食品添加剂货值金额</w:t>
            </w:r>
            <w:r>
              <w:rPr>
                <w:rFonts w:hint="default" w:ascii="宋体" w:hAnsi="宋体" w:cs="宋体"/>
                <w:color w:val="auto"/>
                <w:kern w:val="0"/>
                <w:sz w:val="24"/>
                <w:szCs w:val="24"/>
                <w:highlight w:val="none"/>
                <w:lang w:val="en"/>
              </w:rPr>
              <w:t>2000</w:t>
            </w:r>
            <w:r>
              <w:rPr>
                <w:rFonts w:hint="eastAsia" w:ascii="宋体" w:hAnsi="宋体" w:eastAsia="宋体" w:cs="宋体"/>
                <w:color w:val="auto"/>
                <w:kern w:val="0"/>
                <w:sz w:val="24"/>
                <w:szCs w:val="24"/>
                <w:highlight w:val="none"/>
              </w:rPr>
              <w:t>元以下的。</w:t>
            </w:r>
          </w:p>
        </w:tc>
        <w:tc>
          <w:tcPr>
            <w:tcW w:w="3267" w:type="dxa"/>
            <w:tcBorders>
              <w:tl2br w:val="nil"/>
              <w:tr2bl w:val="nil"/>
            </w:tcBorders>
            <w:noWrap w:val="0"/>
            <w:vAlign w:val="center"/>
          </w:tcPr>
          <w:p w14:paraId="55D08685">
            <w:pPr>
              <w:keepNext w:val="0"/>
              <w:keepLines w:val="0"/>
              <w:pageBreakBefore w:val="0"/>
              <w:widowControl/>
              <w:kinsoku/>
              <w:wordWrap/>
              <w:overflowPunct/>
              <w:topLinePunct w:val="0"/>
              <w:autoSpaceDE/>
              <w:autoSpaceDN/>
              <w:bidi w:val="0"/>
              <w:adjustRightInd/>
              <w:snapToGrid/>
              <w:spacing w:before="118" w:beforeLines="20" w:beforeAutospacing="0" w:after="118" w:afterLines="2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没收违法所得和违法生产经营的食品、食品添加剂以及用于违法生产经营的工具、设备、原料等物品；并处5万元以上6.5万元以下罚款。</w:t>
            </w:r>
          </w:p>
        </w:tc>
      </w:tr>
      <w:tr w14:paraId="15FE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9" w:hRule="atLeast"/>
          <w:jc w:val="center"/>
        </w:trPr>
        <w:tc>
          <w:tcPr>
            <w:tcW w:w="787" w:type="dxa"/>
            <w:vMerge w:val="continue"/>
            <w:tcBorders>
              <w:tl2br w:val="nil"/>
              <w:tr2bl w:val="nil"/>
            </w:tcBorders>
            <w:noWrap w:val="0"/>
            <w:vAlign w:val="center"/>
          </w:tcPr>
          <w:p w14:paraId="7DDDD4D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086B556">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B06714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07E6C7A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4B4BD2B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违法生产经营的食品、食品添加剂货值金额</w:t>
            </w:r>
            <w:r>
              <w:rPr>
                <w:rFonts w:hint="default" w:ascii="宋体" w:hAnsi="宋体" w:cs="宋体"/>
                <w:color w:val="auto"/>
                <w:kern w:val="0"/>
                <w:sz w:val="24"/>
                <w:szCs w:val="24"/>
                <w:highlight w:val="none"/>
                <w:lang w:val="en"/>
              </w:rPr>
              <w:t>2000</w:t>
            </w:r>
            <w:r>
              <w:rPr>
                <w:rFonts w:hint="eastAsia" w:ascii="宋体" w:hAnsi="宋体" w:eastAsia="宋体" w:cs="宋体"/>
                <w:color w:val="auto"/>
                <w:kern w:val="0"/>
                <w:sz w:val="24"/>
                <w:szCs w:val="24"/>
                <w:highlight w:val="none"/>
              </w:rPr>
              <w:t>元以上</w:t>
            </w:r>
            <w:r>
              <w:rPr>
                <w:rFonts w:hint="default" w:ascii="宋体" w:hAnsi="宋体" w:cs="宋体"/>
                <w:color w:val="auto"/>
                <w:kern w:val="0"/>
                <w:sz w:val="24"/>
                <w:szCs w:val="24"/>
                <w:highlight w:val="none"/>
                <w:lang w:val="en"/>
              </w:rPr>
              <w:t>5000</w:t>
            </w:r>
            <w:r>
              <w:rPr>
                <w:rFonts w:hint="eastAsia" w:ascii="宋体" w:hAnsi="宋体" w:eastAsia="宋体" w:cs="宋体"/>
                <w:color w:val="auto"/>
                <w:kern w:val="0"/>
                <w:sz w:val="24"/>
                <w:szCs w:val="24"/>
                <w:highlight w:val="none"/>
              </w:rPr>
              <w:t>元以下的。</w:t>
            </w:r>
          </w:p>
        </w:tc>
        <w:tc>
          <w:tcPr>
            <w:tcW w:w="3267" w:type="dxa"/>
            <w:tcBorders>
              <w:tl2br w:val="nil"/>
              <w:tr2bl w:val="nil"/>
            </w:tcBorders>
            <w:noWrap w:val="0"/>
            <w:vAlign w:val="center"/>
          </w:tcPr>
          <w:p w14:paraId="2C2F765E">
            <w:pPr>
              <w:keepNext w:val="0"/>
              <w:keepLines w:val="0"/>
              <w:pageBreakBefore w:val="0"/>
              <w:widowControl/>
              <w:kinsoku/>
              <w:wordWrap/>
              <w:overflowPunct/>
              <w:topLinePunct w:val="0"/>
              <w:autoSpaceDE/>
              <w:autoSpaceDN/>
              <w:bidi w:val="0"/>
              <w:adjustRightInd/>
              <w:snapToGrid/>
              <w:spacing w:before="118" w:beforeLines="20" w:beforeAutospacing="0" w:after="118" w:afterLines="2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没收违法所得和违法生产经营的食品、食品添加剂以及用于违法生产经营的工具、设备、原料等物品；并处6.5万元以上8.5万元以下罚款。</w:t>
            </w:r>
          </w:p>
        </w:tc>
      </w:tr>
      <w:tr w14:paraId="622C6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6" w:hRule="atLeast"/>
          <w:jc w:val="center"/>
        </w:trPr>
        <w:tc>
          <w:tcPr>
            <w:tcW w:w="787" w:type="dxa"/>
            <w:vMerge w:val="continue"/>
            <w:tcBorders>
              <w:tl2br w:val="nil"/>
              <w:tr2bl w:val="nil"/>
            </w:tcBorders>
            <w:noWrap w:val="0"/>
            <w:vAlign w:val="center"/>
          </w:tcPr>
          <w:p w14:paraId="6AACC9C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62BDEF4">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62C0461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01729DF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3D77AAC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违法生产经营的食品、食品添加剂货值金额</w:t>
            </w:r>
            <w:r>
              <w:rPr>
                <w:rFonts w:hint="default" w:ascii="宋体" w:hAnsi="宋体" w:cs="宋体"/>
                <w:color w:val="auto"/>
                <w:kern w:val="0"/>
                <w:sz w:val="24"/>
                <w:szCs w:val="24"/>
                <w:highlight w:val="none"/>
                <w:lang w:val="en"/>
              </w:rPr>
              <w:t>5000</w:t>
            </w:r>
            <w:r>
              <w:rPr>
                <w:rFonts w:hint="eastAsia" w:ascii="宋体" w:hAnsi="宋体" w:eastAsia="宋体" w:cs="宋体"/>
                <w:color w:val="auto"/>
                <w:kern w:val="0"/>
                <w:sz w:val="24"/>
                <w:szCs w:val="24"/>
                <w:highlight w:val="none"/>
              </w:rPr>
              <w:t>元以上</w:t>
            </w:r>
            <w:r>
              <w:rPr>
                <w:rFonts w:hint="default" w:ascii="宋体" w:hAnsi="宋体" w:cs="宋体"/>
                <w:color w:val="auto"/>
                <w:kern w:val="0"/>
                <w:sz w:val="24"/>
                <w:szCs w:val="24"/>
                <w:highlight w:val="none"/>
                <w:lang w:val="en"/>
              </w:rPr>
              <w:t>1</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20603351">
            <w:pPr>
              <w:keepNext w:val="0"/>
              <w:keepLines w:val="0"/>
              <w:pageBreakBefore w:val="0"/>
              <w:widowControl/>
              <w:kinsoku/>
              <w:wordWrap/>
              <w:overflowPunct/>
              <w:topLinePunct w:val="0"/>
              <w:autoSpaceDE/>
              <w:autoSpaceDN/>
              <w:bidi w:val="0"/>
              <w:adjustRightInd/>
              <w:snapToGrid/>
              <w:spacing w:before="118" w:beforeLines="20" w:beforeAutospacing="0" w:after="118" w:afterLines="2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没收违法所得和违法生产经营的食品、食品添加剂以及用于违法生产经营的工具、设备、原料等物品；并处8.5万元以上10万元以下罚款。</w:t>
            </w:r>
          </w:p>
        </w:tc>
      </w:tr>
      <w:tr w14:paraId="342D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exact"/>
          <w:jc w:val="center"/>
        </w:trPr>
        <w:tc>
          <w:tcPr>
            <w:tcW w:w="787" w:type="dxa"/>
            <w:vMerge w:val="restart"/>
            <w:tcBorders>
              <w:tl2br w:val="nil"/>
              <w:tr2bl w:val="nil"/>
            </w:tcBorders>
            <w:noWrap w:val="0"/>
            <w:vAlign w:val="center"/>
          </w:tcPr>
          <w:p w14:paraId="3B0C7F6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 w:eastAsia="zh-CN"/>
              </w:rPr>
              <w:t>2</w:t>
            </w:r>
            <w:r>
              <w:rPr>
                <w:rFonts w:hint="eastAsia" w:ascii="宋体" w:hAnsi="宋体" w:cs="宋体"/>
                <w:b w:val="0"/>
                <w:bCs w:val="0"/>
                <w:color w:val="auto"/>
                <w:kern w:val="0"/>
                <w:sz w:val="24"/>
                <w:szCs w:val="24"/>
                <w:highlight w:val="none"/>
                <w:lang w:val="en-US" w:eastAsia="zh-CN"/>
              </w:rPr>
              <w:t>34</w:t>
            </w:r>
          </w:p>
        </w:tc>
        <w:tc>
          <w:tcPr>
            <w:tcW w:w="1718" w:type="dxa"/>
            <w:vMerge w:val="restart"/>
            <w:tcBorders>
              <w:tl2br w:val="nil"/>
              <w:tr2bl w:val="nil"/>
            </w:tcBorders>
            <w:noWrap w:val="0"/>
            <w:vAlign w:val="center"/>
          </w:tcPr>
          <w:p w14:paraId="6A0D9C0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《中华人民共和国食品安全法》</w:t>
            </w:r>
          </w:p>
          <w:p w14:paraId="18397CAB">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p>
        </w:tc>
        <w:tc>
          <w:tcPr>
            <w:tcW w:w="4132" w:type="dxa"/>
            <w:vMerge w:val="restart"/>
            <w:tcBorders>
              <w:tl2br w:val="nil"/>
              <w:tr2bl w:val="nil"/>
            </w:tcBorders>
            <w:noWrap w:val="0"/>
            <w:vAlign w:val="center"/>
          </w:tcPr>
          <w:p w14:paraId="1D7BE5E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第一百二十二条第一款</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货值金额一万元以上的，并处货值金额十倍以上二十倍以下罚款。</w:t>
            </w:r>
          </w:p>
          <w:p w14:paraId="253CBDB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790025D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38FC9F3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违法生产经营的食品、食品添加剂货值金额</w:t>
            </w:r>
            <w:r>
              <w:rPr>
                <w:rFonts w:hint="default" w:ascii="宋体" w:hAnsi="宋体" w:cs="宋体"/>
                <w:color w:val="auto"/>
                <w:kern w:val="0"/>
                <w:sz w:val="24"/>
                <w:szCs w:val="24"/>
                <w:highlight w:val="none"/>
                <w:lang w:val="en"/>
              </w:rPr>
              <w:t>1</w:t>
            </w:r>
            <w:r>
              <w:rPr>
                <w:rFonts w:hint="eastAsia" w:ascii="宋体" w:hAnsi="宋体" w:eastAsia="宋体" w:cs="宋体"/>
                <w:color w:val="auto"/>
                <w:kern w:val="0"/>
                <w:sz w:val="24"/>
                <w:szCs w:val="24"/>
                <w:highlight w:val="none"/>
              </w:rPr>
              <w:t>万元以上</w:t>
            </w:r>
            <w:r>
              <w:rPr>
                <w:rFonts w:hint="default" w:ascii="宋体" w:hAnsi="宋体" w:cs="宋体"/>
                <w:color w:val="auto"/>
                <w:kern w:val="0"/>
                <w:sz w:val="24"/>
                <w:szCs w:val="24"/>
                <w:highlight w:val="none"/>
                <w:lang w:val="en"/>
              </w:rPr>
              <w:t>10</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788386F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没收违法所得和违法生产经营的食品、食品添加剂以及用于违法生产经营的工具、设备、原料等物品；并处货值金额</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倍以上</w:t>
            </w:r>
            <w:r>
              <w:rPr>
                <w:rFonts w:hint="eastAsia" w:ascii="宋体" w:hAnsi="宋体" w:cs="宋体"/>
                <w:color w:val="auto"/>
                <w:kern w:val="0"/>
                <w:sz w:val="24"/>
                <w:szCs w:val="24"/>
                <w:highlight w:val="none"/>
                <w:lang w:val="en-US" w:eastAsia="zh-CN"/>
              </w:rPr>
              <w:t>15</w:t>
            </w:r>
            <w:r>
              <w:rPr>
                <w:rFonts w:hint="eastAsia" w:ascii="宋体" w:hAnsi="宋体" w:eastAsia="宋体" w:cs="宋体"/>
                <w:color w:val="auto"/>
                <w:kern w:val="0"/>
                <w:sz w:val="24"/>
                <w:szCs w:val="24"/>
                <w:highlight w:val="none"/>
              </w:rPr>
              <w:t>倍以下罚款。</w:t>
            </w:r>
          </w:p>
        </w:tc>
      </w:tr>
      <w:tr w14:paraId="58E9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9" w:hRule="exact"/>
          <w:jc w:val="center"/>
        </w:trPr>
        <w:tc>
          <w:tcPr>
            <w:tcW w:w="787" w:type="dxa"/>
            <w:vMerge w:val="continue"/>
            <w:tcBorders>
              <w:tl2br w:val="nil"/>
              <w:tr2bl w:val="nil"/>
            </w:tcBorders>
            <w:noWrap w:val="0"/>
            <w:vAlign w:val="center"/>
          </w:tcPr>
          <w:p w14:paraId="4448AFE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4D32BC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A26E27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8581C9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6727951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违法生产经营的食品、食品添加剂货值金额</w:t>
            </w:r>
            <w:r>
              <w:rPr>
                <w:rFonts w:hint="default" w:ascii="宋体" w:hAnsi="宋体" w:cs="宋体"/>
                <w:color w:val="auto"/>
                <w:kern w:val="0"/>
                <w:sz w:val="24"/>
                <w:szCs w:val="24"/>
                <w:highlight w:val="none"/>
                <w:lang w:val="en"/>
              </w:rPr>
              <w:t>10</w:t>
            </w:r>
            <w:r>
              <w:rPr>
                <w:rFonts w:hint="eastAsia" w:ascii="宋体" w:hAnsi="宋体" w:eastAsia="宋体" w:cs="宋体"/>
                <w:color w:val="auto"/>
                <w:kern w:val="0"/>
                <w:sz w:val="24"/>
                <w:szCs w:val="24"/>
                <w:highlight w:val="none"/>
              </w:rPr>
              <w:t>万元以上</w:t>
            </w:r>
            <w:r>
              <w:rPr>
                <w:rFonts w:hint="default" w:ascii="宋体" w:hAnsi="宋体" w:cs="宋体"/>
                <w:color w:val="auto"/>
                <w:kern w:val="0"/>
                <w:sz w:val="24"/>
                <w:szCs w:val="24"/>
                <w:highlight w:val="none"/>
                <w:lang w:val="en"/>
              </w:rPr>
              <w:t>20</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4EB81AA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没收违法所得和违法生产经营的食品、食品添加剂以及用于违法生产经营的工具、设备、原料等物品；并处货值金额是</w:t>
            </w:r>
            <w:r>
              <w:rPr>
                <w:rFonts w:hint="eastAsia" w:ascii="宋体" w:hAnsi="宋体" w:cs="宋体"/>
                <w:color w:val="auto"/>
                <w:kern w:val="0"/>
                <w:sz w:val="24"/>
                <w:szCs w:val="24"/>
                <w:highlight w:val="none"/>
                <w:lang w:val="en-US" w:eastAsia="zh-CN"/>
              </w:rPr>
              <w:t>15</w:t>
            </w:r>
            <w:r>
              <w:rPr>
                <w:rFonts w:hint="eastAsia" w:ascii="宋体" w:hAnsi="宋体" w:eastAsia="宋体" w:cs="宋体"/>
                <w:color w:val="auto"/>
                <w:kern w:val="0"/>
                <w:sz w:val="24"/>
                <w:szCs w:val="24"/>
                <w:highlight w:val="none"/>
              </w:rPr>
              <w:t>倍以上</w:t>
            </w:r>
            <w:r>
              <w:rPr>
                <w:rFonts w:hint="eastAsia" w:ascii="宋体" w:hAnsi="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倍以下罚款。</w:t>
            </w:r>
          </w:p>
        </w:tc>
      </w:tr>
      <w:tr w14:paraId="2CC6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exact"/>
          <w:jc w:val="center"/>
        </w:trPr>
        <w:tc>
          <w:tcPr>
            <w:tcW w:w="787" w:type="dxa"/>
            <w:vMerge w:val="continue"/>
            <w:tcBorders>
              <w:tl2br w:val="nil"/>
              <w:tr2bl w:val="nil"/>
            </w:tcBorders>
            <w:noWrap w:val="0"/>
            <w:vAlign w:val="center"/>
          </w:tcPr>
          <w:p w14:paraId="7B989E9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F349AF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1E3D04F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6FB495B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7D0C48F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违法生产经营的食品、食品添加剂货值金额</w:t>
            </w:r>
            <w:r>
              <w:rPr>
                <w:rFonts w:hint="default" w:ascii="宋体" w:hAnsi="宋体" w:cs="宋体"/>
                <w:color w:val="auto"/>
                <w:kern w:val="0"/>
                <w:sz w:val="24"/>
                <w:szCs w:val="24"/>
                <w:highlight w:val="none"/>
                <w:lang w:val="en"/>
              </w:rPr>
              <w:t>20</w:t>
            </w:r>
            <w:r>
              <w:rPr>
                <w:rFonts w:hint="eastAsia" w:ascii="宋体" w:hAnsi="宋体" w:eastAsia="宋体" w:cs="宋体"/>
                <w:color w:val="auto"/>
                <w:kern w:val="0"/>
                <w:sz w:val="24"/>
                <w:szCs w:val="24"/>
                <w:highlight w:val="none"/>
              </w:rPr>
              <w:t>万元以上的。</w:t>
            </w:r>
          </w:p>
        </w:tc>
        <w:tc>
          <w:tcPr>
            <w:tcW w:w="3267" w:type="dxa"/>
            <w:tcBorders>
              <w:tl2br w:val="nil"/>
              <w:tr2bl w:val="nil"/>
            </w:tcBorders>
            <w:noWrap w:val="0"/>
            <w:vAlign w:val="center"/>
          </w:tcPr>
          <w:p w14:paraId="639BA67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没收违法所得和违法生产经营的食品、食品添加剂以及用于违法生产经营的工具、设备、原料等物品；并处货值金额</w:t>
            </w:r>
            <w:r>
              <w:rPr>
                <w:rFonts w:hint="eastAsia" w:ascii="宋体" w:hAnsi="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倍罚款。</w:t>
            </w:r>
          </w:p>
        </w:tc>
      </w:tr>
      <w:tr w14:paraId="298B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6" w:hRule="atLeast"/>
          <w:jc w:val="center"/>
        </w:trPr>
        <w:tc>
          <w:tcPr>
            <w:tcW w:w="787" w:type="dxa"/>
            <w:vMerge w:val="restart"/>
            <w:tcBorders>
              <w:tl2br w:val="nil"/>
              <w:tr2bl w:val="nil"/>
            </w:tcBorders>
            <w:noWrap w:val="0"/>
            <w:vAlign w:val="center"/>
          </w:tcPr>
          <w:p w14:paraId="163AC32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w:t>
            </w:r>
            <w:r>
              <w:rPr>
                <w:rFonts w:hint="eastAsia" w:ascii="宋体" w:hAnsi="宋体" w:cs="宋体"/>
                <w:b w:val="0"/>
                <w:bCs w:val="0"/>
                <w:color w:val="auto"/>
                <w:kern w:val="0"/>
                <w:sz w:val="24"/>
                <w:szCs w:val="24"/>
                <w:highlight w:val="none"/>
                <w:lang w:val="en-US" w:eastAsia="zh-CN"/>
              </w:rPr>
              <w:t>35</w:t>
            </w:r>
          </w:p>
        </w:tc>
        <w:tc>
          <w:tcPr>
            <w:tcW w:w="1718" w:type="dxa"/>
            <w:vMerge w:val="restart"/>
            <w:tcBorders>
              <w:tl2br w:val="nil"/>
              <w:tr2bl w:val="nil"/>
            </w:tcBorders>
            <w:noWrap w:val="0"/>
            <w:vAlign w:val="center"/>
          </w:tcPr>
          <w:p w14:paraId="3B79513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《中华人民共和国食品安全法》</w:t>
            </w:r>
          </w:p>
        </w:tc>
        <w:tc>
          <w:tcPr>
            <w:tcW w:w="4132" w:type="dxa"/>
            <w:vMerge w:val="restart"/>
            <w:tcBorders>
              <w:tl2br w:val="nil"/>
              <w:tr2bl w:val="nil"/>
            </w:tcBorders>
            <w:noWrap w:val="0"/>
            <w:vAlign w:val="center"/>
          </w:tcPr>
          <w:p w14:paraId="7761887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第一百二十二条第二款</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i w:val="0"/>
                <w:iCs w:val="0"/>
                <w:caps w:val="0"/>
                <w:color w:val="auto"/>
                <w:spacing w:val="0"/>
                <w:kern w:val="0"/>
                <w:sz w:val="24"/>
                <w:szCs w:val="24"/>
                <w:highlight w:val="none"/>
                <w:shd w:val="clear" w:color="auto" w:fill="auto"/>
              </w:rPr>
              <w:t>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tc>
        <w:tc>
          <w:tcPr>
            <w:tcW w:w="1133" w:type="dxa"/>
            <w:tcBorders>
              <w:tl2br w:val="nil"/>
              <w:tr2bl w:val="nil"/>
            </w:tcBorders>
            <w:noWrap w:val="0"/>
            <w:vAlign w:val="center"/>
          </w:tcPr>
          <w:p w14:paraId="0664745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32BF320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违法所得</w:t>
            </w:r>
            <w:r>
              <w:rPr>
                <w:rFonts w:hint="default" w:ascii="宋体" w:hAnsi="宋体" w:cs="宋体"/>
                <w:color w:val="auto"/>
                <w:kern w:val="0"/>
                <w:sz w:val="24"/>
                <w:szCs w:val="24"/>
                <w:highlight w:val="none"/>
                <w:lang w:val="en"/>
              </w:rPr>
              <w:t>10</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7BCFAA0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责令停止违法行为，没收违法所得，并处5万元以上6.5万元以下罚款。</w:t>
            </w:r>
          </w:p>
        </w:tc>
      </w:tr>
      <w:tr w14:paraId="2505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4" w:hRule="atLeast"/>
          <w:jc w:val="center"/>
        </w:trPr>
        <w:tc>
          <w:tcPr>
            <w:tcW w:w="787" w:type="dxa"/>
            <w:vMerge w:val="continue"/>
            <w:tcBorders>
              <w:tl2br w:val="nil"/>
              <w:tr2bl w:val="nil"/>
            </w:tcBorders>
            <w:noWrap w:val="0"/>
            <w:vAlign w:val="center"/>
          </w:tcPr>
          <w:p w14:paraId="19E348E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F0CF76C">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05FB64F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1A68435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43FC265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违法所得</w:t>
            </w:r>
            <w:r>
              <w:rPr>
                <w:rFonts w:hint="default" w:ascii="宋体" w:hAnsi="宋体" w:cs="宋体"/>
                <w:color w:val="auto"/>
                <w:kern w:val="0"/>
                <w:sz w:val="24"/>
                <w:szCs w:val="24"/>
                <w:highlight w:val="none"/>
                <w:lang w:val="en"/>
              </w:rPr>
              <w:t>10</w:t>
            </w:r>
            <w:r>
              <w:rPr>
                <w:rFonts w:hint="eastAsia" w:ascii="宋体" w:hAnsi="宋体" w:eastAsia="宋体" w:cs="宋体"/>
                <w:color w:val="auto"/>
                <w:kern w:val="0"/>
                <w:sz w:val="24"/>
                <w:szCs w:val="24"/>
                <w:highlight w:val="none"/>
              </w:rPr>
              <w:t>万元以上</w:t>
            </w:r>
            <w:r>
              <w:rPr>
                <w:rFonts w:hint="default" w:ascii="宋体" w:hAnsi="宋体" w:cs="宋体"/>
                <w:color w:val="auto"/>
                <w:kern w:val="0"/>
                <w:sz w:val="24"/>
                <w:szCs w:val="24"/>
                <w:highlight w:val="none"/>
                <w:lang w:val="en"/>
              </w:rPr>
              <w:t>30</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38BA732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责令停止违法行为，没收违法所得，并处6.5万元以上8.5万元以下罚款。</w:t>
            </w:r>
          </w:p>
        </w:tc>
      </w:tr>
      <w:tr w14:paraId="64C2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4" w:hRule="atLeast"/>
          <w:jc w:val="center"/>
        </w:trPr>
        <w:tc>
          <w:tcPr>
            <w:tcW w:w="787" w:type="dxa"/>
            <w:vMerge w:val="continue"/>
            <w:tcBorders>
              <w:tl2br w:val="nil"/>
              <w:tr2bl w:val="nil"/>
            </w:tcBorders>
            <w:noWrap w:val="0"/>
            <w:vAlign w:val="center"/>
          </w:tcPr>
          <w:p w14:paraId="0C68CDD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2AE7A5C">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69E7B11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2A9847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75EB61A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违法所得</w:t>
            </w:r>
            <w:r>
              <w:rPr>
                <w:rFonts w:hint="default" w:ascii="宋体" w:hAnsi="宋体" w:cs="宋体"/>
                <w:color w:val="auto"/>
                <w:kern w:val="0"/>
                <w:sz w:val="24"/>
                <w:szCs w:val="24"/>
                <w:highlight w:val="none"/>
                <w:lang w:val="en"/>
              </w:rPr>
              <w:t>30</w:t>
            </w:r>
            <w:r>
              <w:rPr>
                <w:rFonts w:hint="eastAsia" w:ascii="宋体" w:hAnsi="宋体" w:eastAsia="宋体" w:cs="宋体"/>
                <w:color w:val="auto"/>
                <w:kern w:val="0"/>
                <w:sz w:val="24"/>
                <w:szCs w:val="24"/>
                <w:highlight w:val="none"/>
              </w:rPr>
              <w:t>万元以上的。</w:t>
            </w:r>
          </w:p>
        </w:tc>
        <w:tc>
          <w:tcPr>
            <w:tcW w:w="3267" w:type="dxa"/>
            <w:tcBorders>
              <w:tl2br w:val="nil"/>
              <w:tr2bl w:val="nil"/>
            </w:tcBorders>
            <w:noWrap w:val="0"/>
            <w:vAlign w:val="center"/>
          </w:tcPr>
          <w:p w14:paraId="2742BC7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责令停止违法行为，没收违法所得，并处8.5万元以上10万元以下罚款。</w:t>
            </w:r>
          </w:p>
        </w:tc>
      </w:tr>
      <w:tr w14:paraId="4B4A1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restart"/>
            <w:tcBorders>
              <w:tl2br w:val="nil"/>
              <w:tr2bl w:val="nil"/>
            </w:tcBorders>
            <w:noWrap w:val="0"/>
            <w:vAlign w:val="center"/>
          </w:tcPr>
          <w:p w14:paraId="797FFD5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w:t>
            </w:r>
            <w:r>
              <w:rPr>
                <w:rFonts w:hint="eastAsia" w:ascii="宋体" w:hAnsi="宋体" w:cs="宋体"/>
                <w:b w:val="0"/>
                <w:bCs w:val="0"/>
                <w:color w:val="auto"/>
                <w:kern w:val="0"/>
                <w:sz w:val="24"/>
                <w:szCs w:val="24"/>
                <w:highlight w:val="none"/>
                <w:lang w:val="en-US" w:eastAsia="zh-CN"/>
              </w:rPr>
              <w:t>36</w:t>
            </w:r>
          </w:p>
        </w:tc>
        <w:tc>
          <w:tcPr>
            <w:tcW w:w="1718" w:type="dxa"/>
            <w:vMerge w:val="restart"/>
            <w:tcBorders>
              <w:tl2br w:val="nil"/>
              <w:tr2bl w:val="nil"/>
            </w:tcBorders>
            <w:noWrap w:val="0"/>
            <w:vAlign w:val="center"/>
          </w:tcPr>
          <w:p w14:paraId="6C1D2B44">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《中华人民共和国食品安全法》</w:t>
            </w:r>
          </w:p>
        </w:tc>
        <w:tc>
          <w:tcPr>
            <w:tcW w:w="4132" w:type="dxa"/>
            <w:vMerge w:val="restart"/>
            <w:tcBorders>
              <w:tl2br w:val="nil"/>
              <w:tr2bl w:val="nil"/>
            </w:tcBorders>
            <w:noWrap w:val="0"/>
            <w:vAlign w:val="center"/>
          </w:tcPr>
          <w:p w14:paraId="2AA370A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第一百二十三条第一款</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i w:val="0"/>
                <w:iCs w:val="0"/>
                <w:caps w:val="0"/>
                <w:color w:val="auto"/>
                <w:spacing w:val="0"/>
                <w:kern w:val="0"/>
                <w:sz w:val="24"/>
                <w:szCs w:val="24"/>
                <w:highlight w:val="none"/>
                <w:shd w:val="clear" w:color="auto" w:fill="auto"/>
              </w:rPr>
              <w:t>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w:t>
            </w:r>
            <w:r>
              <w:rPr>
                <w:rFonts w:hint="eastAsia" w:ascii="宋体" w:hAnsi="宋体" w:cs="宋体"/>
                <w:i w:val="0"/>
                <w:iCs w:val="0"/>
                <w:caps w:val="0"/>
                <w:color w:val="auto"/>
                <w:spacing w:val="0"/>
                <w:kern w:val="0"/>
                <w:sz w:val="24"/>
                <w:szCs w:val="24"/>
                <w:highlight w:val="none"/>
                <w:shd w:val="clear" w:color="auto" w:fill="auto"/>
                <w:lang w:eastAsia="zh-CN"/>
              </w:rPr>
              <w:t>。</w:t>
            </w:r>
          </w:p>
        </w:tc>
        <w:tc>
          <w:tcPr>
            <w:tcW w:w="1133" w:type="dxa"/>
            <w:tcBorders>
              <w:tl2br w:val="nil"/>
              <w:tr2bl w:val="nil"/>
            </w:tcBorders>
            <w:noWrap w:val="0"/>
            <w:vAlign w:val="center"/>
          </w:tcPr>
          <w:p w14:paraId="710EA70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076A658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违法生产经营的食品货值金额</w:t>
            </w:r>
            <w:r>
              <w:rPr>
                <w:rFonts w:hint="default" w:ascii="宋体" w:hAnsi="宋体" w:cs="宋体"/>
                <w:color w:val="auto"/>
                <w:kern w:val="0"/>
                <w:sz w:val="24"/>
                <w:szCs w:val="24"/>
                <w:highlight w:val="none"/>
                <w:lang w:val="en"/>
              </w:rPr>
              <w:t>2000</w:t>
            </w:r>
            <w:r>
              <w:rPr>
                <w:rFonts w:hint="eastAsia" w:ascii="宋体" w:hAnsi="宋体" w:eastAsia="宋体" w:cs="宋体"/>
                <w:color w:val="auto"/>
                <w:kern w:val="0"/>
                <w:sz w:val="24"/>
                <w:szCs w:val="24"/>
                <w:highlight w:val="none"/>
              </w:rPr>
              <w:t>元以下的。</w:t>
            </w:r>
          </w:p>
        </w:tc>
        <w:tc>
          <w:tcPr>
            <w:tcW w:w="3267" w:type="dxa"/>
            <w:tcBorders>
              <w:tl2br w:val="nil"/>
              <w:tr2bl w:val="nil"/>
            </w:tcBorders>
            <w:noWrap w:val="0"/>
            <w:vAlign w:val="center"/>
          </w:tcPr>
          <w:p w14:paraId="6EE3DEB6">
            <w:pPr>
              <w:keepNext w:val="0"/>
              <w:keepLines w:val="0"/>
              <w:pageBreakBefore w:val="0"/>
              <w:widowControl/>
              <w:kinsoku/>
              <w:wordWrap/>
              <w:overflowPunct/>
              <w:topLinePunct w:val="0"/>
              <w:autoSpaceDE/>
              <w:autoSpaceDN/>
              <w:bidi w:val="0"/>
              <w:adjustRightInd/>
              <w:snapToGrid/>
              <w:spacing w:before="118" w:beforeLines="20" w:beforeAutospacing="0" w:after="118" w:afterLines="2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没收违法所得和违法生产经营的食品，并可以没收用于违法生产经营的工具、设备、原料等物品；并处10万元以上11.5万元以下罚款。</w:t>
            </w:r>
          </w:p>
        </w:tc>
      </w:tr>
      <w:tr w14:paraId="212C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jc w:val="center"/>
        </w:trPr>
        <w:tc>
          <w:tcPr>
            <w:tcW w:w="787" w:type="dxa"/>
            <w:vMerge w:val="continue"/>
            <w:tcBorders>
              <w:tl2br w:val="nil"/>
              <w:tr2bl w:val="nil"/>
            </w:tcBorders>
            <w:noWrap w:val="0"/>
            <w:vAlign w:val="center"/>
          </w:tcPr>
          <w:p w14:paraId="65BF78D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447E18D">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254F133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2E1F97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0B4FBDC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违法生产经营的食品货值金额</w:t>
            </w:r>
            <w:r>
              <w:rPr>
                <w:rFonts w:hint="default" w:ascii="宋体" w:hAnsi="宋体" w:cs="宋体"/>
                <w:color w:val="auto"/>
                <w:kern w:val="0"/>
                <w:sz w:val="24"/>
                <w:szCs w:val="24"/>
                <w:highlight w:val="none"/>
                <w:lang w:val="en"/>
              </w:rPr>
              <w:t>2000</w:t>
            </w:r>
            <w:r>
              <w:rPr>
                <w:rFonts w:hint="eastAsia" w:ascii="宋体" w:hAnsi="宋体" w:eastAsia="宋体" w:cs="宋体"/>
                <w:color w:val="auto"/>
                <w:kern w:val="0"/>
                <w:sz w:val="24"/>
                <w:szCs w:val="24"/>
                <w:highlight w:val="none"/>
              </w:rPr>
              <w:t>元以上</w:t>
            </w:r>
            <w:r>
              <w:rPr>
                <w:rFonts w:hint="default" w:ascii="宋体" w:hAnsi="宋体" w:cs="宋体"/>
                <w:color w:val="auto"/>
                <w:kern w:val="0"/>
                <w:sz w:val="24"/>
                <w:szCs w:val="24"/>
                <w:highlight w:val="none"/>
                <w:lang w:val="en"/>
              </w:rPr>
              <w:t>5000</w:t>
            </w:r>
            <w:r>
              <w:rPr>
                <w:rFonts w:hint="eastAsia" w:ascii="宋体" w:hAnsi="宋体" w:eastAsia="宋体" w:cs="宋体"/>
                <w:color w:val="auto"/>
                <w:kern w:val="0"/>
                <w:sz w:val="24"/>
                <w:szCs w:val="24"/>
                <w:highlight w:val="none"/>
              </w:rPr>
              <w:t>元以下的。</w:t>
            </w:r>
          </w:p>
        </w:tc>
        <w:tc>
          <w:tcPr>
            <w:tcW w:w="3267" w:type="dxa"/>
            <w:tcBorders>
              <w:tl2br w:val="nil"/>
              <w:tr2bl w:val="nil"/>
            </w:tcBorders>
            <w:noWrap w:val="0"/>
            <w:vAlign w:val="center"/>
          </w:tcPr>
          <w:p w14:paraId="7C641E41">
            <w:pPr>
              <w:keepNext w:val="0"/>
              <w:keepLines w:val="0"/>
              <w:pageBreakBefore w:val="0"/>
              <w:widowControl/>
              <w:kinsoku/>
              <w:wordWrap/>
              <w:overflowPunct/>
              <w:topLinePunct w:val="0"/>
              <w:autoSpaceDE/>
              <w:autoSpaceDN/>
              <w:bidi w:val="0"/>
              <w:adjustRightInd/>
              <w:snapToGrid/>
              <w:spacing w:before="118" w:beforeLines="20" w:beforeAutospacing="0" w:after="118" w:afterLines="2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没收违法所得和违法生产经营的食品，并可以没收用于违法生产经营的工具、设备、原料等物品；并处11.5万元以上13.5万元以下罚款。</w:t>
            </w:r>
          </w:p>
        </w:tc>
      </w:tr>
      <w:tr w14:paraId="42E87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787" w:type="dxa"/>
            <w:vMerge w:val="continue"/>
            <w:tcBorders>
              <w:tl2br w:val="nil"/>
              <w:tr2bl w:val="nil"/>
            </w:tcBorders>
            <w:noWrap w:val="0"/>
            <w:vAlign w:val="center"/>
          </w:tcPr>
          <w:p w14:paraId="1F6E49B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15E577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2F1FB8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E13C56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7121431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违法生产经营的食品货值金额</w:t>
            </w:r>
            <w:r>
              <w:rPr>
                <w:rFonts w:hint="default" w:ascii="宋体" w:hAnsi="宋体" w:cs="宋体"/>
                <w:color w:val="auto"/>
                <w:kern w:val="0"/>
                <w:sz w:val="24"/>
                <w:szCs w:val="24"/>
                <w:highlight w:val="none"/>
                <w:lang w:val="en"/>
              </w:rPr>
              <w:t>5000</w:t>
            </w:r>
            <w:r>
              <w:rPr>
                <w:rFonts w:hint="eastAsia" w:ascii="宋体" w:hAnsi="宋体" w:eastAsia="宋体" w:cs="宋体"/>
                <w:color w:val="auto"/>
                <w:kern w:val="0"/>
                <w:sz w:val="24"/>
                <w:szCs w:val="24"/>
                <w:highlight w:val="none"/>
              </w:rPr>
              <w:t>元以上</w:t>
            </w:r>
            <w:r>
              <w:rPr>
                <w:rFonts w:hint="default" w:ascii="宋体" w:hAnsi="宋体" w:cs="宋体"/>
                <w:color w:val="auto"/>
                <w:kern w:val="0"/>
                <w:sz w:val="24"/>
                <w:szCs w:val="24"/>
                <w:highlight w:val="none"/>
                <w:lang w:val="en"/>
              </w:rPr>
              <w:t>1</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6C2CD470">
            <w:pPr>
              <w:keepNext w:val="0"/>
              <w:keepLines w:val="0"/>
              <w:pageBreakBefore w:val="0"/>
              <w:widowControl/>
              <w:kinsoku/>
              <w:wordWrap/>
              <w:overflowPunct/>
              <w:topLinePunct w:val="0"/>
              <w:autoSpaceDE/>
              <w:autoSpaceDN/>
              <w:bidi w:val="0"/>
              <w:adjustRightInd/>
              <w:snapToGrid/>
              <w:spacing w:before="118" w:beforeLines="20" w:beforeAutospacing="0" w:after="118" w:afterLines="2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没收违法所得和违法生产经营的食品，并可以没收用于违法生产经营的工具、设备、原料等物品；并处13.5万以上15万元以下罚款。</w:t>
            </w:r>
          </w:p>
        </w:tc>
      </w:tr>
      <w:tr w14:paraId="23B1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787" w:type="dxa"/>
            <w:vMerge w:val="continue"/>
            <w:tcBorders>
              <w:tl2br w:val="nil"/>
              <w:tr2bl w:val="nil"/>
            </w:tcBorders>
            <w:noWrap w:val="0"/>
            <w:vAlign w:val="center"/>
          </w:tcPr>
          <w:p w14:paraId="4B56DBC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F3078D7">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2F2D613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6EA2711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严重</w:t>
            </w:r>
          </w:p>
        </w:tc>
        <w:tc>
          <w:tcPr>
            <w:tcW w:w="3316" w:type="dxa"/>
            <w:tcBorders>
              <w:tl2br w:val="nil"/>
              <w:tr2bl w:val="nil"/>
            </w:tcBorders>
            <w:noWrap w:val="0"/>
            <w:vAlign w:val="center"/>
          </w:tcPr>
          <w:p w14:paraId="0DEF974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default" w:ascii="宋体" w:hAnsi="宋体" w:eastAsia="宋体" w:cs="宋体"/>
                <w:color w:val="auto"/>
                <w:kern w:val="0"/>
                <w:sz w:val="24"/>
                <w:szCs w:val="24"/>
                <w:highlight w:val="none"/>
                <w:lang w:val="en-US" w:eastAsia="zh-CN"/>
              </w:rPr>
            </w:pPr>
            <w:r>
              <w:rPr>
                <w:rFonts w:hint="eastAsia" w:ascii="宋体" w:hAnsi="宋体" w:cs="宋体"/>
                <w:i w:val="0"/>
                <w:iCs w:val="0"/>
                <w:caps w:val="0"/>
                <w:color w:val="auto"/>
                <w:spacing w:val="0"/>
                <w:kern w:val="0"/>
                <w:sz w:val="24"/>
                <w:szCs w:val="24"/>
                <w:highlight w:val="none"/>
                <w:shd w:val="clear" w:color="auto" w:fill="auto"/>
                <w:lang w:val="en-US" w:eastAsia="zh-CN"/>
              </w:rPr>
              <w:t>符合</w:t>
            </w:r>
            <w:r>
              <w:rPr>
                <w:rFonts w:hint="eastAsia" w:ascii="宋体" w:hAnsi="宋体" w:eastAsia="宋体" w:cs="宋体"/>
                <w:b w:val="0"/>
                <w:bCs w:val="0"/>
                <w:color w:val="auto"/>
                <w:kern w:val="0"/>
                <w:sz w:val="24"/>
                <w:szCs w:val="24"/>
                <w:highlight w:val="none"/>
              </w:rPr>
              <w:t>《中华人民共和国食品安全法</w:t>
            </w:r>
            <w:r>
              <w:rPr>
                <w:rFonts w:hint="eastAsia" w:ascii="宋体" w:hAnsi="宋体" w:cs="宋体"/>
                <w:b w:val="0"/>
                <w:bCs w:val="0"/>
                <w:color w:val="auto"/>
                <w:kern w:val="0"/>
                <w:sz w:val="24"/>
                <w:szCs w:val="24"/>
                <w:highlight w:val="none"/>
                <w:lang w:val="en-US" w:eastAsia="zh-CN"/>
              </w:rPr>
              <w:t>实施条例</w:t>
            </w:r>
            <w:r>
              <w:rPr>
                <w:rFonts w:hint="eastAsia" w:ascii="宋体" w:hAnsi="宋体" w:eastAsia="宋体" w:cs="宋体"/>
                <w:b w:val="0"/>
                <w:bCs w:val="0"/>
                <w:color w:val="auto"/>
                <w:kern w:val="0"/>
                <w:sz w:val="24"/>
                <w:szCs w:val="24"/>
                <w:highlight w:val="none"/>
              </w:rPr>
              <w:t>》</w:t>
            </w:r>
            <w:r>
              <w:rPr>
                <w:rFonts w:hint="eastAsia" w:ascii="宋体" w:hAnsi="宋体" w:cs="宋体"/>
                <w:b w:val="0"/>
                <w:bCs w:val="0"/>
                <w:color w:val="auto"/>
                <w:kern w:val="0"/>
                <w:sz w:val="24"/>
                <w:szCs w:val="24"/>
                <w:highlight w:val="none"/>
                <w:lang w:val="en-US" w:eastAsia="zh-CN"/>
              </w:rPr>
              <w:t>第六十七条规定的情节严重的情形。</w:t>
            </w:r>
          </w:p>
        </w:tc>
        <w:tc>
          <w:tcPr>
            <w:tcW w:w="3267" w:type="dxa"/>
            <w:tcBorders>
              <w:tl2br w:val="nil"/>
              <w:tr2bl w:val="nil"/>
            </w:tcBorders>
            <w:noWrap w:val="0"/>
            <w:vAlign w:val="center"/>
          </w:tcPr>
          <w:p w14:paraId="70273C2C">
            <w:pPr>
              <w:keepNext w:val="0"/>
              <w:keepLines w:val="0"/>
              <w:pageBreakBefore w:val="0"/>
              <w:widowControl/>
              <w:kinsoku/>
              <w:wordWrap/>
              <w:overflowPunct/>
              <w:topLinePunct w:val="0"/>
              <w:autoSpaceDE/>
              <w:autoSpaceDN/>
              <w:bidi w:val="0"/>
              <w:adjustRightInd/>
              <w:snapToGrid/>
              <w:spacing w:before="118" w:beforeLines="20" w:beforeAutospacing="0" w:after="118" w:afterLines="2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吊销许可证。</w:t>
            </w:r>
          </w:p>
        </w:tc>
      </w:tr>
      <w:tr w14:paraId="0C38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atLeast"/>
          <w:jc w:val="center"/>
        </w:trPr>
        <w:tc>
          <w:tcPr>
            <w:tcW w:w="787" w:type="dxa"/>
            <w:vMerge w:val="restart"/>
            <w:tcBorders>
              <w:tl2br w:val="nil"/>
              <w:tr2bl w:val="nil"/>
            </w:tcBorders>
            <w:noWrap w:val="0"/>
            <w:vAlign w:val="center"/>
          </w:tcPr>
          <w:p w14:paraId="41499AA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23</w:t>
            </w:r>
            <w:r>
              <w:rPr>
                <w:rFonts w:hint="eastAsia" w:ascii="宋体" w:hAnsi="宋体" w:cs="宋体"/>
                <w:b w:val="0"/>
                <w:bCs w:val="0"/>
                <w:color w:val="auto"/>
                <w:kern w:val="0"/>
                <w:sz w:val="24"/>
                <w:szCs w:val="24"/>
                <w:highlight w:val="none"/>
                <w:lang w:val="en-US" w:eastAsia="zh-CN"/>
              </w:rPr>
              <w:t>7</w:t>
            </w:r>
          </w:p>
        </w:tc>
        <w:tc>
          <w:tcPr>
            <w:tcW w:w="1718" w:type="dxa"/>
            <w:vMerge w:val="restart"/>
            <w:tcBorders>
              <w:tl2br w:val="nil"/>
              <w:tr2bl w:val="nil"/>
            </w:tcBorders>
            <w:noWrap w:val="0"/>
            <w:vAlign w:val="center"/>
          </w:tcPr>
          <w:p w14:paraId="1F4C188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《中华人民共和国食品安全法》</w:t>
            </w:r>
          </w:p>
          <w:p w14:paraId="398DB2A0">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p>
        </w:tc>
        <w:tc>
          <w:tcPr>
            <w:tcW w:w="4132" w:type="dxa"/>
            <w:vMerge w:val="restart"/>
            <w:tcBorders>
              <w:tl2br w:val="nil"/>
              <w:tr2bl w:val="nil"/>
            </w:tcBorders>
            <w:noWrap w:val="0"/>
            <w:vAlign w:val="center"/>
          </w:tcPr>
          <w:p w14:paraId="7800EA8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第一百二十三条第一款</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货值金额一万元以上的，并处货值金额十五倍以上三十倍以下罚款</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eastAsia="zh-CN"/>
              </w:rPr>
              <w:t>情节严重的，吊销许可证。</w:t>
            </w:r>
          </w:p>
          <w:p w14:paraId="4F37C0F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6608A3F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59A46BF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违法生产经营的食品货值金额</w:t>
            </w:r>
            <w:r>
              <w:rPr>
                <w:rFonts w:hint="default" w:ascii="宋体" w:hAnsi="宋体" w:cs="宋体"/>
                <w:color w:val="auto"/>
                <w:kern w:val="0"/>
                <w:sz w:val="24"/>
                <w:szCs w:val="24"/>
                <w:highlight w:val="none"/>
                <w:lang w:val="en"/>
              </w:rPr>
              <w:t>1</w:t>
            </w:r>
            <w:r>
              <w:rPr>
                <w:rFonts w:hint="eastAsia" w:ascii="宋体" w:hAnsi="宋体" w:eastAsia="宋体" w:cs="宋体"/>
                <w:color w:val="auto"/>
                <w:kern w:val="0"/>
                <w:sz w:val="24"/>
                <w:szCs w:val="24"/>
                <w:highlight w:val="none"/>
              </w:rPr>
              <w:t>万元以上</w:t>
            </w:r>
            <w:r>
              <w:rPr>
                <w:rFonts w:hint="eastAsia" w:ascii="宋体" w:hAnsi="宋体" w:cs="宋体"/>
                <w:color w:val="auto"/>
                <w:kern w:val="0"/>
                <w:sz w:val="24"/>
                <w:szCs w:val="24"/>
                <w:highlight w:val="none"/>
                <w:lang w:val="en-US" w:eastAsia="zh-CN"/>
              </w:rPr>
              <w:t>1.3</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04811DA5">
            <w:pPr>
              <w:keepNext w:val="0"/>
              <w:keepLines w:val="0"/>
              <w:pageBreakBefore w:val="0"/>
              <w:widowControl/>
              <w:kinsoku/>
              <w:wordWrap/>
              <w:overflowPunct/>
              <w:topLinePunct w:val="0"/>
              <w:autoSpaceDE/>
              <w:autoSpaceDN/>
              <w:bidi w:val="0"/>
              <w:adjustRightInd/>
              <w:snapToGrid/>
              <w:spacing w:before="60" w:beforeLines="10" w:beforeAutospacing="0" w:after="60" w:afterLines="1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没收违法所得和违法生产经营的食品，并可以没收用于违法生产经营的工具</w:t>
            </w:r>
            <w:r>
              <w:rPr>
                <w:rFonts w:hint="eastAsia" w:ascii="宋体" w:hAnsi="宋体" w:eastAsia="宋体" w:cs="宋体"/>
                <w:color w:val="auto"/>
                <w:spacing w:val="-6"/>
                <w:kern w:val="0"/>
                <w:sz w:val="24"/>
                <w:szCs w:val="24"/>
                <w:highlight w:val="none"/>
              </w:rPr>
              <w:t>、设备、原料等物品；并处货值金额</w:t>
            </w:r>
            <w:r>
              <w:rPr>
                <w:rFonts w:hint="eastAsia" w:ascii="宋体" w:hAnsi="宋体" w:cs="宋体"/>
                <w:color w:val="auto"/>
                <w:spacing w:val="-6"/>
                <w:kern w:val="0"/>
                <w:sz w:val="24"/>
                <w:szCs w:val="24"/>
                <w:highlight w:val="none"/>
                <w:lang w:val="en-US" w:eastAsia="zh-CN"/>
              </w:rPr>
              <w:t>15</w:t>
            </w:r>
            <w:r>
              <w:rPr>
                <w:rFonts w:hint="eastAsia" w:ascii="宋体" w:hAnsi="宋体" w:eastAsia="宋体" w:cs="宋体"/>
                <w:color w:val="auto"/>
                <w:spacing w:val="-6"/>
                <w:kern w:val="0"/>
                <w:sz w:val="24"/>
                <w:szCs w:val="24"/>
                <w:highlight w:val="none"/>
              </w:rPr>
              <w:t>倍以上</w:t>
            </w:r>
            <w:r>
              <w:rPr>
                <w:rFonts w:hint="eastAsia" w:ascii="宋体" w:hAnsi="宋体" w:cs="宋体"/>
                <w:color w:val="auto"/>
                <w:spacing w:val="-6"/>
                <w:kern w:val="0"/>
                <w:sz w:val="24"/>
                <w:szCs w:val="24"/>
                <w:highlight w:val="none"/>
                <w:lang w:val="en-US" w:eastAsia="zh-CN"/>
              </w:rPr>
              <w:t>19.5</w:t>
            </w:r>
            <w:r>
              <w:rPr>
                <w:rFonts w:hint="eastAsia" w:ascii="宋体" w:hAnsi="宋体" w:eastAsia="宋体" w:cs="宋体"/>
                <w:color w:val="auto"/>
                <w:spacing w:val="-6"/>
                <w:kern w:val="0"/>
                <w:sz w:val="24"/>
                <w:szCs w:val="24"/>
                <w:highlight w:val="none"/>
              </w:rPr>
              <w:t>倍以下罚款。</w:t>
            </w:r>
          </w:p>
        </w:tc>
      </w:tr>
      <w:tr w14:paraId="2B18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3" w:hRule="atLeast"/>
          <w:jc w:val="center"/>
        </w:trPr>
        <w:tc>
          <w:tcPr>
            <w:tcW w:w="787" w:type="dxa"/>
            <w:vMerge w:val="continue"/>
            <w:tcBorders>
              <w:tl2br w:val="nil"/>
              <w:tr2bl w:val="nil"/>
            </w:tcBorders>
            <w:noWrap w:val="0"/>
            <w:vAlign w:val="center"/>
          </w:tcPr>
          <w:p w14:paraId="398F038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1270C1F">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31AFD9C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FCDE88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2B3E9DB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违法生产经营的食品货值金额</w:t>
            </w:r>
            <w:r>
              <w:rPr>
                <w:rFonts w:hint="eastAsia" w:ascii="宋体" w:hAnsi="宋体" w:cs="宋体"/>
                <w:color w:val="auto"/>
                <w:kern w:val="0"/>
                <w:sz w:val="24"/>
                <w:szCs w:val="24"/>
                <w:highlight w:val="none"/>
                <w:lang w:val="en-US" w:eastAsia="zh-CN"/>
              </w:rPr>
              <w:t>1.3</w:t>
            </w:r>
            <w:r>
              <w:rPr>
                <w:rFonts w:hint="eastAsia" w:ascii="宋体" w:hAnsi="宋体" w:eastAsia="宋体" w:cs="宋体"/>
                <w:color w:val="auto"/>
                <w:kern w:val="0"/>
                <w:sz w:val="24"/>
                <w:szCs w:val="24"/>
                <w:highlight w:val="none"/>
              </w:rPr>
              <w:t>万元以上</w:t>
            </w:r>
            <w:r>
              <w:rPr>
                <w:rFonts w:hint="eastAsia" w:ascii="宋体" w:hAnsi="宋体" w:cs="宋体"/>
                <w:color w:val="auto"/>
                <w:kern w:val="0"/>
                <w:sz w:val="24"/>
                <w:szCs w:val="24"/>
                <w:highlight w:val="none"/>
                <w:lang w:val="en-US" w:eastAsia="zh-CN"/>
              </w:rPr>
              <w:t>1.7</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6A065E91">
            <w:pPr>
              <w:keepNext w:val="0"/>
              <w:keepLines w:val="0"/>
              <w:pageBreakBefore w:val="0"/>
              <w:widowControl/>
              <w:kinsoku/>
              <w:wordWrap/>
              <w:overflowPunct/>
              <w:topLinePunct w:val="0"/>
              <w:autoSpaceDE/>
              <w:autoSpaceDN/>
              <w:bidi w:val="0"/>
              <w:adjustRightInd/>
              <w:snapToGrid/>
              <w:spacing w:before="60" w:beforeLines="10" w:beforeAutospacing="0" w:after="60" w:afterLines="1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没收违法所得和违法生产经营的食品，并可以没收用于违法生产经营的工具、设备、原料等物品；并处货值金额</w:t>
            </w:r>
            <w:r>
              <w:rPr>
                <w:rFonts w:hint="eastAsia" w:ascii="宋体" w:hAnsi="宋体" w:cs="宋体"/>
                <w:color w:val="auto"/>
                <w:kern w:val="0"/>
                <w:sz w:val="24"/>
                <w:szCs w:val="24"/>
                <w:highlight w:val="none"/>
                <w:lang w:val="en-US" w:eastAsia="zh-CN"/>
              </w:rPr>
              <w:t>19.5</w:t>
            </w:r>
            <w:r>
              <w:rPr>
                <w:rFonts w:hint="eastAsia" w:ascii="宋体" w:hAnsi="宋体" w:eastAsia="宋体" w:cs="宋体"/>
                <w:color w:val="auto"/>
                <w:kern w:val="0"/>
                <w:sz w:val="24"/>
                <w:szCs w:val="24"/>
                <w:highlight w:val="none"/>
              </w:rPr>
              <w:t>倍以上</w:t>
            </w:r>
            <w:r>
              <w:rPr>
                <w:rFonts w:hint="eastAsia" w:ascii="宋体" w:hAnsi="宋体" w:cs="宋体"/>
                <w:color w:val="auto"/>
                <w:kern w:val="0"/>
                <w:sz w:val="24"/>
                <w:szCs w:val="24"/>
                <w:highlight w:val="none"/>
                <w:lang w:val="en-US" w:eastAsia="zh-CN"/>
              </w:rPr>
              <w:t>25.5</w:t>
            </w:r>
            <w:r>
              <w:rPr>
                <w:rFonts w:hint="eastAsia" w:ascii="宋体" w:hAnsi="宋体" w:eastAsia="宋体" w:cs="宋体"/>
                <w:color w:val="auto"/>
                <w:kern w:val="0"/>
                <w:sz w:val="24"/>
                <w:szCs w:val="24"/>
                <w:highlight w:val="none"/>
              </w:rPr>
              <w:t>倍以下罚款。</w:t>
            </w:r>
          </w:p>
        </w:tc>
      </w:tr>
      <w:tr w14:paraId="7B43B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3" w:hRule="atLeast"/>
          <w:jc w:val="center"/>
        </w:trPr>
        <w:tc>
          <w:tcPr>
            <w:tcW w:w="787" w:type="dxa"/>
            <w:vMerge w:val="continue"/>
            <w:tcBorders>
              <w:tl2br w:val="nil"/>
              <w:tr2bl w:val="nil"/>
            </w:tcBorders>
            <w:noWrap w:val="0"/>
            <w:vAlign w:val="center"/>
          </w:tcPr>
          <w:p w14:paraId="605F0D0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5FF700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6609558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7CB14C3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3E557F4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违法生产经营的食品货值金额</w:t>
            </w:r>
            <w:r>
              <w:rPr>
                <w:rFonts w:hint="eastAsia" w:ascii="宋体" w:hAnsi="宋体" w:cs="宋体"/>
                <w:color w:val="auto"/>
                <w:kern w:val="0"/>
                <w:sz w:val="24"/>
                <w:szCs w:val="24"/>
                <w:highlight w:val="none"/>
                <w:lang w:val="en-US" w:eastAsia="zh-CN"/>
              </w:rPr>
              <w:t>1.7</w:t>
            </w:r>
            <w:r>
              <w:rPr>
                <w:rFonts w:hint="eastAsia" w:ascii="宋体" w:hAnsi="宋体" w:eastAsia="宋体" w:cs="宋体"/>
                <w:color w:val="auto"/>
                <w:kern w:val="0"/>
                <w:sz w:val="24"/>
                <w:szCs w:val="24"/>
                <w:highlight w:val="none"/>
              </w:rPr>
              <w:t>万元以上</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1A6BB92B">
            <w:pPr>
              <w:keepNext w:val="0"/>
              <w:keepLines w:val="0"/>
              <w:pageBreakBefore w:val="0"/>
              <w:widowControl/>
              <w:kinsoku/>
              <w:wordWrap/>
              <w:overflowPunct/>
              <w:topLinePunct w:val="0"/>
              <w:autoSpaceDE/>
              <w:autoSpaceDN/>
              <w:bidi w:val="0"/>
              <w:adjustRightInd/>
              <w:snapToGrid/>
              <w:spacing w:before="60" w:beforeLines="10" w:beforeAutospacing="0" w:after="60" w:afterLines="1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没收违法所得和违法生产经营的食品，并可以没收用于违法生产经营的工具、设备、原料等物品；并处货值金额</w:t>
            </w:r>
            <w:r>
              <w:rPr>
                <w:rFonts w:hint="eastAsia" w:ascii="宋体" w:hAnsi="宋体" w:cs="宋体"/>
                <w:color w:val="auto"/>
                <w:kern w:val="0"/>
                <w:sz w:val="24"/>
                <w:szCs w:val="24"/>
                <w:highlight w:val="none"/>
                <w:lang w:val="en-US" w:eastAsia="zh-CN"/>
              </w:rPr>
              <w:t>25.5</w:t>
            </w:r>
            <w:r>
              <w:rPr>
                <w:rFonts w:hint="eastAsia" w:ascii="宋体" w:hAnsi="宋体" w:eastAsia="宋体" w:cs="宋体"/>
                <w:color w:val="auto"/>
                <w:kern w:val="0"/>
                <w:sz w:val="24"/>
                <w:szCs w:val="24"/>
                <w:highlight w:val="none"/>
              </w:rPr>
              <w:t>倍以上</w:t>
            </w:r>
            <w:r>
              <w:rPr>
                <w:rFonts w:hint="eastAsia" w:ascii="宋体" w:hAnsi="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倍以下罚款。</w:t>
            </w:r>
          </w:p>
        </w:tc>
      </w:tr>
      <w:tr w14:paraId="57D1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787" w:type="dxa"/>
            <w:vMerge w:val="continue"/>
            <w:tcBorders>
              <w:tl2br w:val="nil"/>
              <w:tr2bl w:val="nil"/>
            </w:tcBorders>
            <w:noWrap w:val="0"/>
            <w:vAlign w:val="center"/>
          </w:tcPr>
          <w:p w14:paraId="4DAD60E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7FCF9DD">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32EA5B0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D60EC00">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严重</w:t>
            </w:r>
          </w:p>
        </w:tc>
        <w:tc>
          <w:tcPr>
            <w:tcW w:w="3316" w:type="dxa"/>
            <w:tcBorders>
              <w:tl2br w:val="nil"/>
              <w:tr2bl w:val="nil"/>
            </w:tcBorders>
            <w:noWrap w:val="0"/>
            <w:vAlign w:val="center"/>
          </w:tcPr>
          <w:p w14:paraId="2ED6CA2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cs="宋体"/>
                <w:i w:val="0"/>
                <w:iCs w:val="0"/>
                <w:caps w:val="0"/>
                <w:color w:val="auto"/>
                <w:spacing w:val="0"/>
                <w:kern w:val="0"/>
                <w:sz w:val="24"/>
                <w:szCs w:val="24"/>
                <w:highlight w:val="none"/>
                <w:shd w:val="clear" w:color="auto" w:fill="auto"/>
                <w:lang w:val="en-US" w:eastAsia="zh-CN"/>
              </w:rPr>
              <w:t>符合</w:t>
            </w:r>
            <w:r>
              <w:rPr>
                <w:rFonts w:hint="eastAsia" w:ascii="宋体" w:hAnsi="宋体" w:eastAsia="宋体" w:cs="宋体"/>
                <w:b w:val="0"/>
                <w:bCs w:val="0"/>
                <w:color w:val="auto"/>
                <w:kern w:val="0"/>
                <w:sz w:val="24"/>
                <w:szCs w:val="24"/>
                <w:highlight w:val="none"/>
              </w:rPr>
              <w:t>《中华人民共和国食品安全法</w:t>
            </w:r>
            <w:r>
              <w:rPr>
                <w:rFonts w:hint="eastAsia" w:ascii="宋体" w:hAnsi="宋体" w:cs="宋体"/>
                <w:b w:val="0"/>
                <w:bCs w:val="0"/>
                <w:color w:val="auto"/>
                <w:kern w:val="0"/>
                <w:sz w:val="24"/>
                <w:szCs w:val="24"/>
                <w:highlight w:val="none"/>
                <w:lang w:val="en-US" w:eastAsia="zh-CN"/>
              </w:rPr>
              <w:t>实施条例</w:t>
            </w:r>
            <w:r>
              <w:rPr>
                <w:rFonts w:hint="eastAsia" w:ascii="宋体" w:hAnsi="宋体" w:eastAsia="宋体" w:cs="宋体"/>
                <w:b w:val="0"/>
                <w:bCs w:val="0"/>
                <w:color w:val="auto"/>
                <w:kern w:val="0"/>
                <w:sz w:val="24"/>
                <w:szCs w:val="24"/>
                <w:highlight w:val="none"/>
              </w:rPr>
              <w:t>》</w:t>
            </w:r>
            <w:r>
              <w:rPr>
                <w:rFonts w:hint="eastAsia" w:ascii="宋体" w:hAnsi="宋体" w:cs="宋体"/>
                <w:b w:val="0"/>
                <w:bCs w:val="0"/>
                <w:color w:val="auto"/>
                <w:kern w:val="0"/>
                <w:sz w:val="24"/>
                <w:szCs w:val="24"/>
                <w:highlight w:val="none"/>
                <w:lang w:val="en-US" w:eastAsia="zh-CN"/>
              </w:rPr>
              <w:t>第六十七条规定的情节严重的情形。</w:t>
            </w:r>
          </w:p>
        </w:tc>
        <w:tc>
          <w:tcPr>
            <w:tcW w:w="3267" w:type="dxa"/>
            <w:tcBorders>
              <w:tl2br w:val="nil"/>
              <w:tr2bl w:val="nil"/>
            </w:tcBorders>
            <w:noWrap w:val="0"/>
            <w:vAlign w:val="center"/>
          </w:tcPr>
          <w:p w14:paraId="279B43D6">
            <w:pPr>
              <w:keepNext w:val="0"/>
              <w:keepLines w:val="0"/>
              <w:pageBreakBefore w:val="0"/>
              <w:widowControl/>
              <w:kinsoku/>
              <w:wordWrap/>
              <w:overflowPunct/>
              <w:topLinePunct w:val="0"/>
              <w:autoSpaceDE/>
              <w:autoSpaceDN/>
              <w:bidi w:val="0"/>
              <w:adjustRightInd/>
              <w:snapToGrid/>
              <w:spacing w:before="60" w:beforeLines="10" w:beforeAutospacing="0" w:after="60" w:afterLines="1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吊销许可证。</w:t>
            </w:r>
          </w:p>
        </w:tc>
      </w:tr>
      <w:tr w14:paraId="22D7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7" w:hRule="atLeast"/>
          <w:jc w:val="center"/>
        </w:trPr>
        <w:tc>
          <w:tcPr>
            <w:tcW w:w="787" w:type="dxa"/>
            <w:vMerge w:val="restart"/>
            <w:tcBorders>
              <w:tl2br w:val="nil"/>
              <w:tr2bl w:val="nil"/>
            </w:tcBorders>
            <w:noWrap w:val="0"/>
            <w:vAlign w:val="center"/>
          </w:tcPr>
          <w:p w14:paraId="2841BB5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23</w:t>
            </w:r>
            <w:r>
              <w:rPr>
                <w:rFonts w:hint="eastAsia" w:ascii="宋体" w:hAnsi="宋体" w:cs="宋体"/>
                <w:b w:val="0"/>
                <w:bCs w:val="0"/>
                <w:color w:val="auto"/>
                <w:kern w:val="0"/>
                <w:sz w:val="24"/>
                <w:szCs w:val="24"/>
                <w:highlight w:val="none"/>
                <w:lang w:val="en-US" w:eastAsia="zh-CN"/>
              </w:rPr>
              <w:t>8</w:t>
            </w:r>
          </w:p>
        </w:tc>
        <w:tc>
          <w:tcPr>
            <w:tcW w:w="1718" w:type="dxa"/>
            <w:vMerge w:val="restart"/>
            <w:tcBorders>
              <w:tl2br w:val="nil"/>
              <w:tr2bl w:val="nil"/>
            </w:tcBorders>
            <w:noWrap w:val="0"/>
            <w:vAlign w:val="center"/>
          </w:tcPr>
          <w:p w14:paraId="4B6710C6">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《中华人民共和国食品安全法》</w:t>
            </w:r>
          </w:p>
        </w:tc>
        <w:tc>
          <w:tcPr>
            <w:tcW w:w="4132" w:type="dxa"/>
            <w:vMerge w:val="restart"/>
            <w:tcBorders>
              <w:tl2br w:val="nil"/>
              <w:tr2bl w:val="nil"/>
            </w:tcBorders>
            <w:noWrap w:val="0"/>
            <w:vAlign w:val="center"/>
          </w:tcPr>
          <w:p w14:paraId="1EA76A2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第一百二十三条第二款</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i w:val="0"/>
                <w:iCs w:val="0"/>
                <w:caps w:val="0"/>
                <w:color w:val="auto"/>
                <w:spacing w:val="0"/>
                <w:kern w:val="0"/>
                <w:sz w:val="24"/>
                <w:szCs w:val="24"/>
                <w:highlight w:val="none"/>
                <w:shd w:val="clear" w:color="auto" w:fill="auto"/>
              </w:rPr>
              <w:t>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tc>
        <w:tc>
          <w:tcPr>
            <w:tcW w:w="1133" w:type="dxa"/>
            <w:tcBorders>
              <w:tl2br w:val="nil"/>
              <w:tr2bl w:val="nil"/>
            </w:tcBorders>
            <w:noWrap w:val="0"/>
            <w:vAlign w:val="center"/>
          </w:tcPr>
          <w:p w14:paraId="3D497878">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05895F5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违法所得</w:t>
            </w:r>
            <w:r>
              <w:rPr>
                <w:rFonts w:hint="default" w:ascii="宋体" w:hAnsi="宋体" w:cs="宋体"/>
                <w:color w:val="auto"/>
                <w:kern w:val="0"/>
                <w:sz w:val="24"/>
                <w:szCs w:val="24"/>
                <w:highlight w:val="none"/>
                <w:lang w:val="en"/>
              </w:rPr>
              <w:t>10</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1EC0892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责令停止违法行为，没收违法所得，并处10万元</w:t>
            </w:r>
            <w:r>
              <w:rPr>
                <w:rFonts w:hint="eastAsia" w:ascii="宋体" w:hAnsi="宋体" w:cs="宋体"/>
                <w:color w:val="auto"/>
                <w:kern w:val="0"/>
                <w:sz w:val="24"/>
                <w:szCs w:val="24"/>
                <w:highlight w:val="none"/>
                <w:lang w:val="en-US" w:eastAsia="zh-CN"/>
              </w:rPr>
              <w:t>以上13万元以下</w:t>
            </w:r>
            <w:r>
              <w:rPr>
                <w:rFonts w:hint="eastAsia" w:ascii="宋体" w:hAnsi="宋体" w:eastAsia="宋体" w:cs="宋体"/>
                <w:color w:val="auto"/>
                <w:kern w:val="0"/>
                <w:sz w:val="24"/>
                <w:szCs w:val="24"/>
                <w:highlight w:val="none"/>
              </w:rPr>
              <w:t>罚款。</w:t>
            </w:r>
          </w:p>
        </w:tc>
      </w:tr>
      <w:tr w14:paraId="0143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87" w:type="dxa"/>
            <w:vMerge w:val="continue"/>
            <w:tcBorders>
              <w:tl2br w:val="nil"/>
              <w:tr2bl w:val="nil"/>
            </w:tcBorders>
            <w:noWrap w:val="0"/>
            <w:vAlign w:val="center"/>
          </w:tcPr>
          <w:p w14:paraId="7EA5520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8E1C5D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7EFFDDD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vMerge w:val="restart"/>
            <w:tcBorders>
              <w:tl2br w:val="nil"/>
              <w:tr2bl w:val="nil"/>
            </w:tcBorders>
            <w:noWrap w:val="0"/>
            <w:vAlign w:val="center"/>
          </w:tcPr>
          <w:p w14:paraId="797E4B1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vMerge w:val="restart"/>
            <w:tcBorders>
              <w:tl2br w:val="nil"/>
              <w:tr2bl w:val="nil"/>
            </w:tcBorders>
            <w:noWrap w:val="0"/>
            <w:vAlign w:val="center"/>
          </w:tcPr>
          <w:p w14:paraId="0E907AD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违法所得</w:t>
            </w:r>
            <w:r>
              <w:rPr>
                <w:rFonts w:hint="default" w:ascii="宋体" w:hAnsi="宋体" w:cs="宋体"/>
                <w:color w:val="auto"/>
                <w:kern w:val="0"/>
                <w:sz w:val="24"/>
                <w:szCs w:val="24"/>
                <w:highlight w:val="none"/>
                <w:lang w:val="en"/>
              </w:rPr>
              <w:t>10</w:t>
            </w:r>
            <w:r>
              <w:rPr>
                <w:rFonts w:hint="eastAsia" w:ascii="宋体" w:hAnsi="宋体" w:eastAsia="宋体" w:cs="宋体"/>
                <w:color w:val="auto"/>
                <w:kern w:val="0"/>
                <w:sz w:val="24"/>
                <w:szCs w:val="24"/>
                <w:highlight w:val="none"/>
              </w:rPr>
              <w:t>万元以上</w:t>
            </w:r>
            <w:r>
              <w:rPr>
                <w:rFonts w:hint="eastAsia" w:ascii="宋体" w:hAnsi="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万元以下的。</w:t>
            </w:r>
          </w:p>
        </w:tc>
        <w:tc>
          <w:tcPr>
            <w:tcW w:w="3267" w:type="dxa"/>
            <w:vMerge w:val="restart"/>
            <w:tcBorders>
              <w:tl2br w:val="nil"/>
              <w:tr2bl w:val="nil"/>
            </w:tcBorders>
            <w:noWrap w:val="0"/>
            <w:vAlign w:val="center"/>
          </w:tcPr>
          <w:p w14:paraId="07261EA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责令停止违法行为，没收违法所得，并处1</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万元以上1</w:t>
            </w:r>
            <w:r>
              <w:rPr>
                <w:rFonts w:hint="eastAsia" w:ascii="宋体" w:hAnsi="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万元以下罚款。</w:t>
            </w:r>
          </w:p>
        </w:tc>
      </w:tr>
      <w:tr w14:paraId="1872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jc w:val="center"/>
        </w:trPr>
        <w:tc>
          <w:tcPr>
            <w:tcW w:w="787" w:type="dxa"/>
            <w:vMerge w:val="continue"/>
            <w:tcBorders>
              <w:tl2br w:val="nil"/>
              <w:tr2bl w:val="nil"/>
            </w:tcBorders>
            <w:noWrap w:val="0"/>
            <w:vAlign w:val="center"/>
          </w:tcPr>
          <w:p w14:paraId="1892F41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E46D1F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3F28D5F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vMerge w:val="continue"/>
            <w:tcBorders>
              <w:tl2br w:val="nil"/>
              <w:tr2bl w:val="nil"/>
            </w:tcBorders>
            <w:noWrap w:val="0"/>
            <w:vAlign w:val="center"/>
          </w:tcPr>
          <w:p w14:paraId="4B02CF1F">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p>
        </w:tc>
        <w:tc>
          <w:tcPr>
            <w:tcW w:w="3316" w:type="dxa"/>
            <w:vMerge w:val="continue"/>
            <w:tcBorders>
              <w:tl2br w:val="nil"/>
              <w:tr2bl w:val="nil"/>
            </w:tcBorders>
            <w:noWrap w:val="0"/>
            <w:vAlign w:val="center"/>
          </w:tcPr>
          <w:p w14:paraId="7D61AD27">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p>
        </w:tc>
        <w:tc>
          <w:tcPr>
            <w:tcW w:w="3267" w:type="dxa"/>
            <w:vMerge w:val="continue"/>
            <w:tcBorders>
              <w:tl2br w:val="nil"/>
              <w:tr2bl w:val="nil"/>
            </w:tcBorders>
            <w:noWrap w:val="0"/>
            <w:vAlign w:val="center"/>
          </w:tcPr>
          <w:p w14:paraId="29130B76">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p>
        </w:tc>
      </w:tr>
      <w:tr w14:paraId="6ED9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3" w:hRule="atLeast"/>
          <w:jc w:val="center"/>
        </w:trPr>
        <w:tc>
          <w:tcPr>
            <w:tcW w:w="787" w:type="dxa"/>
            <w:vMerge w:val="continue"/>
            <w:tcBorders>
              <w:tl2br w:val="nil"/>
              <w:tr2bl w:val="nil"/>
            </w:tcBorders>
            <w:noWrap w:val="0"/>
            <w:vAlign w:val="center"/>
          </w:tcPr>
          <w:p w14:paraId="5C5FB3A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FC1817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7F5F4E0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2014EE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445BED7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违法所得</w:t>
            </w:r>
            <w:r>
              <w:rPr>
                <w:rFonts w:hint="default" w:ascii="宋体" w:hAnsi="宋体" w:cs="宋体"/>
                <w:color w:val="auto"/>
                <w:kern w:val="0"/>
                <w:sz w:val="24"/>
                <w:szCs w:val="24"/>
                <w:highlight w:val="none"/>
                <w:lang w:val="en"/>
              </w:rPr>
              <w:t>30</w:t>
            </w:r>
            <w:r>
              <w:rPr>
                <w:rFonts w:hint="eastAsia" w:ascii="宋体" w:hAnsi="宋体" w:eastAsia="宋体" w:cs="宋体"/>
                <w:color w:val="auto"/>
                <w:kern w:val="0"/>
                <w:sz w:val="24"/>
                <w:szCs w:val="24"/>
                <w:highlight w:val="none"/>
              </w:rPr>
              <w:t>万元以</w:t>
            </w:r>
            <w:r>
              <w:rPr>
                <w:rFonts w:hint="eastAsia" w:ascii="宋体" w:hAnsi="宋体" w:cs="宋体"/>
                <w:color w:val="auto"/>
                <w:kern w:val="0"/>
                <w:sz w:val="24"/>
                <w:szCs w:val="24"/>
                <w:highlight w:val="none"/>
                <w:lang w:val="en-US" w:eastAsia="zh-CN"/>
              </w:rPr>
              <w:t>上</w:t>
            </w:r>
            <w:r>
              <w:rPr>
                <w:rFonts w:hint="eastAsia" w:ascii="宋体" w:hAnsi="宋体" w:eastAsia="宋体" w:cs="宋体"/>
                <w:color w:val="auto"/>
                <w:kern w:val="0"/>
                <w:sz w:val="24"/>
                <w:szCs w:val="24"/>
                <w:highlight w:val="none"/>
              </w:rPr>
              <w:t>的。</w:t>
            </w:r>
          </w:p>
        </w:tc>
        <w:tc>
          <w:tcPr>
            <w:tcW w:w="3267" w:type="dxa"/>
            <w:tcBorders>
              <w:tl2br w:val="nil"/>
              <w:tr2bl w:val="nil"/>
            </w:tcBorders>
            <w:noWrap w:val="0"/>
            <w:vAlign w:val="center"/>
          </w:tcPr>
          <w:p w14:paraId="229598F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责令停止违法行为，没收违法所得，并处1</w:t>
            </w:r>
            <w:r>
              <w:rPr>
                <w:rFonts w:hint="eastAsia" w:ascii="宋体" w:hAnsi="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万元以上20万元以下罚款。</w:t>
            </w:r>
          </w:p>
        </w:tc>
      </w:tr>
      <w:tr w14:paraId="3D6FB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3" w:hRule="atLeast"/>
          <w:jc w:val="center"/>
        </w:trPr>
        <w:tc>
          <w:tcPr>
            <w:tcW w:w="787" w:type="dxa"/>
            <w:vMerge w:val="restart"/>
            <w:tcBorders>
              <w:tl2br w:val="nil"/>
              <w:tr2bl w:val="nil"/>
            </w:tcBorders>
            <w:noWrap w:val="0"/>
            <w:vAlign w:val="center"/>
          </w:tcPr>
          <w:p w14:paraId="5984198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w:t>
            </w:r>
            <w:r>
              <w:rPr>
                <w:rFonts w:hint="eastAsia" w:ascii="宋体" w:hAnsi="宋体" w:cs="宋体"/>
                <w:b w:val="0"/>
                <w:bCs w:val="0"/>
                <w:color w:val="auto"/>
                <w:kern w:val="0"/>
                <w:sz w:val="24"/>
                <w:szCs w:val="24"/>
                <w:highlight w:val="none"/>
                <w:lang w:val="en-US" w:eastAsia="zh-CN"/>
              </w:rPr>
              <w:t>39</w:t>
            </w:r>
          </w:p>
        </w:tc>
        <w:tc>
          <w:tcPr>
            <w:tcW w:w="1718" w:type="dxa"/>
            <w:vMerge w:val="restart"/>
            <w:tcBorders>
              <w:tl2br w:val="nil"/>
              <w:tr2bl w:val="nil"/>
            </w:tcBorders>
            <w:noWrap w:val="0"/>
            <w:vAlign w:val="center"/>
          </w:tcPr>
          <w:p w14:paraId="7571E72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《中华人民共和国食品安全法》</w:t>
            </w:r>
          </w:p>
        </w:tc>
        <w:tc>
          <w:tcPr>
            <w:tcW w:w="4132" w:type="dxa"/>
            <w:vMerge w:val="restart"/>
            <w:tcBorders>
              <w:tl2br w:val="nil"/>
              <w:tr2bl w:val="nil"/>
            </w:tcBorders>
            <w:noWrap w:val="0"/>
            <w:vAlign w:val="center"/>
          </w:tcPr>
          <w:p w14:paraId="42A8B0A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第一百二十四条</w:t>
            </w:r>
            <w:r>
              <w:rPr>
                <w:rFonts w:hint="eastAsia" w:ascii="宋体" w:hAnsi="宋体" w:cs="宋体"/>
                <w:color w:val="auto"/>
                <w:kern w:val="0"/>
                <w:sz w:val="24"/>
                <w:szCs w:val="24"/>
                <w:highlight w:val="none"/>
                <w:lang w:val="en-US" w:eastAsia="zh-CN"/>
              </w:rPr>
              <w:t xml:space="preserve">第一款 </w:t>
            </w:r>
            <w:r>
              <w:rPr>
                <w:rFonts w:hint="eastAsia" w:ascii="宋体" w:hAnsi="宋体" w:eastAsia="宋体" w:cs="宋体"/>
                <w:i w:val="0"/>
                <w:iCs w:val="0"/>
                <w:caps w:val="0"/>
                <w:color w:val="auto"/>
                <w:spacing w:val="0"/>
                <w:kern w:val="0"/>
                <w:sz w:val="24"/>
                <w:szCs w:val="24"/>
                <w:highlight w:val="none"/>
                <w:shd w:val="clear" w:color="auto" w:fill="auto"/>
              </w:rPr>
              <w:t>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w:t>
            </w:r>
            <w:r>
              <w:rPr>
                <w:rFonts w:hint="eastAsia" w:ascii="宋体" w:hAnsi="宋体" w:cs="宋体"/>
                <w:i w:val="0"/>
                <w:iCs w:val="0"/>
                <w:caps w:val="0"/>
                <w:color w:val="auto"/>
                <w:spacing w:val="0"/>
                <w:kern w:val="0"/>
                <w:sz w:val="24"/>
                <w:szCs w:val="24"/>
                <w:highlight w:val="none"/>
                <w:shd w:val="clear" w:color="auto" w:fill="auto"/>
                <w:lang w:eastAsia="zh-CN"/>
              </w:rPr>
              <w:t>。</w:t>
            </w:r>
          </w:p>
        </w:tc>
        <w:tc>
          <w:tcPr>
            <w:tcW w:w="1133" w:type="dxa"/>
            <w:tcBorders>
              <w:tl2br w:val="nil"/>
              <w:tr2bl w:val="nil"/>
            </w:tcBorders>
            <w:noWrap w:val="0"/>
            <w:vAlign w:val="center"/>
          </w:tcPr>
          <w:p w14:paraId="0AA87F1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7FDFA34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违法生产经营的食品、食品添加剂货值金额</w:t>
            </w:r>
            <w:r>
              <w:rPr>
                <w:rFonts w:hint="default" w:ascii="宋体" w:hAnsi="宋体" w:cs="宋体"/>
                <w:color w:val="auto"/>
                <w:kern w:val="0"/>
                <w:sz w:val="24"/>
                <w:szCs w:val="24"/>
                <w:highlight w:val="none"/>
                <w:lang w:val="en"/>
              </w:rPr>
              <w:t>2000</w:t>
            </w:r>
            <w:r>
              <w:rPr>
                <w:rFonts w:hint="eastAsia" w:ascii="宋体" w:hAnsi="宋体" w:eastAsia="宋体" w:cs="宋体"/>
                <w:color w:val="auto"/>
                <w:kern w:val="0"/>
                <w:sz w:val="24"/>
                <w:szCs w:val="24"/>
                <w:highlight w:val="none"/>
              </w:rPr>
              <w:t>元以下的。</w:t>
            </w:r>
          </w:p>
        </w:tc>
        <w:tc>
          <w:tcPr>
            <w:tcW w:w="3267" w:type="dxa"/>
            <w:tcBorders>
              <w:tl2br w:val="nil"/>
              <w:tr2bl w:val="nil"/>
            </w:tcBorders>
            <w:noWrap w:val="0"/>
            <w:vAlign w:val="center"/>
          </w:tcPr>
          <w:p w14:paraId="6748B9D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没收违法所得和违法生产经营的食品、食品添加剂，并可以</w:t>
            </w:r>
            <w:r>
              <w:rPr>
                <w:rFonts w:hint="eastAsia" w:ascii="宋体" w:hAnsi="宋体" w:eastAsia="宋体" w:cs="宋体"/>
                <w:color w:val="auto"/>
                <w:spacing w:val="-6"/>
                <w:kern w:val="0"/>
                <w:sz w:val="24"/>
                <w:szCs w:val="24"/>
                <w:highlight w:val="none"/>
              </w:rPr>
              <w:t>没收用于违法生产经营的工具、设备、原料等物品；并处5万元以上6.5万元以下罚款。</w:t>
            </w:r>
          </w:p>
        </w:tc>
      </w:tr>
      <w:tr w14:paraId="50C1A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787" w:type="dxa"/>
            <w:vMerge w:val="continue"/>
            <w:tcBorders>
              <w:tl2br w:val="nil"/>
              <w:tr2bl w:val="nil"/>
            </w:tcBorders>
            <w:noWrap w:val="0"/>
            <w:vAlign w:val="center"/>
          </w:tcPr>
          <w:p w14:paraId="58CC364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FDD0958">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21AC307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669022C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3D7C479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违法生产经营的食品、食品添加剂货值金额</w:t>
            </w:r>
            <w:r>
              <w:rPr>
                <w:rFonts w:hint="default" w:ascii="宋体" w:hAnsi="宋体" w:cs="宋体"/>
                <w:color w:val="auto"/>
                <w:kern w:val="0"/>
                <w:sz w:val="24"/>
                <w:szCs w:val="24"/>
                <w:highlight w:val="none"/>
                <w:lang w:val="en"/>
              </w:rPr>
              <w:t>2000</w:t>
            </w:r>
            <w:r>
              <w:rPr>
                <w:rFonts w:hint="eastAsia" w:ascii="宋体" w:hAnsi="宋体" w:eastAsia="宋体" w:cs="宋体"/>
                <w:color w:val="auto"/>
                <w:kern w:val="0"/>
                <w:sz w:val="24"/>
                <w:szCs w:val="24"/>
                <w:highlight w:val="none"/>
              </w:rPr>
              <w:t>元以上</w:t>
            </w:r>
            <w:r>
              <w:rPr>
                <w:rFonts w:hint="default" w:ascii="宋体" w:hAnsi="宋体" w:cs="宋体"/>
                <w:color w:val="auto"/>
                <w:kern w:val="0"/>
                <w:sz w:val="24"/>
                <w:szCs w:val="24"/>
                <w:highlight w:val="none"/>
                <w:lang w:val="en"/>
              </w:rPr>
              <w:t>5000</w:t>
            </w:r>
            <w:r>
              <w:rPr>
                <w:rFonts w:hint="eastAsia" w:ascii="宋体" w:hAnsi="宋体" w:eastAsia="宋体" w:cs="宋体"/>
                <w:color w:val="auto"/>
                <w:kern w:val="0"/>
                <w:sz w:val="24"/>
                <w:szCs w:val="24"/>
                <w:highlight w:val="none"/>
              </w:rPr>
              <w:t>元以下的。</w:t>
            </w:r>
          </w:p>
        </w:tc>
        <w:tc>
          <w:tcPr>
            <w:tcW w:w="3267" w:type="dxa"/>
            <w:tcBorders>
              <w:tl2br w:val="nil"/>
              <w:tr2bl w:val="nil"/>
            </w:tcBorders>
            <w:noWrap w:val="0"/>
            <w:vAlign w:val="center"/>
          </w:tcPr>
          <w:p w14:paraId="644894B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pacing w:val="-6"/>
                <w:kern w:val="0"/>
                <w:sz w:val="24"/>
                <w:szCs w:val="24"/>
                <w:highlight w:val="none"/>
              </w:rPr>
              <w:t>没收违法所得和违法生</w:t>
            </w:r>
            <w:r>
              <w:rPr>
                <w:rFonts w:hint="eastAsia" w:ascii="宋体" w:hAnsi="宋体" w:eastAsia="宋体" w:cs="宋体"/>
                <w:color w:val="auto"/>
                <w:kern w:val="0"/>
                <w:sz w:val="24"/>
                <w:szCs w:val="24"/>
                <w:highlight w:val="none"/>
              </w:rPr>
              <w:t>产经营</w:t>
            </w:r>
            <w:r>
              <w:rPr>
                <w:rFonts w:hint="eastAsia" w:ascii="宋体" w:hAnsi="宋体" w:eastAsia="宋体" w:cs="宋体"/>
                <w:color w:val="auto"/>
                <w:spacing w:val="-6"/>
                <w:kern w:val="0"/>
                <w:sz w:val="24"/>
                <w:szCs w:val="24"/>
                <w:highlight w:val="none"/>
              </w:rPr>
              <w:t>的食品、食品添加剂，并可以没收用于违法生产经营的工具、设备、原料等物品；并处6.5万元以上8.5万元以下罚款。</w:t>
            </w:r>
          </w:p>
        </w:tc>
      </w:tr>
      <w:tr w14:paraId="1DED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6" w:hRule="atLeast"/>
          <w:jc w:val="center"/>
        </w:trPr>
        <w:tc>
          <w:tcPr>
            <w:tcW w:w="787" w:type="dxa"/>
            <w:vMerge w:val="continue"/>
            <w:tcBorders>
              <w:tl2br w:val="nil"/>
              <w:tr2bl w:val="nil"/>
            </w:tcBorders>
            <w:noWrap w:val="0"/>
            <w:vAlign w:val="center"/>
          </w:tcPr>
          <w:p w14:paraId="1D703CF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ECDABD8">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1F3486A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65FE388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58247CF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违法生产经营的食品、食品添加剂货值金额</w:t>
            </w:r>
            <w:r>
              <w:rPr>
                <w:rFonts w:hint="default" w:ascii="宋体" w:hAnsi="宋体" w:cs="宋体"/>
                <w:color w:val="auto"/>
                <w:kern w:val="0"/>
                <w:sz w:val="24"/>
                <w:szCs w:val="24"/>
                <w:highlight w:val="none"/>
                <w:lang w:val="en"/>
              </w:rPr>
              <w:t>5000</w:t>
            </w:r>
            <w:r>
              <w:rPr>
                <w:rFonts w:hint="eastAsia" w:ascii="宋体" w:hAnsi="宋体" w:eastAsia="宋体" w:cs="宋体"/>
                <w:color w:val="auto"/>
                <w:kern w:val="0"/>
                <w:sz w:val="24"/>
                <w:szCs w:val="24"/>
                <w:highlight w:val="none"/>
              </w:rPr>
              <w:t>元以上</w:t>
            </w:r>
            <w:r>
              <w:rPr>
                <w:rFonts w:hint="default" w:ascii="宋体" w:hAnsi="宋体" w:cs="宋体"/>
                <w:color w:val="auto"/>
                <w:kern w:val="0"/>
                <w:sz w:val="24"/>
                <w:szCs w:val="24"/>
                <w:highlight w:val="none"/>
                <w:lang w:val="en"/>
              </w:rPr>
              <w:t>1</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324B5FC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没收违法所得和违法生产经营的食品、食品添加剂，并可以没收用于违法生产经营的工具、设备、原料等物品；并处8.5万元以上10万元以下罚款。</w:t>
            </w:r>
          </w:p>
        </w:tc>
      </w:tr>
      <w:tr w14:paraId="7771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jc w:val="center"/>
        </w:trPr>
        <w:tc>
          <w:tcPr>
            <w:tcW w:w="787" w:type="dxa"/>
            <w:vMerge w:val="continue"/>
            <w:tcBorders>
              <w:tl2br w:val="nil"/>
              <w:tr2bl w:val="nil"/>
            </w:tcBorders>
            <w:noWrap w:val="0"/>
            <w:vAlign w:val="center"/>
          </w:tcPr>
          <w:p w14:paraId="4F77367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905100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1E07F9F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61FAC57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严重</w:t>
            </w:r>
          </w:p>
        </w:tc>
        <w:tc>
          <w:tcPr>
            <w:tcW w:w="3316" w:type="dxa"/>
            <w:tcBorders>
              <w:tl2br w:val="nil"/>
              <w:tr2bl w:val="nil"/>
            </w:tcBorders>
            <w:noWrap w:val="0"/>
            <w:vAlign w:val="center"/>
          </w:tcPr>
          <w:p w14:paraId="40D6C7C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cs="宋体"/>
                <w:i w:val="0"/>
                <w:iCs w:val="0"/>
                <w:caps w:val="0"/>
                <w:color w:val="auto"/>
                <w:spacing w:val="0"/>
                <w:kern w:val="0"/>
                <w:sz w:val="24"/>
                <w:szCs w:val="24"/>
                <w:highlight w:val="none"/>
                <w:shd w:val="clear" w:color="auto" w:fill="auto"/>
                <w:lang w:val="en-US" w:eastAsia="zh-CN"/>
              </w:rPr>
              <w:t>符合</w:t>
            </w:r>
            <w:r>
              <w:rPr>
                <w:rFonts w:hint="eastAsia" w:ascii="宋体" w:hAnsi="宋体" w:eastAsia="宋体" w:cs="宋体"/>
                <w:b w:val="0"/>
                <w:bCs w:val="0"/>
                <w:color w:val="auto"/>
                <w:kern w:val="0"/>
                <w:sz w:val="24"/>
                <w:szCs w:val="24"/>
                <w:highlight w:val="none"/>
              </w:rPr>
              <w:t>《中华人民共和国食品安全法</w:t>
            </w:r>
            <w:r>
              <w:rPr>
                <w:rFonts w:hint="eastAsia" w:ascii="宋体" w:hAnsi="宋体" w:cs="宋体"/>
                <w:b w:val="0"/>
                <w:bCs w:val="0"/>
                <w:color w:val="auto"/>
                <w:kern w:val="0"/>
                <w:sz w:val="24"/>
                <w:szCs w:val="24"/>
                <w:highlight w:val="none"/>
                <w:lang w:val="en-US" w:eastAsia="zh-CN"/>
              </w:rPr>
              <w:t>实施条例</w:t>
            </w:r>
            <w:r>
              <w:rPr>
                <w:rFonts w:hint="eastAsia" w:ascii="宋体" w:hAnsi="宋体" w:eastAsia="宋体" w:cs="宋体"/>
                <w:b w:val="0"/>
                <w:bCs w:val="0"/>
                <w:color w:val="auto"/>
                <w:kern w:val="0"/>
                <w:sz w:val="24"/>
                <w:szCs w:val="24"/>
                <w:highlight w:val="none"/>
              </w:rPr>
              <w:t>》</w:t>
            </w:r>
            <w:r>
              <w:rPr>
                <w:rFonts w:hint="eastAsia" w:ascii="宋体" w:hAnsi="宋体" w:cs="宋体"/>
                <w:b w:val="0"/>
                <w:bCs w:val="0"/>
                <w:color w:val="auto"/>
                <w:kern w:val="0"/>
                <w:sz w:val="24"/>
                <w:szCs w:val="24"/>
                <w:highlight w:val="none"/>
                <w:lang w:val="en-US" w:eastAsia="zh-CN"/>
              </w:rPr>
              <w:t>第六十七条规定的情节严重的情形。</w:t>
            </w:r>
          </w:p>
        </w:tc>
        <w:tc>
          <w:tcPr>
            <w:tcW w:w="3267" w:type="dxa"/>
            <w:tcBorders>
              <w:tl2br w:val="nil"/>
              <w:tr2bl w:val="nil"/>
            </w:tcBorders>
            <w:noWrap w:val="0"/>
            <w:vAlign w:val="center"/>
          </w:tcPr>
          <w:p w14:paraId="3E36CDA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吊销许可证。</w:t>
            </w:r>
          </w:p>
        </w:tc>
      </w:tr>
      <w:tr w14:paraId="5040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8" w:hRule="atLeast"/>
          <w:jc w:val="center"/>
        </w:trPr>
        <w:tc>
          <w:tcPr>
            <w:tcW w:w="787" w:type="dxa"/>
            <w:vMerge w:val="restart"/>
            <w:tcBorders>
              <w:tl2br w:val="nil"/>
              <w:tr2bl w:val="nil"/>
            </w:tcBorders>
            <w:noWrap w:val="0"/>
            <w:vAlign w:val="center"/>
          </w:tcPr>
          <w:p w14:paraId="7DB3030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w:t>
            </w:r>
            <w:r>
              <w:rPr>
                <w:rFonts w:hint="eastAsia" w:ascii="宋体" w:hAnsi="宋体" w:cs="宋体"/>
                <w:b w:val="0"/>
                <w:bCs w:val="0"/>
                <w:color w:val="auto"/>
                <w:kern w:val="0"/>
                <w:sz w:val="24"/>
                <w:szCs w:val="24"/>
                <w:highlight w:val="none"/>
                <w:lang w:val="en-US" w:eastAsia="zh-CN"/>
              </w:rPr>
              <w:t>40</w:t>
            </w:r>
          </w:p>
        </w:tc>
        <w:tc>
          <w:tcPr>
            <w:tcW w:w="1718" w:type="dxa"/>
            <w:vMerge w:val="restart"/>
            <w:tcBorders>
              <w:tl2br w:val="nil"/>
              <w:tr2bl w:val="nil"/>
            </w:tcBorders>
            <w:noWrap w:val="0"/>
            <w:vAlign w:val="center"/>
          </w:tcPr>
          <w:p w14:paraId="7ED755A4">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《中华人民共和国食品安全法》</w:t>
            </w:r>
          </w:p>
          <w:p w14:paraId="4516BAA8">
            <w:pPr>
              <w:keepNext w:val="0"/>
              <w:keepLines w:val="0"/>
              <w:pageBreakBefore w:val="0"/>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p>
        </w:tc>
        <w:tc>
          <w:tcPr>
            <w:tcW w:w="4132" w:type="dxa"/>
            <w:vMerge w:val="restart"/>
            <w:tcBorders>
              <w:tl2br w:val="nil"/>
              <w:tr2bl w:val="nil"/>
            </w:tcBorders>
            <w:noWrap w:val="0"/>
            <w:vAlign w:val="center"/>
          </w:tcPr>
          <w:p w14:paraId="046D741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第一百二十四条</w:t>
            </w:r>
            <w:r>
              <w:rPr>
                <w:rFonts w:hint="eastAsia" w:ascii="宋体" w:hAnsi="宋体" w:cs="宋体"/>
                <w:color w:val="auto"/>
                <w:kern w:val="0"/>
                <w:sz w:val="24"/>
                <w:szCs w:val="24"/>
                <w:highlight w:val="none"/>
                <w:lang w:val="en-US" w:eastAsia="zh-CN"/>
              </w:rPr>
              <w:t xml:space="preserve">第一款 </w:t>
            </w:r>
            <w:r>
              <w:rPr>
                <w:rFonts w:hint="eastAsia" w:ascii="宋体" w:hAnsi="宋体" w:eastAsia="宋体" w:cs="宋体"/>
                <w:color w:val="auto"/>
                <w:kern w:val="0"/>
                <w:sz w:val="24"/>
                <w:szCs w:val="24"/>
                <w:highlight w:val="none"/>
              </w:rPr>
              <w:t>货值金额一万元以上的，并处货值金额十倍以上二十倍以下罚款；情节严重的，吊销许可证。</w:t>
            </w:r>
          </w:p>
          <w:p w14:paraId="0A692B0B">
            <w:pPr>
              <w:keepNext w:val="0"/>
              <w:keepLines w:val="0"/>
              <w:pageBreakBefore w:val="0"/>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792FA7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0C84BFE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违法生产经营的食品、食品添加剂货值金额</w:t>
            </w:r>
            <w:r>
              <w:rPr>
                <w:rFonts w:hint="default" w:ascii="宋体" w:hAnsi="宋体" w:cs="宋体"/>
                <w:color w:val="auto"/>
                <w:kern w:val="0"/>
                <w:sz w:val="24"/>
                <w:szCs w:val="24"/>
                <w:highlight w:val="none"/>
                <w:lang w:val="en"/>
              </w:rPr>
              <w:t>1</w:t>
            </w:r>
            <w:r>
              <w:rPr>
                <w:rFonts w:hint="eastAsia" w:ascii="宋体" w:hAnsi="宋体" w:eastAsia="宋体" w:cs="宋体"/>
                <w:color w:val="auto"/>
                <w:kern w:val="0"/>
                <w:sz w:val="24"/>
                <w:szCs w:val="24"/>
                <w:highlight w:val="none"/>
              </w:rPr>
              <w:t>万元以上</w:t>
            </w:r>
            <w:r>
              <w:rPr>
                <w:rFonts w:hint="eastAsia" w:ascii="宋体" w:hAnsi="宋体" w:cs="宋体"/>
                <w:color w:val="auto"/>
                <w:kern w:val="0"/>
                <w:sz w:val="24"/>
                <w:szCs w:val="24"/>
                <w:highlight w:val="none"/>
                <w:lang w:val="en-US" w:eastAsia="zh-CN"/>
              </w:rPr>
              <w:t>1.3</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2E73ED0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没收违法所得和违法生产经营的食品、食品添加剂，并可以没收用于违法生产经营的工具、设备、原料等物品；并处货值金额</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倍以上</w:t>
            </w:r>
            <w:r>
              <w:rPr>
                <w:rFonts w:hint="eastAsia" w:ascii="宋体" w:hAnsi="宋体" w:cs="宋体"/>
                <w:color w:val="auto"/>
                <w:kern w:val="0"/>
                <w:sz w:val="24"/>
                <w:szCs w:val="24"/>
                <w:highlight w:val="none"/>
                <w:lang w:val="en-US" w:eastAsia="zh-CN"/>
              </w:rPr>
              <w:t>13</w:t>
            </w:r>
            <w:r>
              <w:rPr>
                <w:rFonts w:hint="eastAsia" w:ascii="宋体" w:hAnsi="宋体" w:eastAsia="宋体" w:cs="宋体"/>
                <w:color w:val="auto"/>
                <w:kern w:val="0"/>
                <w:sz w:val="24"/>
                <w:szCs w:val="24"/>
                <w:highlight w:val="none"/>
              </w:rPr>
              <w:t>倍以下罚款。</w:t>
            </w:r>
          </w:p>
        </w:tc>
      </w:tr>
      <w:tr w14:paraId="5361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jc w:val="center"/>
        </w:trPr>
        <w:tc>
          <w:tcPr>
            <w:tcW w:w="787" w:type="dxa"/>
            <w:vMerge w:val="continue"/>
            <w:tcBorders>
              <w:tl2br w:val="nil"/>
              <w:tr2bl w:val="nil"/>
            </w:tcBorders>
            <w:noWrap w:val="0"/>
            <w:vAlign w:val="center"/>
          </w:tcPr>
          <w:p w14:paraId="35787EE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922CBF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75DB14A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8574CB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7E33829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违法生产经营的食品、食品添加剂货值金额</w:t>
            </w:r>
            <w:r>
              <w:rPr>
                <w:rFonts w:hint="eastAsia" w:ascii="宋体" w:hAnsi="宋体" w:cs="宋体"/>
                <w:color w:val="auto"/>
                <w:kern w:val="0"/>
                <w:sz w:val="24"/>
                <w:szCs w:val="24"/>
                <w:highlight w:val="none"/>
                <w:lang w:val="en-US" w:eastAsia="zh-CN"/>
              </w:rPr>
              <w:t>1.3</w:t>
            </w:r>
            <w:r>
              <w:rPr>
                <w:rFonts w:hint="eastAsia" w:ascii="宋体" w:hAnsi="宋体" w:eastAsia="宋体" w:cs="宋体"/>
                <w:color w:val="auto"/>
                <w:kern w:val="0"/>
                <w:sz w:val="24"/>
                <w:szCs w:val="24"/>
                <w:highlight w:val="none"/>
              </w:rPr>
              <w:t>万元以上</w:t>
            </w:r>
            <w:r>
              <w:rPr>
                <w:rFonts w:hint="eastAsia" w:ascii="宋体" w:hAnsi="宋体" w:cs="宋体"/>
                <w:color w:val="auto"/>
                <w:kern w:val="0"/>
                <w:sz w:val="24"/>
                <w:szCs w:val="24"/>
                <w:highlight w:val="none"/>
                <w:lang w:val="en-US" w:eastAsia="zh-CN"/>
              </w:rPr>
              <w:t>1.7</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2A7C11D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没收违法所得和违法生产经营的食品、食品添加剂，并可以没收用于违法生产经营的工具、设备、原料等物品；并处货值金额</w:t>
            </w:r>
            <w:r>
              <w:rPr>
                <w:rFonts w:hint="eastAsia" w:ascii="宋体" w:hAnsi="宋体" w:cs="宋体"/>
                <w:color w:val="auto"/>
                <w:kern w:val="0"/>
                <w:sz w:val="24"/>
                <w:szCs w:val="24"/>
                <w:highlight w:val="none"/>
                <w:lang w:val="en-US" w:eastAsia="zh-CN"/>
              </w:rPr>
              <w:t>13</w:t>
            </w:r>
            <w:r>
              <w:rPr>
                <w:rFonts w:hint="eastAsia" w:ascii="宋体" w:hAnsi="宋体" w:eastAsia="宋体" w:cs="宋体"/>
                <w:color w:val="auto"/>
                <w:kern w:val="0"/>
                <w:sz w:val="24"/>
                <w:szCs w:val="24"/>
                <w:highlight w:val="none"/>
              </w:rPr>
              <w:t>倍以上</w:t>
            </w:r>
            <w:r>
              <w:rPr>
                <w:rFonts w:hint="eastAsia" w:ascii="宋体" w:hAnsi="宋体" w:cs="宋体"/>
                <w:color w:val="auto"/>
                <w:kern w:val="0"/>
                <w:sz w:val="24"/>
                <w:szCs w:val="24"/>
                <w:highlight w:val="none"/>
                <w:lang w:val="en-US" w:eastAsia="zh-CN"/>
              </w:rPr>
              <w:t>17</w:t>
            </w:r>
            <w:r>
              <w:rPr>
                <w:rFonts w:hint="eastAsia" w:ascii="宋体" w:hAnsi="宋体" w:eastAsia="宋体" w:cs="宋体"/>
                <w:color w:val="auto"/>
                <w:kern w:val="0"/>
                <w:sz w:val="24"/>
                <w:szCs w:val="24"/>
                <w:highlight w:val="none"/>
              </w:rPr>
              <w:t>倍以下罚款。</w:t>
            </w:r>
          </w:p>
        </w:tc>
      </w:tr>
      <w:tr w14:paraId="1AA5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atLeast"/>
          <w:jc w:val="center"/>
        </w:trPr>
        <w:tc>
          <w:tcPr>
            <w:tcW w:w="787" w:type="dxa"/>
            <w:vMerge w:val="continue"/>
            <w:tcBorders>
              <w:tl2br w:val="nil"/>
              <w:tr2bl w:val="nil"/>
            </w:tcBorders>
            <w:noWrap w:val="0"/>
            <w:vAlign w:val="center"/>
          </w:tcPr>
          <w:p w14:paraId="05CE5BAE">
            <w:pPr>
              <w:keepNext w:val="0"/>
              <w:keepLines w:val="0"/>
              <w:pageBreakBefore w:val="0"/>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468E812">
            <w:pPr>
              <w:keepNext w:val="0"/>
              <w:keepLines w:val="0"/>
              <w:pageBreakBefore w:val="0"/>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0E0CAB45">
            <w:pPr>
              <w:keepNext w:val="0"/>
              <w:keepLines w:val="0"/>
              <w:pageBreakBefore w:val="0"/>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B66F8D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62F205B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违法生产经营的食品、食品添加剂货值金额</w:t>
            </w:r>
            <w:r>
              <w:rPr>
                <w:rFonts w:hint="eastAsia" w:ascii="宋体" w:hAnsi="宋体" w:cs="宋体"/>
                <w:color w:val="auto"/>
                <w:kern w:val="0"/>
                <w:sz w:val="24"/>
                <w:szCs w:val="24"/>
                <w:highlight w:val="none"/>
                <w:lang w:val="en-US" w:eastAsia="zh-CN"/>
              </w:rPr>
              <w:t>1.7</w:t>
            </w:r>
            <w:r>
              <w:rPr>
                <w:rFonts w:hint="eastAsia" w:ascii="宋体" w:hAnsi="宋体" w:eastAsia="宋体" w:cs="宋体"/>
                <w:color w:val="auto"/>
                <w:kern w:val="0"/>
                <w:sz w:val="24"/>
                <w:szCs w:val="24"/>
                <w:highlight w:val="none"/>
              </w:rPr>
              <w:t>万元以上</w:t>
            </w:r>
            <w:r>
              <w:rPr>
                <w:rFonts w:hint="eastAsia" w:ascii="宋体" w:hAnsi="宋体" w:cs="宋体"/>
                <w:color w:val="auto"/>
                <w:kern w:val="0"/>
                <w:sz w:val="24"/>
                <w:szCs w:val="24"/>
                <w:highlight w:val="none"/>
                <w:lang w:val="en-US" w:eastAsia="zh-CN"/>
              </w:rPr>
              <w:t>2万元以下</w:t>
            </w:r>
            <w:r>
              <w:rPr>
                <w:rFonts w:hint="eastAsia" w:ascii="宋体" w:hAnsi="宋体" w:eastAsia="宋体" w:cs="宋体"/>
                <w:color w:val="auto"/>
                <w:kern w:val="0"/>
                <w:sz w:val="24"/>
                <w:szCs w:val="24"/>
                <w:highlight w:val="none"/>
              </w:rPr>
              <w:t>的。</w:t>
            </w:r>
          </w:p>
        </w:tc>
        <w:tc>
          <w:tcPr>
            <w:tcW w:w="3267" w:type="dxa"/>
            <w:tcBorders>
              <w:tl2br w:val="nil"/>
              <w:tr2bl w:val="nil"/>
            </w:tcBorders>
            <w:noWrap w:val="0"/>
            <w:vAlign w:val="center"/>
          </w:tcPr>
          <w:p w14:paraId="5405934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没收违法所得和违法生产经营的食品、食品添加剂，并可以没收用于违法生产经营的工具、设备、原料等物品；并处货值金额</w:t>
            </w:r>
            <w:r>
              <w:rPr>
                <w:rFonts w:hint="eastAsia" w:ascii="宋体" w:hAnsi="宋体" w:cs="宋体"/>
                <w:color w:val="auto"/>
                <w:kern w:val="0"/>
                <w:sz w:val="24"/>
                <w:szCs w:val="24"/>
                <w:highlight w:val="none"/>
                <w:lang w:val="en-US" w:eastAsia="zh-CN"/>
              </w:rPr>
              <w:t>17倍以上20</w:t>
            </w:r>
            <w:r>
              <w:rPr>
                <w:rFonts w:hint="eastAsia" w:ascii="宋体" w:hAnsi="宋体" w:eastAsia="宋体" w:cs="宋体"/>
                <w:color w:val="auto"/>
                <w:kern w:val="0"/>
                <w:sz w:val="24"/>
                <w:szCs w:val="24"/>
                <w:highlight w:val="none"/>
              </w:rPr>
              <w:t>倍</w:t>
            </w:r>
            <w:r>
              <w:rPr>
                <w:rFonts w:hint="eastAsia" w:ascii="宋体" w:hAnsi="宋体" w:cs="宋体"/>
                <w:color w:val="auto"/>
                <w:kern w:val="0"/>
                <w:sz w:val="24"/>
                <w:szCs w:val="24"/>
                <w:highlight w:val="none"/>
                <w:lang w:val="en-US" w:eastAsia="zh-CN"/>
              </w:rPr>
              <w:t>以下</w:t>
            </w:r>
            <w:r>
              <w:rPr>
                <w:rFonts w:hint="eastAsia" w:ascii="宋体" w:hAnsi="宋体" w:eastAsia="宋体" w:cs="宋体"/>
                <w:color w:val="auto"/>
                <w:kern w:val="0"/>
                <w:sz w:val="24"/>
                <w:szCs w:val="24"/>
                <w:highlight w:val="none"/>
              </w:rPr>
              <w:t>罚款。</w:t>
            </w:r>
          </w:p>
        </w:tc>
      </w:tr>
      <w:tr w14:paraId="6FF5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787" w:type="dxa"/>
            <w:vMerge w:val="continue"/>
            <w:tcBorders>
              <w:tl2br w:val="nil"/>
              <w:tr2bl w:val="nil"/>
            </w:tcBorders>
            <w:noWrap w:val="0"/>
            <w:vAlign w:val="center"/>
          </w:tcPr>
          <w:p w14:paraId="64ECB74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5506B77">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7F379FC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5262C3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严重</w:t>
            </w:r>
          </w:p>
        </w:tc>
        <w:tc>
          <w:tcPr>
            <w:tcW w:w="3316" w:type="dxa"/>
            <w:tcBorders>
              <w:tl2br w:val="nil"/>
              <w:tr2bl w:val="nil"/>
            </w:tcBorders>
            <w:noWrap w:val="0"/>
            <w:vAlign w:val="center"/>
          </w:tcPr>
          <w:p w14:paraId="2EF9829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cs="宋体"/>
                <w:i w:val="0"/>
                <w:iCs w:val="0"/>
                <w:caps w:val="0"/>
                <w:color w:val="auto"/>
                <w:spacing w:val="0"/>
                <w:kern w:val="0"/>
                <w:sz w:val="24"/>
                <w:szCs w:val="24"/>
                <w:highlight w:val="none"/>
                <w:shd w:val="clear" w:color="auto" w:fill="auto"/>
                <w:lang w:val="en-US" w:eastAsia="zh-CN"/>
              </w:rPr>
              <w:t>符合</w:t>
            </w:r>
            <w:r>
              <w:rPr>
                <w:rFonts w:hint="eastAsia" w:ascii="宋体" w:hAnsi="宋体" w:eastAsia="宋体" w:cs="宋体"/>
                <w:b w:val="0"/>
                <w:bCs w:val="0"/>
                <w:color w:val="auto"/>
                <w:kern w:val="0"/>
                <w:sz w:val="24"/>
                <w:szCs w:val="24"/>
                <w:highlight w:val="none"/>
              </w:rPr>
              <w:t>《中华人民共和国食品安全法</w:t>
            </w:r>
            <w:r>
              <w:rPr>
                <w:rFonts w:hint="eastAsia" w:ascii="宋体" w:hAnsi="宋体" w:cs="宋体"/>
                <w:b w:val="0"/>
                <w:bCs w:val="0"/>
                <w:color w:val="auto"/>
                <w:kern w:val="0"/>
                <w:sz w:val="24"/>
                <w:szCs w:val="24"/>
                <w:highlight w:val="none"/>
                <w:lang w:val="en-US" w:eastAsia="zh-CN"/>
              </w:rPr>
              <w:t>实施条例</w:t>
            </w:r>
            <w:r>
              <w:rPr>
                <w:rFonts w:hint="eastAsia" w:ascii="宋体" w:hAnsi="宋体" w:eastAsia="宋体" w:cs="宋体"/>
                <w:b w:val="0"/>
                <w:bCs w:val="0"/>
                <w:color w:val="auto"/>
                <w:kern w:val="0"/>
                <w:sz w:val="24"/>
                <w:szCs w:val="24"/>
                <w:highlight w:val="none"/>
              </w:rPr>
              <w:t>》</w:t>
            </w:r>
            <w:r>
              <w:rPr>
                <w:rFonts w:hint="eastAsia" w:ascii="宋体" w:hAnsi="宋体" w:cs="宋体"/>
                <w:b w:val="0"/>
                <w:bCs w:val="0"/>
                <w:color w:val="auto"/>
                <w:kern w:val="0"/>
                <w:sz w:val="24"/>
                <w:szCs w:val="24"/>
                <w:highlight w:val="none"/>
                <w:lang w:val="en-US" w:eastAsia="zh-CN"/>
              </w:rPr>
              <w:t>第六十七条规定的情节严重的情形。</w:t>
            </w:r>
          </w:p>
        </w:tc>
        <w:tc>
          <w:tcPr>
            <w:tcW w:w="3267" w:type="dxa"/>
            <w:tcBorders>
              <w:tl2br w:val="nil"/>
              <w:tr2bl w:val="nil"/>
            </w:tcBorders>
            <w:noWrap w:val="0"/>
            <w:vAlign w:val="center"/>
          </w:tcPr>
          <w:p w14:paraId="0D13472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吊销许可证。</w:t>
            </w:r>
          </w:p>
        </w:tc>
      </w:tr>
      <w:tr w14:paraId="0BB9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jc w:val="center"/>
        </w:trPr>
        <w:tc>
          <w:tcPr>
            <w:tcW w:w="787" w:type="dxa"/>
            <w:vMerge w:val="restart"/>
            <w:tcBorders>
              <w:tl2br w:val="nil"/>
              <w:tr2bl w:val="nil"/>
            </w:tcBorders>
            <w:noWrap w:val="0"/>
            <w:vAlign w:val="center"/>
          </w:tcPr>
          <w:p w14:paraId="696137C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w:t>
            </w:r>
            <w:r>
              <w:rPr>
                <w:rFonts w:hint="eastAsia" w:ascii="宋体" w:hAnsi="宋体" w:cs="宋体"/>
                <w:b w:val="0"/>
                <w:bCs w:val="0"/>
                <w:color w:val="auto"/>
                <w:kern w:val="0"/>
                <w:sz w:val="24"/>
                <w:szCs w:val="24"/>
                <w:highlight w:val="none"/>
                <w:lang w:val="en-US" w:eastAsia="zh-CN"/>
              </w:rPr>
              <w:t>41</w:t>
            </w:r>
          </w:p>
        </w:tc>
        <w:tc>
          <w:tcPr>
            <w:tcW w:w="1718" w:type="dxa"/>
            <w:vMerge w:val="restart"/>
            <w:tcBorders>
              <w:tl2br w:val="nil"/>
              <w:tr2bl w:val="nil"/>
            </w:tcBorders>
            <w:noWrap w:val="0"/>
            <w:vAlign w:val="center"/>
          </w:tcPr>
          <w:p w14:paraId="5723DE7B">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《中华人民共和国食品安全法》</w:t>
            </w:r>
          </w:p>
        </w:tc>
        <w:tc>
          <w:tcPr>
            <w:tcW w:w="4132" w:type="dxa"/>
            <w:vMerge w:val="restart"/>
            <w:tcBorders>
              <w:tl2br w:val="nil"/>
              <w:tr2bl w:val="nil"/>
            </w:tcBorders>
            <w:noWrap w:val="0"/>
            <w:vAlign w:val="center"/>
          </w:tcPr>
          <w:p w14:paraId="7F7B821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第一百二十五条第一款</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w:t>
            </w:r>
            <w:r>
              <w:rPr>
                <w:rFonts w:hint="eastAsia" w:ascii="宋体" w:hAnsi="宋体" w:cs="宋体"/>
                <w:color w:val="auto"/>
                <w:kern w:val="0"/>
                <w:sz w:val="24"/>
                <w:szCs w:val="24"/>
                <w:highlight w:val="none"/>
                <w:lang w:eastAsia="zh-CN"/>
              </w:rPr>
              <w:t>。</w:t>
            </w:r>
          </w:p>
        </w:tc>
        <w:tc>
          <w:tcPr>
            <w:tcW w:w="1133" w:type="dxa"/>
            <w:tcBorders>
              <w:tl2br w:val="nil"/>
              <w:tr2bl w:val="nil"/>
            </w:tcBorders>
            <w:noWrap w:val="0"/>
            <w:vAlign w:val="center"/>
          </w:tcPr>
          <w:p w14:paraId="4E37760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3978448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违法生产经营的食品、食品添加剂货值金额</w:t>
            </w:r>
            <w:r>
              <w:rPr>
                <w:rFonts w:hint="default" w:ascii="宋体" w:hAnsi="宋体" w:cs="宋体"/>
                <w:color w:val="auto"/>
                <w:kern w:val="0"/>
                <w:sz w:val="24"/>
                <w:szCs w:val="24"/>
                <w:highlight w:val="none"/>
                <w:lang w:val="en"/>
              </w:rPr>
              <w:t>2000</w:t>
            </w:r>
            <w:r>
              <w:rPr>
                <w:rFonts w:hint="eastAsia" w:ascii="宋体" w:hAnsi="宋体" w:eastAsia="宋体" w:cs="宋体"/>
                <w:color w:val="auto"/>
                <w:kern w:val="0"/>
                <w:sz w:val="24"/>
                <w:szCs w:val="24"/>
                <w:highlight w:val="none"/>
              </w:rPr>
              <w:t>元以下的。</w:t>
            </w:r>
          </w:p>
        </w:tc>
        <w:tc>
          <w:tcPr>
            <w:tcW w:w="3267" w:type="dxa"/>
            <w:tcBorders>
              <w:tl2br w:val="nil"/>
              <w:tr2bl w:val="nil"/>
            </w:tcBorders>
            <w:noWrap w:val="0"/>
            <w:vAlign w:val="center"/>
          </w:tcPr>
          <w:p w14:paraId="7304FE0F">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没收违法所得和违法生产经营的食品、食品添加剂，并可以没收用于违法生产经营的工具、设备、原料等物品；并处</w:t>
            </w:r>
            <w:r>
              <w:rPr>
                <w:rFonts w:hint="eastAsia" w:ascii="宋体" w:hAnsi="宋体" w:cs="宋体"/>
                <w:color w:val="auto"/>
                <w:kern w:val="0"/>
                <w:sz w:val="24"/>
                <w:szCs w:val="24"/>
                <w:highlight w:val="none"/>
                <w:lang w:val="en-US" w:eastAsia="zh-CN"/>
              </w:rPr>
              <w:t>5000</w:t>
            </w:r>
            <w:r>
              <w:rPr>
                <w:rFonts w:hint="eastAsia" w:ascii="宋体" w:hAnsi="宋体" w:eastAsia="宋体" w:cs="宋体"/>
                <w:color w:val="auto"/>
                <w:kern w:val="0"/>
                <w:sz w:val="24"/>
                <w:szCs w:val="24"/>
                <w:highlight w:val="none"/>
              </w:rPr>
              <w:t>元以上1.85万元</w:t>
            </w:r>
            <w:r>
              <w:rPr>
                <w:rFonts w:hint="eastAsia" w:ascii="宋体" w:hAnsi="宋体" w:cs="宋体"/>
                <w:color w:val="auto"/>
                <w:kern w:val="0"/>
                <w:sz w:val="24"/>
                <w:szCs w:val="24"/>
                <w:highlight w:val="none"/>
                <w:lang w:eastAsia="zh-CN"/>
              </w:rPr>
              <w:t>以下</w:t>
            </w:r>
            <w:r>
              <w:rPr>
                <w:rFonts w:hint="eastAsia" w:ascii="宋体" w:hAnsi="宋体" w:eastAsia="宋体" w:cs="宋体"/>
                <w:color w:val="auto"/>
                <w:kern w:val="0"/>
                <w:sz w:val="24"/>
                <w:szCs w:val="24"/>
                <w:highlight w:val="none"/>
              </w:rPr>
              <w:t>罚款。</w:t>
            </w:r>
          </w:p>
        </w:tc>
      </w:tr>
      <w:tr w14:paraId="58F4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4" w:hRule="atLeast"/>
          <w:jc w:val="center"/>
        </w:trPr>
        <w:tc>
          <w:tcPr>
            <w:tcW w:w="787" w:type="dxa"/>
            <w:vMerge w:val="continue"/>
            <w:tcBorders>
              <w:tl2br w:val="nil"/>
              <w:tr2bl w:val="nil"/>
            </w:tcBorders>
            <w:noWrap w:val="0"/>
            <w:vAlign w:val="center"/>
          </w:tcPr>
          <w:p w14:paraId="786532B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D439A7A">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7573DA8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A938D1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14629C3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违法生产经营的食品、食品添加剂货值金额</w:t>
            </w:r>
            <w:r>
              <w:rPr>
                <w:rFonts w:hint="default" w:ascii="宋体" w:hAnsi="宋体" w:cs="宋体"/>
                <w:color w:val="auto"/>
                <w:kern w:val="0"/>
                <w:sz w:val="24"/>
                <w:szCs w:val="24"/>
                <w:highlight w:val="none"/>
                <w:lang w:val="en"/>
              </w:rPr>
              <w:t>2000</w:t>
            </w:r>
            <w:r>
              <w:rPr>
                <w:rFonts w:hint="eastAsia" w:ascii="宋体" w:hAnsi="宋体" w:eastAsia="宋体" w:cs="宋体"/>
                <w:color w:val="auto"/>
                <w:kern w:val="0"/>
                <w:sz w:val="24"/>
                <w:szCs w:val="24"/>
                <w:highlight w:val="none"/>
              </w:rPr>
              <w:t>元以上</w:t>
            </w:r>
            <w:r>
              <w:rPr>
                <w:rFonts w:hint="default" w:ascii="宋体" w:hAnsi="宋体" w:cs="宋体"/>
                <w:color w:val="auto"/>
                <w:kern w:val="0"/>
                <w:sz w:val="24"/>
                <w:szCs w:val="24"/>
                <w:highlight w:val="none"/>
                <w:lang w:val="en"/>
              </w:rPr>
              <w:t>5000</w:t>
            </w:r>
            <w:r>
              <w:rPr>
                <w:rFonts w:hint="eastAsia" w:ascii="宋体" w:hAnsi="宋体" w:eastAsia="宋体" w:cs="宋体"/>
                <w:color w:val="auto"/>
                <w:kern w:val="0"/>
                <w:sz w:val="24"/>
                <w:szCs w:val="24"/>
                <w:highlight w:val="none"/>
              </w:rPr>
              <w:t>元以下的。</w:t>
            </w:r>
          </w:p>
        </w:tc>
        <w:tc>
          <w:tcPr>
            <w:tcW w:w="3267" w:type="dxa"/>
            <w:tcBorders>
              <w:tl2br w:val="nil"/>
              <w:tr2bl w:val="nil"/>
            </w:tcBorders>
            <w:noWrap w:val="0"/>
            <w:vAlign w:val="center"/>
          </w:tcPr>
          <w:p w14:paraId="170DC073">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没收违法所得和违法生产经营的食品、食品添加剂，并可以没收用于违法生产经营的工具、设备、原料等物品；并处1.85万元以上3.65</w:t>
            </w:r>
            <w:r>
              <w:rPr>
                <w:rFonts w:hint="eastAsia" w:ascii="宋体" w:hAnsi="宋体" w:cs="宋体"/>
                <w:color w:val="auto"/>
                <w:kern w:val="0"/>
                <w:sz w:val="24"/>
                <w:szCs w:val="24"/>
                <w:highlight w:val="none"/>
                <w:lang w:eastAsia="zh-CN"/>
              </w:rPr>
              <w:t>万元</w:t>
            </w:r>
            <w:r>
              <w:rPr>
                <w:rFonts w:hint="eastAsia" w:ascii="宋体" w:hAnsi="宋体" w:eastAsia="宋体" w:cs="宋体"/>
                <w:color w:val="auto"/>
                <w:kern w:val="0"/>
                <w:sz w:val="24"/>
                <w:szCs w:val="24"/>
                <w:highlight w:val="none"/>
              </w:rPr>
              <w:t>以下罚款。</w:t>
            </w:r>
          </w:p>
        </w:tc>
      </w:tr>
      <w:tr w14:paraId="6C3C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continue"/>
            <w:tcBorders>
              <w:tl2br w:val="nil"/>
              <w:tr2bl w:val="nil"/>
            </w:tcBorders>
            <w:noWrap w:val="0"/>
            <w:vAlign w:val="center"/>
          </w:tcPr>
          <w:p w14:paraId="70DE197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C67521B">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394A8C7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9F507B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1A28200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违法生产经营的食品、食品添加剂货值金额</w:t>
            </w:r>
            <w:r>
              <w:rPr>
                <w:rFonts w:hint="default" w:ascii="宋体" w:hAnsi="宋体" w:cs="宋体"/>
                <w:color w:val="auto"/>
                <w:kern w:val="0"/>
                <w:sz w:val="24"/>
                <w:szCs w:val="24"/>
                <w:highlight w:val="none"/>
                <w:lang w:val="en"/>
              </w:rPr>
              <w:t>5000</w:t>
            </w:r>
            <w:r>
              <w:rPr>
                <w:rFonts w:hint="eastAsia" w:ascii="宋体" w:hAnsi="宋体" w:eastAsia="宋体" w:cs="宋体"/>
                <w:color w:val="auto"/>
                <w:kern w:val="0"/>
                <w:sz w:val="24"/>
                <w:szCs w:val="24"/>
                <w:highlight w:val="none"/>
              </w:rPr>
              <w:t>元以上</w:t>
            </w:r>
            <w:r>
              <w:rPr>
                <w:rFonts w:hint="default" w:ascii="宋体" w:hAnsi="宋体" w:cs="宋体"/>
                <w:color w:val="auto"/>
                <w:kern w:val="0"/>
                <w:sz w:val="24"/>
                <w:szCs w:val="24"/>
                <w:highlight w:val="none"/>
                <w:lang w:val="en"/>
              </w:rPr>
              <w:t>1</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574774F8">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没收违法所得和违法生产经营的食品、食品添加剂，并可以没收用于违法生产经营的工具、设备、原料等物品；并处3.65万元以上5万元以下罚款。</w:t>
            </w:r>
          </w:p>
        </w:tc>
      </w:tr>
      <w:tr w14:paraId="45573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787" w:type="dxa"/>
            <w:vMerge w:val="continue"/>
            <w:tcBorders>
              <w:tl2br w:val="nil"/>
              <w:tr2bl w:val="nil"/>
            </w:tcBorders>
            <w:noWrap w:val="0"/>
            <w:vAlign w:val="center"/>
          </w:tcPr>
          <w:p w14:paraId="4B3FAEC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76D2E68">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11ADF88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7196E18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严重</w:t>
            </w:r>
          </w:p>
        </w:tc>
        <w:tc>
          <w:tcPr>
            <w:tcW w:w="3316" w:type="dxa"/>
            <w:tcBorders>
              <w:tl2br w:val="nil"/>
              <w:tr2bl w:val="nil"/>
            </w:tcBorders>
            <w:noWrap w:val="0"/>
            <w:vAlign w:val="center"/>
          </w:tcPr>
          <w:p w14:paraId="5BE0A50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cs="宋体"/>
                <w:i w:val="0"/>
                <w:iCs w:val="0"/>
                <w:caps w:val="0"/>
                <w:color w:val="auto"/>
                <w:spacing w:val="0"/>
                <w:kern w:val="0"/>
                <w:sz w:val="24"/>
                <w:szCs w:val="24"/>
                <w:highlight w:val="none"/>
                <w:shd w:val="clear" w:color="auto" w:fill="auto"/>
                <w:lang w:val="en-US" w:eastAsia="zh-CN"/>
              </w:rPr>
              <w:t>符合</w:t>
            </w:r>
            <w:r>
              <w:rPr>
                <w:rFonts w:hint="eastAsia" w:ascii="宋体" w:hAnsi="宋体" w:eastAsia="宋体" w:cs="宋体"/>
                <w:b w:val="0"/>
                <w:bCs w:val="0"/>
                <w:color w:val="auto"/>
                <w:kern w:val="0"/>
                <w:sz w:val="24"/>
                <w:szCs w:val="24"/>
                <w:highlight w:val="none"/>
              </w:rPr>
              <w:t>《中华人民共和国食品安全法</w:t>
            </w:r>
            <w:r>
              <w:rPr>
                <w:rFonts w:hint="eastAsia" w:ascii="宋体" w:hAnsi="宋体" w:cs="宋体"/>
                <w:b w:val="0"/>
                <w:bCs w:val="0"/>
                <w:color w:val="auto"/>
                <w:kern w:val="0"/>
                <w:sz w:val="24"/>
                <w:szCs w:val="24"/>
                <w:highlight w:val="none"/>
                <w:lang w:val="en-US" w:eastAsia="zh-CN"/>
              </w:rPr>
              <w:t>实施条例</w:t>
            </w:r>
            <w:r>
              <w:rPr>
                <w:rFonts w:hint="eastAsia" w:ascii="宋体" w:hAnsi="宋体" w:eastAsia="宋体" w:cs="宋体"/>
                <w:b w:val="0"/>
                <w:bCs w:val="0"/>
                <w:color w:val="auto"/>
                <w:kern w:val="0"/>
                <w:sz w:val="24"/>
                <w:szCs w:val="24"/>
                <w:highlight w:val="none"/>
              </w:rPr>
              <w:t>》</w:t>
            </w:r>
            <w:r>
              <w:rPr>
                <w:rFonts w:hint="eastAsia" w:ascii="宋体" w:hAnsi="宋体" w:cs="宋体"/>
                <w:b w:val="0"/>
                <w:bCs w:val="0"/>
                <w:color w:val="auto"/>
                <w:kern w:val="0"/>
                <w:sz w:val="24"/>
                <w:szCs w:val="24"/>
                <w:highlight w:val="none"/>
                <w:lang w:val="en-US" w:eastAsia="zh-CN"/>
              </w:rPr>
              <w:t>第六十七条规定的情节严重的情形。</w:t>
            </w:r>
          </w:p>
        </w:tc>
        <w:tc>
          <w:tcPr>
            <w:tcW w:w="3267" w:type="dxa"/>
            <w:tcBorders>
              <w:tl2br w:val="nil"/>
              <w:tr2bl w:val="nil"/>
            </w:tcBorders>
            <w:noWrap w:val="0"/>
            <w:vAlign w:val="center"/>
          </w:tcPr>
          <w:p w14:paraId="2A9B808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责令停产停业，直至吊销许可证。</w:t>
            </w:r>
          </w:p>
        </w:tc>
      </w:tr>
      <w:tr w14:paraId="4119C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87" w:type="dxa"/>
            <w:vMerge w:val="restart"/>
            <w:tcBorders>
              <w:tl2br w:val="nil"/>
              <w:tr2bl w:val="nil"/>
            </w:tcBorders>
            <w:noWrap w:val="0"/>
            <w:vAlign w:val="center"/>
          </w:tcPr>
          <w:p w14:paraId="66FA82C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w:t>
            </w:r>
            <w:r>
              <w:rPr>
                <w:rFonts w:hint="eastAsia" w:ascii="宋体" w:hAnsi="宋体" w:cs="宋体"/>
                <w:b w:val="0"/>
                <w:bCs w:val="0"/>
                <w:color w:val="auto"/>
                <w:kern w:val="0"/>
                <w:sz w:val="24"/>
                <w:szCs w:val="24"/>
                <w:highlight w:val="none"/>
                <w:lang w:val="en-US" w:eastAsia="zh-CN"/>
              </w:rPr>
              <w:t>42</w:t>
            </w:r>
          </w:p>
        </w:tc>
        <w:tc>
          <w:tcPr>
            <w:tcW w:w="1718" w:type="dxa"/>
            <w:vMerge w:val="restart"/>
            <w:tcBorders>
              <w:tl2br w:val="nil"/>
              <w:tr2bl w:val="nil"/>
            </w:tcBorders>
            <w:noWrap w:val="0"/>
            <w:vAlign w:val="center"/>
          </w:tcPr>
          <w:p w14:paraId="0DEEFCA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《中华人民共和国食品安全法》</w:t>
            </w:r>
          </w:p>
        </w:tc>
        <w:tc>
          <w:tcPr>
            <w:tcW w:w="4132" w:type="dxa"/>
            <w:vMerge w:val="restart"/>
            <w:tcBorders>
              <w:tl2br w:val="nil"/>
              <w:tr2bl w:val="nil"/>
            </w:tcBorders>
            <w:noWrap w:val="0"/>
            <w:vAlign w:val="center"/>
          </w:tcPr>
          <w:p w14:paraId="7D204C3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第一百二十五条第一款</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货值金额一万元以上的，并处货值金额五倍以上十倍以下罚款；情节严重的，责令停产停业，直至吊销许可证。</w:t>
            </w:r>
          </w:p>
        </w:tc>
        <w:tc>
          <w:tcPr>
            <w:tcW w:w="1133" w:type="dxa"/>
            <w:tcBorders>
              <w:tl2br w:val="nil"/>
              <w:tr2bl w:val="nil"/>
            </w:tcBorders>
            <w:noWrap w:val="0"/>
            <w:vAlign w:val="center"/>
          </w:tcPr>
          <w:p w14:paraId="0F58922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750467C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违法生产经营的食品、食品添加剂货值金额</w:t>
            </w:r>
            <w:r>
              <w:rPr>
                <w:rFonts w:hint="default" w:ascii="宋体" w:hAnsi="宋体" w:cs="宋体"/>
                <w:color w:val="auto"/>
                <w:kern w:val="0"/>
                <w:sz w:val="24"/>
                <w:szCs w:val="24"/>
                <w:highlight w:val="none"/>
                <w:lang w:val="en"/>
              </w:rPr>
              <w:t>1</w:t>
            </w:r>
            <w:r>
              <w:rPr>
                <w:rFonts w:hint="eastAsia" w:ascii="宋体" w:hAnsi="宋体" w:eastAsia="宋体" w:cs="宋体"/>
                <w:color w:val="auto"/>
                <w:kern w:val="0"/>
                <w:sz w:val="24"/>
                <w:szCs w:val="24"/>
                <w:highlight w:val="none"/>
              </w:rPr>
              <w:t>万元以上</w:t>
            </w:r>
            <w:r>
              <w:rPr>
                <w:rFonts w:hint="eastAsia" w:ascii="宋体" w:hAnsi="宋体" w:cs="宋体"/>
                <w:color w:val="auto"/>
                <w:kern w:val="0"/>
                <w:sz w:val="24"/>
                <w:szCs w:val="24"/>
                <w:highlight w:val="none"/>
                <w:lang w:val="en-US" w:eastAsia="zh-CN"/>
              </w:rPr>
              <w:t>1.3</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02089239">
            <w:pPr>
              <w:keepNext w:val="0"/>
              <w:keepLines w:val="0"/>
              <w:pageBreakBefore w:val="0"/>
              <w:widowControl/>
              <w:kinsoku/>
              <w:wordWrap/>
              <w:overflowPunct/>
              <w:topLinePunct w:val="0"/>
              <w:autoSpaceDE/>
              <w:autoSpaceDN/>
              <w:bidi w:val="0"/>
              <w:adjustRightInd/>
              <w:snapToGrid/>
              <w:spacing w:before="60" w:beforeLines="10" w:beforeAutospacing="0" w:after="60" w:afterLines="10" w:afterAutospacing="0" w:line="38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没收违法所得和违法生产经营的食品、食品添加剂，并可以没收用于违法生产经营的工具、设备、原料等物品；并处货值金额</w:t>
            </w: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倍以上</w:t>
            </w:r>
            <w:r>
              <w:rPr>
                <w:rFonts w:hint="eastAsia" w:ascii="宋体" w:hAnsi="宋体" w:cs="宋体"/>
                <w:color w:val="auto"/>
                <w:kern w:val="0"/>
                <w:sz w:val="24"/>
                <w:szCs w:val="24"/>
                <w:highlight w:val="none"/>
                <w:lang w:val="en-US" w:eastAsia="zh-CN"/>
              </w:rPr>
              <w:t>6.5</w:t>
            </w:r>
            <w:r>
              <w:rPr>
                <w:rFonts w:hint="eastAsia" w:ascii="宋体" w:hAnsi="宋体" w:eastAsia="宋体" w:cs="宋体"/>
                <w:color w:val="auto"/>
                <w:kern w:val="0"/>
                <w:sz w:val="24"/>
                <w:szCs w:val="24"/>
                <w:highlight w:val="none"/>
              </w:rPr>
              <w:t>倍以下罚款。</w:t>
            </w:r>
          </w:p>
        </w:tc>
      </w:tr>
      <w:tr w14:paraId="1E2F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87" w:type="dxa"/>
            <w:vMerge w:val="continue"/>
            <w:tcBorders>
              <w:tl2br w:val="nil"/>
              <w:tr2bl w:val="nil"/>
            </w:tcBorders>
            <w:noWrap w:val="0"/>
            <w:vAlign w:val="center"/>
          </w:tcPr>
          <w:p w14:paraId="69C77ED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BD0E60C">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5135022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3D4438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3A7D8D6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违法生产经营的食品、食品添加剂货值金额</w:t>
            </w:r>
            <w:r>
              <w:rPr>
                <w:rFonts w:hint="eastAsia" w:ascii="宋体" w:hAnsi="宋体" w:cs="宋体"/>
                <w:color w:val="auto"/>
                <w:kern w:val="0"/>
                <w:sz w:val="24"/>
                <w:szCs w:val="24"/>
                <w:highlight w:val="none"/>
                <w:lang w:val="en-US" w:eastAsia="zh-CN"/>
              </w:rPr>
              <w:t>1.3</w:t>
            </w:r>
            <w:r>
              <w:rPr>
                <w:rFonts w:hint="eastAsia" w:ascii="宋体" w:hAnsi="宋体" w:eastAsia="宋体" w:cs="宋体"/>
                <w:color w:val="auto"/>
                <w:kern w:val="0"/>
                <w:sz w:val="24"/>
                <w:szCs w:val="24"/>
                <w:highlight w:val="none"/>
              </w:rPr>
              <w:t>万元以上</w:t>
            </w:r>
            <w:r>
              <w:rPr>
                <w:rFonts w:hint="eastAsia" w:ascii="宋体" w:hAnsi="宋体" w:cs="宋体"/>
                <w:color w:val="auto"/>
                <w:kern w:val="0"/>
                <w:sz w:val="24"/>
                <w:szCs w:val="24"/>
                <w:highlight w:val="none"/>
                <w:lang w:val="en-US" w:eastAsia="zh-CN"/>
              </w:rPr>
              <w:t>1.7</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13093C87">
            <w:pPr>
              <w:keepNext w:val="0"/>
              <w:keepLines w:val="0"/>
              <w:pageBreakBefore w:val="0"/>
              <w:widowControl/>
              <w:kinsoku/>
              <w:wordWrap/>
              <w:overflowPunct/>
              <w:topLinePunct w:val="0"/>
              <w:autoSpaceDE/>
              <w:autoSpaceDN/>
              <w:bidi w:val="0"/>
              <w:adjustRightInd/>
              <w:snapToGrid/>
              <w:spacing w:before="60" w:beforeLines="10" w:beforeAutospacing="0" w:after="60" w:afterLines="10" w:afterAutospacing="0" w:line="38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没收违法所得和违法生产经营的食品、食品添加剂，并可以没收用于违法生产经营的工具、设备、原料等物品；并处货值金额</w:t>
            </w:r>
            <w:r>
              <w:rPr>
                <w:rFonts w:hint="eastAsia" w:ascii="宋体" w:hAnsi="宋体" w:cs="宋体"/>
                <w:color w:val="auto"/>
                <w:kern w:val="0"/>
                <w:sz w:val="24"/>
                <w:szCs w:val="24"/>
                <w:highlight w:val="none"/>
                <w:lang w:val="en-US" w:eastAsia="zh-CN"/>
              </w:rPr>
              <w:t>6.5</w:t>
            </w:r>
            <w:r>
              <w:rPr>
                <w:rFonts w:hint="eastAsia" w:ascii="宋体" w:hAnsi="宋体" w:eastAsia="宋体" w:cs="宋体"/>
                <w:color w:val="auto"/>
                <w:kern w:val="0"/>
                <w:sz w:val="24"/>
                <w:szCs w:val="24"/>
                <w:highlight w:val="none"/>
              </w:rPr>
              <w:t>倍以上</w:t>
            </w:r>
            <w:r>
              <w:rPr>
                <w:rFonts w:hint="eastAsia" w:ascii="宋体" w:hAnsi="宋体" w:cs="宋体"/>
                <w:color w:val="auto"/>
                <w:kern w:val="0"/>
                <w:sz w:val="24"/>
                <w:szCs w:val="24"/>
                <w:highlight w:val="none"/>
                <w:lang w:val="en-US" w:eastAsia="zh-CN"/>
              </w:rPr>
              <w:t>8.5</w:t>
            </w:r>
            <w:r>
              <w:rPr>
                <w:rFonts w:hint="eastAsia" w:ascii="宋体" w:hAnsi="宋体" w:eastAsia="宋体" w:cs="宋体"/>
                <w:color w:val="auto"/>
                <w:kern w:val="0"/>
                <w:sz w:val="24"/>
                <w:szCs w:val="24"/>
                <w:highlight w:val="none"/>
              </w:rPr>
              <w:t>倍以下罚款。</w:t>
            </w:r>
          </w:p>
        </w:tc>
      </w:tr>
      <w:tr w14:paraId="5F7BF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87" w:type="dxa"/>
            <w:vMerge w:val="continue"/>
            <w:tcBorders>
              <w:tl2br w:val="nil"/>
              <w:tr2bl w:val="nil"/>
            </w:tcBorders>
            <w:noWrap w:val="0"/>
            <w:vAlign w:val="center"/>
          </w:tcPr>
          <w:p w14:paraId="6B8E2FC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04378E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2F9D220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F71691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77D08AE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违法生产经营的食品、食品添加剂货值金额</w:t>
            </w:r>
            <w:r>
              <w:rPr>
                <w:rFonts w:hint="eastAsia" w:ascii="宋体" w:hAnsi="宋体" w:cs="宋体"/>
                <w:color w:val="auto"/>
                <w:kern w:val="0"/>
                <w:sz w:val="24"/>
                <w:szCs w:val="24"/>
                <w:highlight w:val="none"/>
                <w:lang w:val="en-US" w:eastAsia="zh-CN"/>
              </w:rPr>
              <w:t>1.7</w:t>
            </w:r>
            <w:r>
              <w:rPr>
                <w:rFonts w:hint="eastAsia" w:ascii="宋体" w:hAnsi="宋体" w:eastAsia="宋体" w:cs="宋体"/>
                <w:color w:val="auto"/>
                <w:kern w:val="0"/>
                <w:sz w:val="24"/>
                <w:szCs w:val="24"/>
                <w:highlight w:val="none"/>
              </w:rPr>
              <w:t>万元以上</w:t>
            </w:r>
            <w:r>
              <w:rPr>
                <w:rFonts w:hint="eastAsia" w:ascii="宋体" w:hAnsi="宋体" w:cs="宋体"/>
                <w:color w:val="auto"/>
                <w:kern w:val="0"/>
                <w:sz w:val="24"/>
                <w:szCs w:val="24"/>
                <w:highlight w:val="none"/>
                <w:lang w:val="en-US" w:eastAsia="zh-CN"/>
              </w:rPr>
              <w:t>2万元以下</w:t>
            </w:r>
            <w:r>
              <w:rPr>
                <w:rFonts w:hint="eastAsia" w:ascii="宋体" w:hAnsi="宋体" w:eastAsia="宋体" w:cs="宋体"/>
                <w:color w:val="auto"/>
                <w:kern w:val="0"/>
                <w:sz w:val="24"/>
                <w:szCs w:val="24"/>
                <w:highlight w:val="none"/>
              </w:rPr>
              <w:t>的。</w:t>
            </w:r>
          </w:p>
        </w:tc>
        <w:tc>
          <w:tcPr>
            <w:tcW w:w="3267" w:type="dxa"/>
            <w:tcBorders>
              <w:tl2br w:val="nil"/>
              <w:tr2bl w:val="nil"/>
            </w:tcBorders>
            <w:noWrap w:val="0"/>
            <w:vAlign w:val="center"/>
          </w:tcPr>
          <w:p w14:paraId="224269FA">
            <w:pPr>
              <w:keepNext w:val="0"/>
              <w:keepLines w:val="0"/>
              <w:pageBreakBefore w:val="0"/>
              <w:widowControl/>
              <w:kinsoku/>
              <w:wordWrap/>
              <w:overflowPunct/>
              <w:topLinePunct w:val="0"/>
              <w:autoSpaceDE/>
              <w:autoSpaceDN/>
              <w:bidi w:val="0"/>
              <w:adjustRightInd/>
              <w:snapToGrid/>
              <w:spacing w:before="60" w:beforeLines="10" w:beforeAutospacing="0" w:after="60" w:afterLines="10" w:afterAutospacing="0" w:line="38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没收违法所得和违法生产经营的食品、食品添加剂，并可以没收用于违法生产经营的工具、设备、原料等物品；并处货值金额</w:t>
            </w:r>
            <w:r>
              <w:rPr>
                <w:rFonts w:hint="eastAsia" w:ascii="宋体" w:hAnsi="宋体" w:cs="宋体"/>
                <w:color w:val="auto"/>
                <w:kern w:val="0"/>
                <w:sz w:val="24"/>
                <w:szCs w:val="24"/>
                <w:highlight w:val="none"/>
                <w:lang w:val="en-US" w:eastAsia="zh-CN"/>
              </w:rPr>
              <w:t>8.5</w:t>
            </w:r>
            <w:r>
              <w:rPr>
                <w:rFonts w:hint="eastAsia" w:ascii="宋体" w:hAnsi="宋体" w:eastAsia="宋体" w:cs="宋体"/>
                <w:color w:val="auto"/>
                <w:kern w:val="0"/>
                <w:sz w:val="24"/>
                <w:szCs w:val="24"/>
                <w:highlight w:val="none"/>
              </w:rPr>
              <w:t>倍</w:t>
            </w:r>
            <w:r>
              <w:rPr>
                <w:rFonts w:hint="eastAsia" w:ascii="宋体" w:hAnsi="宋体" w:cs="宋体"/>
                <w:color w:val="auto"/>
                <w:kern w:val="0"/>
                <w:sz w:val="24"/>
                <w:szCs w:val="24"/>
                <w:highlight w:val="none"/>
                <w:lang w:val="en-US" w:eastAsia="zh-CN"/>
              </w:rPr>
              <w:t>以上10倍以下</w:t>
            </w:r>
            <w:r>
              <w:rPr>
                <w:rFonts w:hint="eastAsia" w:ascii="宋体" w:hAnsi="宋体" w:eastAsia="宋体" w:cs="宋体"/>
                <w:color w:val="auto"/>
                <w:kern w:val="0"/>
                <w:sz w:val="24"/>
                <w:szCs w:val="24"/>
                <w:highlight w:val="none"/>
              </w:rPr>
              <w:t>罚款。</w:t>
            </w:r>
          </w:p>
        </w:tc>
      </w:tr>
      <w:tr w14:paraId="517C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787" w:type="dxa"/>
            <w:vMerge w:val="continue"/>
            <w:tcBorders>
              <w:tl2br w:val="nil"/>
              <w:tr2bl w:val="nil"/>
            </w:tcBorders>
            <w:noWrap w:val="0"/>
            <w:vAlign w:val="center"/>
          </w:tcPr>
          <w:p w14:paraId="7048983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E36F8BC">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1CA13B4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9B561E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严重</w:t>
            </w:r>
          </w:p>
        </w:tc>
        <w:tc>
          <w:tcPr>
            <w:tcW w:w="3316" w:type="dxa"/>
            <w:tcBorders>
              <w:tl2br w:val="nil"/>
              <w:tr2bl w:val="nil"/>
            </w:tcBorders>
            <w:noWrap w:val="0"/>
            <w:vAlign w:val="center"/>
          </w:tcPr>
          <w:p w14:paraId="2E3877C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cs="宋体"/>
                <w:i w:val="0"/>
                <w:iCs w:val="0"/>
                <w:caps w:val="0"/>
                <w:color w:val="auto"/>
                <w:spacing w:val="0"/>
                <w:kern w:val="0"/>
                <w:sz w:val="24"/>
                <w:szCs w:val="24"/>
                <w:highlight w:val="none"/>
                <w:shd w:val="clear" w:color="auto" w:fill="auto"/>
                <w:lang w:val="en-US" w:eastAsia="zh-CN"/>
              </w:rPr>
              <w:t>符合</w:t>
            </w:r>
            <w:r>
              <w:rPr>
                <w:rFonts w:hint="eastAsia" w:ascii="宋体" w:hAnsi="宋体" w:eastAsia="宋体" w:cs="宋体"/>
                <w:b w:val="0"/>
                <w:bCs w:val="0"/>
                <w:color w:val="auto"/>
                <w:kern w:val="0"/>
                <w:sz w:val="24"/>
                <w:szCs w:val="24"/>
                <w:highlight w:val="none"/>
              </w:rPr>
              <w:t>《中华人民共和国食品安全法</w:t>
            </w:r>
            <w:r>
              <w:rPr>
                <w:rFonts w:hint="eastAsia" w:ascii="宋体" w:hAnsi="宋体" w:cs="宋体"/>
                <w:b w:val="0"/>
                <w:bCs w:val="0"/>
                <w:color w:val="auto"/>
                <w:kern w:val="0"/>
                <w:sz w:val="24"/>
                <w:szCs w:val="24"/>
                <w:highlight w:val="none"/>
                <w:lang w:val="en-US" w:eastAsia="zh-CN"/>
              </w:rPr>
              <w:t>实施条例</w:t>
            </w:r>
            <w:r>
              <w:rPr>
                <w:rFonts w:hint="eastAsia" w:ascii="宋体" w:hAnsi="宋体" w:eastAsia="宋体" w:cs="宋体"/>
                <w:b w:val="0"/>
                <w:bCs w:val="0"/>
                <w:color w:val="auto"/>
                <w:kern w:val="0"/>
                <w:sz w:val="24"/>
                <w:szCs w:val="24"/>
                <w:highlight w:val="none"/>
              </w:rPr>
              <w:t>》</w:t>
            </w:r>
            <w:r>
              <w:rPr>
                <w:rFonts w:hint="eastAsia" w:ascii="宋体" w:hAnsi="宋体" w:cs="宋体"/>
                <w:b w:val="0"/>
                <w:bCs w:val="0"/>
                <w:color w:val="auto"/>
                <w:kern w:val="0"/>
                <w:sz w:val="24"/>
                <w:szCs w:val="24"/>
                <w:highlight w:val="none"/>
                <w:lang w:val="en-US" w:eastAsia="zh-CN"/>
              </w:rPr>
              <w:t>第六十七条规定的情节严重的情形。</w:t>
            </w:r>
          </w:p>
        </w:tc>
        <w:tc>
          <w:tcPr>
            <w:tcW w:w="3267" w:type="dxa"/>
            <w:tcBorders>
              <w:tl2br w:val="nil"/>
              <w:tr2bl w:val="nil"/>
            </w:tcBorders>
            <w:noWrap w:val="0"/>
            <w:vAlign w:val="center"/>
          </w:tcPr>
          <w:p w14:paraId="7DC276A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责令停产停业，直至吊销许可证。</w:t>
            </w:r>
          </w:p>
        </w:tc>
      </w:tr>
      <w:tr w14:paraId="37A3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87" w:type="dxa"/>
            <w:vMerge w:val="restart"/>
            <w:tcBorders>
              <w:tl2br w:val="nil"/>
              <w:tr2bl w:val="nil"/>
            </w:tcBorders>
            <w:noWrap w:val="0"/>
            <w:vAlign w:val="center"/>
          </w:tcPr>
          <w:p w14:paraId="21FEA88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43</w:t>
            </w:r>
          </w:p>
        </w:tc>
        <w:tc>
          <w:tcPr>
            <w:tcW w:w="1718" w:type="dxa"/>
            <w:vMerge w:val="restart"/>
            <w:tcBorders>
              <w:tl2br w:val="nil"/>
              <w:tr2bl w:val="nil"/>
            </w:tcBorders>
            <w:noWrap w:val="0"/>
            <w:vAlign w:val="center"/>
          </w:tcPr>
          <w:p w14:paraId="4039F81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《中华人民共和国食品安全法》</w:t>
            </w:r>
          </w:p>
        </w:tc>
        <w:tc>
          <w:tcPr>
            <w:tcW w:w="4132" w:type="dxa"/>
            <w:vMerge w:val="restart"/>
            <w:tcBorders>
              <w:tl2br w:val="nil"/>
              <w:tr2bl w:val="nil"/>
            </w:tcBorders>
            <w:noWrap w:val="0"/>
            <w:vAlign w:val="center"/>
          </w:tcPr>
          <w:p w14:paraId="38FB7B7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第一百二十五条第二款</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生产经营的食品、食品添加剂的标签、说明书存在瑕疵但不影响食品安全且不会对消费者造成误导的，由县级以上人民政府食品安全监督管理部门责令改正；拒不改正的，处二千元以下罚款。</w:t>
            </w:r>
          </w:p>
        </w:tc>
        <w:tc>
          <w:tcPr>
            <w:tcW w:w="1133" w:type="dxa"/>
            <w:vMerge w:val="restart"/>
            <w:tcBorders>
              <w:tl2br w:val="nil"/>
              <w:tr2bl w:val="nil"/>
            </w:tcBorders>
            <w:noWrap w:val="0"/>
            <w:vAlign w:val="center"/>
          </w:tcPr>
          <w:p w14:paraId="44EF4031">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vMerge w:val="restart"/>
            <w:tcBorders>
              <w:tl2br w:val="nil"/>
              <w:tr2bl w:val="nil"/>
            </w:tcBorders>
            <w:noWrap w:val="0"/>
            <w:vAlign w:val="center"/>
          </w:tcPr>
          <w:p w14:paraId="067C6B2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vMerge w:val="restart"/>
            <w:tcBorders>
              <w:tl2br w:val="nil"/>
              <w:tr2bl w:val="nil"/>
            </w:tcBorders>
            <w:noWrap w:val="0"/>
            <w:vAlign w:val="center"/>
          </w:tcPr>
          <w:p w14:paraId="01641A6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处600元以下罚款。</w:t>
            </w:r>
          </w:p>
        </w:tc>
      </w:tr>
      <w:tr w14:paraId="4D3DF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87" w:type="dxa"/>
            <w:vMerge w:val="continue"/>
            <w:tcBorders>
              <w:tl2br w:val="nil"/>
              <w:tr2bl w:val="nil"/>
            </w:tcBorders>
            <w:noWrap w:val="0"/>
            <w:vAlign w:val="center"/>
          </w:tcPr>
          <w:p w14:paraId="280476B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184B1CD">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6777C41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vMerge w:val="continue"/>
            <w:tcBorders>
              <w:tl2br w:val="nil"/>
              <w:tr2bl w:val="nil"/>
            </w:tcBorders>
            <w:noWrap w:val="0"/>
            <w:vAlign w:val="center"/>
          </w:tcPr>
          <w:p w14:paraId="1662AD18">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left"/>
              <w:textAlignment w:val="auto"/>
              <w:rPr>
                <w:rFonts w:hint="eastAsia" w:ascii="宋体" w:hAnsi="宋体" w:eastAsia="宋体" w:cs="宋体"/>
                <w:color w:val="auto"/>
                <w:kern w:val="0"/>
                <w:sz w:val="24"/>
                <w:szCs w:val="24"/>
                <w:highlight w:val="none"/>
              </w:rPr>
            </w:pPr>
          </w:p>
        </w:tc>
        <w:tc>
          <w:tcPr>
            <w:tcW w:w="3316" w:type="dxa"/>
            <w:vMerge w:val="continue"/>
            <w:tcBorders>
              <w:tl2br w:val="nil"/>
              <w:tr2bl w:val="nil"/>
            </w:tcBorders>
            <w:noWrap w:val="0"/>
            <w:vAlign w:val="center"/>
          </w:tcPr>
          <w:p w14:paraId="619C0E1C">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p>
        </w:tc>
        <w:tc>
          <w:tcPr>
            <w:tcW w:w="3267" w:type="dxa"/>
            <w:vMerge w:val="continue"/>
            <w:tcBorders>
              <w:tl2br w:val="nil"/>
              <w:tr2bl w:val="nil"/>
            </w:tcBorders>
            <w:noWrap w:val="0"/>
            <w:vAlign w:val="center"/>
          </w:tcPr>
          <w:p w14:paraId="5787B03C">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p>
        </w:tc>
      </w:tr>
      <w:tr w14:paraId="7996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787" w:type="dxa"/>
            <w:vMerge w:val="continue"/>
            <w:tcBorders>
              <w:tl2br w:val="nil"/>
              <w:tr2bl w:val="nil"/>
            </w:tcBorders>
            <w:noWrap w:val="0"/>
            <w:vAlign w:val="center"/>
          </w:tcPr>
          <w:p w14:paraId="4910686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1F5544D">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2E78BD8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10F7DA43">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397FFF9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eastAsia="zh-CN"/>
              </w:rPr>
              <w:t>造成一定不良影响的</w:t>
            </w:r>
            <w:r>
              <w:rPr>
                <w:rFonts w:hint="eastAsia" w:ascii="宋体" w:hAnsi="宋体" w:eastAsia="宋体" w:cs="宋体"/>
                <w:color w:val="auto"/>
                <w:kern w:val="0"/>
                <w:sz w:val="24"/>
                <w:szCs w:val="24"/>
                <w:highlight w:val="none"/>
              </w:rPr>
              <w:t>。</w:t>
            </w:r>
          </w:p>
        </w:tc>
        <w:tc>
          <w:tcPr>
            <w:tcW w:w="3267" w:type="dxa"/>
            <w:tcBorders>
              <w:tl2br w:val="nil"/>
              <w:tr2bl w:val="nil"/>
            </w:tcBorders>
            <w:noWrap w:val="0"/>
            <w:vAlign w:val="center"/>
          </w:tcPr>
          <w:p w14:paraId="4A41C57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处600元以上1400元以下罚款。</w:t>
            </w:r>
          </w:p>
        </w:tc>
      </w:tr>
      <w:tr w14:paraId="1BD9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787" w:type="dxa"/>
            <w:vMerge w:val="continue"/>
            <w:tcBorders>
              <w:tl2br w:val="nil"/>
              <w:tr2bl w:val="nil"/>
            </w:tcBorders>
            <w:noWrap w:val="0"/>
            <w:vAlign w:val="center"/>
          </w:tcPr>
          <w:p w14:paraId="7A68C84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1CE8B60">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5AC6BAF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1DC60BF5">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2FB02A8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已经造成不良影响或者违法行为持续时间较长的。</w:t>
            </w:r>
          </w:p>
        </w:tc>
        <w:tc>
          <w:tcPr>
            <w:tcW w:w="3267" w:type="dxa"/>
            <w:tcBorders>
              <w:tl2br w:val="nil"/>
              <w:tr2bl w:val="nil"/>
            </w:tcBorders>
            <w:noWrap w:val="0"/>
            <w:vAlign w:val="center"/>
          </w:tcPr>
          <w:p w14:paraId="7044DD0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处1400元以上2000</w:t>
            </w:r>
            <w:r>
              <w:rPr>
                <w:rFonts w:hint="eastAsia" w:ascii="宋体" w:hAnsi="宋体" w:eastAsia="宋体" w:cs="宋体"/>
                <w:color w:val="auto"/>
                <w:kern w:val="0"/>
                <w:sz w:val="24"/>
                <w:szCs w:val="24"/>
                <w:highlight w:val="none"/>
                <w:lang w:eastAsia="zh-CN"/>
              </w:rPr>
              <w:t>元</w:t>
            </w:r>
            <w:r>
              <w:rPr>
                <w:rFonts w:hint="eastAsia" w:ascii="宋体" w:hAnsi="宋体" w:eastAsia="宋体" w:cs="宋体"/>
                <w:color w:val="auto"/>
                <w:kern w:val="0"/>
                <w:sz w:val="24"/>
                <w:szCs w:val="24"/>
                <w:highlight w:val="none"/>
              </w:rPr>
              <w:t>以下罚款。</w:t>
            </w:r>
          </w:p>
        </w:tc>
      </w:tr>
      <w:tr w14:paraId="3EABE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787" w:type="dxa"/>
            <w:vMerge w:val="restart"/>
            <w:tcBorders>
              <w:tl2br w:val="nil"/>
              <w:tr2bl w:val="nil"/>
            </w:tcBorders>
            <w:noWrap w:val="0"/>
            <w:vAlign w:val="center"/>
          </w:tcPr>
          <w:p w14:paraId="3B9BB8A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44</w:t>
            </w:r>
          </w:p>
        </w:tc>
        <w:tc>
          <w:tcPr>
            <w:tcW w:w="1718" w:type="dxa"/>
            <w:vMerge w:val="restart"/>
            <w:tcBorders>
              <w:tl2br w:val="nil"/>
              <w:tr2bl w:val="nil"/>
            </w:tcBorders>
            <w:noWrap w:val="0"/>
            <w:vAlign w:val="center"/>
          </w:tcPr>
          <w:p w14:paraId="73E1B9AC">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《中华人民共和国食品安全法》</w:t>
            </w:r>
          </w:p>
        </w:tc>
        <w:tc>
          <w:tcPr>
            <w:tcW w:w="4132" w:type="dxa"/>
            <w:vMerge w:val="restart"/>
            <w:tcBorders>
              <w:tl2br w:val="nil"/>
              <w:tr2bl w:val="nil"/>
            </w:tcBorders>
            <w:noWrap w:val="0"/>
            <w:vAlign w:val="center"/>
          </w:tcPr>
          <w:p w14:paraId="1F1D09B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第一百二十六条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违反本法规定，有下列情形之一的，由县级以上人民政府食品安全监督管理部门责令改正，给予警告；拒不改正的，处五千元以上五万元以下罚款；情节严重的，责令停产停业，直至吊销许可证。</w:t>
            </w:r>
          </w:p>
        </w:tc>
        <w:tc>
          <w:tcPr>
            <w:tcW w:w="1133" w:type="dxa"/>
            <w:tcBorders>
              <w:tl2br w:val="nil"/>
              <w:tr2bl w:val="nil"/>
            </w:tcBorders>
            <w:noWrap w:val="0"/>
            <w:vAlign w:val="center"/>
          </w:tcPr>
          <w:p w14:paraId="26F5EE71">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41FA9A4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责令改正期限已满整改未完成</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但尚未造成不良影响的。</w:t>
            </w:r>
          </w:p>
        </w:tc>
        <w:tc>
          <w:tcPr>
            <w:tcW w:w="3267" w:type="dxa"/>
            <w:tcBorders>
              <w:tl2br w:val="nil"/>
              <w:tr2bl w:val="nil"/>
            </w:tcBorders>
            <w:noWrap w:val="0"/>
            <w:vAlign w:val="center"/>
          </w:tcPr>
          <w:p w14:paraId="25A3B7A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处</w:t>
            </w:r>
            <w:r>
              <w:rPr>
                <w:rFonts w:hint="eastAsia" w:ascii="宋体" w:hAnsi="宋体" w:cs="宋体"/>
                <w:color w:val="auto"/>
                <w:kern w:val="0"/>
                <w:sz w:val="24"/>
                <w:szCs w:val="24"/>
                <w:highlight w:val="none"/>
                <w:lang w:val="en-US" w:eastAsia="zh-CN"/>
              </w:rPr>
              <w:t>5000</w:t>
            </w:r>
            <w:r>
              <w:rPr>
                <w:rFonts w:hint="eastAsia" w:ascii="宋体" w:hAnsi="宋体" w:eastAsia="宋体" w:cs="宋体"/>
                <w:color w:val="auto"/>
                <w:kern w:val="0"/>
                <w:sz w:val="24"/>
                <w:szCs w:val="24"/>
                <w:highlight w:val="none"/>
              </w:rPr>
              <w:t>元以上1.85万元以下罚款。</w:t>
            </w:r>
          </w:p>
        </w:tc>
      </w:tr>
      <w:tr w14:paraId="3748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787" w:type="dxa"/>
            <w:vMerge w:val="continue"/>
            <w:tcBorders>
              <w:tl2br w:val="nil"/>
              <w:tr2bl w:val="nil"/>
            </w:tcBorders>
            <w:noWrap w:val="0"/>
            <w:vAlign w:val="center"/>
          </w:tcPr>
          <w:p w14:paraId="00E4F7B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9FB43D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52DBA18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1D0DCA0F">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1CFBF23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责令改正期限已满尚未开始进行整改</w:t>
            </w:r>
            <w:r>
              <w:rPr>
                <w:rFonts w:hint="eastAsia" w:ascii="宋体" w:hAnsi="宋体" w:eastAsia="宋体" w:cs="宋体"/>
                <w:color w:val="auto"/>
                <w:kern w:val="0"/>
                <w:sz w:val="24"/>
                <w:szCs w:val="24"/>
                <w:highlight w:val="none"/>
                <w:lang w:eastAsia="zh-CN"/>
              </w:rPr>
              <w:t>，造成一定不良影响的。</w:t>
            </w:r>
          </w:p>
        </w:tc>
        <w:tc>
          <w:tcPr>
            <w:tcW w:w="3267" w:type="dxa"/>
            <w:tcBorders>
              <w:tl2br w:val="nil"/>
              <w:tr2bl w:val="nil"/>
            </w:tcBorders>
            <w:noWrap w:val="0"/>
            <w:vAlign w:val="center"/>
          </w:tcPr>
          <w:p w14:paraId="7DF6A39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处1.85万元以上3.65万元以下罚款。</w:t>
            </w:r>
          </w:p>
        </w:tc>
      </w:tr>
      <w:tr w14:paraId="3AB2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exact"/>
          <w:jc w:val="center"/>
        </w:trPr>
        <w:tc>
          <w:tcPr>
            <w:tcW w:w="787" w:type="dxa"/>
            <w:vMerge w:val="continue"/>
            <w:tcBorders>
              <w:tl2br w:val="nil"/>
              <w:tr2bl w:val="nil"/>
            </w:tcBorders>
            <w:noWrap w:val="0"/>
            <w:vAlign w:val="center"/>
          </w:tcPr>
          <w:p w14:paraId="003BFAF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0C969B8">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5F86495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17E41252">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3B214FA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eastAsia="zh-CN"/>
              </w:rPr>
              <w:t>拒不改正，</w:t>
            </w:r>
            <w:r>
              <w:rPr>
                <w:rFonts w:hint="eastAsia" w:ascii="宋体" w:hAnsi="宋体" w:cs="宋体"/>
                <w:color w:val="auto"/>
                <w:kern w:val="0"/>
                <w:sz w:val="24"/>
                <w:szCs w:val="24"/>
                <w:highlight w:val="none"/>
                <w:lang w:eastAsia="zh-CN"/>
              </w:rPr>
              <w:t>且</w:t>
            </w:r>
            <w:r>
              <w:rPr>
                <w:rFonts w:hint="eastAsia" w:ascii="宋体" w:hAnsi="宋体" w:eastAsia="宋体" w:cs="宋体"/>
                <w:color w:val="auto"/>
                <w:kern w:val="0"/>
                <w:sz w:val="24"/>
                <w:szCs w:val="24"/>
                <w:highlight w:val="none"/>
              </w:rPr>
              <w:t>已经造成不良影响或者违法行为持续时间较长的。</w:t>
            </w:r>
          </w:p>
        </w:tc>
        <w:tc>
          <w:tcPr>
            <w:tcW w:w="3267" w:type="dxa"/>
            <w:tcBorders>
              <w:tl2br w:val="nil"/>
              <w:tr2bl w:val="nil"/>
            </w:tcBorders>
            <w:noWrap w:val="0"/>
            <w:vAlign w:val="center"/>
          </w:tcPr>
          <w:p w14:paraId="551D273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处3.65万元以上5万元以下罚款。</w:t>
            </w:r>
          </w:p>
        </w:tc>
      </w:tr>
      <w:tr w14:paraId="1081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exact"/>
          <w:jc w:val="center"/>
        </w:trPr>
        <w:tc>
          <w:tcPr>
            <w:tcW w:w="787" w:type="dxa"/>
            <w:vMerge w:val="continue"/>
            <w:tcBorders>
              <w:tl2br w:val="nil"/>
              <w:tr2bl w:val="nil"/>
            </w:tcBorders>
            <w:noWrap w:val="0"/>
            <w:vAlign w:val="center"/>
          </w:tcPr>
          <w:p w14:paraId="252DB8D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477F305">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A16067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02BBA9C6">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严重</w:t>
            </w:r>
          </w:p>
        </w:tc>
        <w:tc>
          <w:tcPr>
            <w:tcW w:w="3316" w:type="dxa"/>
            <w:tcBorders>
              <w:tl2br w:val="nil"/>
              <w:tr2bl w:val="nil"/>
            </w:tcBorders>
            <w:noWrap w:val="0"/>
            <w:vAlign w:val="center"/>
          </w:tcPr>
          <w:p w14:paraId="0FAF6A8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cs="宋体"/>
                <w:i w:val="0"/>
                <w:iCs w:val="0"/>
                <w:caps w:val="0"/>
                <w:color w:val="auto"/>
                <w:spacing w:val="0"/>
                <w:kern w:val="0"/>
                <w:sz w:val="24"/>
                <w:szCs w:val="24"/>
                <w:highlight w:val="none"/>
                <w:shd w:val="clear" w:color="auto" w:fill="auto"/>
                <w:lang w:val="en-US" w:eastAsia="zh-CN"/>
              </w:rPr>
              <w:t>符合</w:t>
            </w:r>
            <w:r>
              <w:rPr>
                <w:rFonts w:hint="eastAsia" w:ascii="宋体" w:hAnsi="宋体" w:eastAsia="宋体" w:cs="宋体"/>
                <w:b w:val="0"/>
                <w:bCs w:val="0"/>
                <w:color w:val="auto"/>
                <w:kern w:val="0"/>
                <w:sz w:val="24"/>
                <w:szCs w:val="24"/>
                <w:highlight w:val="none"/>
              </w:rPr>
              <w:t>《中华人民共和国食品安全法</w:t>
            </w:r>
            <w:r>
              <w:rPr>
                <w:rFonts w:hint="eastAsia" w:ascii="宋体" w:hAnsi="宋体" w:cs="宋体"/>
                <w:b w:val="0"/>
                <w:bCs w:val="0"/>
                <w:color w:val="auto"/>
                <w:kern w:val="0"/>
                <w:sz w:val="24"/>
                <w:szCs w:val="24"/>
                <w:highlight w:val="none"/>
                <w:lang w:val="en-US" w:eastAsia="zh-CN"/>
              </w:rPr>
              <w:t>实施条例</w:t>
            </w:r>
            <w:r>
              <w:rPr>
                <w:rFonts w:hint="eastAsia" w:ascii="宋体" w:hAnsi="宋体" w:eastAsia="宋体" w:cs="宋体"/>
                <w:b w:val="0"/>
                <w:bCs w:val="0"/>
                <w:color w:val="auto"/>
                <w:kern w:val="0"/>
                <w:sz w:val="24"/>
                <w:szCs w:val="24"/>
                <w:highlight w:val="none"/>
              </w:rPr>
              <w:t>》</w:t>
            </w:r>
            <w:r>
              <w:rPr>
                <w:rFonts w:hint="eastAsia" w:ascii="宋体" w:hAnsi="宋体" w:cs="宋体"/>
                <w:b w:val="0"/>
                <w:bCs w:val="0"/>
                <w:color w:val="auto"/>
                <w:kern w:val="0"/>
                <w:sz w:val="24"/>
                <w:szCs w:val="24"/>
                <w:highlight w:val="none"/>
                <w:lang w:val="en-US" w:eastAsia="zh-CN"/>
              </w:rPr>
              <w:t>第六十七条规定的情节严重的情形。</w:t>
            </w:r>
          </w:p>
        </w:tc>
        <w:tc>
          <w:tcPr>
            <w:tcW w:w="3267" w:type="dxa"/>
            <w:tcBorders>
              <w:tl2br w:val="nil"/>
              <w:tr2bl w:val="nil"/>
            </w:tcBorders>
            <w:noWrap w:val="0"/>
            <w:vAlign w:val="center"/>
          </w:tcPr>
          <w:p w14:paraId="1214B62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责令停产停业，直至吊销许可证。</w:t>
            </w:r>
          </w:p>
        </w:tc>
      </w:tr>
      <w:tr w14:paraId="5FC3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787" w:type="dxa"/>
            <w:vMerge w:val="restart"/>
            <w:tcBorders>
              <w:tl2br w:val="nil"/>
              <w:tr2bl w:val="nil"/>
            </w:tcBorders>
            <w:noWrap w:val="0"/>
            <w:vAlign w:val="center"/>
          </w:tcPr>
          <w:p w14:paraId="6A8CD08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45</w:t>
            </w:r>
          </w:p>
        </w:tc>
        <w:tc>
          <w:tcPr>
            <w:tcW w:w="1718" w:type="dxa"/>
            <w:vMerge w:val="restart"/>
            <w:tcBorders>
              <w:tl2br w:val="nil"/>
              <w:tr2bl w:val="nil"/>
            </w:tcBorders>
            <w:noWrap w:val="0"/>
            <w:vAlign w:val="center"/>
          </w:tcPr>
          <w:p w14:paraId="019351CA">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《中华人民共和国食品安全法》</w:t>
            </w:r>
          </w:p>
        </w:tc>
        <w:tc>
          <w:tcPr>
            <w:tcW w:w="4132" w:type="dxa"/>
            <w:vMerge w:val="restart"/>
            <w:tcBorders>
              <w:tl2br w:val="nil"/>
              <w:tr2bl w:val="nil"/>
            </w:tcBorders>
            <w:noWrap w:val="0"/>
            <w:vAlign w:val="center"/>
          </w:tcPr>
          <w:p w14:paraId="27157D1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第一百二十八条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tc>
        <w:tc>
          <w:tcPr>
            <w:tcW w:w="1133" w:type="dxa"/>
            <w:tcBorders>
              <w:tl2br w:val="nil"/>
              <w:tr2bl w:val="nil"/>
            </w:tcBorders>
            <w:noWrap w:val="0"/>
            <w:vAlign w:val="center"/>
          </w:tcPr>
          <w:p w14:paraId="466B839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14972CC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隐匿、伪造、毁灭有关证据，未造成不良影响的。</w:t>
            </w:r>
          </w:p>
        </w:tc>
        <w:tc>
          <w:tcPr>
            <w:tcW w:w="3267" w:type="dxa"/>
            <w:tcBorders>
              <w:tl2br w:val="nil"/>
              <w:tr2bl w:val="nil"/>
            </w:tcBorders>
            <w:noWrap w:val="0"/>
            <w:vAlign w:val="center"/>
          </w:tcPr>
          <w:p w14:paraId="20F1480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责令停产停业，没收违法所得，并处10万元以上22万元以下罚款。</w:t>
            </w:r>
          </w:p>
        </w:tc>
      </w:tr>
      <w:tr w14:paraId="6FA3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3" w:hRule="atLeast"/>
          <w:jc w:val="center"/>
        </w:trPr>
        <w:tc>
          <w:tcPr>
            <w:tcW w:w="787" w:type="dxa"/>
            <w:vMerge w:val="continue"/>
            <w:tcBorders>
              <w:tl2br w:val="nil"/>
              <w:tr2bl w:val="nil"/>
            </w:tcBorders>
            <w:noWrap w:val="0"/>
            <w:vAlign w:val="center"/>
          </w:tcPr>
          <w:p w14:paraId="05E04BE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BB59F75">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002CB00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6D48A0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2E095AD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隐匿、伪造、毁灭有关证据，对事故调查造成影响的。</w:t>
            </w:r>
          </w:p>
        </w:tc>
        <w:tc>
          <w:tcPr>
            <w:tcW w:w="3267" w:type="dxa"/>
            <w:tcBorders>
              <w:tl2br w:val="nil"/>
              <w:tr2bl w:val="nil"/>
            </w:tcBorders>
            <w:noWrap w:val="0"/>
            <w:vAlign w:val="center"/>
          </w:tcPr>
          <w:p w14:paraId="0E2F5CB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责令停产停业，没收违法所得，并处22万元以上38万元以下的罚款。</w:t>
            </w:r>
          </w:p>
        </w:tc>
      </w:tr>
      <w:tr w14:paraId="2AC64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jc w:val="center"/>
        </w:trPr>
        <w:tc>
          <w:tcPr>
            <w:tcW w:w="787" w:type="dxa"/>
            <w:vMerge w:val="continue"/>
            <w:tcBorders>
              <w:tl2br w:val="nil"/>
              <w:tr2bl w:val="nil"/>
            </w:tcBorders>
            <w:noWrap w:val="0"/>
            <w:vAlign w:val="center"/>
          </w:tcPr>
          <w:p w14:paraId="392146A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71EDF21">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8BB595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C245C5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42B0EAB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隐匿、伪造、毁灭有关证据，对事故调查造成严重影响的。</w:t>
            </w:r>
          </w:p>
        </w:tc>
        <w:tc>
          <w:tcPr>
            <w:tcW w:w="3267" w:type="dxa"/>
            <w:tcBorders>
              <w:tl2br w:val="nil"/>
              <w:tr2bl w:val="nil"/>
            </w:tcBorders>
            <w:noWrap w:val="0"/>
            <w:vAlign w:val="center"/>
          </w:tcPr>
          <w:p w14:paraId="4F86042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责令停产停业，没收违法所得，并处38万元以上50万元以下的罚款。</w:t>
            </w:r>
          </w:p>
        </w:tc>
      </w:tr>
      <w:tr w14:paraId="746D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787" w:type="dxa"/>
            <w:vMerge w:val="continue"/>
            <w:tcBorders>
              <w:tl2br w:val="nil"/>
              <w:tr2bl w:val="nil"/>
            </w:tcBorders>
            <w:noWrap w:val="0"/>
            <w:vAlign w:val="center"/>
          </w:tcPr>
          <w:p w14:paraId="15FF847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CFC18E1">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1D577D4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626F73B4">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严重</w:t>
            </w:r>
          </w:p>
        </w:tc>
        <w:tc>
          <w:tcPr>
            <w:tcW w:w="3316" w:type="dxa"/>
            <w:tcBorders>
              <w:tl2br w:val="nil"/>
              <w:tr2bl w:val="nil"/>
            </w:tcBorders>
            <w:noWrap w:val="0"/>
            <w:vAlign w:val="center"/>
          </w:tcPr>
          <w:p w14:paraId="1760994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造成人身损害或者重大社会影响</w:t>
            </w:r>
            <w:r>
              <w:rPr>
                <w:rFonts w:hint="eastAsia" w:ascii="宋体" w:hAnsi="宋体" w:cs="宋体"/>
                <w:color w:val="auto"/>
                <w:kern w:val="0"/>
                <w:sz w:val="24"/>
                <w:szCs w:val="24"/>
                <w:highlight w:val="none"/>
                <w:lang w:val="en-US" w:eastAsia="zh-CN"/>
              </w:rPr>
              <w:t>等严重后果的</w:t>
            </w:r>
            <w:r>
              <w:rPr>
                <w:rFonts w:hint="eastAsia" w:ascii="宋体" w:hAnsi="宋体" w:eastAsia="宋体" w:cs="宋体"/>
                <w:color w:val="auto"/>
                <w:kern w:val="0"/>
                <w:sz w:val="24"/>
                <w:szCs w:val="24"/>
                <w:highlight w:val="none"/>
              </w:rPr>
              <w:t>。</w:t>
            </w:r>
          </w:p>
        </w:tc>
        <w:tc>
          <w:tcPr>
            <w:tcW w:w="3267" w:type="dxa"/>
            <w:tcBorders>
              <w:tl2br w:val="nil"/>
              <w:tr2bl w:val="nil"/>
            </w:tcBorders>
            <w:noWrap w:val="0"/>
            <w:vAlign w:val="center"/>
          </w:tcPr>
          <w:p w14:paraId="714A1FB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吊销许可证。</w:t>
            </w:r>
          </w:p>
        </w:tc>
      </w:tr>
      <w:tr w14:paraId="2F099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5" w:hRule="atLeast"/>
          <w:jc w:val="center"/>
        </w:trPr>
        <w:tc>
          <w:tcPr>
            <w:tcW w:w="787" w:type="dxa"/>
            <w:vMerge w:val="restart"/>
            <w:tcBorders>
              <w:tl2br w:val="nil"/>
              <w:tr2bl w:val="nil"/>
            </w:tcBorders>
            <w:noWrap w:val="0"/>
            <w:vAlign w:val="center"/>
          </w:tcPr>
          <w:p w14:paraId="1777968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46</w:t>
            </w:r>
          </w:p>
        </w:tc>
        <w:tc>
          <w:tcPr>
            <w:tcW w:w="1718" w:type="dxa"/>
            <w:vMerge w:val="restart"/>
            <w:tcBorders>
              <w:tl2br w:val="nil"/>
              <w:tr2bl w:val="nil"/>
            </w:tcBorders>
            <w:noWrap w:val="0"/>
            <w:vAlign w:val="center"/>
          </w:tcPr>
          <w:p w14:paraId="392C0A67">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《中华人民共和国食品安全法》</w:t>
            </w:r>
          </w:p>
        </w:tc>
        <w:tc>
          <w:tcPr>
            <w:tcW w:w="4132" w:type="dxa"/>
            <w:vMerge w:val="restart"/>
            <w:tcBorders>
              <w:tl2br w:val="nil"/>
              <w:tr2bl w:val="nil"/>
            </w:tcBorders>
            <w:noWrap w:val="0"/>
            <w:vAlign w:val="center"/>
          </w:tcPr>
          <w:p w14:paraId="1B2A9B4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第一百三十条第一款</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法规定，集中交易市场的开办者、柜台出租者、展销会的举办者允许未依法取得许可的食品经营者进入市场销售食品，或者未履行检查、报告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tc>
        <w:tc>
          <w:tcPr>
            <w:tcW w:w="1133" w:type="dxa"/>
            <w:tcBorders>
              <w:tl2br w:val="nil"/>
              <w:tr2bl w:val="nil"/>
            </w:tcBorders>
            <w:noWrap w:val="0"/>
            <w:vAlign w:val="center"/>
          </w:tcPr>
          <w:p w14:paraId="5596AD9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5CB3F65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集中交易市场的开办者、柜台出租者、展销会的举办者允许个别未依法取得许可的食品经营者进入市场销售食品，或者履行检查、报告等义务不及时、检查或者报告的内容有缺失但未造成不良影响的。</w:t>
            </w:r>
          </w:p>
        </w:tc>
        <w:tc>
          <w:tcPr>
            <w:tcW w:w="3267" w:type="dxa"/>
            <w:tcBorders>
              <w:tl2br w:val="nil"/>
              <w:tr2bl w:val="nil"/>
            </w:tcBorders>
            <w:noWrap w:val="0"/>
            <w:vAlign w:val="center"/>
          </w:tcPr>
          <w:p w14:paraId="49FFF02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责令改正，没收违法所得，并处5万元以上</w:t>
            </w:r>
            <w:r>
              <w:rPr>
                <w:rFonts w:hint="eastAsia" w:ascii="宋体" w:hAnsi="宋体" w:eastAsia="宋体" w:cs="宋体"/>
                <w:color w:val="auto"/>
                <w:kern w:val="0"/>
                <w:sz w:val="24"/>
                <w:szCs w:val="24"/>
                <w:highlight w:val="none"/>
                <w:lang w:val="en"/>
              </w:rPr>
              <w:t>9.5</w:t>
            </w:r>
            <w:r>
              <w:rPr>
                <w:rFonts w:hint="eastAsia" w:ascii="宋体" w:hAnsi="宋体" w:eastAsia="宋体" w:cs="宋体"/>
                <w:color w:val="auto"/>
                <w:kern w:val="0"/>
                <w:sz w:val="24"/>
                <w:szCs w:val="24"/>
                <w:highlight w:val="none"/>
              </w:rPr>
              <w:t>万元以下罚款。</w:t>
            </w:r>
          </w:p>
        </w:tc>
      </w:tr>
      <w:tr w14:paraId="7C5E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5" w:hRule="atLeast"/>
          <w:jc w:val="center"/>
        </w:trPr>
        <w:tc>
          <w:tcPr>
            <w:tcW w:w="787" w:type="dxa"/>
            <w:vMerge w:val="continue"/>
            <w:tcBorders>
              <w:tl2br w:val="nil"/>
              <w:tr2bl w:val="nil"/>
            </w:tcBorders>
            <w:noWrap w:val="0"/>
            <w:vAlign w:val="center"/>
          </w:tcPr>
          <w:p w14:paraId="4294052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2639641">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7F0ABE4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F2930E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2A220CB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集中交易市场的开办者、柜台</w:t>
            </w:r>
            <w:r>
              <w:rPr>
                <w:rFonts w:hint="eastAsia" w:ascii="宋体" w:hAnsi="宋体" w:eastAsia="宋体" w:cs="宋体"/>
                <w:color w:val="auto"/>
                <w:spacing w:val="-6"/>
                <w:kern w:val="0"/>
                <w:sz w:val="24"/>
                <w:szCs w:val="24"/>
                <w:highlight w:val="none"/>
              </w:rPr>
              <w:t>出租者、展销会的举办者允许多个未依法取得许可的食品经营</w:t>
            </w:r>
            <w:r>
              <w:rPr>
                <w:rFonts w:hint="eastAsia" w:ascii="宋体" w:hAnsi="宋体" w:eastAsia="宋体" w:cs="宋体"/>
                <w:color w:val="auto"/>
                <w:spacing w:val="0"/>
                <w:kern w:val="0"/>
                <w:sz w:val="24"/>
                <w:szCs w:val="24"/>
                <w:highlight w:val="none"/>
              </w:rPr>
              <w:t>者进入市场销售食品，或者长期不履行检查、报告等义务的。</w:t>
            </w:r>
          </w:p>
        </w:tc>
        <w:tc>
          <w:tcPr>
            <w:tcW w:w="3267" w:type="dxa"/>
            <w:tcBorders>
              <w:tl2br w:val="nil"/>
              <w:tr2bl w:val="nil"/>
            </w:tcBorders>
            <w:noWrap w:val="0"/>
            <w:vAlign w:val="center"/>
          </w:tcPr>
          <w:p w14:paraId="640EB97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责令改正，没收违法所得，并处</w:t>
            </w:r>
            <w:r>
              <w:rPr>
                <w:rFonts w:hint="eastAsia" w:ascii="宋体" w:hAnsi="宋体" w:eastAsia="宋体" w:cs="宋体"/>
                <w:color w:val="auto"/>
                <w:kern w:val="0"/>
                <w:sz w:val="24"/>
                <w:szCs w:val="24"/>
                <w:highlight w:val="none"/>
                <w:lang w:val="en"/>
              </w:rPr>
              <w:t>9.5</w:t>
            </w:r>
            <w:r>
              <w:rPr>
                <w:rFonts w:hint="eastAsia" w:ascii="宋体" w:hAnsi="宋体" w:eastAsia="宋体" w:cs="宋体"/>
                <w:color w:val="auto"/>
                <w:kern w:val="0"/>
                <w:sz w:val="24"/>
                <w:szCs w:val="24"/>
                <w:highlight w:val="none"/>
              </w:rPr>
              <w:t>万元以上</w:t>
            </w:r>
            <w:r>
              <w:rPr>
                <w:rFonts w:hint="eastAsia" w:ascii="宋体" w:hAnsi="宋体" w:eastAsia="宋体" w:cs="宋体"/>
                <w:color w:val="auto"/>
                <w:kern w:val="0"/>
                <w:sz w:val="24"/>
                <w:szCs w:val="24"/>
                <w:highlight w:val="none"/>
                <w:lang w:val="en"/>
              </w:rPr>
              <w:t>15.5</w:t>
            </w:r>
            <w:r>
              <w:rPr>
                <w:rFonts w:hint="eastAsia" w:ascii="宋体" w:hAnsi="宋体" w:eastAsia="宋体" w:cs="宋体"/>
                <w:color w:val="auto"/>
                <w:kern w:val="0"/>
                <w:sz w:val="24"/>
                <w:szCs w:val="24"/>
                <w:highlight w:val="none"/>
              </w:rPr>
              <w:t>万元以下罚款。</w:t>
            </w:r>
          </w:p>
        </w:tc>
      </w:tr>
      <w:tr w14:paraId="791F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6" w:hRule="atLeast"/>
          <w:jc w:val="center"/>
        </w:trPr>
        <w:tc>
          <w:tcPr>
            <w:tcW w:w="787" w:type="dxa"/>
            <w:vMerge w:val="continue"/>
            <w:tcBorders>
              <w:tl2br w:val="nil"/>
              <w:tr2bl w:val="nil"/>
            </w:tcBorders>
            <w:noWrap w:val="0"/>
            <w:vAlign w:val="center"/>
          </w:tcPr>
          <w:p w14:paraId="41E0352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DC1804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5765008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001F9EE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1785553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允许未依法取得许可的食品经营者进入市场销售食品或者未按法律规定履行检查、报告等义务，经责令改正后仍不能达到法律规定要求的。</w:t>
            </w:r>
          </w:p>
        </w:tc>
        <w:tc>
          <w:tcPr>
            <w:tcW w:w="3267" w:type="dxa"/>
            <w:tcBorders>
              <w:tl2br w:val="nil"/>
              <w:tr2bl w:val="nil"/>
            </w:tcBorders>
            <w:noWrap w:val="0"/>
            <w:vAlign w:val="center"/>
          </w:tcPr>
          <w:p w14:paraId="153DF11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w:t>
            </w:r>
            <w:r>
              <w:rPr>
                <w:rFonts w:hint="eastAsia" w:ascii="宋体" w:hAnsi="宋体" w:eastAsia="宋体" w:cs="宋体"/>
                <w:color w:val="auto"/>
                <w:kern w:val="0"/>
                <w:sz w:val="24"/>
                <w:szCs w:val="24"/>
                <w:highlight w:val="none"/>
                <w:lang w:val="en" w:eastAsia="zh-CN"/>
              </w:rPr>
              <w:t>，</w:t>
            </w:r>
            <w:r>
              <w:rPr>
                <w:rFonts w:hint="eastAsia" w:ascii="宋体" w:hAnsi="宋体" w:eastAsia="宋体" w:cs="宋体"/>
                <w:color w:val="auto"/>
                <w:kern w:val="0"/>
                <w:sz w:val="24"/>
                <w:szCs w:val="24"/>
                <w:highlight w:val="none"/>
              </w:rPr>
              <w:t>没收违法所得，并处</w:t>
            </w:r>
            <w:r>
              <w:rPr>
                <w:rFonts w:hint="eastAsia" w:ascii="宋体" w:hAnsi="宋体" w:eastAsia="宋体" w:cs="宋体"/>
                <w:color w:val="auto"/>
                <w:kern w:val="0"/>
                <w:sz w:val="24"/>
                <w:szCs w:val="24"/>
                <w:highlight w:val="none"/>
                <w:lang w:val="en"/>
              </w:rPr>
              <w:t>15.5</w:t>
            </w:r>
            <w:r>
              <w:rPr>
                <w:rFonts w:hint="eastAsia" w:ascii="宋体" w:hAnsi="宋体" w:eastAsia="宋体" w:cs="宋体"/>
                <w:color w:val="auto"/>
                <w:kern w:val="0"/>
                <w:sz w:val="24"/>
                <w:szCs w:val="24"/>
                <w:highlight w:val="none"/>
              </w:rPr>
              <w:t>万元以上</w:t>
            </w:r>
            <w:r>
              <w:rPr>
                <w:rFonts w:hint="eastAsia" w:ascii="宋体" w:hAnsi="宋体" w:eastAsia="宋体" w:cs="宋体"/>
                <w:color w:val="auto"/>
                <w:kern w:val="0"/>
                <w:sz w:val="24"/>
                <w:szCs w:val="24"/>
                <w:highlight w:val="none"/>
                <w:lang w:val="en"/>
              </w:rPr>
              <w:t>20</w:t>
            </w:r>
            <w:r>
              <w:rPr>
                <w:rFonts w:hint="eastAsia" w:ascii="宋体" w:hAnsi="宋体" w:eastAsia="宋体" w:cs="宋体"/>
                <w:color w:val="auto"/>
                <w:kern w:val="0"/>
                <w:sz w:val="24"/>
                <w:szCs w:val="24"/>
                <w:highlight w:val="none"/>
              </w:rPr>
              <w:t>万元以下罚款。</w:t>
            </w:r>
          </w:p>
        </w:tc>
      </w:tr>
      <w:tr w14:paraId="7DA51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787" w:type="dxa"/>
            <w:vMerge w:val="continue"/>
            <w:tcBorders>
              <w:tl2br w:val="nil"/>
              <w:tr2bl w:val="nil"/>
            </w:tcBorders>
            <w:noWrap w:val="0"/>
            <w:vAlign w:val="center"/>
          </w:tcPr>
          <w:p w14:paraId="06BE106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018006D">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215718F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2FF23C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严重</w:t>
            </w:r>
          </w:p>
        </w:tc>
        <w:tc>
          <w:tcPr>
            <w:tcW w:w="3316" w:type="dxa"/>
            <w:tcBorders>
              <w:tl2br w:val="nil"/>
              <w:tr2bl w:val="nil"/>
            </w:tcBorders>
            <w:noWrap w:val="0"/>
            <w:vAlign w:val="center"/>
          </w:tcPr>
          <w:p w14:paraId="114A204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造成人身损害或者重大社会影响的。</w:t>
            </w:r>
          </w:p>
        </w:tc>
        <w:tc>
          <w:tcPr>
            <w:tcW w:w="3267" w:type="dxa"/>
            <w:tcBorders>
              <w:tl2br w:val="nil"/>
              <w:tr2bl w:val="nil"/>
            </w:tcBorders>
            <w:noWrap w:val="0"/>
            <w:vAlign w:val="center"/>
          </w:tcPr>
          <w:p w14:paraId="3C360A8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责</w:t>
            </w:r>
            <w:r>
              <w:rPr>
                <w:rFonts w:hint="eastAsia" w:ascii="宋体" w:hAnsi="宋体" w:eastAsia="宋体" w:cs="宋体"/>
                <w:color w:val="auto"/>
                <w:kern w:val="0"/>
                <w:sz w:val="24"/>
                <w:szCs w:val="24"/>
                <w:highlight w:val="none"/>
              </w:rPr>
              <w:t>令停业，直至由原发证部门吊销许可证。</w:t>
            </w:r>
          </w:p>
        </w:tc>
      </w:tr>
      <w:tr w14:paraId="1F45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jc w:val="center"/>
        </w:trPr>
        <w:tc>
          <w:tcPr>
            <w:tcW w:w="787" w:type="dxa"/>
            <w:vMerge w:val="restart"/>
            <w:tcBorders>
              <w:tl2br w:val="nil"/>
              <w:tr2bl w:val="nil"/>
            </w:tcBorders>
            <w:noWrap w:val="0"/>
            <w:vAlign w:val="center"/>
          </w:tcPr>
          <w:p w14:paraId="79D07AA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eastAsia="宋体" w:cs="宋体"/>
                <w:b w:val="0"/>
                <w:bCs w:val="0"/>
                <w:color w:val="auto"/>
                <w:kern w:val="0"/>
                <w:sz w:val="24"/>
                <w:szCs w:val="24"/>
                <w:highlight w:val="none"/>
                <w:lang w:val="en-US" w:eastAsia="zh-CN"/>
              </w:rPr>
              <w:t>4</w:t>
            </w:r>
            <w:r>
              <w:rPr>
                <w:rFonts w:hint="eastAsia" w:ascii="宋体" w:hAnsi="宋体" w:cs="宋体"/>
                <w:b w:val="0"/>
                <w:bCs w:val="0"/>
                <w:color w:val="auto"/>
                <w:kern w:val="0"/>
                <w:sz w:val="24"/>
                <w:szCs w:val="24"/>
                <w:highlight w:val="none"/>
                <w:lang w:val="en-US" w:eastAsia="zh-CN"/>
              </w:rPr>
              <w:t>7</w:t>
            </w:r>
          </w:p>
        </w:tc>
        <w:tc>
          <w:tcPr>
            <w:tcW w:w="1718" w:type="dxa"/>
            <w:vMerge w:val="restart"/>
            <w:tcBorders>
              <w:tl2br w:val="nil"/>
              <w:tr2bl w:val="nil"/>
            </w:tcBorders>
            <w:noWrap w:val="0"/>
            <w:vAlign w:val="center"/>
          </w:tcPr>
          <w:p w14:paraId="5E0D8B6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《中华人民共和国食品安全法》</w:t>
            </w:r>
          </w:p>
        </w:tc>
        <w:tc>
          <w:tcPr>
            <w:tcW w:w="4132" w:type="dxa"/>
            <w:vMerge w:val="restart"/>
            <w:tcBorders>
              <w:tl2br w:val="nil"/>
              <w:tr2bl w:val="nil"/>
            </w:tcBorders>
            <w:noWrap w:val="0"/>
            <w:vAlign w:val="center"/>
          </w:tcPr>
          <w:p w14:paraId="20C2B78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第一百三十一条第一款</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法规定，网络食品交易第三方平台提供者未对入网食品经营者进行实名登记、审查许可证，或者未履行报告、停止提供网络交易平台服务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tc>
        <w:tc>
          <w:tcPr>
            <w:tcW w:w="1133" w:type="dxa"/>
            <w:tcBorders>
              <w:tl2br w:val="nil"/>
              <w:tr2bl w:val="nil"/>
            </w:tcBorders>
            <w:noWrap w:val="0"/>
            <w:vAlign w:val="center"/>
          </w:tcPr>
          <w:p w14:paraId="3614A9C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49C67E5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网络食品交易第三方平台提供者对入网食品经营者进行实名登记、审查许可证不齐全，或者履行报告、停止提供网络交易平台服务等义务不及时，但未造成不良影响的。</w:t>
            </w:r>
          </w:p>
        </w:tc>
        <w:tc>
          <w:tcPr>
            <w:tcW w:w="3267" w:type="dxa"/>
            <w:tcBorders>
              <w:tl2br w:val="nil"/>
              <w:tr2bl w:val="nil"/>
            </w:tcBorders>
            <w:noWrap w:val="0"/>
            <w:vAlign w:val="center"/>
          </w:tcPr>
          <w:p w14:paraId="30BD8C6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责令改正，没收违法所得，并处5万元以上</w:t>
            </w:r>
            <w:r>
              <w:rPr>
                <w:rFonts w:hint="eastAsia" w:ascii="宋体" w:hAnsi="宋体" w:eastAsia="宋体" w:cs="宋体"/>
                <w:color w:val="auto"/>
                <w:kern w:val="0"/>
                <w:sz w:val="24"/>
                <w:szCs w:val="24"/>
                <w:highlight w:val="none"/>
                <w:lang w:val="en-US" w:eastAsia="zh-CN"/>
              </w:rPr>
              <w:t>9.5</w:t>
            </w:r>
            <w:r>
              <w:rPr>
                <w:rFonts w:hint="eastAsia" w:ascii="宋体" w:hAnsi="宋体" w:eastAsia="宋体" w:cs="宋体"/>
                <w:color w:val="auto"/>
                <w:kern w:val="0"/>
                <w:sz w:val="24"/>
                <w:szCs w:val="24"/>
                <w:highlight w:val="none"/>
              </w:rPr>
              <w:t>万元以下罚款</w:t>
            </w:r>
          </w:p>
        </w:tc>
      </w:tr>
      <w:tr w14:paraId="42D9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2" w:hRule="atLeast"/>
          <w:jc w:val="center"/>
        </w:trPr>
        <w:tc>
          <w:tcPr>
            <w:tcW w:w="787" w:type="dxa"/>
            <w:vMerge w:val="continue"/>
            <w:tcBorders>
              <w:tl2br w:val="nil"/>
              <w:tr2bl w:val="nil"/>
            </w:tcBorders>
            <w:noWrap w:val="0"/>
            <w:vAlign w:val="center"/>
          </w:tcPr>
          <w:p w14:paraId="6B6D90B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946E1EF">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2F6C82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02CBEE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0EB8D1D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网络食品交易第三方平台提供者对大量入网食品经营者未进行实名登记、审查许可证，或者未履行报告、停止提供网络交易平台服务等义务的。</w:t>
            </w:r>
          </w:p>
        </w:tc>
        <w:tc>
          <w:tcPr>
            <w:tcW w:w="3267" w:type="dxa"/>
            <w:tcBorders>
              <w:tl2br w:val="nil"/>
              <w:tr2bl w:val="nil"/>
            </w:tcBorders>
            <w:noWrap w:val="0"/>
            <w:vAlign w:val="center"/>
          </w:tcPr>
          <w:p w14:paraId="4B135A6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责令改正，没收违法所得，并处</w:t>
            </w:r>
            <w:r>
              <w:rPr>
                <w:rFonts w:hint="eastAsia" w:ascii="宋体" w:hAnsi="宋体" w:eastAsia="宋体" w:cs="宋体"/>
                <w:color w:val="auto"/>
                <w:kern w:val="0"/>
                <w:sz w:val="24"/>
                <w:szCs w:val="24"/>
                <w:highlight w:val="none"/>
                <w:lang w:val="en-US" w:eastAsia="zh-CN"/>
              </w:rPr>
              <w:t>9.5</w:t>
            </w:r>
            <w:r>
              <w:rPr>
                <w:rFonts w:hint="eastAsia" w:ascii="宋体" w:hAnsi="宋体" w:eastAsia="宋体" w:cs="宋体"/>
                <w:color w:val="auto"/>
                <w:kern w:val="0"/>
                <w:sz w:val="24"/>
                <w:szCs w:val="24"/>
                <w:highlight w:val="none"/>
              </w:rPr>
              <w:t>万元以上</w:t>
            </w:r>
            <w:r>
              <w:rPr>
                <w:rFonts w:hint="eastAsia" w:ascii="宋体" w:hAnsi="宋体" w:eastAsia="宋体" w:cs="宋体"/>
                <w:color w:val="auto"/>
                <w:kern w:val="0"/>
                <w:sz w:val="24"/>
                <w:szCs w:val="24"/>
                <w:highlight w:val="none"/>
                <w:lang w:val="en-US" w:eastAsia="zh-CN"/>
              </w:rPr>
              <w:t>15.5</w:t>
            </w:r>
            <w:r>
              <w:rPr>
                <w:rFonts w:hint="eastAsia" w:ascii="宋体" w:hAnsi="宋体" w:eastAsia="宋体" w:cs="宋体"/>
                <w:color w:val="auto"/>
                <w:kern w:val="0"/>
                <w:sz w:val="24"/>
                <w:szCs w:val="24"/>
                <w:highlight w:val="none"/>
              </w:rPr>
              <w:t>万元以下罚款。</w:t>
            </w:r>
          </w:p>
        </w:tc>
      </w:tr>
      <w:tr w14:paraId="54F1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3" w:hRule="atLeast"/>
          <w:jc w:val="center"/>
        </w:trPr>
        <w:tc>
          <w:tcPr>
            <w:tcW w:w="787" w:type="dxa"/>
            <w:vMerge w:val="continue"/>
            <w:tcBorders>
              <w:tl2br w:val="nil"/>
              <w:tr2bl w:val="nil"/>
            </w:tcBorders>
            <w:noWrap w:val="0"/>
            <w:vAlign w:val="center"/>
          </w:tcPr>
          <w:p w14:paraId="32C2715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3D216CC">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0E99956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7019532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0B00B49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未对入网食品经营者进行实名登记、审查许可证，或者未履行报告、停止提供网络交易平台服务等义务，经责令改正后仍不能达到法律规定要求的。</w:t>
            </w:r>
          </w:p>
        </w:tc>
        <w:tc>
          <w:tcPr>
            <w:tcW w:w="3267" w:type="dxa"/>
            <w:tcBorders>
              <w:tl2br w:val="nil"/>
              <w:tr2bl w:val="nil"/>
            </w:tcBorders>
            <w:noWrap w:val="0"/>
            <w:vAlign w:val="center"/>
          </w:tcPr>
          <w:p w14:paraId="34065B6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责令改正，没收违法所得</w:t>
            </w:r>
            <w:r>
              <w:rPr>
                <w:rFonts w:hint="eastAsia" w:ascii="宋体" w:hAnsi="宋体" w:eastAsia="宋体" w:cs="宋体"/>
                <w:color w:val="auto"/>
                <w:kern w:val="0"/>
                <w:sz w:val="24"/>
                <w:szCs w:val="24"/>
                <w:highlight w:val="none"/>
                <w:lang w:val="en" w:eastAsia="zh-CN"/>
              </w:rPr>
              <w:t>，</w:t>
            </w:r>
            <w:r>
              <w:rPr>
                <w:rFonts w:hint="eastAsia" w:ascii="宋体" w:hAnsi="宋体" w:eastAsia="宋体" w:cs="宋体"/>
                <w:color w:val="auto"/>
                <w:kern w:val="0"/>
                <w:sz w:val="24"/>
                <w:szCs w:val="24"/>
                <w:highlight w:val="none"/>
              </w:rPr>
              <w:t>并处</w:t>
            </w:r>
            <w:r>
              <w:rPr>
                <w:rFonts w:hint="eastAsia" w:ascii="宋体" w:hAnsi="宋体" w:eastAsia="宋体" w:cs="宋体"/>
                <w:color w:val="auto"/>
                <w:kern w:val="0"/>
                <w:sz w:val="24"/>
                <w:szCs w:val="24"/>
                <w:highlight w:val="none"/>
                <w:lang w:val="en"/>
              </w:rPr>
              <w:t>15.5</w:t>
            </w:r>
            <w:r>
              <w:rPr>
                <w:rFonts w:hint="eastAsia" w:ascii="宋体" w:hAnsi="宋体" w:eastAsia="宋体" w:cs="宋体"/>
                <w:color w:val="auto"/>
                <w:kern w:val="0"/>
                <w:sz w:val="24"/>
                <w:szCs w:val="24"/>
                <w:highlight w:val="none"/>
              </w:rPr>
              <w:t>万元以上</w:t>
            </w:r>
            <w:r>
              <w:rPr>
                <w:rFonts w:hint="eastAsia" w:ascii="宋体" w:hAnsi="宋体" w:eastAsia="宋体" w:cs="宋体"/>
                <w:color w:val="auto"/>
                <w:kern w:val="0"/>
                <w:sz w:val="24"/>
                <w:szCs w:val="24"/>
                <w:highlight w:val="none"/>
                <w:lang w:val="en"/>
              </w:rPr>
              <w:t>20</w:t>
            </w:r>
            <w:r>
              <w:rPr>
                <w:rFonts w:hint="eastAsia" w:ascii="宋体" w:hAnsi="宋体" w:eastAsia="宋体" w:cs="宋体"/>
                <w:color w:val="auto"/>
                <w:kern w:val="0"/>
                <w:sz w:val="24"/>
                <w:szCs w:val="24"/>
                <w:highlight w:val="none"/>
              </w:rPr>
              <w:t>万元以下罚款。</w:t>
            </w:r>
          </w:p>
        </w:tc>
      </w:tr>
      <w:tr w14:paraId="07703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787" w:type="dxa"/>
            <w:vMerge w:val="continue"/>
            <w:tcBorders>
              <w:tl2br w:val="nil"/>
              <w:tr2bl w:val="nil"/>
            </w:tcBorders>
            <w:noWrap w:val="0"/>
            <w:vAlign w:val="center"/>
          </w:tcPr>
          <w:p w14:paraId="607960E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E2BD68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6D747FB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BFDB7F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严重</w:t>
            </w:r>
          </w:p>
        </w:tc>
        <w:tc>
          <w:tcPr>
            <w:tcW w:w="3316" w:type="dxa"/>
            <w:tcBorders>
              <w:tl2br w:val="nil"/>
              <w:tr2bl w:val="nil"/>
            </w:tcBorders>
            <w:noWrap w:val="0"/>
            <w:vAlign w:val="center"/>
          </w:tcPr>
          <w:p w14:paraId="5BFBD06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造成人身损害或者重大社会影响的。</w:t>
            </w:r>
          </w:p>
        </w:tc>
        <w:tc>
          <w:tcPr>
            <w:tcW w:w="3267" w:type="dxa"/>
            <w:tcBorders>
              <w:tl2br w:val="nil"/>
              <w:tr2bl w:val="nil"/>
            </w:tcBorders>
            <w:noWrap w:val="0"/>
            <w:vAlign w:val="center"/>
          </w:tcPr>
          <w:p w14:paraId="2DF6C6B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责令停业，直至由原发证部门吊销许可证。</w:t>
            </w:r>
          </w:p>
        </w:tc>
      </w:tr>
      <w:tr w14:paraId="6DD5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787" w:type="dxa"/>
            <w:vMerge w:val="restart"/>
            <w:tcBorders>
              <w:tl2br w:val="nil"/>
              <w:tr2bl w:val="nil"/>
            </w:tcBorders>
            <w:noWrap w:val="0"/>
            <w:vAlign w:val="center"/>
          </w:tcPr>
          <w:p w14:paraId="30082B2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eastAsia="宋体" w:cs="宋体"/>
                <w:b w:val="0"/>
                <w:bCs w:val="0"/>
                <w:color w:val="auto"/>
                <w:kern w:val="0"/>
                <w:sz w:val="24"/>
                <w:szCs w:val="24"/>
                <w:highlight w:val="none"/>
                <w:lang w:val="en-US" w:eastAsia="zh-CN"/>
              </w:rPr>
              <w:t>4</w:t>
            </w:r>
            <w:r>
              <w:rPr>
                <w:rFonts w:hint="eastAsia" w:ascii="宋体" w:hAnsi="宋体" w:cs="宋体"/>
                <w:b w:val="0"/>
                <w:bCs w:val="0"/>
                <w:color w:val="auto"/>
                <w:kern w:val="0"/>
                <w:sz w:val="24"/>
                <w:szCs w:val="24"/>
                <w:highlight w:val="none"/>
                <w:lang w:val="en-US" w:eastAsia="zh-CN"/>
              </w:rPr>
              <w:t>8</w:t>
            </w:r>
          </w:p>
        </w:tc>
        <w:tc>
          <w:tcPr>
            <w:tcW w:w="1718" w:type="dxa"/>
            <w:vMerge w:val="restart"/>
            <w:tcBorders>
              <w:tl2br w:val="nil"/>
              <w:tr2bl w:val="nil"/>
            </w:tcBorders>
            <w:noWrap w:val="0"/>
            <w:vAlign w:val="center"/>
          </w:tcPr>
          <w:p w14:paraId="59BC7F05">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《中华人民共和国食品安全法》</w:t>
            </w:r>
          </w:p>
        </w:tc>
        <w:tc>
          <w:tcPr>
            <w:tcW w:w="4132" w:type="dxa"/>
            <w:vMerge w:val="restart"/>
            <w:tcBorders>
              <w:tl2br w:val="nil"/>
              <w:tr2bl w:val="nil"/>
            </w:tcBorders>
            <w:noWrap w:val="0"/>
            <w:vAlign w:val="center"/>
          </w:tcPr>
          <w:p w14:paraId="4E9E2F3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第一百三十二条</w:t>
            </w:r>
            <w:r>
              <w:rPr>
                <w:rFonts w:hint="eastAsia" w:ascii="宋体" w:hAnsi="宋体" w:cs="宋体"/>
                <w:color w:val="auto"/>
                <w:kern w:val="0"/>
                <w:sz w:val="24"/>
                <w:szCs w:val="24"/>
                <w:highlight w:val="none"/>
                <w:lang w:val="en-US" w:eastAsia="zh-CN"/>
              </w:rPr>
              <w:t xml:space="preserve">第一款 </w:t>
            </w:r>
            <w:r>
              <w:rPr>
                <w:rFonts w:hint="eastAsia" w:ascii="宋体" w:hAnsi="宋体" w:eastAsia="宋体" w:cs="宋体"/>
                <w:color w:val="auto"/>
                <w:kern w:val="0"/>
                <w:sz w:val="24"/>
                <w:szCs w:val="24"/>
                <w:highlight w:val="none"/>
              </w:rPr>
              <w:t>违反本法规定，未按要求进行食品贮存、运输和装卸的，由县级以上人民政府食品安全监督管理等部门按照各自职责分工责令改正，给予警告；拒不改正的，责令停产停业，并处一万元以上五万元以下罚款；情节严重的，吊销许可证。</w:t>
            </w:r>
          </w:p>
        </w:tc>
        <w:tc>
          <w:tcPr>
            <w:tcW w:w="1133" w:type="dxa"/>
            <w:tcBorders>
              <w:tl2br w:val="nil"/>
              <w:tr2bl w:val="nil"/>
            </w:tcBorders>
            <w:noWrap w:val="0"/>
            <w:vAlign w:val="center"/>
          </w:tcPr>
          <w:p w14:paraId="26C7E42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4BC1827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0CEDD67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责令停产停业，</w:t>
            </w:r>
            <w:r>
              <w:rPr>
                <w:rFonts w:hint="eastAsia" w:ascii="宋体" w:hAnsi="宋体" w:cs="宋体"/>
                <w:color w:val="auto"/>
                <w:kern w:val="0"/>
                <w:sz w:val="24"/>
                <w:szCs w:val="24"/>
                <w:highlight w:val="none"/>
                <w:lang w:eastAsia="zh-CN"/>
              </w:rPr>
              <w:t>并</w:t>
            </w:r>
            <w:r>
              <w:rPr>
                <w:rFonts w:hint="eastAsia" w:ascii="宋体" w:hAnsi="宋体" w:eastAsia="宋体" w:cs="宋体"/>
                <w:color w:val="auto"/>
                <w:kern w:val="0"/>
                <w:sz w:val="24"/>
                <w:szCs w:val="24"/>
                <w:highlight w:val="none"/>
              </w:rPr>
              <w:t>处1万元以上2.2万元以下罚款。</w:t>
            </w:r>
          </w:p>
        </w:tc>
      </w:tr>
      <w:tr w14:paraId="50F4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87" w:type="dxa"/>
            <w:vMerge w:val="continue"/>
            <w:tcBorders>
              <w:tl2br w:val="nil"/>
              <w:tr2bl w:val="nil"/>
            </w:tcBorders>
            <w:noWrap w:val="0"/>
            <w:vAlign w:val="center"/>
          </w:tcPr>
          <w:p w14:paraId="0BC8905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D90D0F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0EBC372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vMerge w:val="restart"/>
            <w:tcBorders>
              <w:tl2br w:val="nil"/>
              <w:tr2bl w:val="nil"/>
            </w:tcBorders>
            <w:noWrap w:val="0"/>
            <w:vAlign w:val="center"/>
          </w:tcPr>
          <w:p w14:paraId="17153AE6">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vMerge w:val="restart"/>
            <w:tcBorders>
              <w:tl2br w:val="nil"/>
              <w:tr2bl w:val="nil"/>
            </w:tcBorders>
            <w:noWrap w:val="0"/>
            <w:vAlign w:val="center"/>
          </w:tcPr>
          <w:p w14:paraId="225D15E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vMerge w:val="restart"/>
            <w:tcBorders>
              <w:tl2br w:val="nil"/>
              <w:tr2bl w:val="nil"/>
            </w:tcBorders>
            <w:noWrap w:val="0"/>
            <w:vAlign w:val="center"/>
          </w:tcPr>
          <w:p w14:paraId="45E7E96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责令停产停业，</w:t>
            </w:r>
            <w:r>
              <w:rPr>
                <w:rFonts w:hint="eastAsia" w:ascii="宋体" w:hAnsi="宋体" w:cs="宋体"/>
                <w:color w:val="auto"/>
                <w:kern w:val="0"/>
                <w:sz w:val="24"/>
                <w:szCs w:val="24"/>
                <w:highlight w:val="none"/>
                <w:lang w:eastAsia="zh-CN"/>
              </w:rPr>
              <w:t>并</w:t>
            </w:r>
            <w:r>
              <w:rPr>
                <w:rFonts w:hint="eastAsia" w:ascii="宋体" w:hAnsi="宋体" w:eastAsia="宋体" w:cs="宋体"/>
                <w:color w:val="auto"/>
                <w:kern w:val="0"/>
                <w:sz w:val="24"/>
                <w:szCs w:val="24"/>
                <w:highlight w:val="none"/>
              </w:rPr>
              <w:t>处2.2万元以上3.8万元以下罚款。</w:t>
            </w:r>
          </w:p>
        </w:tc>
      </w:tr>
      <w:tr w14:paraId="0F4DA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87" w:type="dxa"/>
            <w:vMerge w:val="continue"/>
            <w:tcBorders>
              <w:tl2br w:val="nil"/>
              <w:tr2bl w:val="nil"/>
            </w:tcBorders>
            <w:noWrap w:val="0"/>
            <w:vAlign w:val="center"/>
          </w:tcPr>
          <w:p w14:paraId="36B84A1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8212C00">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50EE2AE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vMerge w:val="continue"/>
            <w:tcBorders>
              <w:tl2br w:val="nil"/>
              <w:tr2bl w:val="nil"/>
            </w:tcBorders>
            <w:noWrap w:val="0"/>
            <w:vAlign w:val="center"/>
          </w:tcPr>
          <w:p w14:paraId="694FA375">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left"/>
              <w:textAlignment w:val="auto"/>
              <w:rPr>
                <w:rFonts w:hint="eastAsia" w:ascii="宋体" w:hAnsi="宋体" w:eastAsia="宋体" w:cs="宋体"/>
                <w:color w:val="auto"/>
                <w:kern w:val="0"/>
                <w:sz w:val="24"/>
                <w:szCs w:val="24"/>
                <w:highlight w:val="none"/>
              </w:rPr>
            </w:pPr>
          </w:p>
        </w:tc>
        <w:tc>
          <w:tcPr>
            <w:tcW w:w="3316" w:type="dxa"/>
            <w:vMerge w:val="continue"/>
            <w:tcBorders>
              <w:tl2br w:val="nil"/>
              <w:tr2bl w:val="nil"/>
            </w:tcBorders>
            <w:noWrap w:val="0"/>
            <w:vAlign w:val="center"/>
          </w:tcPr>
          <w:p w14:paraId="5E91C4B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p>
        </w:tc>
        <w:tc>
          <w:tcPr>
            <w:tcW w:w="3267" w:type="dxa"/>
            <w:vMerge w:val="continue"/>
            <w:tcBorders>
              <w:tl2br w:val="nil"/>
              <w:tr2bl w:val="nil"/>
            </w:tcBorders>
            <w:noWrap w:val="0"/>
            <w:vAlign w:val="center"/>
          </w:tcPr>
          <w:p w14:paraId="58B1A1E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p>
        </w:tc>
      </w:tr>
      <w:tr w14:paraId="020F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87" w:type="dxa"/>
            <w:vMerge w:val="continue"/>
            <w:tcBorders>
              <w:tl2br w:val="nil"/>
              <w:tr2bl w:val="nil"/>
            </w:tcBorders>
            <w:noWrap w:val="0"/>
            <w:vAlign w:val="center"/>
          </w:tcPr>
          <w:p w14:paraId="32713A0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5B2FFB8">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99CE25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vMerge w:val="restart"/>
            <w:tcBorders>
              <w:tl2br w:val="nil"/>
              <w:tr2bl w:val="nil"/>
            </w:tcBorders>
            <w:noWrap w:val="0"/>
            <w:vAlign w:val="center"/>
          </w:tcPr>
          <w:p w14:paraId="18B8DDAF">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vMerge w:val="restart"/>
            <w:tcBorders>
              <w:tl2br w:val="nil"/>
              <w:tr2bl w:val="nil"/>
            </w:tcBorders>
            <w:noWrap w:val="0"/>
            <w:vAlign w:val="center"/>
          </w:tcPr>
          <w:p w14:paraId="72B15A2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pacing w:val="-6"/>
                <w:kern w:val="0"/>
                <w:sz w:val="24"/>
                <w:szCs w:val="24"/>
                <w:highlight w:val="none"/>
              </w:rPr>
              <w:t>拒不改正</w:t>
            </w:r>
            <w:r>
              <w:rPr>
                <w:rFonts w:hint="eastAsia" w:ascii="宋体" w:hAnsi="宋体" w:cs="宋体"/>
                <w:color w:val="auto"/>
                <w:spacing w:val="-6"/>
                <w:kern w:val="0"/>
                <w:sz w:val="24"/>
                <w:szCs w:val="24"/>
                <w:highlight w:val="none"/>
                <w:lang w:eastAsia="zh-CN"/>
              </w:rPr>
              <w:t>，且</w:t>
            </w:r>
            <w:r>
              <w:rPr>
                <w:rFonts w:hint="eastAsia" w:ascii="宋体" w:hAnsi="宋体" w:eastAsia="宋体" w:cs="宋体"/>
                <w:color w:val="auto"/>
                <w:spacing w:val="-6"/>
                <w:kern w:val="0"/>
                <w:sz w:val="24"/>
                <w:szCs w:val="24"/>
                <w:highlight w:val="none"/>
              </w:rPr>
              <w:t>已经造成不良影响或者违法行为持续时间较长的。</w:t>
            </w:r>
          </w:p>
        </w:tc>
        <w:tc>
          <w:tcPr>
            <w:tcW w:w="3267" w:type="dxa"/>
            <w:vMerge w:val="restart"/>
            <w:tcBorders>
              <w:tl2br w:val="nil"/>
              <w:tr2bl w:val="nil"/>
            </w:tcBorders>
            <w:noWrap w:val="0"/>
            <w:vAlign w:val="center"/>
          </w:tcPr>
          <w:p w14:paraId="60526E7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责令停产停业，</w:t>
            </w:r>
            <w:r>
              <w:rPr>
                <w:rFonts w:hint="eastAsia" w:ascii="宋体" w:hAnsi="宋体" w:cs="宋体"/>
                <w:color w:val="auto"/>
                <w:kern w:val="0"/>
                <w:sz w:val="24"/>
                <w:szCs w:val="24"/>
                <w:highlight w:val="none"/>
                <w:lang w:eastAsia="zh-CN"/>
              </w:rPr>
              <w:t>并</w:t>
            </w:r>
            <w:r>
              <w:rPr>
                <w:rFonts w:hint="eastAsia" w:ascii="宋体" w:hAnsi="宋体" w:eastAsia="宋体" w:cs="宋体"/>
                <w:color w:val="auto"/>
                <w:kern w:val="0"/>
                <w:sz w:val="24"/>
                <w:szCs w:val="24"/>
                <w:highlight w:val="none"/>
              </w:rPr>
              <w:t>处3.8万元以上5万元以下罚款。</w:t>
            </w:r>
          </w:p>
        </w:tc>
      </w:tr>
      <w:tr w14:paraId="0033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87" w:type="dxa"/>
            <w:vMerge w:val="continue"/>
            <w:tcBorders>
              <w:tl2br w:val="nil"/>
              <w:tr2bl w:val="nil"/>
            </w:tcBorders>
            <w:noWrap w:val="0"/>
            <w:vAlign w:val="center"/>
          </w:tcPr>
          <w:p w14:paraId="626FD28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C36455F">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2736598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vMerge w:val="continue"/>
            <w:tcBorders>
              <w:tl2br w:val="nil"/>
              <w:tr2bl w:val="nil"/>
            </w:tcBorders>
            <w:noWrap w:val="0"/>
            <w:vAlign w:val="center"/>
          </w:tcPr>
          <w:p w14:paraId="4E2B0257">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left"/>
              <w:textAlignment w:val="auto"/>
              <w:rPr>
                <w:rFonts w:hint="eastAsia" w:ascii="宋体" w:hAnsi="宋体" w:eastAsia="宋体" w:cs="宋体"/>
                <w:color w:val="auto"/>
                <w:kern w:val="0"/>
                <w:sz w:val="24"/>
                <w:szCs w:val="24"/>
                <w:highlight w:val="none"/>
              </w:rPr>
            </w:pPr>
          </w:p>
        </w:tc>
        <w:tc>
          <w:tcPr>
            <w:tcW w:w="3316" w:type="dxa"/>
            <w:vMerge w:val="continue"/>
            <w:tcBorders>
              <w:tl2br w:val="nil"/>
              <w:tr2bl w:val="nil"/>
            </w:tcBorders>
            <w:noWrap w:val="0"/>
            <w:vAlign w:val="center"/>
          </w:tcPr>
          <w:p w14:paraId="6D75EA9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p>
        </w:tc>
        <w:tc>
          <w:tcPr>
            <w:tcW w:w="3267" w:type="dxa"/>
            <w:vMerge w:val="continue"/>
            <w:tcBorders>
              <w:tl2br w:val="nil"/>
              <w:tr2bl w:val="nil"/>
            </w:tcBorders>
            <w:noWrap w:val="0"/>
            <w:vAlign w:val="center"/>
          </w:tcPr>
          <w:p w14:paraId="507F796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p>
        </w:tc>
      </w:tr>
      <w:tr w14:paraId="620B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787" w:type="dxa"/>
            <w:vMerge w:val="continue"/>
            <w:tcBorders>
              <w:tl2br w:val="nil"/>
              <w:tr2bl w:val="nil"/>
            </w:tcBorders>
            <w:noWrap w:val="0"/>
            <w:vAlign w:val="center"/>
          </w:tcPr>
          <w:p w14:paraId="5713F00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D3C4B30">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781D93B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D9ACEA0">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严重</w:t>
            </w:r>
          </w:p>
        </w:tc>
        <w:tc>
          <w:tcPr>
            <w:tcW w:w="3316" w:type="dxa"/>
            <w:tcBorders>
              <w:tl2br w:val="nil"/>
              <w:tr2bl w:val="nil"/>
            </w:tcBorders>
            <w:noWrap w:val="0"/>
            <w:vAlign w:val="center"/>
          </w:tcPr>
          <w:p w14:paraId="2CC97EC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cs="宋体"/>
                <w:i w:val="0"/>
                <w:iCs w:val="0"/>
                <w:caps w:val="0"/>
                <w:color w:val="auto"/>
                <w:spacing w:val="0"/>
                <w:kern w:val="0"/>
                <w:sz w:val="24"/>
                <w:szCs w:val="24"/>
                <w:highlight w:val="none"/>
                <w:shd w:val="clear" w:color="auto" w:fill="auto"/>
                <w:lang w:val="en-US" w:eastAsia="zh-CN"/>
              </w:rPr>
              <w:t>符合</w:t>
            </w:r>
            <w:r>
              <w:rPr>
                <w:rFonts w:hint="eastAsia" w:ascii="宋体" w:hAnsi="宋体" w:eastAsia="宋体" w:cs="宋体"/>
                <w:b w:val="0"/>
                <w:bCs w:val="0"/>
                <w:color w:val="auto"/>
                <w:kern w:val="0"/>
                <w:sz w:val="24"/>
                <w:szCs w:val="24"/>
                <w:highlight w:val="none"/>
              </w:rPr>
              <w:t>《中华人民共和国食品安全法</w:t>
            </w:r>
            <w:r>
              <w:rPr>
                <w:rFonts w:hint="eastAsia" w:ascii="宋体" w:hAnsi="宋体" w:cs="宋体"/>
                <w:b w:val="0"/>
                <w:bCs w:val="0"/>
                <w:color w:val="auto"/>
                <w:kern w:val="0"/>
                <w:sz w:val="24"/>
                <w:szCs w:val="24"/>
                <w:highlight w:val="none"/>
                <w:lang w:val="en-US" w:eastAsia="zh-CN"/>
              </w:rPr>
              <w:t>实施条例</w:t>
            </w:r>
            <w:r>
              <w:rPr>
                <w:rFonts w:hint="eastAsia" w:ascii="宋体" w:hAnsi="宋体" w:eastAsia="宋体" w:cs="宋体"/>
                <w:b w:val="0"/>
                <w:bCs w:val="0"/>
                <w:color w:val="auto"/>
                <w:kern w:val="0"/>
                <w:sz w:val="24"/>
                <w:szCs w:val="24"/>
                <w:highlight w:val="none"/>
              </w:rPr>
              <w:t>》</w:t>
            </w:r>
            <w:r>
              <w:rPr>
                <w:rFonts w:hint="eastAsia" w:ascii="宋体" w:hAnsi="宋体" w:cs="宋体"/>
                <w:b w:val="0"/>
                <w:bCs w:val="0"/>
                <w:color w:val="auto"/>
                <w:kern w:val="0"/>
                <w:sz w:val="24"/>
                <w:szCs w:val="24"/>
                <w:highlight w:val="none"/>
                <w:lang w:val="en-US" w:eastAsia="zh-CN"/>
              </w:rPr>
              <w:t>第六十七条规定的情节严重的情形。</w:t>
            </w:r>
          </w:p>
        </w:tc>
        <w:tc>
          <w:tcPr>
            <w:tcW w:w="3267" w:type="dxa"/>
            <w:tcBorders>
              <w:tl2br w:val="nil"/>
              <w:tr2bl w:val="nil"/>
            </w:tcBorders>
            <w:noWrap w:val="0"/>
            <w:vAlign w:val="center"/>
          </w:tcPr>
          <w:p w14:paraId="7140BD0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吊销许可证。</w:t>
            </w:r>
          </w:p>
        </w:tc>
      </w:tr>
      <w:tr w14:paraId="35F1D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87" w:type="dxa"/>
            <w:vMerge w:val="restart"/>
            <w:tcBorders>
              <w:tl2br w:val="nil"/>
              <w:tr2bl w:val="nil"/>
            </w:tcBorders>
            <w:noWrap w:val="0"/>
            <w:vAlign w:val="center"/>
          </w:tcPr>
          <w:p w14:paraId="79F54FF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249</w:t>
            </w:r>
          </w:p>
        </w:tc>
        <w:tc>
          <w:tcPr>
            <w:tcW w:w="1718" w:type="dxa"/>
            <w:vMerge w:val="restart"/>
            <w:tcBorders>
              <w:tl2br w:val="nil"/>
              <w:tr2bl w:val="nil"/>
            </w:tcBorders>
            <w:noWrap w:val="0"/>
            <w:vAlign w:val="center"/>
          </w:tcPr>
          <w:p w14:paraId="14C54F7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val="0"/>
                <w:bCs w:val="0"/>
                <w:color w:val="auto"/>
                <w:kern w:val="0"/>
                <w:sz w:val="24"/>
                <w:szCs w:val="24"/>
                <w:highlight w:val="none"/>
              </w:rPr>
              <w:t>《中华人民共和国食品安全法》</w:t>
            </w:r>
          </w:p>
        </w:tc>
        <w:tc>
          <w:tcPr>
            <w:tcW w:w="4132" w:type="dxa"/>
            <w:vMerge w:val="restart"/>
            <w:tcBorders>
              <w:tl2br w:val="nil"/>
              <w:tr2bl w:val="nil"/>
            </w:tcBorders>
            <w:noWrap w:val="0"/>
            <w:vAlign w:val="center"/>
          </w:tcPr>
          <w:p w14:paraId="16B7E3D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default"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第一百三十二条</w:t>
            </w:r>
            <w:r>
              <w:rPr>
                <w:rFonts w:hint="eastAsia" w:ascii="宋体" w:hAnsi="宋体" w:cs="宋体"/>
                <w:color w:val="auto"/>
                <w:kern w:val="0"/>
                <w:sz w:val="24"/>
                <w:szCs w:val="24"/>
                <w:highlight w:val="none"/>
                <w:lang w:val="en-US" w:eastAsia="zh-CN"/>
              </w:rPr>
              <w:t xml:space="preserve">第二款 </w:t>
            </w:r>
            <w:r>
              <w:rPr>
                <w:rFonts w:hint="eastAsia" w:ascii="宋体" w:hAnsi="宋体" w:eastAsia="宋体" w:cs="宋体"/>
                <w:i w:val="0"/>
                <w:iCs w:val="0"/>
                <w:caps w:val="0"/>
                <w:color w:val="auto"/>
                <w:spacing w:val="0"/>
                <w:kern w:val="0"/>
                <w:sz w:val="24"/>
                <w:szCs w:val="24"/>
                <w:highlight w:val="none"/>
                <w:shd w:val="clear" w:color="auto" w:fill="auto"/>
              </w:rPr>
              <w:t>违反本法规定，道路运输经营者未按要求进行重点液态食品散装运输的，依照前款规定给予处罚；情节严重的，除吊销许可证外，还应当处五万元以上五十万元以下罚款。</w:t>
            </w:r>
          </w:p>
        </w:tc>
        <w:tc>
          <w:tcPr>
            <w:tcW w:w="1133" w:type="dxa"/>
            <w:tcBorders>
              <w:tl2br w:val="nil"/>
              <w:tr2bl w:val="nil"/>
            </w:tcBorders>
            <w:noWrap w:val="0"/>
            <w:vAlign w:val="center"/>
          </w:tcPr>
          <w:p w14:paraId="6571FA0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5CBD909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2F29B04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责令停产停业，</w:t>
            </w:r>
            <w:r>
              <w:rPr>
                <w:rFonts w:hint="eastAsia" w:ascii="宋体" w:hAnsi="宋体" w:cs="宋体"/>
                <w:color w:val="auto"/>
                <w:kern w:val="0"/>
                <w:sz w:val="24"/>
                <w:szCs w:val="24"/>
                <w:highlight w:val="none"/>
                <w:lang w:eastAsia="zh-CN"/>
              </w:rPr>
              <w:t>并</w:t>
            </w:r>
            <w:r>
              <w:rPr>
                <w:rFonts w:hint="eastAsia" w:ascii="宋体" w:hAnsi="宋体" w:eastAsia="宋体" w:cs="宋体"/>
                <w:color w:val="auto"/>
                <w:kern w:val="0"/>
                <w:sz w:val="24"/>
                <w:szCs w:val="24"/>
                <w:highlight w:val="none"/>
              </w:rPr>
              <w:t>处1万元以上2.2万元以下罚款。</w:t>
            </w:r>
          </w:p>
        </w:tc>
      </w:tr>
      <w:tr w14:paraId="1323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787" w:type="dxa"/>
            <w:vMerge w:val="continue"/>
            <w:tcBorders>
              <w:tl2br w:val="nil"/>
              <w:tr2bl w:val="nil"/>
            </w:tcBorders>
            <w:noWrap w:val="0"/>
            <w:vAlign w:val="center"/>
          </w:tcPr>
          <w:p w14:paraId="7EBEB5C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17D90E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73F20AC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BC16BC1">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0C6CB82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7B2B4D5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责令停产停业，</w:t>
            </w:r>
            <w:r>
              <w:rPr>
                <w:rFonts w:hint="eastAsia" w:ascii="宋体" w:hAnsi="宋体" w:cs="宋体"/>
                <w:color w:val="auto"/>
                <w:kern w:val="0"/>
                <w:sz w:val="24"/>
                <w:szCs w:val="24"/>
                <w:highlight w:val="none"/>
                <w:lang w:eastAsia="zh-CN"/>
              </w:rPr>
              <w:t>并</w:t>
            </w:r>
            <w:r>
              <w:rPr>
                <w:rFonts w:hint="eastAsia" w:ascii="宋体" w:hAnsi="宋体" w:eastAsia="宋体" w:cs="宋体"/>
                <w:color w:val="auto"/>
                <w:kern w:val="0"/>
                <w:sz w:val="24"/>
                <w:szCs w:val="24"/>
                <w:highlight w:val="none"/>
              </w:rPr>
              <w:t>处2.2万元以上3.8万元以下罚款。</w:t>
            </w:r>
          </w:p>
        </w:tc>
      </w:tr>
      <w:tr w14:paraId="45DD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continue"/>
            <w:tcBorders>
              <w:tl2br w:val="nil"/>
              <w:tr2bl w:val="nil"/>
            </w:tcBorders>
            <w:noWrap w:val="0"/>
            <w:vAlign w:val="center"/>
          </w:tcPr>
          <w:p w14:paraId="75C411D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EF633B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F4A6CC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709BB86B">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5A6EB45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pacing w:val="-6"/>
                <w:kern w:val="0"/>
                <w:sz w:val="24"/>
                <w:szCs w:val="24"/>
                <w:highlight w:val="none"/>
              </w:rPr>
              <w:t>拒不改正</w:t>
            </w:r>
            <w:r>
              <w:rPr>
                <w:rFonts w:hint="eastAsia" w:ascii="宋体" w:hAnsi="宋体" w:cs="宋体"/>
                <w:color w:val="auto"/>
                <w:spacing w:val="-6"/>
                <w:kern w:val="0"/>
                <w:sz w:val="24"/>
                <w:szCs w:val="24"/>
                <w:highlight w:val="none"/>
                <w:lang w:eastAsia="zh-CN"/>
              </w:rPr>
              <w:t>，且</w:t>
            </w:r>
            <w:r>
              <w:rPr>
                <w:rFonts w:hint="eastAsia" w:ascii="宋体" w:hAnsi="宋体" w:eastAsia="宋体" w:cs="宋体"/>
                <w:color w:val="auto"/>
                <w:spacing w:val="-6"/>
                <w:kern w:val="0"/>
                <w:sz w:val="24"/>
                <w:szCs w:val="24"/>
                <w:highlight w:val="none"/>
              </w:rPr>
              <w:t>已经造成不良影响或者违法行为持续时间较长的。</w:t>
            </w:r>
          </w:p>
        </w:tc>
        <w:tc>
          <w:tcPr>
            <w:tcW w:w="3267" w:type="dxa"/>
            <w:tcBorders>
              <w:tl2br w:val="nil"/>
              <w:tr2bl w:val="nil"/>
            </w:tcBorders>
            <w:noWrap w:val="0"/>
            <w:vAlign w:val="center"/>
          </w:tcPr>
          <w:p w14:paraId="5D83955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责令停产停业，</w:t>
            </w:r>
            <w:r>
              <w:rPr>
                <w:rFonts w:hint="eastAsia" w:ascii="宋体" w:hAnsi="宋体" w:cs="宋体"/>
                <w:color w:val="auto"/>
                <w:kern w:val="0"/>
                <w:sz w:val="24"/>
                <w:szCs w:val="24"/>
                <w:highlight w:val="none"/>
                <w:lang w:eastAsia="zh-CN"/>
              </w:rPr>
              <w:t>并</w:t>
            </w:r>
            <w:r>
              <w:rPr>
                <w:rFonts w:hint="eastAsia" w:ascii="宋体" w:hAnsi="宋体" w:eastAsia="宋体" w:cs="宋体"/>
                <w:color w:val="auto"/>
                <w:kern w:val="0"/>
                <w:sz w:val="24"/>
                <w:szCs w:val="24"/>
                <w:highlight w:val="none"/>
              </w:rPr>
              <w:t>处3.8万元以上5万元以下罚款。</w:t>
            </w:r>
          </w:p>
        </w:tc>
      </w:tr>
      <w:tr w14:paraId="63EF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787" w:type="dxa"/>
            <w:vMerge w:val="continue"/>
            <w:tcBorders>
              <w:tl2br w:val="nil"/>
              <w:tr2bl w:val="nil"/>
            </w:tcBorders>
            <w:noWrap w:val="0"/>
            <w:vAlign w:val="center"/>
          </w:tcPr>
          <w:p w14:paraId="1F04F73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50539C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6FAF427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08639013">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严重</w:t>
            </w:r>
          </w:p>
        </w:tc>
        <w:tc>
          <w:tcPr>
            <w:tcW w:w="3316" w:type="dxa"/>
            <w:tcBorders>
              <w:tl2br w:val="nil"/>
              <w:tr2bl w:val="nil"/>
            </w:tcBorders>
            <w:noWrap w:val="0"/>
            <w:vAlign w:val="center"/>
          </w:tcPr>
          <w:p w14:paraId="7EB0673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cs="宋体"/>
                <w:i w:val="0"/>
                <w:iCs w:val="0"/>
                <w:caps w:val="0"/>
                <w:color w:val="auto"/>
                <w:spacing w:val="0"/>
                <w:kern w:val="0"/>
                <w:sz w:val="24"/>
                <w:szCs w:val="24"/>
                <w:highlight w:val="none"/>
                <w:shd w:val="clear" w:color="auto" w:fill="auto"/>
                <w:lang w:val="en-US" w:eastAsia="zh-CN"/>
              </w:rPr>
              <w:t>符合</w:t>
            </w:r>
            <w:r>
              <w:rPr>
                <w:rFonts w:hint="eastAsia" w:ascii="宋体" w:hAnsi="宋体" w:eastAsia="宋体" w:cs="宋体"/>
                <w:b w:val="0"/>
                <w:bCs w:val="0"/>
                <w:color w:val="auto"/>
                <w:kern w:val="0"/>
                <w:sz w:val="24"/>
                <w:szCs w:val="24"/>
                <w:highlight w:val="none"/>
              </w:rPr>
              <w:t>《中华人民共和国食品安全法</w:t>
            </w:r>
            <w:r>
              <w:rPr>
                <w:rFonts w:hint="eastAsia" w:ascii="宋体" w:hAnsi="宋体" w:cs="宋体"/>
                <w:b w:val="0"/>
                <w:bCs w:val="0"/>
                <w:color w:val="auto"/>
                <w:kern w:val="0"/>
                <w:sz w:val="24"/>
                <w:szCs w:val="24"/>
                <w:highlight w:val="none"/>
                <w:lang w:val="en-US" w:eastAsia="zh-CN"/>
              </w:rPr>
              <w:t>实施条例</w:t>
            </w:r>
            <w:r>
              <w:rPr>
                <w:rFonts w:hint="eastAsia" w:ascii="宋体" w:hAnsi="宋体" w:eastAsia="宋体" w:cs="宋体"/>
                <w:b w:val="0"/>
                <w:bCs w:val="0"/>
                <w:color w:val="auto"/>
                <w:kern w:val="0"/>
                <w:sz w:val="24"/>
                <w:szCs w:val="24"/>
                <w:highlight w:val="none"/>
              </w:rPr>
              <w:t>》</w:t>
            </w:r>
            <w:r>
              <w:rPr>
                <w:rFonts w:hint="eastAsia" w:ascii="宋体" w:hAnsi="宋体" w:cs="宋体"/>
                <w:b w:val="0"/>
                <w:bCs w:val="0"/>
                <w:color w:val="auto"/>
                <w:kern w:val="0"/>
                <w:sz w:val="24"/>
                <w:szCs w:val="24"/>
                <w:highlight w:val="none"/>
                <w:lang w:val="en-US" w:eastAsia="zh-CN"/>
              </w:rPr>
              <w:t>第六十七条规定的情节严重的情形。</w:t>
            </w:r>
          </w:p>
        </w:tc>
        <w:tc>
          <w:tcPr>
            <w:tcW w:w="3267" w:type="dxa"/>
            <w:tcBorders>
              <w:tl2br w:val="nil"/>
              <w:tr2bl w:val="nil"/>
            </w:tcBorders>
            <w:noWrap w:val="0"/>
            <w:vAlign w:val="center"/>
          </w:tcPr>
          <w:p w14:paraId="53B5B8F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i w:val="0"/>
                <w:iCs w:val="0"/>
                <w:caps w:val="0"/>
                <w:color w:val="auto"/>
                <w:spacing w:val="0"/>
                <w:kern w:val="0"/>
                <w:sz w:val="24"/>
                <w:szCs w:val="24"/>
                <w:highlight w:val="none"/>
                <w:shd w:val="clear" w:color="auto" w:fill="auto"/>
              </w:rPr>
              <w:t>吊销许可证，处</w:t>
            </w:r>
            <w:r>
              <w:rPr>
                <w:rFonts w:hint="eastAsia" w:ascii="宋体" w:hAnsi="宋体" w:cs="宋体"/>
                <w:i w:val="0"/>
                <w:iCs w:val="0"/>
                <w:caps w:val="0"/>
                <w:color w:val="auto"/>
                <w:spacing w:val="0"/>
                <w:kern w:val="0"/>
                <w:sz w:val="24"/>
                <w:szCs w:val="24"/>
                <w:highlight w:val="none"/>
                <w:shd w:val="clear" w:color="auto" w:fill="auto"/>
                <w:lang w:val="en-US" w:eastAsia="zh-CN"/>
              </w:rPr>
              <w:t>5</w:t>
            </w:r>
            <w:r>
              <w:rPr>
                <w:rFonts w:hint="eastAsia" w:ascii="宋体" w:hAnsi="宋体" w:eastAsia="宋体" w:cs="宋体"/>
                <w:i w:val="0"/>
                <w:iCs w:val="0"/>
                <w:caps w:val="0"/>
                <w:color w:val="auto"/>
                <w:spacing w:val="0"/>
                <w:kern w:val="0"/>
                <w:sz w:val="24"/>
                <w:szCs w:val="24"/>
                <w:highlight w:val="none"/>
                <w:shd w:val="clear" w:color="auto" w:fill="auto"/>
              </w:rPr>
              <w:t>万元以上</w:t>
            </w:r>
            <w:r>
              <w:rPr>
                <w:rFonts w:hint="eastAsia" w:ascii="宋体" w:hAnsi="宋体" w:cs="宋体"/>
                <w:i w:val="0"/>
                <w:iCs w:val="0"/>
                <w:caps w:val="0"/>
                <w:color w:val="auto"/>
                <w:spacing w:val="0"/>
                <w:kern w:val="0"/>
                <w:sz w:val="24"/>
                <w:szCs w:val="24"/>
                <w:highlight w:val="none"/>
                <w:shd w:val="clear" w:color="auto" w:fill="auto"/>
                <w:lang w:val="en-US" w:eastAsia="zh-CN"/>
              </w:rPr>
              <w:t>50</w:t>
            </w:r>
            <w:r>
              <w:rPr>
                <w:rFonts w:hint="eastAsia" w:ascii="宋体" w:hAnsi="宋体" w:eastAsia="宋体" w:cs="宋体"/>
                <w:i w:val="0"/>
                <w:iCs w:val="0"/>
                <w:caps w:val="0"/>
                <w:color w:val="auto"/>
                <w:spacing w:val="0"/>
                <w:kern w:val="0"/>
                <w:sz w:val="24"/>
                <w:szCs w:val="24"/>
                <w:highlight w:val="none"/>
                <w:shd w:val="clear" w:color="auto" w:fill="auto"/>
              </w:rPr>
              <w:t>万元以下罚款。</w:t>
            </w:r>
          </w:p>
        </w:tc>
      </w:tr>
      <w:tr w14:paraId="755A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4" w:hRule="atLeast"/>
          <w:jc w:val="center"/>
        </w:trPr>
        <w:tc>
          <w:tcPr>
            <w:tcW w:w="787" w:type="dxa"/>
            <w:vMerge w:val="restart"/>
            <w:tcBorders>
              <w:tl2br w:val="nil"/>
              <w:tr2bl w:val="nil"/>
            </w:tcBorders>
            <w:noWrap w:val="0"/>
            <w:vAlign w:val="center"/>
          </w:tcPr>
          <w:p w14:paraId="3490397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250</w:t>
            </w:r>
          </w:p>
        </w:tc>
        <w:tc>
          <w:tcPr>
            <w:tcW w:w="1718" w:type="dxa"/>
            <w:vMerge w:val="restart"/>
            <w:tcBorders>
              <w:tl2br w:val="nil"/>
              <w:tr2bl w:val="nil"/>
            </w:tcBorders>
            <w:noWrap w:val="0"/>
            <w:vAlign w:val="center"/>
          </w:tcPr>
          <w:p w14:paraId="1D50F5FA">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val="0"/>
                <w:bCs w:val="0"/>
                <w:color w:val="auto"/>
                <w:kern w:val="0"/>
                <w:sz w:val="24"/>
                <w:szCs w:val="24"/>
                <w:highlight w:val="none"/>
              </w:rPr>
              <w:t>《中华人民共和国食品安全法》</w:t>
            </w:r>
          </w:p>
        </w:tc>
        <w:tc>
          <w:tcPr>
            <w:tcW w:w="4132" w:type="dxa"/>
            <w:vMerge w:val="restart"/>
            <w:tcBorders>
              <w:tl2br w:val="nil"/>
              <w:tr2bl w:val="nil"/>
            </w:tcBorders>
            <w:noWrap w:val="0"/>
            <w:vAlign w:val="center"/>
          </w:tcPr>
          <w:p w14:paraId="3DCD932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第一百三十二条</w:t>
            </w:r>
            <w:r>
              <w:rPr>
                <w:rFonts w:hint="eastAsia" w:ascii="宋体" w:hAnsi="宋体" w:cs="宋体"/>
                <w:color w:val="auto"/>
                <w:kern w:val="0"/>
                <w:sz w:val="24"/>
                <w:szCs w:val="24"/>
                <w:highlight w:val="none"/>
                <w:lang w:val="en-US" w:eastAsia="zh-CN"/>
              </w:rPr>
              <w:t xml:space="preserve">第三款 </w:t>
            </w:r>
            <w:r>
              <w:rPr>
                <w:rFonts w:hint="eastAsia" w:ascii="宋体" w:hAnsi="宋体" w:eastAsia="宋体" w:cs="宋体"/>
                <w:i w:val="0"/>
                <w:iCs w:val="0"/>
                <w:caps w:val="0"/>
                <w:color w:val="auto"/>
                <w:spacing w:val="0"/>
                <w:kern w:val="0"/>
                <w:sz w:val="24"/>
                <w:szCs w:val="24"/>
                <w:highlight w:val="none"/>
                <w:shd w:val="clear" w:color="auto" w:fill="auto"/>
              </w:rPr>
              <w:t>违反本法规定，未取得准运证从事重点液态食品道路散装运输的，由县级以上人民政府食品安全监督管理部门责令停止重点液态食品道路散装运输经营，没收违法所得，并处五万元以上五十万元以下罚款。</w:t>
            </w:r>
          </w:p>
        </w:tc>
        <w:tc>
          <w:tcPr>
            <w:tcW w:w="1133" w:type="dxa"/>
            <w:tcBorders>
              <w:tl2br w:val="nil"/>
              <w:tr2bl w:val="nil"/>
            </w:tcBorders>
            <w:noWrap w:val="0"/>
            <w:vAlign w:val="center"/>
          </w:tcPr>
          <w:p w14:paraId="0BBE917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258C04A8">
            <w:pPr>
              <w:pStyle w:val="17"/>
              <w:keepNext w:val="0"/>
              <w:keepLines w:val="0"/>
              <w:pageBreakBefore w:val="0"/>
              <w:widowControl w:val="0"/>
              <w:tabs>
                <w:tab w:val="left" w:pos="1053"/>
              </w:tabs>
              <w:kinsoku/>
              <w:wordWrap/>
              <w:overflowPunct/>
              <w:topLinePunct w:val="0"/>
              <w:autoSpaceDE/>
              <w:autoSpaceDN/>
              <w:bidi w:val="0"/>
              <w:adjustRightInd/>
              <w:snapToGrid/>
              <w:spacing w:line="400" w:lineRule="exact"/>
              <w:ind w:left="61" w:leftChars="30" w:right="61" w:rightChars="30"/>
              <w:jc w:val="both"/>
              <w:textAlignment w:val="auto"/>
              <w:rPr>
                <w:rFonts w:hint="eastAsia"/>
                <w:color w:val="auto"/>
                <w:lang w:val="en-US" w:eastAsia="zh-CN"/>
              </w:rPr>
            </w:pPr>
            <w:r>
              <w:rPr>
                <w:rFonts w:hint="eastAsia" w:cs="宋体"/>
                <w:b w:val="0"/>
                <w:bCs w:val="0"/>
                <w:color w:val="auto"/>
                <w:spacing w:val="0"/>
                <w:kern w:val="21"/>
                <w:sz w:val="24"/>
                <w:szCs w:val="24"/>
                <w:lang w:val="en-US" w:eastAsia="zh-CN"/>
              </w:rPr>
              <w:t>运输的食品</w:t>
            </w:r>
            <w:r>
              <w:rPr>
                <w:rFonts w:hint="eastAsia" w:ascii="宋体" w:hAnsi="宋体" w:eastAsia="宋体" w:cs="宋体"/>
                <w:b w:val="0"/>
                <w:bCs w:val="0"/>
                <w:color w:val="auto"/>
                <w:spacing w:val="0"/>
                <w:kern w:val="21"/>
                <w:sz w:val="24"/>
                <w:szCs w:val="24"/>
                <w:lang w:val="en-US" w:eastAsia="zh-CN"/>
              </w:rPr>
              <w:t>货值金额</w:t>
            </w:r>
            <w:r>
              <w:rPr>
                <w:rFonts w:hint="eastAsia" w:cs="宋体"/>
                <w:b w:val="0"/>
                <w:bCs w:val="0"/>
                <w:color w:val="auto"/>
                <w:spacing w:val="0"/>
                <w:kern w:val="21"/>
                <w:sz w:val="24"/>
                <w:szCs w:val="24"/>
                <w:lang w:val="en-US" w:eastAsia="zh-CN"/>
              </w:rPr>
              <w:t>5万</w:t>
            </w:r>
            <w:r>
              <w:rPr>
                <w:rFonts w:hint="eastAsia" w:ascii="宋体" w:hAnsi="宋体" w:eastAsia="宋体" w:cs="宋体"/>
                <w:b w:val="0"/>
                <w:bCs w:val="0"/>
                <w:color w:val="auto"/>
                <w:spacing w:val="0"/>
                <w:kern w:val="21"/>
                <w:sz w:val="24"/>
                <w:szCs w:val="24"/>
                <w:lang w:val="en-US" w:eastAsia="zh-CN"/>
              </w:rPr>
              <w:t>元以下的</w:t>
            </w:r>
            <w:r>
              <w:rPr>
                <w:rFonts w:hint="eastAsia" w:cs="宋体"/>
                <w:b w:val="0"/>
                <w:bCs w:val="0"/>
                <w:color w:val="auto"/>
                <w:spacing w:val="0"/>
                <w:kern w:val="21"/>
                <w:sz w:val="24"/>
                <w:szCs w:val="24"/>
                <w:lang w:val="en-US" w:eastAsia="zh-CN"/>
              </w:rPr>
              <w:t>，</w:t>
            </w:r>
            <w:r>
              <w:rPr>
                <w:rFonts w:hint="eastAsia" w:ascii="宋体" w:hAnsi="宋体" w:eastAsia="宋体" w:cs="宋体"/>
                <w:b w:val="0"/>
                <w:bCs w:val="0"/>
                <w:color w:val="auto"/>
                <w:spacing w:val="0"/>
                <w:kern w:val="21"/>
                <w:sz w:val="24"/>
                <w:szCs w:val="24"/>
                <w:lang w:val="en-US" w:eastAsia="zh-CN"/>
              </w:rPr>
              <w:t>未造成人体健康和人身、财产受损</w:t>
            </w:r>
            <w:r>
              <w:rPr>
                <w:rFonts w:hint="eastAsia" w:cs="宋体"/>
                <w:b w:val="0"/>
                <w:bCs w:val="0"/>
                <w:color w:val="auto"/>
                <w:spacing w:val="0"/>
                <w:kern w:val="21"/>
                <w:sz w:val="24"/>
                <w:szCs w:val="24"/>
                <w:lang w:val="en-US" w:eastAsia="zh-CN"/>
              </w:rPr>
              <w:t>。</w:t>
            </w:r>
            <w:r>
              <w:rPr>
                <w:rFonts w:hint="eastAsia" w:ascii="宋体" w:hAnsi="宋体" w:eastAsia="宋体" w:cs="宋体"/>
                <w:b w:val="0"/>
                <w:bCs w:val="0"/>
                <w:color w:val="auto"/>
                <w:spacing w:val="0"/>
                <w:kern w:val="21"/>
                <w:sz w:val="24"/>
                <w:szCs w:val="24"/>
                <w:lang w:val="en-US" w:eastAsia="zh-CN"/>
              </w:rPr>
              <w:br w:type="textWrapping"/>
            </w:r>
          </w:p>
        </w:tc>
        <w:tc>
          <w:tcPr>
            <w:tcW w:w="3267" w:type="dxa"/>
            <w:tcBorders>
              <w:tl2br w:val="nil"/>
              <w:tr2bl w:val="nil"/>
            </w:tcBorders>
            <w:noWrap w:val="0"/>
            <w:vAlign w:val="center"/>
          </w:tcPr>
          <w:p w14:paraId="5307F245">
            <w:pPr>
              <w:keepNext w:val="0"/>
              <w:keepLines w:val="0"/>
              <w:pageBreakBefore w:val="0"/>
              <w:widowControl/>
              <w:kinsoku/>
              <w:wordWrap/>
              <w:overflowPunct/>
              <w:topLinePunct w:val="0"/>
              <w:autoSpaceDE/>
              <w:autoSpaceDN/>
              <w:bidi w:val="0"/>
              <w:adjustRightInd/>
              <w:snapToGrid/>
              <w:spacing w:before="118" w:beforeLines="20" w:beforeAutospacing="0" w:after="118" w:afterLines="20" w:afterAutospacing="0" w:line="41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没收违法所得和违法生产经营的食品、食品添加剂以及用于违法生产经营的工具、设备、原料等物品；并处5万元以上</w:t>
            </w:r>
            <w:r>
              <w:rPr>
                <w:rFonts w:hint="eastAsia" w:ascii="宋体" w:hAnsi="宋体" w:cs="宋体"/>
                <w:color w:val="auto"/>
                <w:kern w:val="0"/>
                <w:sz w:val="24"/>
                <w:szCs w:val="24"/>
                <w:highlight w:val="none"/>
                <w:lang w:val="en-US" w:eastAsia="zh-CN"/>
              </w:rPr>
              <w:t>18</w:t>
            </w:r>
            <w:r>
              <w:rPr>
                <w:rFonts w:hint="eastAsia" w:ascii="宋体" w:hAnsi="宋体" w:eastAsia="宋体" w:cs="宋体"/>
                <w:color w:val="auto"/>
                <w:kern w:val="0"/>
                <w:sz w:val="24"/>
                <w:szCs w:val="24"/>
                <w:highlight w:val="none"/>
              </w:rPr>
              <w:t>.5万元以下罚款。</w:t>
            </w:r>
          </w:p>
        </w:tc>
      </w:tr>
      <w:tr w14:paraId="34AE7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4" w:hRule="atLeast"/>
          <w:jc w:val="center"/>
        </w:trPr>
        <w:tc>
          <w:tcPr>
            <w:tcW w:w="787" w:type="dxa"/>
            <w:vMerge w:val="continue"/>
            <w:tcBorders>
              <w:tl2br w:val="nil"/>
              <w:tr2bl w:val="nil"/>
            </w:tcBorders>
            <w:noWrap w:val="0"/>
            <w:vAlign w:val="center"/>
          </w:tcPr>
          <w:p w14:paraId="3F72317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7A1EAE6">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1DA09B7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15B5520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6A76A743">
            <w:pPr>
              <w:pStyle w:val="17"/>
              <w:keepNext w:val="0"/>
              <w:keepLines w:val="0"/>
              <w:pageBreakBefore w:val="0"/>
              <w:widowControl w:val="0"/>
              <w:tabs>
                <w:tab w:val="left" w:pos="1053"/>
              </w:tabs>
              <w:kinsoku/>
              <w:wordWrap/>
              <w:overflowPunct/>
              <w:topLinePunct w:val="0"/>
              <w:autoSpaceDE/>
              <w:autoSpaceDN/>
              <w:bidi w:val="0"/>
              <w:adjustRightInd/>
              <w:snapToGrid/>
              <w:spacing w:line="400" w:lineRule="exact"/>
              <w:ind w:left="61" w:leftChars="30" w:right="61" w:rightChars="30"/>
              <w:jc w:val="both"/>
              <w:textAlignment w:val="auto"/>
              <w:rPr>
                <w:rFonts w:hint="eastAsia" w:ascii="宋体" w:hAnsi="宋体" w:eastAsia="宋体" w:cs="宋体"/>
                <w:color w:val="auto"/>
                <w:kern w:val="0"/>
                <w:sz w:val="24"/>
                <w:szCs w:val="24"/>
                <w:highlight w:val="none"/>
                <w:lang w:val="en-US" w:eastAsia="zh-CN" w:bidi="ar-SA"/>
              </w:rPr>
            </w:pPr>
            <w:r>
              <w:rPr>
                <w:rFonts w:hint="eastAsia" w:cs="宋体"/>
                <w:b w:val="0"/>
                <w:bCs w:val="0"/>
                <w:color w:val="auto"/>
                <w:spacing w:val="0"/>
                <w:kern w:val="21"/>
                <w:sz w:val="24"/>
                <w:szCs w:val="24"/>
                <w:lang w:val="en-US" w:eastAsia="zh-CN"/>
              </w:rPr>
              <w:t>运输的食品</w:t>
            </w:r>
            <w:r>
              <w:rPr>
                <w:rFonts w:hint="eastAsia" w:ascii="宋体" w:hAnsi="宋体" w:eastAsia="宋体" w:cs="宋体"/>
                <w:b w:val="0"/>
                <w:bCs w:val="0"/>
                <w:color w:val="auto"/>
                <w:spacing w:val="0"/>
                <w:kern w:val="21"/>
                <w:sz w:val="24"/>
                <w:szCs w:val="24"/>
                <w:lang w:val="en-US" w:eastAsia="zh-CN"/>
              </w:rPr>
              <w:t>货值金额</w:t>
            </w:r>
            <w:r>
              <w:rPr>
                <w:rFonts w:hint="eastAsia" w:cs="宋体"/>
                <w:b w:val="0"/>
                <w:bCs w:val="0"/>
                <w:color w:val="auto"/>
                <w:spacing w:val="0"/>
                <w:kern w:val="21"/>
                <w:sz w:val="24"/>
                <w:szCs w:val="24"/>
                <w:lang w:val="en-US" w:eastAsia="zh-CN"/>
              </w:rPr>
              <w:t>5万</w:t>
            </w:r>
            <w:r>
              <w:rPr>
                <w:rFonts w:hint="eastAsia" w:ascii="宋体" w:hAnsi="宋体" w:eastAsia="宋体" w:cs="宋体"/>
                <w:b w:val="0"/>
                <w:bCs w:val="0"/>
                <w:color w:val="auto"/>
                <w:spacing w:val="0"/>
                <w:kern w:val="21"/>
                <w:sz w:val="24"/>
                <w:szCs w:val="24"/>
                <w:lang w:val="en-US" w:eastAsia="zh-CN"/>
              </w:rPr>
              <w:t>元</w:t>
            </w:r>
            <w:r>
              <w:rPr>
                <w:rFonts w:hint="eastAsia" w:cs="宋体"/>
                <w:b w:val="0"/>
                <w:bCs w:val="0"/>
                <w:color w:val="auto"/>
                <w:spacing w:val="0"/>
                <w:kern w:val="21"/>
                <w:sz w:val="24"/>
                <w:szCs w:val="24"/>
                <w:lang w:val="en-US" w:eastAsia="zh-CN"/>
              </w:rPr>
              <w:t>以上10万元</w:t>
            </w:r>
            <w:r>
              <w:rPr>
                <w:rFonts w:hint="eastAsia" w:ascii="宋体" w:hAnsi="宋体" w:eastAsia="宋体" w:cs="宋体"/>
                <w:b w:val="0"/>
                <w:bCs w:val="0"/>
                <w:color w:val="auto"/>
                <w:spacing w:val="0"/>
                <w:kern w:val="21"/>
                <w:sz w:val="24"/>
                <w:szCs w:val="24"/>
                <w:lang w:val="en-US" w:eastAsia="zh-CN"/>
              </w:rPr>
              <w:t>以下的</w:t>
            </w:r>
            <w:r>
              <w:rPr>
                <w:rFonts w:hint="eastAsia" w:cs="宋体"/>
                <w:b w:val="0"/>
                <w:bCs w:val="0"/>
                <w:color w:val="auto"/>
                <w:spacing w:val="0"/>
                <w:kern w:val="21"/>
                <w:sz w:val="24"/>
                <w:szCs w:val="24"/>
                <w:lang w:val="en-US" w:eastAsia="zh-CN"/>
              </w:rPr>
              <w:t>；</w:t>
            </w:r>
            <w:r>
              <w:rPr>
                <w:rFonts w:hint="eastAsia" w:ascii="宋体" w:hAnsi="宋体" w:eastAsia="宋体" w:cs="宋体"/>
                <w:b w:val="0"/>
                <w:bCs w:val="0"/>
                <w:color w:val="auto"/>
                <w:spacing w:val="0"/>
                <w:kern w:val="21"/>
                <w:sz w:val="24"/>
                <w:szCs w:val="24"/>
                <w:lang w:val="en-US" w:eastAsia="zh-CN"/>
              </w:rPr>
              <w:t>造成</w:t>
            </w:r>
            <w:r>
              <w:rPr>
                <w:rFonts w:hint="eastAsia" w:cs="宋体"/>
                <w:b w:val="0"/>
                <w:bCs w:val="0"/>
                <w:color w:val="auto"/>
                <w:spacing w:val="0"/>
                <w:kern w:val="21"/>
                <w:sz w:val="24"/>
                <w:szCs w:val="24"/>
                <w:lang w:val="en-US" w:eastAsia="zh-CN"/>
              </w:rPr>
              <w:t>一定的</w:t>
            </w:r>
            <w:r>
              <w:rPr>
                <w:rFonts w:hint="eastAsia" w:ascii="宋体" w:hAnsi="宋体" w:eastAsia="宋体" w:cs="宋体"/>
                <w:b w:val="0"/>
                <w:bCs w:val="0"/>
                <w:color w:val="auto"/>
                <w:spacing w:val="0"/>
                <w:kern w:val="21"/>
                <w:sz w:val="24"/>
                <w:szCs w:val="24"/>
                <w:lang w:val="en-US" w:eastAsia="zh-CN"/>
              </w:rPr>
              <w:t>人体健康和人身、财产受损</w:t>
            </w:r>
            <w:r>
              <w:rPr>
                <w:rFonts w:hint="eastAsia" w:cs="宋体"/>
                <w:b w:val="0"/>
                <w:bCs w:val="0"/>
                <w:color w:val="auto"/>
                <w:spacing w:val="0"/>
                <w:kern w:val="21"/>
                <w:sz w:val="24"/>
                <w:szCs w:val="24"/>
                <w:lang w:val="en-US" w:eastAsia="zh-CN"/>
              </w:rPr>
              <w:t>。</w:t>
            </w:r>
          </w:p>
        </w:tc>
        <w:tc>
          <w:tcPr>
            <w:tcW w:w="3267" w:type="dxa"/>
            <w:tcBorders>
              <w:tl2br w:val="nil"/>
              <w:tr2bl w:val="nil"/>
            </w:tcBorders>
            <w:noWrap w:val="0"/>
            <w:vAlign w:val="center"/>
          </w:tcPr>
          <w:p w14:paraId="212DB9DC">
            <w:pPr>
              <w:keepNext w:val="0"/>
              <w:keepLines w:val="0"/>
              <w:pageBreakBefore w:val="0"/>
              <w:widowControl/>
              <w:kinsoku/>
              <w:wordWrap/>
              <w:overflowPunct/>
              <w:topLinePunct w:val="0"/>
              <w:autoSpaceDE/>
              <w:autoSpaceDN/>
              <w:bidi w:val="0"/>
              <w:adjustRightInd/>
              <w:snapToGrid/>
              <w:spacing w:before="118" w:beforeLines="20" w:beforeAutospacing="0" w:after="118" w:afterLines="20" w:afterAutospacing="0" w:line="41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没收违法所得和违法生产经营的食品、食品添加剂以及用于违法生产经营的工具、设备、原料等物品；并处</w:t>
            </w:r>
            <w:r>
              <w:rPr>
                <w:rFonts w:hint="eastAsia" w:ascii="宋体" w:hAnsi="宋体" w:cs="宋体"/>
                <w:color w:val="auto"/>
                <w:kern w:val="0"/>
                <w:sz w:val="24"/>
                <w:szCs w:val="24"/>
                <w:highlight w:val="none"/>
                <w:lang w:val="en-US" w:eastAsia="zh-CN"/>
              </w:rPr>
              <w:t>18</w:t>
            </w:r>
            <w:r>
              <w:rPr>
                <w:rFonts w:hint="eastAsia" w:ascii="宋体" w:hAnsi="宋体" w:eastAsia="宋体" w:cs="宋体"/>
                <w:color w:val="auto"/>
                <w:kern w:val="0"/>
                <w:sz w:val="24"/>
                <w:szCs w:val="24"/>
                <w:highlight w:val="none"/>
              </w:rPr>
              <w:t>.5万元以上</w:t>
            </w:r>
            <w:r>
              <w:rPr>
                <w:rFonts w:hint="eastAsia" w:ascii="宋体" w:hAnsi="宋体" w:cs="宋体"/>
                <w:color w:val="auto"/>
                <w:kern w:val="0"/>
                <w:sz w:val="24"/>
                <w:szCs w:val="24"/>
                <w:highlight w:val="none"/>
                <w:lang w:val="en-US" w:eastAsia="zh-CN"/>
              </w:rPr>
              <w:t>36</w:t>
            </w:r>
            <w:r>
              <w:rPr>
                <w:rFonts w:hint="eastAsia" w:ascii="宋体" w:hAnsi="宋体" w:eastAsia="宋体" w:cs="宋体"/>
                <w:color w:val="auto"/>
                <w:kern w:val="0"/>
                <w:sz w:val="24"/>
                <w:szCs w:val="24"/>
                <w:highlight w:val="none"/>
              </w:rPr>
              <w:t>.5万元以下罚款。</w:t>
            </w:r>
          </w:p>
        </w:tc>
      </w:tr>
      <w:tr w14:paraId="1457D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jc w:val="center"/>
        </w:trPr>
        <w:tc>
          <w:tcPr>
            <w:tcW w:w="787" w:type="dxa"/>
            <w:vMerge w:val="continue"/>
            <w:tcBorders>
              <w:tl2br w:val="nil"/>
              <w:tr2bl w:val="nil"/>
            </w:tcBorders>
            <w:noWrap w:val="0"/>
            <w:vAlign w:val="center"/>
          </w:tcPr>
          <w:p w14:paraId="399B7FE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EF3E2A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6A0132A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50AE7A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233C484A">
            <w:pPr>
              <w:pStyle w:val="17"/>
              <w:keepNext w:val="0"/>
              <w:keepLines w:val="0"/>
              <w:pageBreakBefore w:val="0"/>
              <w:widowControl w:val="0"/>
              <w:tabs>
                <w:tab w:val="left" w:pos="1053"/>
              </w:tabs>
              <w:kinsoku/>
              <w:wordWrap/>
              <w:overflowPunct/>
              <w:topLinePunct w:val="0"/>
              <w:autoSpaceDE/>
              <w:autoSpaceDN/>
              <w:bidi w:val="0"/>
              <w:adjustRightInd/>
              <w:snapToGrid/>
              <w:spacing w:line="400" w:lineRule="exact"/>
              <w:ind w:left="61" w:leftChars="30" w:right="61" w:rightChars="30"/>
              <w:jc w:val="both"/>
              <w:textAlignment w:val="auto"/>
              <w:rPr>
                <w:rFonts w:hint="eastAsia" w:ascii="宋体" w:hAnsi="宋体" w:eastAsia="宋体" w:cs="宋体"/>
                <w:color w:val="auto"/>
                <w:kern w:val="0"/>
                <w:sz w:val="24"/>
                <w:szCs w:val="24"/>
                <w:highlight w:val="none"/>
                <w:lang w:val="en-US" w:eastAsia="zh-CN" w:bidi="ar-SA"/>
              </w:rPr>
            </w:pPr>
            <w:r>
              <w:rPr>
                <w:rFonts w:hint="eastAsia" w:cs="宋体"/>
                <w:b w:val="0"/>
                <w:bCs w:val="0"/>
                <w:color w:val="auto"/>
                <w:spacing w:val="0"/>
                <w:kern w:val="21"/>
                <w:sz w:val="24"/>
                <w:szCs w:val="24"/>
                <w:lang w:val="en-US" w:eastAsia="zh-CN"/>
              </w:rPr>
              <w:t>运输的食品</w:t>
            </w:r>
            <w:r>
              <w:rPr>
                <w:rFonts w:hint="eastAsia" w:ascii="宋体" w:hAnsi="宋体" w:eastAsia="宋体" w:cs="宋体"/>
                <w:b w:val="0"/>
                <w:bCs w:val="0"/>
                <w:color w:val="auto"/>
                <w:spacing w:val="0"/>
                <w:kern w:val="21"/>
                <w:sz w:val="24"/>
                <w:szCs w:val="24"/>
                <w:lang w:val="en-US" w:eastAsia="zh-CN"/>
              </w:rPr>
              <w:t>货值金额</w:t>
            </w:r>
            <w:r>
              <w:rPr>
                <w:rFonts w:hint="eastAsia" w:cs="宋体"/>
                <w:b w:val="0"/>
                <w:bCs w:val="0"/>
                <w:color w:val="auto"/>
                <w:spacing w:val="0"/>
                <w:kern w:val="21"/>
                <w:sz w:val="24"/>
                <w:szCs w:val="24"/>
                <w:lang w:val="en-US" w:eastAsia="zh-CN"/>
              </w:rPr>
              <w:t>10万</w:t>
            </w:r>
            <w:r>
              <w:rPr>
                <w:rFonts w:hint="eastAsia" w:ascii="宋体" w:hAnsi="宋体" w:eastAsia="宋体" w:cs="宋体"/>
                <w:b w:val="0"/>
                <w:bCs w:val="0"/>
                <w:color w:val="auto"/>
                <w:spacing w:val="0"/>
                <w:kern w:val="21"/>
                <w:sz w:val="24"/>
                <w:szCs w:val="24"/>
                <w:lang w:val="en-US" w:eastAsia="zh-CN"/>
              </w:rPr>
              <w:t>元</w:t>
            </w:r>
            <w:r>
              <w:rPr>
                <w:rFonts w:hint="eastAsia" w:cs="宋体"/>
                <w:b w:val="0"/>
                <w:bCs w:val="0"/>
                <w:color w:val="auto"/>
                <w:spacing w:val="0"/>
                <w:kern w:val="21"/>
                <w:sz w:val="24"/>
                <w:szCs w:val="24"/>
                <w:lang w:val="en-US" w:eastAsia="zh-CN"/>
              </w:rPr>
              <w:t>以上</w:t>
            </w:r>
            <w:r>
              <w:rPr>
                <w:rFonts w:hint="eastAsia" w:ascii="宋体" w:hAnsi="宋体" w:eastAsia="宋体" w:cs="宋体"/>
                <w:b w:val="0"/>
                <w:bCs w:val="0"/>
                <w:color w:val="auto"/>
                <w:spacing w:val="0"/>
                <w:kern w:val="21"/>
                <w:sz w:val="24"/>
                <w:szCs w:val="24"/>
                <w:lang w:val="en-US" w:eastAsia="zh-CN"/>
              </w:rPr>
              <w:t>的</w:t>
            </w:r>
            <w:r>
              <w:rPr>
                <w:rFonts w:hint="eastAsia" w:cs="宋体"/>
                <w:b w:val="0"/>
                <w:bCs w:val="0"/>
                <w:color w:val="auto"/>
                <w:spacing w:val="0"/>
                <w:kern w:val="21"/>
                <w:sz w:val="24"/>
                <w:szCs w:val="24"/>
                <w:lang w:val="en-US" w:eastAsia="zh-CN"/>
              </w:rPr>
              <w:t>，</w:t>
            </w:r>
            <w:r>
              <w:rPr>
                <w:rFonts w:hint="eastAsia" w:ascii="宋体" w:hAnsi="宋体" w:eastAsia="宋体" w:cs="宋体"/>
                <w:b w:val="0"/>
                <w:bCs w:val="0"/>
                <w:color w:val="auto"/>
                <w:spacing w:val="0"/>
                <w:kern w:val="21"/>
                <w:sz w:val="24"/>
                <w:szCs w:val="24"/>
                <w:lang w:val="en-US" w:eastAsia="zh-CN"/>
              </w:rPr>
              <w:t>造成严重</w:t>
            </w:r>
            <w:r>
              <w:rPr>
                <w:rFonts w:hint="eastAsia" w:cs="宋体"/>
                <w:b w:val="0"/>
                <w:bCs w:val="0"/>
                <w:color w:val="auto"/>
                <w:spacing w:val="0"/>
                <w:kern w:val="21"/>
                <w:sz w:val="24"/>
                <w:szCs w:val="24"/>
                <w:lang w:val="en-US" w:eastAsia="zh-CN"/>
              </w:rPr>
              <w:t>的</w:t>
            </w:r>
            <w:r>
              <w:rPr>
                <w:rFonts w:hint="eastAsia" w:ascii="宋体" w:hAnsi="宋体" w:eastAsia="宋体" w:cs="宋体"/>
                <w:b w:val="0"/>
                <w:bCs w:val="0"/>
                <w:color w:val="auto"/>
                <w:spacing w:val="0"/>
                <w:kern w:val="21"/>
                <w:sz w:val="24"/>
                <w:szCs w:val="24"/>
                <w:lang w:val="en-US" w:eastAsia="zh-CN"/>
              </w:rPr>
              <w:t>人体健康或人身、财产受损</w:t>
            </w:r>
            <w:r>
              <w:rPr>
                <w:rFonts w:hint="eastAsia" w:cs="宋体"/>
                <w:b w:val="0"/>
                <w:bCs w:val="0"/>
                <w:color w:val="auto"/>
                <w:spacing w:val="0"/>
                <w:kern w:val="21"/>
                <w:sz w:val="24"/>
                <w:szCs w:val="24"/>
                <w:lang w:val="en-US" w:eastAsia="zh-CN"/>
              </w:rPr>
              <w:t>。</w:t>
            </w:r>
          </w:p>
        </w:tc>
        <w:tc>
          <w:tcPr>
            <w:tcW w:w="3267" w:type="dxa"/>
            <w:tcBorders>
              <w:tl2br w:val="nil"/>
              <w:tr2bl w:val="nil"/>
            </w:tcBorders>
            <w:noWrap w:val="0"/>
            <w:vAlign w:val="center"/>
          </w:tcPr>
          <w:p w14:paraId="30C2AAC1">
            <w:pPr>
              <w:keepNext w:val="0"/>
              <w:keepLines w:val="0"/>
              <w:pageBreakBefore w:val="0"/>
              <w:widowControl/>
              <w:kinsoku/>
              <w:wordWrap/>
              <w:overflowPunct/>
              <w:topLinePunct w:val="0"/>
              <w:autoSpaceDE/>
              <w:autoSpaceDN/>
              <w:bidi w:val="0"/>
              <w:adjustRightInd/>
              <w:snapToGrid/>
              <w:spacing w:before="118" w:beforeLines="20" w:beforeAutospacing="0" w:after="118" w:afterLines="20" w:afterAutospacing="0" w:line="41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没收违法所得和违法生产经营的食品、食品添加剂以及用于违法生产经营的工具、设备、原料等物品；并处</w:t>
            </w:r>
            <w:r>
              <w:rPr>
                <w:rFonts w:hint="eastAsia" w:ascii="宋体" w:hAnsi="宋体" w:cs="宋体"/>
                <w:color w:val="auto"/>
                <w:kern w:val="0"/>
                <w:sz w:val="24"/>
                <w:szCs w:val="24"/>
                <w:highlight w:val="none"/>
                <w:lang w:val="en-US" w:eastAsia="zh-CN"/>
              </w:rPr>
              <w:t>36</w:t>
            </w:r>
            <w:r>
              <w:rPr>
                <w:rFonts w:hint="eastAsia" w:ascii="宋体" w:hAnsi="宋体" w:eastAsia="宋体" w:cs="宋体"/>
                <w:color w:val="auto"/>
                <w:kern w:val="0"/>
                <w:sz w:val="24"/>
                <w:szCs w:val="24"/>
                <w:highlight w:val="none"/>
              </w:rPr>
              <w:t>.5万元以上</w:t>
            </w: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0万元以下罚款。</w:t>
            </w:r>
          </w:p>
        </w:tc>
      </w:tr>
      <w:tr w14:paraId="4478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787" w:type="dxa"/>
            <w:vMerge w:val="restart"/>
            <w:tcBorders>
              <w:tl2br w:val="nil"/>
              <w:tr2bl w:val="nil"/>
            </w:tcBorders>
            <w:noWrap w:val="0"/>
            <w:vAlign w:val="center"/>
          </w:tcPr>
          <w:p w14:paraId="63C9289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251</w:t>
            </w:r>
          </w:p>
        </w:tc>
        <w:tc>
          <w:tcPr>
            <w:tcW w:w="1718" w:type="dxa"/>
            <w:vMerge w:val="restart"/>
            <w:tcBorders>
              <w:tl2br w:val="nil"/>
              <w:tr2bl w:val="nil"/>
            </w:tcBorders>
            <w:noWrap w:val="0"/>
            <w:vAlign w:val="center"/>
          </w:tcPr>
          <w:p w14:paraId="4917B22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val="0"/>
                <w:bCs w:val="0"/>
                <w:color w:val="auto"/>
                <w:kern w:val="0"/>
                <w:sz w:val="24"/>
                <w:szCs w:val="24"/>
                <w:highlight w:val="none"/>
              </w:rPr>
              <w:t>《中华人民共和国食品安全法》</w:t>
            </w:r>
          </w:p>
        </w:tc>
        <w:tc>
          <w:tcPr>
            <w:tcW w:w="4132" w:type="dxa"/>
            <w:vMerge w:val="restart"/>
            <w:tcBorders>
              <w:tl2br w:val="nil"/>
              <w:tr2bl w:val="nil"/>
            </w:tcBorders>
            <w:noWrap w:val="0"/>
            <w:vAlign w:val="center"/>
          </w:tcPr>
          <w:p w14:paraId="74B086E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default"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rPr>
              <w:t>第一百三十二条</w:t>
            </w:r>
            <w:r>
              <w:rPr>
                <w:rFonts w:hint="eastAsia" w:ascii="宋体" w:hAnsi="宋体" w:cs="宋体"/>
                <w:color w:val="auto"/>
                <w:kern w:val="0"/>
                <w:sz w:val="24"/>
                <w:szCs w:val="24"/>
                <w:highlight w:val="none"/>
                <w:lang w:val="en-US" w:eastAsia="zh-CN"/>
              </w:rPr>
              <w:t xml:space="preserve">第四款 </w:t>
            </w:r>
            <w:r>
              <w:rPr>
                <w:rFonts w:hint="eastAsia" w:ascii="宋体" w:hAnsi="宋体" w:eastAsia="宋体" w:cs="宋体"/>
                <w:i w:val="0"/>
                <w:iCs w:val="0"/>
                <w:caps w:val="0"/>
                <w:color w:val="auto"/>
                <w:spacing w:val="0"/>
                <w:kern w:val="0"/>
                <w:sz w:val="24"/>
                <w:szCs w:val="24"/>
                <w:highlight w:val="none"/>
                <w:shd w:val="clear" w:color="auto" w:fill="auto"/>
              </w:rPr>
              <w:t>违反本法规定，伪造、变造或者使用伪造、变造的重点液态食品道路散装运输记录、运输容器清洗凭证等单据，或者未履行重点液态食品道路散装运输相关查验、核验义务的，由县级以上人民政府食品安全监督管理等部门按照各自职责分工责令改正，给予警告；拒不改正的，处一万元以上十万元以下罚款。</w:t>
            </w:r>
          </w:p>
        </w:tc>
        <w:tc>
          <w:tcPr>
            <w:tcW w:w="1133" w:type="dxa"/>
            <w:tcBorders>
              <w:tl2br w:val="nil"/>
              <w:tr2bl w:val="nil"/>
            </w:tcBorders>
            <w:noWrap w:val="0"/>
            <w:vAlign w:val="center"/>
          </w:tcPr>
          <w:p w14:paraId="42FC3DA4">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5DC4A7B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2"/>
                <w:sz w:val="21"/>
                <w:szCs w:val="24"/>
                <w:lang w:val="en-US" w:eastAsia="zh-CN" w:bidi="zh-CN"/>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256CB555">
            <w:pPr>
              <w:keepNext w:val="0"/>
              <w:keepLines w:val="0"/>
              <w:pageBreakBefore w:val="0"/>
              <w:widowControl/>
              <w:kinsoku/>
              <w:wordWrap/>
              <w:overflowPunct/>
              <w:topLinePunct w:val="0"/>
              <w:autoSpaceDE/>
              <w:autoSpaceDN/>
              <w:bidi w:val="0"/>
              <w:adjustRightInd/>
              <w:snapToGrid/>
              <w:spacing w:before="118" w:beforeLines="20" w:beforeAutospacing="0" w:after="118" w:afterLines="2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处</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万元以上</w:t>
            </w:r>
            <w:r>
              <w:rPr>
                <w:rFonts w:hint="eastAsia" w:ascii="宋体" w:hAnsi="宋体" w:cs="宋体"/>
                <w:color w:val="auto"/>
                <w:kern w:val="0"/>
                <w:sz w:val="24"/>
                <w:szCs w:val="24"/>
                <w:highlight w:val="none"/>
                <w:lang w:val="en-US" w:eastAsia="zh-CN"/>
              </w:rPr>
              <w:t>3.7</w:t>
            </w:r>
            <w:r>
              <w:rPr>
                <w:rFonts w:hint="eastAsia" w:ascii="宋体" w:hAnsi="宋体" w:eastAsia="宋体" w:cs="宋体"/>
                <w:color w:val="auto"/>
                <w:kern w:val="0"/>
                <w:sz w:val="24"/>
                <w:szCs w:val="24"/>
                <w:highlight w:val="none"/>
              </w:rPr>
              <w:t>万元以下罚款。</w:t>
            </w:r>
          </w:p>
        </w:tc>
      </w:tr>
      <w:tr w14:paraId="65613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787" w:type="dxa"/>
            <w:vMerge w:val="continue"/>
            <w:tcBorders>
              <w:tl2br w:val="nil"/>
              <w:tr2bl w:val="nil"/>
            </w:tcBorders>
            <w:noWrap w:val="0"/>
            <w:vAlign w:val="center"/>
          </w:tcPr>
          <w:p w14:paraId="35FB5A2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D59661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7BD8EF6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6E4A08B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一般</w:t>
            </w:r>
          </w:p>
        </w:tc>
        <w:tc>
          <w:tcPr>
            <w:tcW w:w="3316" w:type="dxa"/>
            <w:tcBorders>
              <w:tl2br w:val="nil"/>
              <w:tr2bl w:val="nil"/>
            </w:tcBorders>
            <w:noWrap w:val="0"/>
            <w:vAlign w:val="center"/>
          </w:tcPr>
          <w:p w14:paraId="740B3C2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2C58BDF3">
            <w:pPr>
              <w:keepNext w:val="0"/>
              <w:keepLines w:val="0"/>
              <w:pageBreakBefore w:val="0"/>
              <w:widowControl/>
              <w:kinsoku/>
              <w:wordWrap/>
              <w:overflowPunct/>
              <w:topLinePunct w:val="0"/>
              <w:autoSpaceDE/>
              <w:autoSpaceDN/>
              <w:bidi w:val="0"/>
              <w:adjustRightInd/>
              <w:snapToGrid/>
              <w:spacing w:before="118" w:beforeLines="20" w:beforeAutospacing="0" w:after="118" w:afterLines="2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处</w:t>
            </w:r>
            <w:r>
              <w:rPr>
                <w:rFonts w:hint="eastAsia" w:ascii="宋体" w:hAnsi="宋体" w:cs="宋体"/>
                <w:color w:val="auto"/>
                <w:kern w:val="0"/>
                <w:sz w:val="24"/>
                <w:szCs w:val="24"/>
                <w:highlight w:val="none"/>
                <w:lang w:val="en-US" w:eastAsia="zh-CN"/>
              </w:rPr>
              <w:t>3.7</w:t>
            </w:r>
            <w:r>
              <w:rPr>
                <w:rFonts w:hint="eastAsia" w:ascii="宋体" w:hAnsi="宋体" w:eastAsia="宋体" w:cs="宋体"/>
                <w:color w:val="auto"/>
                <w:kern w:val="0"/>
                <w:sz w:val="24"/>
                <w:szCs w:val="24"/>
                <w:highlight w:val="none"/>
              </w:rPr>
              <w:t>万元以上</w:t>
            </w:r>
            <w:r>
              <w:rPr>
                <w:rFonts w:hint="eastAsia" w:ascii="宋体" w:hAnsi="宋体" w:cs="宋体"/>
                <w:color w:val="auto"/>
                <w:kern w:val="0"/>
                <w:sz w:val="24"/>
                <w:szCs w:val="24"/>
                <w:highlight w:val="none"/>
                <w:lang w:val="en-US" w:eastAsia="zh-CN"/>
              </w:rPr>
              <w:t>7.3</w:t>
            </w:r>
            <w:r>
              <w:rPr>
                <w:rFonts w:hint="eastAsia" w:ascii="宋体" w:hAnsi="宋体" w:eastAsia="宋体" w:cs="宋体"/>
                <w:color w:val="auto"/>
                <w:kern w:val="0"/>
                <w:sz w:val="24"/>
                <w:szCs w:val="24"/>
                <w:highlight w:val="none"/>
              </w:rPr>
              <w:t>万元以下罚款。</w:t>
            </w:r>
          </w:p>
        </w:tc>
      </w:tr>
      <w:tr w14:paraId="4C5F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787" w:type="dxa"/>
            <w:vMerge w:val="continue"/>
            <w:tcBorders>
              <w:tl2br w:val="nil"/>
              <w:tr2bl w:val="nil"/>
            </w:tcBorders>
            <w:noWrap w:val="0"/>
            <w:vAlign w:val="center"/>
          </w:tcPr>
          <w:p w14:paraId="029858F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E0A376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4141B5D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7A0CBAD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较重</w:t>
            </w:r>
          </w:p>
        </w:tc>
        <w:tc>
          <w:tcPr>
            <w:tcW w:w="3316" w:type="dxa"/>
            <w:tcBorders>
              <w:tl2br w:val="nil"/>
              <w:tr2bl w:val="nil"/>
            </w:tcBorders>
            <w:noWrap w:val="0"/>
            <w:vAlign w:val="center"/>
          </w:tcPr>
          <w:p w14:paraId="7733D80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拒不改正</w:t>
            </w:r>
            <w:r>
              <w:rPr>
                <w:rFonts w:hint="eastAsia" w:ascii="宋体" w:hAnsi="宋体" w:cs="宋体"/>
                <w:color w:val="auto"/>
                <w:kern w:val="0"/>
                <w:sz w:val="24"/>
                <w:szCs w:val="24"/>
                <w:highlight w:val="none"/>
                <w:lang w:eastAsia="zh-CN"/>
              </w:rPr>
              <w:t>，且</w:t>
            </w:r>
            <w:r>
              <w:rPr>
                <w:rFonts w:hint="eastAsia" w:ascii="宋体" w:hAnsi="宋体" w:eastAsia="宋体" w:cs="宋体"/>
                <w:color w:val="auto"/>
                <w:kern w:val="0"/>
                <w:sz w:val="24"/>
                <w:szCs w:val="24"/>
                <w:highlight w:val="none"/>
              </w:rPr>
              <w:t>已经造成不良影响或者违法行为持续时间较长的。</w:t>
            </w:r>
          </w:p>
        </w:tc>
        <w:tc>
          <w:tcPr>
            <w:tcW w:w="3267" w:type="dxa"/>
            <w:tcBorders>
              <w:tl2br w:val="nil"/>
              <w:tr2bl w:val="nil"/>
            </w:tcBorders>
            <w:noWrap w:val="0"/>
            <w:vAlign w:val="center"/>
          </w:tcPr>
          <w:p w14:paraId="36F21322">
            <w:pPr>
              <w:keepNext w:val="0"/>
              <w:keepLines w:val="0"/>
              <w:pageBreakBefore w:val="0"/>
              <w:widowControl/>
              <w:kinsoku/>
              <w:wordWrap/>
              <w:overflowPunct/>
              <w:topLinePunct w:val="0"/>
              <w:autoSpaceDE/>
              <w:autoSpaceDN/>
              <w:bidi w:val="0"/>
              <w:adjustRightInd/>
              <w:snapToGrid/>
              <w:spacing w:before="118" w:beforeLines="20" w:beforeAutospacing="0" w:after="118" w:afterLines="2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处</w:t>
            </w:r>
            <w:r>
              <w:rPr>
                <w:rFonts w:hint="eastAsia" w:ascii="宋体" w:hAnsi="宋体" w:cs="宋体"/>
                <w:color w:val="auto"/>
                <w:kern w:val="0"/>
                <w:sz w:val="24"/>
                <w:szCs w:val="24"/>
                <w:highlight w:val="none"/>
                <w:lang w:val="en-US" w:eastAsia="zh-CN"/>
              </w:rPr>
              <w:t>7.3</w:t>
            </w:r>
            <w:r>
              <w:rPr>
                <w:rFonts w:hint="eastAsia" w:ascii="宋体" w:hAnsi="宋体" w:eastAsia="宋体" w:cs="宋体"/>
                <w:color w:val="auto"/>
                <w:kern w:val="0"/>
                <w:sz w:val="24"/>
                <w:szCs w:val="24"/>
                <w:highlight w:val="none"/>
              </w:rPr>
              <w:t>万元以上</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0万元以下罚款。</w:t>
            </w:r>
          </w:p>
        </w:tc>
      </w:tr>
      <w:tr w14:paraId="7B3A4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787" w:type="dxa"/>
            <w:vMerge w:val="restart"/>
            <w:tcBorders>
              <w:tl2br w:val="nil"/>
              <w:tr2bl w:val="nil"/>
            </w:tcBorders>
            <w:noWrap w:val="0"/>
            <w:vAlign w:val="center"/>
          </w:tcPr>
          <w:p w14:paraId="6C09065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52</w:t>
            </w:r>
          </w:p>
        </w:tc>
        <w:tc>
          <w:tcPr>
            <w:tcW w:w="1718" w:type="dxa"/>
            <w:vMerge w:val="restart"/>
            <w:tcBorders>
              <w:tl2br w:val="nil"/>
              <w:tr2bl w:val="nil"/>
            </w:tcBorders>
            <w:noWrap w:val="0"/>
            <w:vAlign w:val="center"/>
          </w:tcPr>
          <w:p w14:paraId="62F59F1B">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《中华人民共和国食品安全法》</w:t>
            </w:r>
          </w:p>
        </w:tc>
        <w:tc>
          <w:tcPr>
            <w:tcW w:w="4132" w:type="dxa"/>
            <w:vMerge w:val="restart"/>
            <w:tcBorders>
              <w:tl2br w:val="nil"/>
              <w:tr2bl w:val="nil"/>
            </w:tcBorders>
            <w:noWrap w:val="0"/>
            <w:vAlign w:val="center"/>
          </w:tcPr>
          <w:p w14:paraId="6B034AD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第一百三十三条第一款</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w:t>
            </w:r>
          </w:p>
        </w:tc>
        <w:tc>
          <w:tcPr>
            <w:tcW w:w="1133" w:type="dxa"/>
            <w:tcBorders>
              <w:tl2br w:val="nil"/>
              <w:tr2bl w:val="nil"/>
            </w:tcBorders>
            <w:noWrap w:val="0"/>
            <w:vAlign w:val="center"/>
          </w:tcPr>
          <w:p w14:paraId="7F2522DF">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7FAB0BA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尚未造成不良影响的。</w:t>
            </w:r>
          </w:p>
        </w:tc>
        <w:tc>
          <w:tcPr>
            <w:tcW w:w="3267" w:type="dxa"/>
            <w:tcBorders>
              <w:tl2br w:val="nil"/>
              <w:tr2bl w:val="nil"/>
            </w:tcBorders>
            <w:noWrap w:val="0"/>
            <w:vAlign w:val="center"/>
          </w:tcPr>
          <w:p w14:paraId="125AB9D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责令停产停业，并处</w:t>
            </w:r>
            <w:r>
              <w:rPr>
                <w:rFonts w:hint="eastAsia" w:ascii="宋体" w:hAnsi="宋体" w:cs="宋体"/>
                <w:color w:val="auto"/>
                <w:kern w:val="0"/>
                <w:sz w:val="24"/>
                <w:szCs w:val="24"/>
                <w:highlight w:val="none"/>
                <w:lang w:val="en-US" w:eastAsia="zh-CN"/>
              </w:rPr>
              <w:t>2000</w:t>
            </w:r>
            <w:r>
              <w:rPr>
                <w:rFonts w:hint="eastAsia" w:ascii="宋体" w:hAnsi="宋体" w:eastAsia="宋体" w:cs="宋体"/>
                <w:color w:val="auto"/>
                <w:kern w:val="0"/>
                <w:sz w:val="24"/>
                <w:szCs w:val="24"/>
                <w:highlight w:val="none"/>
              </w:rPr>
              <w:t>元以上1</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4万元以下罚款。</w:t>
            </w:r>
          </w:p>
        </w:tc>
      </w:tr>
      <w:tr w14:paraId="6B354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jc w:val="center"/>
        </w:trPr>
        <w:tc>
          <w:tcPr>
            <w:tcW w:w="787" w:type="dxa"/>
            <w:vMerge w:val="continue"/>
            <w:tcBorders>
              <w:tl2br w:val="nil"/>
              <w:tr2bl w:val="nil"/>
            </w:tcBorders>
            <w:noWrap w:val="0"/>
            <w:vAlign w:val="center"/>
          </w:tcPr>
          <w:p w14:paraId="19B44B3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0A4B301">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36B6958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6764CD8">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24104E9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对食品安全监督检查、事故调查处理、风险监测和风险评估造成阻碍、延迟、中止等不良影响的。</w:t>
            </w:r>
          </w:p>
        </w:tc>
        <w:tc>
          <w:tcPr>
            <w:tcW w:w="3267" w:type="dxa"/>
            <w:tcBorders>
              <w:tl2br w:val="nil"/>
              <w:tr2bl w:val="nil"/>
            </w:tcBorders>
            <w:noWrap w:val="0"/>
            <w:vAlign w:val="center"/>
          </w:tcPr>
          <w:p w14:paraId="3A25ADB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责令停产停业，并处1.</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4万元以上3.56万元以下罚款。</w:t>
            </w:r>
          </w:p>
        </w:tc>
      </w:tr>
      <w:tr w14:paraId="5893A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787" w:type="dxa"/>
            <w:vMerge w:val="continue"/>
            <w:tcBorders>
              <w:tl2br w:val="nil"/>
              <w:tr2bl w:val="nil"/>
            </w:tcBorders>
            <w:noWrap w:val="0"/>
            <w:vAlign w:val="center"/>
          </w:tcPr>
          <w:p w14:paraId="22CF5B5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456F8FA">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4680F30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823E96B">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75F3C2E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致使食品安全监督检查、事故调查处理、风险监测和风险评估终止的。</w:t>
            </w:r>
          </w:p>
        </w:tc>
        <w:tc>
          <w:tcPr>
            <w:tcW w:w="3267" w:type="dxa"/>
            <w:tcBorders>
              <w:tl2br w:val="nil"/>
              <w:tr2bl w:val="nil"/>
            </w:tcBorders>
            <w:noWrap w:val="0"/>
            <w:vAlign w:val="center"/>
          </w:tcPr>
          <w:p w14:paraId="4571BB3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责令停产停业，并处3.56万元以上5万元以下罚款。</w:t>
            </w:r>
          </w:p>
        </w:tc>
      </w:tr>
      <w:tr w14:paraId="1115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87" w:type="dxa"/>
            <w:vMerge w:val="continue"/>
            <w:tcBorders>
              <w:tl2br w:val="nil"/>
              <w:tr2bl w:val="nil"/>
            </w:tcBorders>
            <w:noWrap w:val="0"/>
            <w:vAlign w:val="center"/>
          </w:tcPr>
          <w:p w14:paraId="4AD4F91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1BA54D5">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439EF56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7814C7B">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严重</w:t>
            </w:r>
          </w:p>
        </w:tc>
        <w:tc>
          <w:tcPr>
            <w:tcW w:w="3316" w:type="dxa"/>
            <w:tcBorders>
              <w:tl2br w:val="nil"/>
              <w:tr2bl w:val="nil"/>
            </w:tcBorders>
            <w:noWrap w:val="0"/>
            <w:vAlign w:val="center"/>
          </w:tcPr>
          <w:p w14:paraId="7FAB279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已经造成人身损害或重大社会影响的。</w:t>
            </w:r>
          </w:p>
        </w:tc>
        <w:tc>
          <w:tcPr>
            <w:tcW w:w="3267" w:type="dxa"/>
            <w:tcBorders>
              <w:tl2br w:val="nil"/>
              <w:tr2bl w:val="nil"/>
            </w:tcBorders>
            <w:noWrap w:val="0"/>
            <w:vAlign w:val="center"/>
          </w:tcPr>
          <w:p w14:paraId="4E0548C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吊销许可证。</w:t>
            </w:r>
          </w:p>
        </w:tc>
      </w:tr>
      <w:tr w14:paraId="5C93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restart"/>
            <w:tcBorders>
              <w:tl2br w:val="nil"/>
              <w:tr2bl w:val="nil"/>
            </w:tcBorders>
            <w:noWrap w:val="0"/>
            <w:vAlign w:val="center"/>
          </w:tcPr>
          <w:p w14:paraId="6661282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53</w:t>
            </w:r>
          </w:p>
        </w:tc>
        <w:tc>
          <w:tcPr>
            <w:tcW w:w="1718" w:type="dxa"/>
            <w:vMerge w:val="restart"/>
            <w:tcBorders>
              <w:tl2br w:val="nil"/>
              <w:tr2bl w:val="nil"/>
            </w:tcBorders>
            <w:noWrap w:val="0"/>
            <w:vAlign w:val="center"/>
          </w:tcPr>
          <w:p w14:paraId="07CF5C40">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《中华人民共和国食品安全法》</w:t>
            </w:r>
          </w:p>
        </w:tc>
        <w:tc>
          <w:tcPr>
            <w:tcW w:w="4132" w:type="dxa"/>
            <w:vMerge w:val="restart"/>
            <w:tcBorders>
              <w:tl2br w:val="nil"/>
              <w:tr2bl w:val="nil"/>
            </w:tcBorders>
            <w:noWrap w:val="0"/>
            <w:vAlign w:val="center"/>
          </w:tcPr>
          <w:p w14:paraId="009FD06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第一百四十条第五款</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对食品作虚假宣传且情节严重的，由省级以上人民政府食品安全监督管理部门决定暂停销售该食品，并向社会公布；仍然销售该食品的，由县级以上人民政府食品安全监督管理部门没收违法所得和违法销售的食品，并处二万元以上五万元以下罚款。</w:t>
            </w:r>
          </w:p>
        </w:tc>
        <w:tc>
          <w:tcPr>
            <w:tcW w:w="1133" w:type="dxa"/>
            <w:tcBorders>
              <w:tl2br w:val="nil"/>
              <w:tr2bl w:val="nil"/>
            </w:tcBorders>
            <w:noWrap w:val="0"/>
            <w:vAlign w:val="center"/>
          </w:tcPr>
          <w:p w14:paraId="2B859CD0">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658D3C8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违法销售食品货值金额</w:t>
            </w:r>
            <w:r>
              <w:rPr>
                <w:rFonts w:hint="default" w:ascii="宋体" w:hAnsi="宋体" w:cs="宋体"/>
                <w:color w:val="auto"/>
                <w:kern w:val="0"/>
                <w:sz w:val="24"/>
                <w:szCs w:val="24"/>
                <w:highlight w:val="none"/>
                <w:lang w:val="en"/>
              </w:rPr>
              <w:t>10</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2831EB20">
            <w:pPr>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没收违法所得和违法销售的食品，并处2万元</w:t>
            </w:r>
            <w:r>
              <w:rPr>
                <w:rFonts w:hint="eastAsia" w:ascii="宋体" w:hAnsi="宋体" w:cs="宋体"/>
                <w:color w:val="auto"/>
                <w:kern w:val="0"/>
                <w:sz w:val="24"/>
                <w:szCs w:val="24"/>
                <w:highlight w:val="none"/>
                <w:lang w:val="en-US" w:eastAsia="zh-CN"/>
              </w:rPr>
              <w:t>以上2.9万以下</w:t>
            </w:r>
            <w:r>
              <w:rPr>
                <w:rFonts w:hint="eastAsia" w:ascii="宋体" w:hAnsi="宋体" w:eastAsia="宋体" w:cs="宋体"/>
                <w:color w:val="auto"/>
                <w:kern w:val="0"/>
                <w:sz w:val="24"/>
                <w:szCs w:val="24"/>
                <w:highlight w:val="none"/>
              </w:rPr>
              <w:t>罚款。</w:t>
            </w:r>
          </w:p>
        </w:tc>
      </w:tr>
      <w:tr w14:paraId="273CB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7" w:type="dxa"/>
            <w:vMerge w:val="continue"/>
            <w:tcBorders>
              <w:tl2br w:val="nil"/>
              <w:tr2bl w:val="nil"/>
            </w:tcBorders>
            <w:noWrap w:val="0"/>
            <w:vAlign w:val="center"/>
          </w:tcPr>
          <w:p w14:paraId="6168C3E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5082736">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54659AF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8CF30CE">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一般</w:t>
            </w:r>
          </w:p>
        </w:tc>
        <w:tc>
          <w:tcPr>
            <w:tcW w:w="3316" w:type="dxa"/>
            <w:tcBorders>
              <w:tl2br w:val="nil"/>
              <w:tr2bl w:val="nil"/>
            </w:tcBorders>
            <w:noWrap w:val="0"/>
            <w:vAlign w:val="center"/>
          </w:tcPr>
          <w:p w14:paraId="05B8112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违法销售食品货值金额</w:t>
            </w:r>
            <w:r>
              <w:rPr>
                <w:rFonts w:hint="default" w:ascii="宋体" w:hAnsi="宋体" w:cs="宋体"/>
                <w:color w:val="auto"/>
                <w:kern w:val="0"/>
                <w:sz w:val="24"/>
                <w:szCs w:val="24"/>
                <w:highlight w:val="none"/>
                <w:lang w:val="en"/>
              </w:rPr>
              <w:t>10</w:t>
            </w:r>
            <w:r>
              <w:rPr>
                <w:rFonts w:hint="eastAsia" w:ascii="宋体" w:hAnsi="宋体" w:eastAsia="宋体" w:cs="宋体"/>
                <w:color w:val="auto"/>
                <w:kern w:val="0"/>
                <w:sz w:val="24"/>
                <w:szCs w:val="24"/>
                <w:highlight w:val="none"/>
              </w:rPr>
              <w:t>万元以上</w:t>
            </w:r>
            <w:r>
              <w:rPr>
                <w:rFonts w:hint="eastAsia" w:ascii="宋体" w:hAnsi="宋体" w:cs="宋体"/>
                <w:color w:val="auto"/>
                <w:kern w:val="0"/>
                <w:sz w:val="24"/>
                <w:szCs w:val="24"/>
                <w:highlight w:val="none"/>
                <w:lang w:val="en-US" w:eastAsia="zh-CN"/>
              </w:rPr>
              <w:t>3</w:t>
            </w:r>
            <w:r>
              <w:rPr>
                <w:rFonts w:hint="default" w:ascii="宋体" w:hAnsi="宋体" w:cs="宋体"/>
                <w:color w:val="auto"/>
                <w:kern w:val="0"/>
                <w:sz w:val="24"/>
                <w:szCs w:val="24"/>
                <w:highlight w:val="none"/>
                <w:lang w:val="en"/>
              </w:rPr>
              <w:t>0</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49ADFE1B">
            <w:pPr>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没收违法所得和违法销售的食品</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，并处2</w:t>
            </w:r>
            <w:r>
              <w:rPr>
                <w:rFonts w:hint="eastAsia" w:ascii="宋体" w:hAnsi="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万元以上</w:t>
            </w:r>
            <w:r>
              <w:rPr>
                <w:rFonts w:hint="eastAsia" w:ascii="宋体" w:hAnsi="宋体" w:cs="宋体"/>
                <w:color w:val="auto"/>
                <w:kern w:val="0"/>
                <w:sz w:val="24"/>
                <w:szCs w:val="24"/>
                <w:highlight w:val="none"/>
                <w:lang w:val="en-US" w:eastAsia="zh-CN"/>
              </w:rPr>
              <w:t>4.1</w:t>
            </w:r>
            <w:r>
              <w:rPr>
                <w:rFonts w:hint="eastAsia" w:ascii="宋体" w:hAnsi="宋体" w:eastAsia="宋体" w:cs="宋体"/>
                <w:color w:val="auto"/>
                <w:kern w:val="0"/>
                <w:sz w:val="24"/>
                <w:szCs w:val="24"/>
                <w:highlight w:val="none"/>
              </w:rPr>
              <w:t>万元以下罚款。</w:t>
            </w:r>
          </w:p>
        </w:tc>
      </w:tr>
      <w:tr w14:paraId="20DB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continue"/>
            <w:tcBorders>
              <w:tl2br w:val="nil"/>
              <w:tr2bl w:val="nil"/>
            </w:tcBorders>
            <w:noWrap w:val="0"/>
            <w:vAlign w:val="center"/>
          </w:tcPr>
          <w:p w14:paraId="65A6617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2D2E994">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01E5BDF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DE2FF46">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较重</w:t>
            </w:r>
          </w:p>
        </w:tc>
        <w:tc>
          <w:tcPr>
            <w:tcW w:w="3316" w:type="dxa"/>
            <w:tcBorders>
              <w:tl2br w:val="nil"/>
              <w:tr2bl w:val="nil"/>
            </w:tcBorders>
            <w:noWrap w:val="0"/>
            <w:vAlign w:val="center"/>
          </w:tcPr>
          <w:p w14:paraId="5A91FD7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违法销售食品货值金额</w:t>
            </w:r>
            <w:r>
              <w:rPr>
                <w:rFonts w:hint="eastAsia" w:ascii="宋体" w:hAnsi="宋体" w:cs="宋体"/>
                <w:color w:val="auto"/>
                <w:kern w:val="0"/>
                <w:sz w:val="24"/>
                <w:szCs w:val="24"/>
                <w:highlight w:val="none"/>
                <w:lang w:val="en-US" w:eastAsia="zh-CN"/>
              </w:rPr>
              <w:t>3</w:t>
            </w:r>
            <w:r>
              <w:rPr>
                <w:rFonts w:hint="default" w:ascii="宋体" w:hAnsi="宋体" w:cs="宋体"/>
                <w:color w:val="auto"/>
                <w:kern w:val="0"/>
                <w:sz w:val="24"/>
                <w:szCs w:val="24"/>
                <w:highlight w:val="none"/>
                <w:lang w:val="en"/>
              </w:rPr>
              <w:t>0</w:t>
            </w:r>
            <w:r>
              <w:rPr>
                <w:rFonts w:hint="eastAsia" w:ascii="宋体" w:hAnsi="宋体" w:eastAsia="宋体" w:cs="宋体"/>
                <w:color w:val="auto"/>
                <w:kern w:val="0"/>
                <w:sz w:val="24"/>
                <w:szCs w:val="24"/>
                <w:highlight w:val="none"/>
              </w:rPr>
              <w:t>万元以上的。</w:t>
            </w:r>
          </w:p>
        </w:tc>
        <w:tc>
          <w:tcPr>
            <w:tcW w:w="3267" w:type="dxa"/>
            <w:tcBorders>
              <w:tl2br w:val="nil"/>
              <w:tr2bl w:val="nil"/>
            </w:tcBorders>
            <w:noWrap w:val="0"/>
            <w:vAlign w:val="center"/>
          </w:tcPr>
          <w:p w14:paraId="4BC215C8">
            <w:pPr>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没收违法所得和违法销售的食品，并处</w:t>
            </w:r>
            <w:r>
              <w:rPr>
                <w:rFonts w:hint="eastAsia" w:ascii="宋体" w:hAnsi="宋体" w:cs="宋体"/>
                <w:color w:val="auto"/>
                <w:kern w:val="0"/>
                <w:sz w:val="24"/>
                <w:szCs w:val="24"/>
                <w:highlight w:val="none"/>
                <w:lang w:val="en-US" w:eastAsia="zh-CN"/>
              </w:rPr>
              <w:t>4.1</w:t>
            </w:r>
            <w:r>
              <w:rPr>
                <w:rFonts w:hint="eastAsia" w:ascii="宋体" w:hAnsi="宋体" w:eastAsia="宋体" w:cs="宋体"/>
                <w:color w:val="auto"/>
                <w:kern w:val="0"/>
                <w:sz w:val="24"/>
                <w:szCs w:val="24"/>
                <w:highlight w:val="none"/>
              </w:rPr>
              <w:t>万元以上5万元以下罚款。</w:t>
            </w:r>
          </w:p>
        </w:tc>
      </w:tr>
      <w:tr w14:paraId="101F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restart"/>
            <w:tcBorders>
              <w:tl2br w:val="nil"/>
              <w:tr2bl w:val="nil"/>
            </w:tcBorders>
            <w:noWrap w:val="0"/>
            <w:vAlign w:val="center"/>
          </w:tcPr>
          <w:p w14:paraId="6E99693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54</w:t>
            </w:r>
          </w:p>
        </w:tc>
        <w:tc>
          <w:tcPr>
            <w:tcW w:w="1718" w:type="dxa"/>
            <w:vMerge w:val="restart"/>
            <w:tcBorders>
              <w:tl2br w:val="nil"/>
              <w:tr2bl w:val="nil"/>
            </w:tcBorders>
            <w:noWrap w:val="0"/>
            <w:vAlign w:val="center"/>
          </w:tcPr>
          <w:p w14:paraId="52E3A9B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outlineLvl w:val="2"/>
              <w:rPr>
                <w:rFonts w:hint="eastAsia" w:ascii="宋体" w:hAnsi="宋体" w:eastAsia="宋体" w:cs="宋体"/>
                <w:b w:val="0"/>
                <w:bCs w:val="0"/>
                <w:color w:val="auto"/>
                <w:kern w:val="0"/>
                <w:sz w:val="24"/>
                <w:szCs w:val="24"/>
                <w:highlight w:val="none"/>
                <w:lang w:eastAsia="zh-CN"/>
              </w:rPr>
            </w:pPr>
            <w:bookmarkStart w:id="292" w:name="_Toc5324"/>
            <w:bookmarkStart w:id="293" w:name="_Toc29430"/>
            <w:bookmarkStart w:id="294" w:name="_Toc31245"/>
            <w:bookmarkStart w:id="295" w:name="_Toc30048"/>
            <w:bookmarkStart w:id="296" w:name="_Toc20149"/>
            <w:r>
              <w:rPr>
                <w:rFonts w:hint="eastAsia" w:ascii="宋体" w:hAnsi="宋体" w:eastAsia="宋体" w:cs="宋体"/>
                <w:b w:val="0"/>
                <w:bCs w:val="0"/>
                <w:color w:val="auto"/>
                <w:kern w:val="0"/>
                <w:sz w:val="24"/>
                <w:szCs w:val="24"/>
                <w:highlight w:val="none"/>
              </w:rPr>
              <w:t>《国务院关于加强食品等产品安全监督管理的特别规定》</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lang w:val="en-US" w:eastAsia="zh-CN"/>
              </w:rPr>
              <w:t>2007年7月26日</w:t>
            </w:r>
            <w:r>
              <w:rPr>
                <w:rFonts w:hint="eastAsia" w:ascii="宋体" w:hAnsi="宋体" w:cs="宋体"/>
                <w:b w:val="0"/>
                <w:bCs w:val="0"/>
                <w:color w:val="auto"/>
                <w:kern w:val="0"/>
                <w:sz w:val="24"/>
                <w:szCs w:val="24"/>
                <w:highlight w:val="none"/>
                <w:lang w:val="en-US" w:eastAsia="zh-CN"/>
              </w:rPr>
              <w:t>发布并实施</w:t>
            </w:r>
            <w:r>
              <w:rPr>
                <w:rFonts w:hint="eastAsia" w:ascii="宋体" w:hAnsi="宋体" w:eastAsia="宋体" w:cs="宋体"/>
                <w:b w:val="0"/>
                <w:bCs w:val="0"/>
                <w:color w:val="auto"/>
                <w:kern w:val="0"/>
                <w:sz w:val="24"/>
                <w:szCs w:val="24"/>
                <w:highlight w:val="none"/>
                <w:lang w:eastAsia="zh-CN"/>
              </w:rPr>
              <w:t>）</w:t>
            </w:r>
            <w:bookmarkEnd w:id="292"/>
            <w:bookmarkEnd w:id="293"/>
            <w:bookmarkEnd w:id="294"/>
            <w:bookmarkEnd w:id="295"/>
            <w:bookmarkEnd w:id="296"/>
          </w:p>
        </w:tc>
        <w:tc>
          <w:tcPr>
            <w:tcW w:w="4132" w:type="dxa"/>
            <w:vMerge w:val="restart"/>
            <w:tcBorders>
              <w:tl2br w:val="nil"/>
              <w:tr2bl w:val="nil"/>
            </w:tcBorders>
            <w:noWrap w:val="0"/>
            <w:vAlign w:val="center"/>
          </w:tcPr>
          <w:p w14:paraId="25F8F3E7">
            <w:pPr>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第三条第二款</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不按照法定条件、要求从事生产经营活动或者生产、销售不符合法定要求产品的，由农业、卫生、质检、商务、工商、药品等监督管理部门依据各自职责，没收违法所得、产品和用于违法生产的工具、设备、原材料等物品，货值金额不足5000元的，并处5万元罚款；货值金额5000元以上不足1万元的，并处10万元罚款；货值金额1万元以上的，并处货值金额10倍以上20倍以下的罚款；造成严重后果的，由原发证部门吊销许可证照；构成非法经营罪或者生产、销售伪劣商品罪等犯罪的，依法追究刑事责任。</w:t>
            </w:r>
          </w:p>
        </w:tc>
        <w:tc>
          <w:tcPr>
            <w:tcW w:w="1133" w:type="dxa"/>
            <w:tcBorders>
              <w:tl2br w:val="nil"/>
              <w:tr2bl w:val="nil"/>
            </w:tcBorders>
            <w:noWrap w:val="0"/>
            <w:vAlign w:val="center"/>
          </w:tcPr>
          <w:p w14:paraId="1CE7B591">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4840C35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货值金额5000元以下的。</w:t>
            </w:r>
          </w:p>
        </w:tc>
        <w:tc>
          <w:tcPr>
            <w:tcW w:w="3267" w:type="dxa"/>
            <w:tcBorders>
              <w:tl2br w:val="nil"/>
              <w:tr2bl w:val="nil"/>
            </w:tcBorders>
            <w:noWrap w:val="0"/>
            <w:vAlign w:val="center"/>
          </w:tcPr>
          <w:p w14:paraId="2CA066DC">
            <w:pPr>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没收违法所得、产品和用于违法生产的工具、设备、原材料等物品,并处5万元罚款。</w:t>
            </w:r>
          </w:p>
        </w:tc>
      </w:tr>
      <w:tr w14:paraId="4AFD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continue"/>
            <w:tcBorders>
              <w:tl2br w:val="nil"/>
              <w:tr2bl w:val="nil"/>
            </w:tcBorders>
            <w:noWrap w:val="0"/>
            <w:vAlign w:val="center"/>
          </w:tcPr>
          <w:p w14:paraId="09CB3B7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C8428F7">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2E2A54A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251EDC1">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2C9A027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货值金额5000元以上1万元以下的。</w:t>
            </w:r>
          </w:p>
        </w:tc>
        <w:tc>
          <w:tcPr>
            <w:tcW w:w="3267" w:type="dxa"/>
            <w:tcBorders>
              <w:tl2br w:val="nil"/>
              <w:tr2bl w:val="nil"/>
            </w:tcBorders>
            <w:noWrap w:val="0"/>
            <w:vAlign w:val="center"/>
          </w:tcPr>
          <w:p w14:paraId="677C9767">
            <w:pPr>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没收违法所得、产品和用于违法生产的工具、设备、原材料等物品,并处10万元罚款。</w:t>
            </w:r>
          </w:p>
        </w:tc>
      </w:tr>
      <w:tr w14:paraId="7385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787" w:type="dxa"/>
            <w:vMerge w:val="continue"/>
            <w:tcBorders>
              <w:tl2br w:val="nil"/>
              <w:tr2bl w:val="nil"/>
            </w:tcBorders>
            <w:noWrap w:val="0"/>
            <w:vAlign w:val="center"/>
          </w:tcPr>
          <w:p w14:paraId="53DBC3C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D6FDC9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C784C7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290E7B6">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0F9C184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货值金额1万元以上的，产品尚未销售的或者主动追回已售出产品的。</w:t>
            </w:r>
          </w:p>
        </w:tc>
        <w:tc>
          <w:tcPr>
            <w:tcW w:w="3267" w:type="dxa"/>
            <w:tcBorders>
              <w:tl2br w:val="nil"/>
              <w:tr2bl w:val="nil"/>
            </w:tcBorders>
            <w:noWrap w:val="0"/>
            <w:vAlign w:val="center"/>
          </w:tcPr>
          <w:p w14:paraId="7CAE9193">
            <w:pPr>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没收违法所得、产品和用于违法生产的工具、设备、原材料等物品,并处货值金额10倍以上15倍以下罚款。</w:t>
            </w:r>
          </w:p>
        </w:tc>
      </w:tr>
      <w:tr w14:paraId="21C0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continue"/>
            <w:tcBorders>
              <w:tl2br w:val="nil"/>
              <w:tr2bl w:val="nil"/>
            </w:tcBorders>
            <w:noWrap w:val="0"/>
            <w:vAlign w:val="center"/>
          </w:tcPr>
          <w:p w14:paraId="47415FB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152054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257C056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FD3ACFF">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严重</w:t>
            </w:r>
          </w:p>
        </w:tc>
        <w:tc>
          <w:tcPr>
            <w:tcW w:w="3316" w:type="dxa"/>
            <w:tcBorders>
              <w:tl2br w:val="nil"/>
              <w:tr2bl w:val="nil"/>
            </w:tcBorders>
            <w:noWrap w:val="0"/>
            <w:vAlign w:val="center"/>
          </w:tcPr>
          <w:p w14:paraId="4B2865E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货值金额1万元以上的，已无法追回已售出产品的或者拒不追回已售出产品的。</w:t>
            </w:r>
          </w:p>
        </w:tc>
        <w:tc>
          <w:tcPr>
            <w:tcW w:w="3267" w:type="dxa"/>
            <w:tcBorders>
              <w:tl2br w:val="nil"/>
              <w:tr2bl w:val="nil"/>
            </w:tcBorders>
            <w:noWrap w:val="0"/>
            <w:vAlign w:val="center"/>
          </w:tcPr>
          <w:p w14:paraId="6FEE7956">
            <w:pPr>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没收违法所得、产品和用于违法生产的工具、设备、原材料等物品,并处货值金额15倍以上20倍以下罚款。</w:t>
            </w:r>
          </w:p>
        </w:tc>
      </w:tr>
      <w:tr w14:paraId="652D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87" w:type="dxa"/>
            <w:vMerge w:val="continue"/>
            <w:tcBorders>
              <w:tl2br w:val="nil"/>
              <w:tr2bl w:val="nil"/>
            </w:tcBorders>
            <w:noWrap w:val="0"/>
            <w:vAlign w:val="center"/>
          </w:tcPr>
          <w:p w14:paraId="6FEE8ED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2BE047A">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6433571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7B8809B">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特别严重</w:t>
            </w:r>
          </w:p>
        </w:tc>
        <w:tc>
          <w:tcPr>
            <w:tcW w:w="3316" w:type="dxa"/>
            <w:tcBorders>
              <w:tl2br w:val="nil"/>
              <w:tr2bl w:val="nil"/>
            </w:tcBorders>
            <w:noWrap w:val="0"/>
            <w:vAlign w:val="center"/>
          </w:tcPr>
          <w:p w14:paraId="6F702C1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违法行为造成严重后果的。</w:t>
            </w:r>
          </w:p>
        </w:tc>
        <w:tc>
          <w:tcPr>
            <w:tcW w:w="3267" w:type="dxa"/>
            <w:tcBorders>
              <w:tl2br w:val="nil"/>
              <w:tr2bl w:val="nil"/>
            </w:tcBorders>
            <w:noWrap w:val="0"/>
            <w:vAlign w:val="center"/>
          </w:tcPr>
          <w:p w14:paraId="4F09BD4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由原发证部门吊销许可证照。</w:t>
            </w:r>
          </w:p>
        </w:tc>
      </w:tr>
      <w:tr w14:paraId="44C1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787" w:type="dxa"/>
            <w:vMerge w:val="restart"/>
            <w:tcBorders>
              <w:tl2br w:val="nil"/>
              <w:tr2bl w:val="nil"/>
            </w:tcBorders>
            <w:noWrap w:val="0"/>
            <w:vAlign w:val="center"/>
          </w:tcPr>
          <w:p w14:paraId="10CEB6D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w:t>
            </w:r>
            <w:r>
              <w:rPr>
                <w:rFonts w:hint="eastAsia" w:ascii="宋体" w:hAnsi="宋体" w:cs="宋体"/>
                <w:b w:val="0"/>
                <w:bCs w:val="0"/>
                <w:color w:val="auto"/>
                <w:kern w:val="0"/>
                <w:sz w:val="24"/>
                <w:szCs w:val="24"/>
                <w:highlight w:val="none"/>
                <w:lang w:val="en-US" w:eastAsia="zh-CN"/>
              </w:rPr>
              <w:t>55</w:t>
            </w:r>
          </w:p>
        </w:tc>
        <w:tc>
          <w:tcPr>
            <w:tcW w:w="1718" w:type="dxa"/>
            <w:vMerge w:val="restart"/>
            <w:tcBorders>
              <w:tl2br w:val="nil"/>
              <w:tr2bl w:val="nil"/>
            </w:tcBorders>
            <w:noWrap w:val="0"/>
            <w:vAlign w:val="center"/>
          </w:tcPr>
          <w:p w14:paraId="58EA1627">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《国务院关于加强食品等产品安全监督管理的特别规定》</w:t>
            </w:r>
          </w:p>
        </w:tc>
        <w:tc>
          <w:tcPr>
            <w:tcW w:w="4132" w:type="dxa"/>
            <w:vMerge w:val="restart"/>
            <w:tcBorders>
              <w:tl2br w:val="nil"/>
              <w:tr2bl w:val="nil"/>
            </w:tcBorders>
            <w:noWrap w:val="0"/>
            <w:vAlign w:val="center"/>
          </w:tcPr>
          <w:p w14:paraId="20C7CBB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第四条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法使用原料、辅料、添加剂、农业投入品的，由农业、卫生、质检、商务、药品等监督管理部门依据各自职责没收违法所得，货值金额不足5000元的，并处2万元罚款；货值金额5000元以上不足1万元的，并处5万元罚款；货值金额1万元以上的，并处货值金额5倍以上10倍以下的罚款；造成严重后果的，由原发证部门吊销许可证照；构成生产、销售伪劣商品罪的，依法追究刑事责任。</w:t>
            </w:r>
          </w:p>
        </w:tc>
        <w:tc>
          <w:tcPr>
            <w:tcW w:w="1133" w:type="dxa"/>
            <w:tcBorders>
              <w:tl2br w:val="nil"/>
              <w:tr2bl w:val="nil"/>
            </w:tcBorders>
            <w:noWrap w:val="0"/>
            <w:vAlign w:val="center"/>
          </w:tcPr>
          <w:p w14:paraId="45BF2F12">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532FDE2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货值金额5000元以下的。</w:t>
            </w:r>
          </w:p>
        </w:tc>
        <w:tc>
          <w:tcPr>
            <w:tcW w:w="3267" w:type="dxa"/>
            <w:tcBorders>
              <w:tl2br w:val="nil"/>
              <w:tr2bl w:val="nil"/>
            </w:tcBorders>
            <w:noWrap w:val="0"/>
            <w:vAlign w:val="center"/>
          </w:tcPr>
          <w:p w14:paraId="2E8C644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没收违法所得，并处2万元罚款。</w:t>
            </w:r>
          </w:p>
        </w:tc>
      </w:tr>
      <w:tr w14:paraId="584E8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787" w:type="dxa"/>
            <w:vMerge w:val="continue"/>
            <w:tcBorders>
              <w:tl2br w:val="nil"/>
              <w:tr2bl w:val="nil"/>
            </w:tcBorders>
            <w:noWrap w:val="0"/>
            <w:vAlign w:val="center"/>
          </w:tcPr>
          <w:p w14:paraId="794730C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07368E0">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78BBF45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9ABDFB2">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77D5767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货值金额5000元以上1万元以下的。</w:t>
            </w:r>
          </w:p>
        </w:tc>
        <w:tc>
          <w:tcPr>
            <w:tcW w:w="3267" w:type="dxa"/>
            <w:tcBorders>
              <w:tl2br w:val="nil"/>
              <w:tr2bl w:val="nil"/>
            </w:tcBorders>
            <w:noWrap w:val="0"/>
            <w:vAlign w:val="center"/>
          </w:tcPr>
          <w:p w14:paraId="14314C7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没收违法所得，并处5万元罚款。</w:t>
            </w:r>
          </w:p>
        </w:tc>
      </w:tr>
      <w:tr w14:paraId="6692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787" w:type="dxa"/>
            <w:vMerge w:val="continue"/>
            <w:tcBorders>
              <w:tl2br w:val="nil"/>
              <w:tr2bl w:val="nil"/>
            </w:tcBorders>
            <w:noWrap w:val="0"/>
            <w:vAlign w:val="center"/>
          </w:tcPr>
          <w:p w14:paraId="23CA3CB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C5C4C7C">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79C5642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EC9BF82">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0A562D7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货值金额1万元以上20万元以下的。</w:t>
            </w:r>
          </w:p>
        </w:tc>
        <w:tc>
          <w:tcPr>
            <w:tcW w:w="3267" w:type="dxa"/>
            <w:tcBorders>
              <w:tl2br w:val="nil"/>
              <w:tr2bl w:val="nil"/>
            </w:tcBorders>
            <w:noWrap w:val="0"/>
            <w:vAlign w:val="center"/>
          </w:tcPr>
          <w:p w14:paraId="3E0CF0C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没收违法所得，并处货值金额5倍以上7倍以下罚款。</w:t>
            </w:r>
          </w:p>
        </w:tc>
      </w:tr>
      <w:tr w14:paraId="0A29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jc w:val="center"/>
        </w:trPr>
        <w:tc>
          <w:tcPr>
            <w:tcW w:w="787" w:type="dxa"/>
            <w:vMerge w:val="continue"/>
            <w:tcBorders>
              <w:tl2br w:val="nil"/>
              <w:tr2bl w:val="nil"/>
            </w:tcBorders>
            <w:noWrap w:val="0"/>
            <w:vAlign w:val="center"/>
          </w:tcPr>
          <w:p w14:paraId="29B36D6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F8F9154">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7A003C0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1FE21530">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严重</w:t>
            </w:r>
          </w:p>
        </w:tc>
        <w:tc>
          <w:tcPr>
            <w:tcW w:w="3316" w:type="dxa"/>
            <w:tcBorders>
              <w:tl2br w:val="nil"/>
              <w:tr2bl w:val="nil"/>
            </w:tcBorders>
            <w:noWrap w:val="0"/>
            <w:vAlign w:val="center"/>
          </w:tcPr>
          <w:p w14:paraId="5BF697E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货值金额20万元以上的。</w:t>
            </w:r>
          </w:p>
        </w:tc>
        <w:tc>
          <w:tcPr>
            <w:tcW w:w="3267" w:type="dxa"/>
            <w:tcBorders>
              <w:tl2br w:val="nil"/>
              <w:tr2bl w:val="nil"/>
            </w:tcBorders>
            <w:noWrap w:val="0"/>
            <w:vAlign w:val="center"/>
          </w:tcPr>
          <w:p w14:paraId="0587948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没收违法所得，并处货值金额7倍以上10倍以下罚款。</w:t>
            </w:r>
          </w:p>
        </w:tc>
      </w:tr>
      <w:tr w14:paraId="0659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787" w:type="dxa"/>
            <w:vMerge w:val="continue"/>
            <w:tcBorders>
              <w:tl2br w:val="nil"/>
              <w:tr2bl w:val="nil"/>
            </w:tcBorders>
            <w:noWrap w:val="0"/>
            <w:vAlign w:val="center"/>
          </w:tcPr>
          <w:p w14:paraId="31C5B15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FF8B01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6C0569D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0E8E5BB4">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特别严重</w:t>
            </w:r>
          </w:p>
        </w:tc>
        <w:tc>
          <w:tcPr>
            <w:tcW w:w="3316" w:type="dxa"/>
            <w:tcBorders>
              <w:tl2br w:val="nil"/>
              <w:tr2bl w:val="nil"/>
            </w:tcBorders>
            <w:noWrap w:val="0"/>
            <w:vAlign w:val="center"/>
          </w:tcPr>
          <w:p w14:paraId="624817B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已经造成人身损害或重大社会影响的。</w:t>
            </w:r>
          </w:p>
        </w:tc>
        <w:tc>
          <w:tcPr>
            <w:tcW w:w="3267" w:type="dxa"/>
            <w:tcBorders>
              <w:tl2br w:val="nil"/>
              <w:tr2bl w:val="nil"/>
            </w:tcBorders>
            <w:noWrap w:val="0"/>
            <w:vAlign w:val="center"/>
          </w:tcPr>
          <w:p w14:paraId="37A34BC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由原发证部门吊销许可证照。</w:t>
            </w:r>
          </w:p>
        </w:tc>
      </w:tr>
      <w:tr w14:paraId="0948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3" w:hRule="atLeast"/>
          <w:jc w:val="center"/>
        </w:trPr>
        <w:tc>
          <w:tcPr>
            <w:tcW w:w="787" w:type="dxa"/>
            <w:vMerge w:val="restart"/>
            <w:tcBorders>
              <w:tl2br w:val="nil"/>
              <w:tr2bl w:val="nil"/>
            </w:tcBorders>
            <w:noWrap w:val="0"/>
            <w:vAlign w:val="center"/>
          </w:tcPr>
          <w:p w14:paraId="68BBB64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56</w:t>
            </w:r>
          </w:p>
        </w:tc>
        <w:tc>
          <w:tcPr>
            <w:tcW w:w="1718" w:type="dxa"/>
            <w:vMerge w:val="restart"/>
            <w:tcBorders>
              <w:tl2br w:val="nil"/>
              <w:tr2bl w:val="nil"/>
            </w:tcBorders>
            <w:noWrap w:val="0"/>
            <w:vAlign w:val="center"/>
          </w:tcPr>
          <w:p w14:paraId="211518F5">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《国务院关于加强食品等产品安全监督管理的特别规定》</w:t>
            </w:r>
          </w:p>
        </w:tc>
        <w:tc>
          <w:tcPr>
            <w:tcW w:w="4132" w:type="dxa"/>
            <w:vMerge w:val="restart"/>
            <w:tcBorders>
              <w:tl2br w:val="nil"/>
              <w:tr2bl w:val="nil"/>
            </w:tcBorders>
            <w:noWrap w:val="0"/>
            <w:vAlign w:val="center"/>
          </w:tcPr>
          <w:p w14:paraId="191B793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第九条第二款</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生产企业和销售者不履行前款规定义务的，由农业、卫生、质检、商务、工商、药品等监督管理部门依据各自职责，责令生产企业召回产品、销售者停止销售，对生产企业并处货值金额3倍的罚款，对销售者并处1000元以上5万元以下的罚款；造成严重后果的，由原发证部门吊销许可证照。</w:t>
            </w:r>
          </w:p>
        </w:tc>
        <w:tc>
          <w:tcPr>
            <w:tcW w:w="1133" w:type="dxa"/>
            <w:tcBorders>
              <w:tl2br w:val="nil"/>
              <w:tr2bl w:val="nil"/>
            </w:tcBorders>
            <w:noWrap w:val="0"/>
            <w:vAlign w:val="center"/>
          </w:tcPr>
          <w:p w14:paraId="2C76F0D2">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2A36B7C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销售者已经停止销售，但未通知生产企业或供货商，或者未向有关监管部门报告的。</w:t>
            </w:r>
          </w:p>
        </w:tc>
        <w:tc>
          <w:tcPr>
            <w:tcW w:w="3267" w:type="dxa"/>
            <w:tcBorders>
              <w:tl2br w:val="nil"/>
              <w:tr2bl w:val="nil"/>
            </w:tcBorders>
            <w:noWrap w:val="0"/>
            <w:vAlign w:val="center"/>
          </w:tcPr>
          <w:p w14:paraId="763C5FA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责令生产企业召回产品、销售者停止销售，对生产企业并处货值金额3倍的罚款，对销售者并处</w:t>
            </w:r>
            <w:r>
              <w:rPr>
                <w:rFonts w:hint="eastAsia" w:ascii="宋体" w:hAnsi="宋体" w:cs="宋体"/>
                <w:color w:val="auto"/>
                <w:kern w:val="0"/>
                <w:sz w:val="24"/>
                <w:szCs w:val="24"/>
                <w:highlight w:val="none"/>
                <w:lang w:val="en-US" w:eastAsia="zh-CN"/>
              </w:rPr>
              <w:t>1000</w:t>
            </w:r>
            <w:r>
              <w:rPr>
                <w:rFonts w:hint="eastAsia" w:ascii="宋体" w:hAnsi="宋体" w:eastAsia="宋体" w:cs="宋体"/>
                <w:color w:val="auto"/>
                <w:kern w:val="0"/>
                <w:sz w:val="24"/>
                <w:szCs w:val="24"/>
                <w:highlight w:val="none"/>
              </w:rPr>
              <w:t>元以上1.57万元以下罚款。</w:t>
            </w:r>
          </w:p>
        </w:tc>
      </w:tr>
      <w:tr w14:paraId="26A5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787" w:type="dxa"/>
            <w:vMerge w:val="continue"/>
            <w:tcBorders>
              <w:tl2br w:val="nil"/>
              <w:tr2bl w:val="nil"/>
            </w:tcBorders>
            <w:noWrap w:val="0"/>
            <w:vAlign w:val="center"/>
          </w:tcPr>
          <w:p w14:paraId="388F652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8258E08">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5D93F53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D916B97">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3" w:leftChars="-50" w:right="-103" w:rightChars="-5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43120A8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销售者继续销售，且货值金额（自销售者发现或应该发现安全隐患之日起计算）1万元以下的。</w:t>
            </w:r>
          </w:p>
        </w:tc>
        <w:tc>
          <w:tcPr>
            <w:tcW w:w="3267" w:type="dxa"/>
            <w:tcBorders>
              <w:tl2br w:val="nil"/>
              <w:tr2bl w:val="nil"/>
            </w:tcBorders>
            <w:noWrap w:val="0"/>
            <w:vAlign w:val="center"/>
          </w:tcPr>
          <w:p w14:paraId="06AC4A3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责令生产企业召回产品、销售者停止销售，对生产企业并处货值金额3倍的罚款，对销售者并处1.57万元以上3.53万元以下罚款。</w:t>
            </w:r>
          </w:p>
        </w:tc>
      </w:tr>
      <w:tr w14:paraId="586B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0" w:hRule="atLeast"/>
          <w:jc w:val="center"/>
        </w:trPr>
        <w:tc>
          <w:tcPr>
            <w:tcW w:w="787" w:type="dxa"/>
            <w:vMerge w:val="continue"/>
            <w:tcBorders>
              <w:tl2br w:val="nil"/>
              <w:tr2bl w:val="nil"/>
            </w:tcBorders>
            <w:noWrap w:val="0"/>
            <w:vAlign w:val="center"/>
          </w:tcPr>
          <w:p w14:paraId="6745AE6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6175145">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724CB39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061DBE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4185A7E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销售者继续销售，且货值金额（自销售者发现或应该发现安全隐患之日起计算）1万元以上的。</w:t>
            </w:r>
          </w:p>
        </w:tc>
        <w:tc>
          <w:tcPr>
            <w:tcW w:w="3267" w:type="dxa"/>
            <w:tcBorders>
              <w:tl2br w:val="nil"/>
              <w:tr2bl w:val="nil"/>
            </w:tcBorders>
            <w:noWrap w:val="0"/>
            <w:vAlign w:val="center"/>
          </w:tcPr>
          <w:p w14:paraId="4514E09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责令生产企业召回产品、销售者停止销售，对生产企业并处货值金额3倍的罚款，对销售者并处3.53万元以上5万元以下罚款。</w:t>
            </w:r>
          </w:p>
        </w:tc>
      </w:tr>
      <w:tr w14:paraId="4988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787" w:type="dxa"/>
            <w:vMerge w:val="continue"/>
            <w:tcBorders>
              <w:tl2br w:val="nil"/>
              <w:tr2bl w:val="nil"/>
            </w:tcBorders>
            <w:noWrap w:val="0"/>
            <w:vAlign w:val="center"/>
          </w:tcPr>
          <w:p w14:paraId="6B3D112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E347DB6">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20C432D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1B0763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严重</w:t>
            </w:r>
          </w:p>
        </w:tc>
        <w:tc>
          <w:tcPr>
            <w:tcW w:w="3316" w:type="dxa"/>
            <w:tcBorders>
              <w:tl2br w:val="nil"/>
              <w:tr2bl w:val="nil"/>
            </w:tcBorders>
            <w:noWrap w:val="0"/>
            <w:vAlign w:val="center"/>
          </w:tcPr>
          <w:p w14:paraId="3EF6B9D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已经造成人身损害或重大社会影响的。</w:t>
            </w:r>
          </w:p>
        </w:tc>
        <w:tc>
          <w:tcPr>
            <w:tcW w:w="3267" w:type="dxa"/>
            <w:tcBorders>
              <w:tl2br w:val="nil"/>
              <w:tr2bl w:val="nil"/>
            </w:tcBorders>
            <w:noWrap w:val="0"/>
            <w:vAlign w:val="center"/>
          </w:tcPr>
          <w:p w14:paraId="21FA8E1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由原发证部门吊销许可证照。</w:t>
            </w:r>
          </w:p>
        </w:tc>
      </w:tr>
      <w:tr w14:paraId="4ADD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9" w:hRule="atLeast"/>
          <w:jc w:val="center"/>
        </w:trPr>
        <w:tc>
          <w:tcPr>
            <w:tcW w:w="787" w:type="dxa"/>
            <w:vMerge w:val="restart"/>
            <w:tcBorders>
              <w:tl2br w:val="nil"/>
              <w:tr2bl w:val="nil"/>
            </w:tcBorders>
            <w:noWrap w:val="0"/>
            <w:vAlign w:val="center"/>
          </w:tcPr>
          <w:p w14:paraId="5FE6224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57</w:t>
            </w:r>
          </w:p>
        </w:tc>
        <w:tc>
          <w:tcPr>
            <w:tcW w:w="1718" w:type="dxa"/>
            <w:vMerge w:val="restart"/>
            <w:tcBorders>
              <w:tl2br w:val="nil"/>
              <w:tr2bl w:val="nil"/>
            </w:tcBorders>
            <w:noWrap w:val="0"/>
            <w:vAlign w:val="center"/>
          </w:tcPr>
          <w:p w14:paraId="47613F98">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outlineLvl w:val="2"/>
              <w:rPr>
                <w:rFonts w:hint="eastAsia" w:ascii="宋体" w:hAnsi="宋体" w:eastAsia="宋体" w:cs="宋体"/>
                <w:b w:val="0"/>
                <w:bCs w:val="0"/>
                <w:color w:val="auto"/>
                <w:kern w:val="0"/>
                <w:sz w:val="24"/>
                <w:szCs w:val="24"/>
                <w:highlight w:val="none"/>
                <w:lang w:eastAsia="zh-CN"/>
              </w:rPr>
            </w:pPr>
            <w:bookmarkStart w:id="297" w:name="_Toc24442"/>
            <w:bookmarkStart w:id="298" w:name="_Toc17584"/>
            <w:bookmarkStart w:id="299" w:name="_Toc10462"/>
            <w:bookmarkStart w:id="300" w:name="_Toc30478"/>
            <w:bookmarkStart w:id="301" w:name="_Toc6439"/>
            <w:r>
              <w:rPr>
                <w:rFonts w:hint="eastAsia" w:ascii="宋体" w:hAnsi="宋体" w:eastAsia="宋体" w:cs="宋体"/>
                <w:b w:val="0"/>
                <w:bCs w:val="0"/>
                <w:color w:val="auto"/>
                <w:kern w:val="0"/>
                <w:sz w:val="24"/>
                <w:szCs w:val="24"/>
                <w:highlight w:val="none"/>
              </w:rPr>
              <w:t>《乳品质量安全监督管理条例》</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lang w:val="en-US" w:eastAsia="zh-CN"/>
              </w:rPr>
              <w:t>2008年10月</w:t>
            </w:r>
            <w:r>
              <w:rPr>
                <w:rFonts w:hint="eastAsia" w:ascii="宋体" w:hAnsi="宋体" w:cs="宋体"/>
                <w:b w:val="0"/>
                <w:bCs w:val="0"/>
                <w:color w:val="auto"/>
                <w:kern w:val="0"/>
                <w:sz w:val="24"/>
                <w:szCs w:val="24"/>
                <w:highlight w:val="none"/>
                <w:lang w:val="en-US" w:eastAsia="zh-CN"/>
              </w:rPr>
              <w:t>9</w:t>
            </w:r>
            <w:r>
              <w:rPr>
                <w:rFonts w:hint="eastAsia" w:ascii="宋体" w:hAnsi="宋体" w:eastAsia="宋体" w:cs="宋体"/>
                <w:b w:val="0"/>
                <w:bCs w:val="0"/>
                <w:color w:val="auto"/>
                <w:kern w:val="0"/>
                <w:sz w:val="24"/>
                <w:szCs w:val="24"/>
                <w:highlight w:val="none"/>
                <w:lang w:val="en-US" w:eastAsia="zh-CN"/>
              </w:rPr>
              <w:t>日</w:t>
            </w:r>
            <w:r>
              <w:rPr>
                <w:rFonts w:hint="eastAsia" w:ascii="宋体" w:hAnsi="宋体" w:cs="宋体"/>
                <w:b w:val="0"/>
                <w:bCs w:val="0"/>
                <w:color w:val="auto"/>
                <w:kern w:val="0"/>
                <w:sz w:val="24"/>
                <w:szCs w:val="24"/>
                <w:highlight w:val="none"/>
                <w:lang w:val="en-US" w:eastAsia="zh-CN"/>
              </w:rPr>
              <w:t>起施行</w:t>
            </w:r>
            <w:r>
              <w:rPr>
                <w:rFonts w:hint="eastAsia" w:ascii="宋体" w:hAnsi="宋体" w:eastAsia="宋体" w:cs="宋体"/>
                <w:b w:val="0"/>
                <w:bCs w:val="0"/>
                <w:color w:val="auto"/>
                <w:kern w:val="0"/>
                <w:sz w:val="24"/>
                <w:szCs w:val="24"/>
                <w:highlight w:val="none"/>
                <w:lang w:eastAsia="zh-CN"/>
              </w:rPr>
              <w:t>）</w:t>
            </w:r>
            <w:bookmarkEnd w:id="297"/>
            <w:bookmarkEnd w:id="298"/>
            <w:bookmarkEnd w:id="299"/>
            <w:bookmarkEnd w:id="300"/>
            <w:bookmarkEnd w:id="301"/>
          </w:p>
        </w:tc>
        <w:tc>
          <w:tcPr>
            <w:tcW w:w="4132" w:type="dxa"/>
            <w:vMerge w:val="restart"/>
            <w:tcBorders>
              <w:tl2br w:val="nil"/>
              <w:tr2bl w:val="nil"/>
            </w:tcBorders>
            <w:noWrap w:val="0"/>
            <w:vAlign w:val="center"/>
          </w:tcPr>
          <w:p w14:paraId="5E5EDA9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第五十四条</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生鲜乳收购者、乳制品生产企业在生鲜乳收购、乳制品生产过程中，加入非食品用化学物质或者其他可能危害人体健康的物质，依照刑法第一百四十四条的规定，构成犯罪的，依法追究刑事责任，并由发证机关吊销许可证照；尚不构成犯罪的，由畜牧兽医主管部门、质量监督部门依据各自职责没收违法所得和违法生产的乳品，以及相关的工具、设备等物品，并处违法乳品货值金额15倍以上30倍以下罚款，由发证机关吊销许可证照。</w:t>
            </w:r>
          </w:p>
        </w:tc>
        <w:tc>
          <w:tcPr>
            <w:tcW w:w="1133" w:type="dxa"/>
            <w:tcBorders>
              <w:tl2br w:val="nil"/>
              <w:tr2bl w:val="nil"/>
            </w:tcBorders>
            <w:noWrap w:val="0"/>
            <w:vAlign w:val="center"/>
          </w:tcPr>
          <w:p w14:paraId="4FAF4A3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45A59AE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不存在主观故意，且尚未造成社会影响的。</w:t>
            </w:r>
          </w:p>
        </w:tc>
        <w:tc>
          <w:tcPr>
            <w:tcW w:w="3267" w:type="dxa"/>
            <w:tcBorders>
              <w:tl2br w:val="nil"/>
              <w:tr2bl w:val="nil"/>
            </w:tcBorders>
            <w:noWrap w:val="0"/>
            <w:vAlign w:val="center"/>
          </w:tcPr>
          <w:p w14:paraId="1BCC64EE">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没收违法所得和违法生产的乳品，以及相关的工具、设备等物品，并处货值金额15倍以上20倍以下罚款，由发证机关吊销许可证照。</w:t>
            </w:r>
          </w:p>
        </w:tc>
      </w:tr>
      <w:tr w14:paraId="0E99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8" w:hRule="atLeast"/>
          <w:jc w:val="center"/>
        </w:trPr>
        <w:tc>
          <w:tcPr>
            <w:tcW w:w="787" w:type="dxa"/>
            <w:vMerge w:val="continue"/>
            <w:tcBorders>
              <w:tl2br w:val="nil"/>
              <w:tr2bl w:val="nil"/>
            </w:tcBorders>
            <w:noWrap w:val="0"/>
            <w:vAlign w:val="center"/>
          </w:tcPr>
          <w:p w14:paraId="3FC8EF1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75F1A6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6E7CF2F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0C40AF1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044C23E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不存在主观故意，但已经造成重大社会影响的。</w:t>
            </w:r>
          </w:p>
        </w:tc>
        <w:tc>
          <w:tcPr>
            <w:tcW w:w="3267" w:type="dxa"/>
            <w:tcBorders>
              <w:tl2br w:val="nil"/>
              <w:tr2bl w:val="nil"/>
            </w:tcBorders>
            <w:noWrap w:val="0"/>
            <w:vAlign w:val="center"/>
          </w:tcPr>
          <w:p w14:paraId="30EB7B35">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没收违法所得和违法生产的乳品，以及相关的工具、设备等物品，并处货值金额20倍以上25倍以下罚款，由发证机关吊销许可证照。</w:t>
            </w:r>
          </w:p>
        </w:tc>
      </w:tr>
      <w:tr w14:paraId="47E23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3" w:hRule="atLeast"/>
          <w:jc w:val="center"/>
        </w:trPr>
        <w:tc>
          <w:tcPr>
            <w:tcW w:w="787" w:type="dxa"/>
            <w:vMerge w:val="continue"/>
            <w:tcBorders>
              <w:tl2br w:val="nil"/>
              <w:tr2bl w:val="nil"/>
            </w:tcBorders>
            <w:noWrap w:val="0"/>
            <w:vAlign w:val="center"/>
          </w:tcPr>
          <w:p w14:paraId="64C44DC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38BA3A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ED07A3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369D91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32324F3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鲜乳收购者、乳制品生产企业故意添加非食品用化学物质或者其他可能危害人体健康的物质，但尚未构成刑法第一百四十四条规定的生产有毒有害食品罪的，或者在婴幼儿奶粉生产过程中，加入非食品用化学物质或其他可能危害人体健康的物质的。</w:t>
            </w:r>
          </w:p>
        </w:tc>
        <w:tc>
          <w:tcPr>
            <w:tcW w:w="3267" w:type="dxa"/>
            <w:tcBorders>
              <w:tl2br w:val="nil"/>
              <w:tr2bl w:val="nil"/>
            </w:tcBorders>
            <w:noWrap w:val="0"/>
            <w:vAlign w:val="center"/>
          </w:tcPr>
          <w:p w14:paraId="5C9EC15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没收违法所得和违法生产的乳品，以及相关的工具、设备等物品，并处货值金额25倍以上30倍以下罚款，由发证机关吊销许可证照。</w:t>
            </w:r>
          </w:p>
        </w:tc>
      </w:tr>
      <w:tr w14:paraId="114E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7" w:hRule="atLeast"/>
          <w:jc w:val="center"/>
        </w:trPr>
        <w:tc>
          <w:tcPr>
            <w:tcW w:w="787" w:type="dxa"/>
            <w:vMerge w:val="restart"/>
            <w:tcBorders>
              <w:tl2br w:val="nil"/>
              <w:tr2bl w:val="nil"/>
            </w:tcBorders>
            <w:noWrap w:val="0"/>
            <w:vAlign w:val="center"/>
          </w:tcPr>
          <w:p w14:paraId="2A35F42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58</w:t>
            </w:r>
          </w:p>
        </w:tc>
        <w:tc>
          <w:tcPr>
            <w:tcW w:w="1718" w:type="dxa"/>
            <w:vMerge w:val="restart"/>
            <w:tcBorders>
              <w:tl2br w:val="nil"/>
              <w:tr2bl w:val="nil"/>
            </w:tcBorders>
            <w:noWrap w:val="0"/>
            <w:vAlign w:val="center"/>
          </w:tcPr>
          <w:p w14:paraId="293B9558">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《乳品质量安全监督管理条例》</w:t>
            </w:r>
          </w:p>
        </w:tc>
        <w:tc>
          <w:tcPr>
            <w:tcW w:w="4132" w:type="dxa"/>
            <w:vMerge w:val="restart"/>
            <w:tcBorders>
              <w:tl2br w:val="nil"/>
              <w:tr2bl w:val="nil"/>
            </w:tcBorders>
            <w:noWrap w:val="0"/>
            <w:vAlign w:val="center"/>
          </w:tcPr>
          <w:p w14:paraId="31521DA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第五十五条</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生产、销售不符合乳品质量安全国家标准的乳品，依照刑法第一百四十三条的规定，构成犯罪的，依法追究刑事责任，并由发证机关吊销许可证照；尚不构成犯罪的，由畜牧兽医主管部门、质量监督部门、工商行政管理部门依据各自职责没收违法所得、违法乳品和相关的工具、设备等物品，并处违法乳品货值金额10倍以上20倍以下罚款，由发证机关吊销许可证照。</w:t>
            </w:r>
          </w:p>
        </w:tc>
        <w:tc>
          <w:tcPr>
            <w:tcW w:w="1133" w:type="dxa"/>
            <w:tcBorders>
              <w:tl2br w:val="nil"/>
              <w:tr2bl w:val="nil"/>
            </w:tcBorders>
            <w:noWrap w:val="0"/>
            <w:vAlign w:val="center"/>
          </w:tcPr>
          <w:p w14:paraId="645B5AD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3851A27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不存在主观故意且乳品尚未销售的。</w:t>
            </w:r>
          </w:p>
        </w:tc>
        <w:tc>
          <w:tcPr>
            <w:tcW w:w="3267" w:type="dxa"/>
            <w:tcBorders>
              <w:tl2br w:val="nil"/>
              <w:tr2bl w:val="nil"/>
            </w:tcBorders>
            <w:noWrap w:val="0"/>
            <w:vAlign w:val="center"/>
          </w:tcPr>
          <w:p w14:paraId="74D2B77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没收违法所得、违法乳品和相关的工具、设备等物品，并处货值金额10倍以上13倍以下罚款，由发证机关吊销许可证照。</w:t>
            </w:r>
          </w:p>
        </w:tc>
      </w:tr>
      <w:tr w14:paraId="437C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2" w:hRule="atLeast"/>
          <w:jc w:val="center"/>
        </w:trPr>
        <w:tc>
          <w:tcPr>
            <w:tcW w:w="787" w:type="dxa"/>
            <w:vMerge w:val="continue"/>
            <w:tcBorders>
              <w:tl2br w:val="nil"/>
              <w:tr2bl w:val="nil"/>
            </w:tcBorders>
            <w:noWrap w:val="0"/>
            <w:vAlign w:val="center"/>
          </w:tcPr>
          <w:p w14:paraId="75087E0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70B1494">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706F555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1AE7D0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7F0A7FB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乳品已经销售但尚未造成重大社会影响的。</w:t>
            </w:r>
          </w:p>
        </w:tc>
        <w:tc>
          <w:tcPr>
            <w:tcW w:w="3267" w:type="dxa"/>
            <w:tcBorders>
              <w:tl2br w:val="nil"/>
              <w:tr2bl w:val="nil"/>
            </w:tcBorders>
            <w:noWrap w:val="0"/>
            <w:vAlign w:val="center"/>
          </w:tcPr>
          <w:p w14:paraId="6314968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没收违法所得、违法乳品和相关的工具、设备等物品，并处货值金额13倍以上17倍以下罚款，由发证机关吊销许可证照。</w:t>
            </w:r>
          </w:p>
        </w:tc>
      </w:tr>
      <w:tr w14:paraId="3C1C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atLeast"/>
          <w:jc w:val="center"/>
        </w:trPr>
        <w:tc>
          <w:tcPr>
            <w:tcW w:w="787" w:type="dxa"/>
            <w:vMerge w:val="continue"/>
            <w:tcBorders>
              <w:tl2br w:val="nil"/>
              <w:tr2bl w:val="nil"/>
            </w:tcBorders>
            <w:noWrap w:val="0"/>
            <w:vAlign w:val="center"/>
          </w:tcPr>
          <w:p w14:paraId="219B58D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AF2EE4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74F7636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6A6C695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严重</w:t>
            </w:r>
          </w:p>
        </w:tc>
        <w:tc>
          <w:tcPr>
            <w:tcW w:w="3316" w:type="dxa"/>
            <w:tcBorders>
              <w:tl2br w:val="nil"/>
              <w:tr2bl w:val="nil"/>
            </w:tcBorders>
            <w:noWrap w:val="0"/>
            <w:vAlign w:val="center"/>
          </w:tcPr>
          <w:p w14:paraId="2F32E6B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已经造成重大社会影响的，或者生产、销售的婴幼儿奶粉营养成分不足、不符合乳品质量安全国家标准的。</w:t>
            </w:r>
          </w:p>
        </w:tc>
        <w:tc>
          <w:tcPr>
            <w:tcW w:w="3267" w:type="dxa"/>
            <w:tcBorders>
              <w:tl2br w:val="nil"/>
              <w:tr2bl w:val="nil"/>
            </w:tcBorders>
            <w:noWrap w:val="0"/>
            <w:vAlign w:val="center"/>
          </w:tcPr>
          <w:p w14:paraId="207B7E2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没收违法所得、违法乳品和相关的工具、设备等物品，并处货值金额17倍以上20倍以下罚款，由发证机关吊销许可证照。</w:t>
            </w:r>
          </w:p>
        </w:tc>
      </w:tr>
      <w:tr w14:paraId="465E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9" w:hRule="atLeast"/>
          <w:jc w:val="center"/>
        </w:trPr>
        <w:tc>
          <w:tcPr>
            <w:tcW w:w="787" w:type="dxa"/>
            <w:vMerge w:val="restart"/>
            <w:tcBorders>
              <w:tl2br w:val="nil"/>
              <w:tr2bl w:val="nil"/>
            </w:tcBorders>
            <w:noWrap w:val="0"/>
            <w:vAlign w:val="center"/>
          </w:tcPr>
          <w:p w14:paraId="49531AC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59</w:t>
            </w:r>
          </w:p>
        </w:tc>
        <w:tc>
          <w:tcPr>
            <w:tcW w:w="1718" w:type="dxa"/>
            <w:vMerge w:val="restart"/>
            <w:tcBorders>
              <w:tl2br w:val="nil"/>
              <w:tr2bl w:val="nil"/>
            </w:tcBorders>
            <w:noWrap w:val="0"/>
            <w:vAlign w:val="center"/>
          </w:tcPr>
          <w:p w14:paraId="49811BC6">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《乳品质量安全监督管理条例》</w:t>
            </w:r>
          </w:p>
        </w:tc>
        <w:tc>
          <w:tcPr>
            <w:tcW w:w="4132" w:type="dxa"/>
            <w:vMerge w:val="restart"/>
            <w:tcBorders>
              <w:tl2br w:val="nil"/>
              <w:tr2bl w:val="nil"/>
            </w:tcBorders>
            <w:noWrap w:val="0"/>
            <w:vAlign w:val="center"/>
          </w:tcPr>
          <w:p w14:paraId="6B0D98B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第五十六条</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乳制品生产企业违反本条例第三十六条的规定，对不符合乳品质量安全国家标准、存在危害人体健康和生命安全或者可能危害婴幼儿身体健康和生长发育的乳制品，不停止生产、不召回的，由质量监督部门责令停止生产、召回；拒不停止生产、拒不召回的，没收其违法所得、违法乳制品和相关的工具、设备等物品，并处违法乳制品货值金额15倍以上30倍以下罚款，由发证机关吊销许可证照。</w:t>
            </w:r>
          </w:p>
        </w:tc>
        <w:tc>
          <w:tcPr>
            <w:tcW w:w="1133" w:type="dxa"/>
            <w:tcBorders>
              <w:tl2br w:val="nil"/>
              <w:tr2bl w:val="nil"/>
            </w:tcBorders>
            <w:noWrap w:val="0"/>
            <w:vAlign w:val="center"/>
          </w:tcPr>
          <w:p w14:paraId="324D2E0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05BC3D4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拒不停止生产、拒不召回</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货值金额较小或生产时间较短的。</w:t>
            </w:r>
          </w:p>
        </w:tc>
        <w:tc>
          <w:tcPr>
            <w:tcW w:w="3267" w:type="dxa"/>
            <w:tcBorders>
              <w:tl2br w:val="nil"/>
              <w:tr2bl w:val="nil"/>
            </w:tcBorders>
            <w:noWrap w:val="0"/>
            <w:vAlign w:val="center"/>
          </w:tcPr>
          <w:p w14:paraId="46BCEE8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没收其违法所得、违法乳制品和相关的工具、设备等物品，并处货值金额15倍以上20倍以下罚款，由发证机关吊销许可证照。</w:t>
            </w:r>
          </w:p>
        </w:tc>
      </w:tr>
      <w:tr w14:paraId="722C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6" w:hRule="atLeast"/>
          <w:jc w:val="center"/>
        </w:trPr>
        <w:tc>
          <w:tcPr>
            <w:tcW w:w="787" w:type="dxa"/>
            <w:vMerge w:val="continue"/>
            <w:tcBorders>
              <w:tl2br w:val="nil"/>
              <w:tr2bl w:val="nil"/>
            </w:tcBorders>
            <w:noWrap w:val="0"/>
            <w:vAlign w:val="center"/>
          </w:tcPr>
          <w:p w14:paraId="46E2958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7C17448">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6A4BF10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055E147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550E929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拒不停止生产、拒不召回</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货值金额较大或生产时间较长的。</w:t>
            </w:r>
          </w:p>
        </w:tc>
        <w:tc>
          <w:tcPr>
            <w:tcW w:w="3267" w:type="dxa"/>
            <w:tcBorders>
              <w:tl2br w:val="nil"/>
              <w:tr2bl w:val="nil"/>
            </w:tcBorders>
            <w:noWrap w:val="0"/>
            <w:vAlign w:val="center"/>
          </w:tcPr>
          <w:p w14:paraId="7F7D333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没收其违法所得、违法乳制品和相关的工具、设备等物品，并处货值金额20倍以上25倍以下罚款，由发证机关吊销许可证照。</w:t>
            </w:r>
          </w:p>
        </w:tc>
      </w:tr>
      <w:tr w14:paraId="7E26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2" w:hRule="atLeast"/>
          <w:jc w:val="center"/>
        </w:trPr>
        <w:tc>
          <w:tcPr>
            <w:tcW w:w="787" w:type="dxa"/>
            <w:vMerge w:val="continue"/>
            <w:tcBorders>
              <w:tl2br w:val="nil"/>
              <w:tr2bl w:val="nil"/>
            </w:tcBorders>
            <w:noWrap w:val="0"/>
            <w:vAlign w:val="center"/>
          </w:tcPr>
          <w:p w14:paraId="7A13568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D5F8214">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72ED832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64DDBFC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5D0C4DB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拒不停止生产、拒不召回</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已经造成重大社会影响的。</w:t>
            </w:r>
          </w:p>
        </w:tc>
        <w:tc>
          <w:tcPr>
            <w:tcW w:w="3267" w:type="dxa"/>
            <w:tcBorders>
              <w:tl2br w:val="nil"/>
              <w:tr2bl w:val="nil"/>
            </w:tcBorders>
            <w:noWrap w:val="0"/>
            <w:vAlign w:val="center"/>
          </w:tcPr>
          <w:p w14:paraId="21D78B6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没收其违法所得、违法乳制品和相关的工具、设备等物品，并处货值金额25倍以上30倍以下罚款，由发证机关吊销许可证照。</w:t>
            </w:r>
          </w:p>
        </w:tc>
      </w:tr>
      <w:tr w14:paraId="0BC9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8" w:hRule="atLeast"/>
          <w:jc w:val="center"/>
        </w:trPr>
        <w:tc>
          <w:tcPr>
            <w:tcW w:w="787" w:type="dxa"/>
            <w:vMerge w:val="restart"/>
            <w:tcBorders>
              <w:tl2br w:val="nil"/>
              <w:tr2bl w:val="nil"/>
            </w:tcBorders>
            <w:noWrap w:val="0"/>
            <w:vAlign w:val="center"/>
          </w:tcPr>
          <w:p w14:paraId="0FFB3CE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60</w:t>
            </w:r>
          </w:p>
        </w:tc>
        <w:tc>
          <w:tcPr>
            <w:tcW w:w="1718" w:type="dxa"/>
            <w:vMerge w:val="restart"/>
            <w:tcBorders>
              <w:tl2br w:val="nil"/>
              <w:tr2bl w:val="nil"/>
            </w:tcBorders>
            <w:noWrap w:val="0"/>
            <w:vAlign w:val="center"/>
          </w:tcPr>
          <w:p w14:paraId="1DF2B57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《乳品质量安全监督管理条例》</w:t>
            </w:r>
          </w:p>
        </w:tc>
        <w:tc>
          <w:tcPr>
            <w:tcW w:w="4132" w:type="dxa"/>
            <w:vMerge w:val="restart"/>
            <w:tcBorders>
              <w:tl2br w:val="nil"/>
              <w:tr2bl w:val="nil"/>
            </w:tcBorders>
            <w:noWrap w:val="0"/>
            <w:vAlign w:val="center"/>
          </w:tcPr>
          <w:p w14:paraId="79EE0EFD">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第五十七条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乳制品销售者违反本条例第四十二条的规定，对不符合乳品质量安全国家标准、存在危害人体健康和生命安全或者可能危害婴幼儿身体健康和生长发育的乳制品，不停止销售、不追回的，由工商行政管理部门责令停止销售、追回；拒不停止销售、拒不追回的，没收其违法所得、违法乳制品和相关的工具、设备等物品，并处违法乳制品货值金额15倍以上30倍以下罚款，由发证机关吊销许可证照。</w:t>
            </w:r>
          </w:p>
        </w:tc>
        <w:tc>
          <w:tcPr>
            <w:tcW w:w="1133" w:type="dxa"/>
            <w:tcBorders>
              <w:tl2br w:val="nil"/>
              <w:tr2bl w:val="nil"/>
            </w:tcBorders>
            <w:noWrap w:val="0"/>
            <w:vAlign w:val="center"/>
          </w:tcPr>
          <w:p w14:paraId="2BE3831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2729383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拒不停止销售、拒不追回，货值金额较小或销售时间较短的。</w:t>
            </w:r>
          </w:p>
        </w:tc>
        <w:tc>
          <w:tcPr>
            <w:tcW w:w="3267" w:type="dxa"/>
            <w:tcBorders>
              <w:tl2br w:val="nil"/>
              <w:tr2bl w:val="nil"/>
            </w:tcBorders>
            <w:noWrap w:val="0"/>
            <w:vAlign w:val="center"/>
          </w:tcPr>
          <w:p w14:paraId="5A35B92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没收其违法所得、违法乳制品和相关的工具、设备等物品，并处货值金额15倍以上20倍以下罚款，由发证机关吊销许可证照。</w:t>
            </w:r>
          </w:p>
        </w:tc>
      </w:tr>
      <w:tr w14:paraId="3408B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3" w:hRule="atLeast"/>
          <w:jc w:val="center"/>
        </w:trPr>
        <w:tc>
          <w:tcPr>
            <w:tcW w:w="787" w:type="dxa"/>
            <w:vMerge w:val="continue"/>
            <w:tcBorders>
              <w:tl2br w:val="nil"/>
              <w:tr2bl w:val="nil"/>
            </w:tcBorders>
            <w:noWrap w:val="0"/>
            <w:vAlign w:val="center"/>
          </w:tcPr>
          <w:p w14:paraId="62701E7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BF299ED">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31F05A6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0705D1D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745FE5D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拒不停止销售、拒不追回，货值金额较大或销售时间较长的。</w:t>
            </w:r>
          </w:p>
        </w:tc>
        <w:tc>
          <w:tcPr>
            <w:tcW w:w="3267" w:type="dxa"/>
            <w:tcBorders>
              <w:tl2br w:val="nil"/>
              <w:tr2bl w:val="nil"/>
            </w:tcBorders>
            <w:noWrap w:val="0"/>
            <w:vAlign w:val="center"/>
          </w:tcPr>
          <w:p w14:paraId="47D4AD4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没收其违法所得、违法乳制品和相关的工具、设备等物品，并处货值金额20倍以上25倍以下罚款，由发证机关吊销许可证照。</w:t>
            </w:r>
          </w:p>
        </w:tc>
      </w:tr>
      <w:tr w14:paraId="70B9E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9" w:hRule="atLeast"/>
          <w:jc w:val="center"/>
        </w:trPr>
        <w:tc>
          <w:tcPr>
            <w:tcW w:w="787" w:type="dxa"/>
            <w:vMerge w:val="continue"/>
            <w:tcBorders>
              <w:tl2br w:val="nil"/>
              <w:tr2bl w:val="nil"/>
            </w:tcBorders>
            <w:noWrap w:val="0"/>
            <w:vAlign w:val="center"/>
          </w:tcPr>
          <w:p w14:paraId="0F57B31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DDE8D2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283C18C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1433654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0A418AB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拒不停止销售、拒不追回，已经造成重大社会影响的。</w:t>
            </w:r>
          </w:p>
        </w:tc>
        <w:tc>
          <w:tcPr>
            <w:tcW w:w="3267" w:type="dxa"/>
            <w:tcBorders>
              <w:tl2br w:val="nil"/>
              <w:tr2bl w:val="nil"/>
            </w:tcBorders>
            <w:noWrap w:val="0"/>
            <w:vAlign w:val="center"/>
          </w:tcPr>
          <w:p w14:paraId="30944F0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没收其违法所得、违法乳制品和相关的工具、设备等物品，并处货值金额25倍以上30倍以下罚款，由发证机关吊销许可证照。</w:t>
            </w:r>
          </w:p>
        </w:tc>
      </w:tr>
      <w:tr w14:paraId="06032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787" w:type="dxa"/>
            <w:vMerge w:val="restart"/>
            <w:tcBorders>
              <w:tl2br w:val="nil"/>
              <w:tr2bl w:val="nil"/>
            </w:tcBorders>
            <w:noWrap w:val="0"/>
            <w:vAlign w:val="center"/>
          </w:tcPr>
          <w:p w14:paraId="6E5EC84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61</w:t>
            </w:r>
          </w:p>
        </w:tc>
        <w:tc>
          <w:tcPr>
            <w:tcW w:w="1718" w:type="dxa"/>
            <w:vMerge w:val="restart"/>
            <w:tcBorders>
              <w:tl2br w:val="nil"/>
              <w:tr2bl w:val="nil"/>
            </w:tcBorders>
            <w:noWrap w:val="0"/>
            <w:vAlign w:val="center"/>
          </w:tcPr>
          <w:p w14:paraId="50C09BB4">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《乳品质量安全监督管理条例》</w:t>
            </w:r>
          </w:p>
        </w:tc>
        <w:tc>
          <w:tcPr>
            <w:tcW w:w="4132" w:type="dxa"/>
            <w:vMerge w:val="restart"/>
            <w:tcBorders>
              <w:tl2br w:val="nil"/>
              <w:tr2bl w:val="nil"/>
            </w:tcBorders>
            <w:noWrap w:val="0"/>
            <w:vAlign w:val="center"/>
          </w:tcPr>
          <w:p w14:paraId="4B4FD93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第五十九条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奶畜养殖者、生鲜乳收购者、乳制品生产企业和销售者在发生乳品质量安全事故后未报告、处置的，由畜牧兽医、质量监督、工商行政管理、食品药品监督等部门依据各自职责，责令改正，给予警告；毁灭有关证据的，责令停产停业，并处10万元以上20万元以下罚款；造成严重后果的，由发证机关吊销许可证照；构成犯罪的，依法追究刑事责任。</w:t>
            </w:r>
          </w:p>
        </w:tc>
        <w:tc>
          <w:tcPr>
            <w:tcW w:w="1133" w:type="dxa"/>
            <w:tcBorders>
              <w:tl2br w:val="nil"/>
              <w:tr2bl w:val="nil"/>
            </w:tcBorders>
            <w:noWrap w:val="0"/>
            <w:vAlign w:val="center"/>
          </w:tcPr>
          <w:p w14:paraId="3DE5E52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1AC2181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毁灭有关证据，</w:t>
            </w:r>
            <w:r>
              <w:rPr>
                <w:rFonts w:hint="eastAsia" w:ascii="宋体" w:hAnsi="宋体" w:eastAsia="宋体" w:cs="宋体"/>
                <w:color w:val="auto"/>
                <w:kern w:val="0"/>
                <w:sz w:val="24"/>
                <w:szCs w:val="24"/>
                <w:highlight w:val="none"/>
              </w:rPr>
              <w:t>未造成重大社会影响的。</w:t>
            </w:r>
          </w:p>
        </w:tc>
        <w:tc>
          <w:tcPr>
            <w:tcW w:w="3267" w:type="dxa"/>
            <w:tcBorders>
              <w:tl2br w:val="nil"/>
              <w:tr2bl w:val="nil"/>
            </w:tcBorders>
            <w:noWrap w:val="0"/>
            <w:vAlign w:val="center"/>
          </w:tcPr>
          <w:p w14:paraId="5479746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责令停产停业，并处10万元以上15万元以下罚款。</w:t>
            </w:r>
          </w:p>
        </w:tc>
      </w:tr>
      <w:tr w14:paraId="7596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787" w:type="dxa"/>
            <w:vMerge w:val="continue"/>
            <w:tcBorders>
              <w:tl2br w:val="nil"/>
              <w:tr2bl w:val="nil"/>
            </w:tcBorders>
            <w:noWrap w:val="0"/>
            <w:vAlign w:val="center"/>
          </w:tcPr>
          <w:p w14:paraId="09A2A65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063423B">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7137E49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D4E390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411A29D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故意毁灭证据</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造成重大社会影响的。</w:t>
            </w:r>
          </w:p>
        </w:tc>
        <w:tc>
          <w:tcPr>
            <w:tcW w:w="3267" w:type="dxa"/>
            <w:tcBorders>
              <w:tl2br w:val="nil"/>
              <w:tr2bl w:val="nil"/>
            </w:tcBorders>
            <w:noWrap w:val="0"/>
            <w:vAlign w:val="center"/>
          </w:tcPr>
          <w:p w14:paraId="1146CE9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责令停产停业，并处15万元以上20万元以下罚款。</w:t>
            </w:r>
          </w:p>
        </w:tc>
      </w:tr>
      <w:tr w14:paraId="3B9E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787" w:type="dxa"/>
            <w:vMerge w:val="continue"/>
            <w:tcBorders>
              <w:tl2br w:val="nil"/>
              <w:tr2bl w:val="nil"/>
            </w:tcBorders>
            <w:noWrap w:val="0"/>
            <w:vAlign w:val="center"/>
          </w:tcPr>
          <w:p w14:paraId="0CA4690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74C4167">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73A9020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537777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48A8ED8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造成重大社会影响的，或者可能造成严重食物中毒事故或其他严重食源性疾病的。</w:t>
            </w:r>
          </w:p>
        </w:tc>
        <w:tc>
          <w:tcPr>
            <w:tcW w:w="3267" w:type="dxa"/>
            <w:tcBorders>
              <w:tl2br w:val="nil"/>
              <w:tr2bl w:val="nil"/>
            </w:tcBorders>
            <w:noWrap w:val="0"/>
            <w:vAlign w:val="center"/>
          </w:tcPr>
          <w:p w14:paraId="719DFF8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由发证机关吊销许可证照。</w:t>
            </w:r>
          </w:p>
        </w:tc>
      </w:tr>
      <w:tr w14:paraId="36F6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787" w:type="dxa"/>
            <w:vMerge w:val="restart"/>
            <w:tcBorders>
              <w:tl2br w:val="nil"/>
              <w:tr2bl w:val="nil"/>
            </w:tcBorders>
            <w:noWrap w:val="0"/>
            <w:vAlign w:val="center"/>
          </w:tcPr>
          <w:p w14:paraId="55FA2E8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62</w:t>
            </w:r>
          </w:p>
        </w:tc>
        <w:tc>
          <w:tcPr>
            <w:tcW w:w="1718" w:type="dxa"/>
            <w:vMerge w:val="restart"/>
            <w:tcBorders>
              <w:tl2br w:val="nil"/>
              <w:tr2bl w:val="nil"/>
            </w:tcBorders>
            <w:noWrap w:val="0"/>
            <w:vAlign w:val="center"/>
          </w:tcPr>
          <w:p w14:paraId="421929E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outlineLvl w:val="2"/>
              <w:rPr>
                <w:rFonts w:hint="eastAsia" w:ascii="宋体" w:hAnsi="宋体" w:eastAsia="宋体" w:cs="宋体"/>
                <w:b w:val="0"/>
                <w:bCs w:val="0"/>
                <w:color w:val="auto"/>
                <w:kern w:val="0"/>
                <w:sz w:val="24"/>
                <w:szCs w:val="24"/>
                <w:highlight w:val="none"/>
                <w:lang w:eastAsia="zh-CN"/>
              </w:rPr>
            </w:pPr>
            <w:bookmarkStart w:id="302" w:name="_Toc2371"/>
            <w:bookmarkStart w:id="303" w:name="_Toc15713"/>
            <w:bookmarkStart w:id="304" w:name="_Toc31996"/>
            <w:bookmarkStart w:id="305" w:name="_Toc6320"/>
            <w:bookmarkStart w:id="306" w:name="_Toc17839"/>
            <w:r>
              <w:rPr>
                <w:rFonts w:hint="eastAsia" w:ascii="宋体" w:hAnsi="宋体" w:eastAsia="宋体" w:cs="宋体"/>
                <w:color w:val="auto"/>
                <w:kern w:val="0"/>
                <w:sz w:val="24"/>
                <w:szCs w:val="24"/>
                <w:highlight w:val="none"/>
              </w:rPr>
              <w:t>《食品安全抽样检验管理办法》</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20</w:t>
            </w:r>
            <w:r>
              <w:rPr>
                <w:rFonts w:hint="eastAsia" w:ascii="宋体" w:hAnsi="宋体" w:cs="宋体"/>
                <w:color w:val="auto"/>
                <w:kern w:val="0"/>
                <w:sz w:val="24"/>
                <w:szCs w:val="24"/>
                <w:highlight w:val="none"/>
                <w:lang w:val="en-US" w:eastAsia="zh-CN"/>
              </w:rPr>
              <w:t>25</w:t>
            </w:r>
            <w:r>
              <w:rPr>
                <w:rFonts w:hint="eastAsia" w:ascii="宋体" w:hAnsi="宋体" w:eastAsia="宋体" w:cs="宋体"/>
                <w:color w:val="auto"/>
                <w:kern w:val="0"/>
                <w:sz w:val="24"/>
                <w:szCs w:val="24"/>
                <w:highlight w:val="none"/>
                <w:lang w:val="en-US" w:eastAsia="zh-CN"/>
              </w:rPr>
              <w:t>年</w:t>
            </w: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lang w:val="en-US" w:eastAsia="zh-CN"/>
              </w:rPr>
              <w:t>月</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en-US" w:eastAsia="zh-CN"/>
              </w:rPr>
              <w:t>日</w:t>
            </w:r>
            <w:r>
              <w:rPr>
                <w:rFonts w:hint="eastAsia" w:ascii="宋体" w:hAnsi="宋体" w:cs="宋体"/>
                <w:color w:val="auto"/>
                <w:kern w:val="0"/>
                <w:sz w:val="24"/>
                <w:szCs w:val="24"/>
                <w:highlight w:val="none"/>
                <w:lang w:val="en-US" w:eastAsia="zh-CN"/>
              </w:rPr>
              <w:t>起施行</w:t>
            </w:r>
            <w:r>
              <w:rPr>
                <w:rFonts w:hint="eastAsia" w:ascii="宋体" w:hAnsi="宋体" w:eastAsia="宋体" w:cs="宋体"/>
                <w:color w:val="auto"/>
                <w:kern w:val="0"/>
                <w:sz w:val="24"/>
                <w:szCs w:val="24"/>
                <w:highlight w:val="none"/>
                <w:lang w:eastAsia="zh-CN"/>
              </w:rPr>
              <w:t>）</w:t>
            </w:r>
            <w:bookmarkEnd w:id="302"/>
            <w:bookmarkEnd w:id="303"/>
            <w:bookmarkEnd w:id="304"/>
            <w:bookmarkEnd w:id="305"/>
            <w:bookmarkEnd w:id="306"/>
          </w:p>
        </w:tc>
        <w:tc>
          <w:tcPr>
            <w:tcW w:w="4132" w:type="dxa"/>
            <w:vMerge w:val="restart"/>
            <w:tcBorders>
              <w:tl2br w:val="nil"/>
              <w:tr2bl w:val="nil"/>
            </w:tcBorders>
            <w:noWrap w:val="0"/>
            <w:vAlign w:val="center"/>
          </w:tcPr>
          <w:p w14:paraId="666A775D">
            <w:pPr>
              <w:keepNext w:val="0"/>
              <w:keepLines w:val="0"/>
              <w:widowControl/>
              <w:spacing w:line="400" w:lineRule="exact"/>
              <w:jc w:val="both"/>
              <w:textAlignment w:val="auto"/>
              <w:rPr>
                <w:rFonts w:hint="eastAsia"/>
                <w:color w:val="auto"/>
                <w:lang w:eastAsia="zh-CN"/>
              </w:rPr>
            </w:pPr>
            <w:r>
              <w:rPr>
                <w:rFonts w:hint="eastAsia" w:ascii="宋体" w:hAnsi="宋体" w:eastAsia="宋体" w:cs="宋体"/>
                <w:color w:val="auto"/>
                <w:kern w:val="0"/>
                <w:sz w:val="24"/>
                <w:szCs w:val="24"/>
                <w:highlight w:val="none"/>
              </w:rPr>
              <w:t>第四十七条</w:t>
            </w:r>
            <w:r>
              <w:rPr>
                <w:rFonts w:hint="eastAsia" w:ascii="宋体" w:hAnsi="宋体" w:cs="宋体"/>
                <w:color w:val="auto"/>
                <w:kern w:val="0"/>
                <w:sz w:val="24"/>
                <w:szCs w:val="24"/>
                <w:highlight w:val="none"/>
                <w:lang w:val="en-US" w:eastAsia="zh-CN"/>
              </w:rPr>
              <w:t xml:space="preserve">第二款 </w:t>
            </w:r>
            <w:r>
              <w:rPr>
                <w:rFonts w:hint="eastAsia" w:ascii="宋体" w:hAnsi="宋体" w:eastAsia="宋体" w:cs="宋体"/>
                <w:color w:val="auto"/>
                <w:kern w:val="0"/>
                <w:sz w:val="24"/>
                <w:szCs w:val="24"/>
                <w:highlight w:val="none"/>
              </w:rPr>
              <w:t>食品生产经营者违反本办法第三十七条的规定，提供虚假证明材料的，由市场监督管理部门给予警告，并处1万元以上3万元以下罚款。</w:t>
            </w:r>
          </w:p>
          <w:p w14:paraId="7B2D64A1">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125D24B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35AB7F5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提供虚假证明材料1项的。</w:t>
            </w:r>
          </w:p>
        </w:tc>
        <w:tc>
          <w:tcPr>
            <w:tcW w:w="3267" w:type="dxa"/>
            <w:tcBorders>
              <w:tl2br w:val="nil"/>
              <w:tr2bl w:val="nil"/>
            </w:tcBorders>
            <w:noWrap w:val="0"/>
            <w:vAlign w:val="center"/>
          </w:tcPr>
          <w:p w14:paraId="42E82159">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w:t>
            </w:r>
            <w:r>
              <w:rPr>
                <w:rFonts w:hint="eastAsia" w:ascii="宋体" w:hAnsi="宋体" w:cs="宋体"/>
                <w:color w:val="auto"/>
                <w:kern w:val="0"/>
                <w:sz w:val="24"/>
                <w:szCs w:val="24"/>
                <w:highlight w:val="none"/>
                <w:lang w:eastAsia="zh-CN"/>
              </w:rPr>
              <w:t>，并</w:t>
            </w:r>
            <w:r>
              <w:rPr>
                <w:rFonts w:hint="eastAsia" w:ascii="宋体" w:hAnsi="宋体" w:eastAsia="宋体" w:cs="宋体"/>
                <w:color w:val="auto"/>
                <w:kern w:val="0"/>
                <w:sz w:val="24"/>
                <w:szCs w:val="24"/>
                <w:highlight w:val="none"/>
              </w:rPr>
              <w:t>处1万元以上1.6万</w:t>
            </w:r>
            <w:r>
              <w:rPr>
                <w:rFonts w:hint="eastAsia" w:ascii="宋体" w:hAnsi="宋体" w:cs="宋体"/>
                <w:color w:val="auto"/>
                <w:kern w:val="0"/>
                <w:sz w:val="24"/>
                <w:szCs w:val="24"/>
                <w:highlight w:val="none"/>
                <w:lang w:eastAsia="zh-CN"/>
              </w:rPr>
              <w:t>元</w:t>
            </w:r>
            <w:r>
              <w:rPr>
                <w:rFonts w:hint="eastAsia" w:ascii="宋体" w:hAnsi="宋体" w:eastAsia="宋体" w:cs="宋体"/>
                <w:color w:val="auto"/>
                <w:kern w:val="0"/>
                <w:sz w:val="24"/>
                <w:szCs w:val="24"/>
                <w:highlight w:val="none"/>
              </w:rPr>
              <w:t>以下的罚款。</w:t>
            </w:r>
          </w:p>
        </w:tc>
      </w:tr>
      <w:tr w14:paraId="49A1F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787" w:type="dxa"/>
            <w:vMerge w:val="continue"/>
            <w:tcBorders>
              <w:tl2br w:val="nil"/>
              <w:tr2bl w:val="nil"/>
            </w:tcBorders>
            <w:noWrap w:val="0"/>
            <w:vAlign w:val="center"/>
          </w:tcPr>
          <w:p w14:paraId="42745D9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F72F830">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11A8687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1D6A3A0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3CC9FFB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提供虚假证明材料2项的。</w:t>
            </w:r>
          </w:p>
        </w:tc>
        <w:tc>
          <w:tcPr>
            <w:tcW w:w="3267" w:type="dxa"/>
            <w:tcBorders>
              <w:tl2br w:val="nil"/>
              <w:tr2bl w:val="nil"/>
            </w:tcBorders>
            <w:noWrap w:val="0"/>
            <w:vAlign w:val="center"/>
          </w:tcPr>
          <w:p w14:paraId="1B02AD0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w:t>
            </w:r>
            <w:r>
              <w:rPr>
                <w:rFonts w:hint="eastAsia" w:ascii="宋体" w:hAnsi="宋体" w:cs="宋体"/>
                <w:color w:val="auto"/>
                <w:kern w:val="0"/>
                <w:sz w:val="24"/>
                <w:szCs w:val="24"/>
                <w:highlight w:val="none"/>
                <w:lang w:eastAsia="zh-CN"/>
              </w:rPr>
              <w:t>，并</w:t>
            </w:r>
            <w:r>
              <w:rPr>
                <w:rFonts w:hint="eastAsia" w:ascii="宋体" w:hAnsi="宋体" w:eastAsia="宋体" w:cs="宋体"/>
                <w:color w:val="auto"/>
                <w:kern w:val="0"/>
                <w:sz w:val="24"/>
                <w:szCs w:val="24"/>
                <w:highlight w:val="none"/>
              </w:rPr>
              <w:t>处1.6万</w:t>
            </w:r>
            <w:r>
              <w:rPr>
                <w:rFonts w:hint="eastAsia" w:ascii="宋体" w:hAnsi="宋体" w:cs="宋体"/>
                <w:color w:val="auto"/>
                <w:kern w:val="0"/>
                <w:sz w:val="24"/>
                <w:szCs w:val="24"/>
                <w:highlight w:val="none"/>
                <w:lang w:eastAsia="zh-CN"/>
              </w:rPr>
              <w:t>元</w:t>
            </w:r>
            <w:r>
              <w:rPr>
                <w:rFonts w:hint="eastAsia" w:ascii="宋体" w:hAnsi="宋体" w:eastAsia="宋体" w:cs="宋体"/>
                <w:color w:val="auto"/>
                <w:kern w:val="0"/>
                <w:sz w:val="24"/>
                <w:szCs w:val="24"/>
                <w:highlight w:val="none"/>
              </w:rPr>
              <w:t>以上2.4万</w:t>
            </w:r>
            <w:r>
              <w:rPr>
                <w:rFonts w:hint="eastAsia" w:ascii="宋体" w:hAnsi="宋体" w:cs="宋体"/>
                <w:color w:val="auto"/>
                <w:kern w:val="0"/>
                <w:sz w:val="24"/>
                <w:szCs w:val="24"/>
                <w:highlight w:val="none"/>
                <w:lang w:eastAsia="zh-CN"/>
              </w:rPr>
              <w:t>元</w:t>
            </w:r>
            <w:r>
              <w:rPr>
                <w:rFonts w:hint="eastAsia" w:ascii="宋体" w:hAnsi="宋体" w:eastAsia="宋体" w:cs="宋体"/>
                <w:color w:val="auto"/>
                <w:kern w:val="0"/>
                <w:sz w:val="24"/>
                <w:szCs w:val="24"/>
                <w:highlight w:val="none"/>
              </w:rPr>
              <w:t>以下的罚款。</w:t>
            </w:r>
          </w:p>
        </w:tc>
      </w:tr>
      <w:tr w14:paraId="1182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jc w:val="center"/>
        </w:trPr>
        <w:tc>
          <w:tcPr>
            <w:tcW w:w="787" w:type="dxa"/>
            <w:vMerge w:val="continue"/>
            <w:tcBorders>
              <w:tl2br w:val="nil"/>
              <w:tr2bl w:val="nil"/>
            </w:tcBorders>
            <w:noWrap w:val="0"/>
            <w:vAlign w:val="center"/>
          </w:tcPr>
          <w:p w14:paraId="708410F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E301EF1">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2311CD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6F36740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6C534D1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提供虚假证明材料</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项以上的。</w:t>
            </w:r>
          </w:p>
        </w:tc>
        <w:tc>
          <w:tcPr>
            <w:tcW w:w="3267" w:type="dxa"/>
            <w:tcBorders>
              <w:tl2br w:val="nil"/>
              <w:tr2bl w:val="nil"/>
            </w:tcBorders>
            <w:noWrap w:val="0"/>
            <w:vAlign w:val="center"/>
          </w:tcPr>
          <w:p w14:paraId="1F3AEE4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eastAsia="zh-CN"/>
              </w:rPr>
              <w:t>给予</w:t>
            </w:r>
            <w:r>
              <w:rPr>
                <w:rFonts w:hint="eastAsia" w:ascii="宋体" w:hAnsi="宋体" w:eastAsia="宋体" w:cs="宋体"/>
                <w:color w:val="auto"/>
                <w:kern w:val="0"/>
                <w:sz w:val="24"/>
                <w:szCs w:val="24"/>
                <w:highlight w:val="none"/>
              </w:rPr>
              <w:t>警告</w:t>
            </w:r>
            <w:r>
              <w:rPr>
                <w:rFonts w:hint="eastAsia" w:ascii="宋体" w:hAnsi="宋体" w:cs="宋体"/>
                <w:color w:val="auto"/>
                <w:kern w:val="0"/>
                <w:sz w:val="24"/>
                <w:szCs w:val="24"/>
                <w:highlight w:val="none"/>
                <w:lang w:eastAsia="zh-CN"/>
              </w:rPr>
              <w:t>，并</w:t>
            </w:r>
            <w:r>
              <w:rPr>
                <w:rFonts w:hint="eastAsia" w:ascii="宋体" w:hAnsi="宋体" w:eastAsia="宋体" w:cs="宋体"/>
                <w:color w:val="auto"/>
                <w:kern w:val="0"/>
                <w:sz w:val="24"/>
                <w:szCs w:val="24"/>
                <w:highlight w:val="none"/>
              </w:rPr>
              <w:t>处2.4万</w:t>
            </w:r>
            <w:r>
              <w:rPr>
                <w:rFonts w:hint="eastAsia" w:ascii="宋体" w:hAnsi="宋体" w:cs="宋体"/>
                <w:color w:val="auto"/>
                <w:kern w:val="0"/>
                <w:sz w:val="24"/>
                <w:szCs w:val="24"/>
                <w:highlight w:val="none"/>
                <w:lang w:eastAsia="zh-CN"/>
              </w:rPr>
              <w:t>元</w:t>
            </w:r>
            <w:r>
              <w:rPr>
                <w:rFonts w:hint="eastAsia" w:ascii="宋体" w:hAnsi="宋体" w:eastAsia="宋体" w:cs="宋体"/>
                <w:color w:val="auto"/>
                <w:kern w:val="0"/>
                <w:sz w:val="24"/>
                <w:szCs w:val="24"/>
                <w:highlight w:val="none"/>
              </w:rPr>
              <w:t>以上3万元以下的罚款。</w:t>
            </w:r>
          </w:p>
        </w:tc>
      </w:tr>
      <w:tr w14:paraId="527E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787" w:type="dxa"/>
            <w:vMerge w:val="restart"/>
            <w:tcBorders>
              <w:tl2br w:val="nil"/>
              <w:tr2bl w:val="nil"/>
            </w:tcBorders>
            <w:noWrap w:val="0"/>
            <w:vAlign w:val="center"/>
          </w:tcPr>
          <w:p w14:paraId="1B3480D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263</w:t>
            </w:r>
          </w:p>
        </w:tc>
        <w:tc>
          <w:tcPr>
            <w:tcW w:w="1718" w:type="dxa"/>
            <w:vMerge w:val="restart"/>
            <w:tcBorders>
              <w:tl2br w:val="nil"/>
              <w:tr2bl w:val="nil"/>
            </w:tcBorders>
            <w:noWrap w:val="0"/>
            <w:vAlign w:val="center"/>
          </w:tcPr>
          <w:p w14:paraId="22E7F9B4">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r>
              <w:rPr>
                <w:rFonts w:hint="eastAsia" w:ascii="宋体" w:hAnsi="宋体" w:eastAsia="宋体" w:cs="宋体"/>
                <w:color w:val="auto"/>
                <w:kern w:val="0"/>
                <w:sz w:val="24"/>
                <w:szCs w:val="24"/>
                <w:highlight w:val="none"/>
              </w:rPr>
              <w:t>《食品安全抽样检验管理办法》</w:t>
            </w:r>
          </w:p>
        </w:tc>
        <w:tc>
          <w:tcPr>
            <w:tcW w:w="4132" w:type="dxa"/>
            <w:vMerge w:val="restart"/>
            <w:tcBorders>
              <w:tl2br w:val="nil"/>
              <w:tr2bl w:val="nil"/>
            </w:tcBorders>
            <w:noWrap w:val="0"/>
            <w:vAlign w:val="center"/>
          </w:tcPr>
          <w:p w14:paraId="1B5499A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第四十七条</w:t>
            </w:r>
            <w:r>
              <w:rPr>
                <w:rFonts w:hint="eastAsia" w:ascii="宋体" w:hAnsi="宋体" w:cs="宋体"/>
                <w:color w:val="auto"/>
                <w:kern w:val="0"/>
                <w:sz w:val="24"/>
                <w:szCs w:val="24"/>
                <w:highlight w:val="none"/>
                <w:lang w:val="en-US" w:eastAsia="zh-CN"/>
              </w:rPr>
              <w:t xml:space="preserve">第三款 </w:t>
            </w:r>
            <w:r>
              <w:rPr>
                <w:rFonts w:hint="eastAsia" w:ascii="宋体" w:hAnsi="宋体" w:eastAsia="宋体" w:cs="宋体"/>
                <w:color w:val="auto"/>
                <w:kern w:val="0"/>
                <w:sz w:val="24"/>
                <w:szCs w:val="24"/>
                <w:highlight w:val="none"/>
              </w:rPr>
              <w:t>违反本办法第四十二条的规定，食品经营者未按规定公示相关不合格产品信息的，由市场监督管理部门责令改正</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拒不改正的，给予警告，并处3万元以下罚款。</w:t>
            </w:r>
          </w:p>
        </w:tc>
        <w:tc>
          <w:tcPr>
            <w:tcW w:w="1133" w:type="dxa"/>
            <w:tcBorders>
              <w:tl2br w:val="nil"/>
              <w:tr2bl w:val="nil"/>
            </w:tcBorders>
            <w:noWrap w:val="0"/>
            <w:vAlign w:val="center"/>
          </w:tcPr>
          <w:p w14:paraId="414B93AD">
            <w:pPr>
              <w:keepNext w:val="0"/>
              <w:keepLines w:val="0"/>
              <w:widowControl/>
              <w:spacing w:line="400" w:lineRule="exact"/>
              <w:jc w:val="center"/>
              <w:textAlignment w:val="auto"/>
              <w:rPr>
                <w:rFonts w:hint="eastAsia"/>
                <w:color w:val="auto"/>
                <w:lang w:val="en-US" w:eastAsia="zh-CN"/>
              </w:rPr>
            </w:pPr>
            <w:r>
              <w:rPr>
                <w:rFonts w:hint="eastAsia" w:ascii="宋体" w:hAnsi="宋体" w:cs="宋体"/>
                <w:color w:val="auto"/>
                <w:kern w:val="0"/>
                <w:sz w:val="24"/>
                <w:szCs w:val="24"/>
                <w:highlight w:val="none"/>
                <w:lang w:val="en-US" w:eastAsia="zh-CN"/>
              </w:rPr>
              <w:t>较轻</w:t>
            </w:r>
          </w:p>
        </w:tc>
        <w:tc>
          <w:tcPr>
            <w:tcW w:w="3316" w:type="dxa"/>
            <w:tcBorders>
              <w:tl2br w:val="nil"/>
              <w:tr2bl w:val="nil"/>
            </w:tcBorders>
            <w:noWrap w:val="0"/>
            <w:vAlign w:val="center"/>
          </w:tcPr>
          <w:p w14:paraId="2D51988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逾期10日以</w:t>
            </w:r>
            <w:r>
              <w:rPr>
                <w:rFonts w:hint="eastAsia" w:ascii="宋体" w:hAnsi="宋体" w:cs="宋体"/>
                <w:color w:val="auto"/>
                <w:kern w:val="0"/>
                <w:sz w:val="24"/>
                <w:szCs w:val="24"/>
                <w:highlight w:val="none"/>
                <w:lang w:val="en-US" w:eastAsia="zh-CN"/>
              </w:rPr>
              <w:t>下</w:t>
            </w:r>
            <w:r>
              <w:rPr>
                <w:rFonts w:hint="eastAsia" w:ascii="宋体" w:hAnsi="宋体" w:eastAsia="宋体" w:cs="宋体"/>
                <w:color w:val="auto"/>
                <w:kern w:val="0"/>
                <w:sz w:val="24"/>
                <w:szCs w:val="24"/>
                <w:highlight w:val="none"/>
              </w:rPr>
              <w:t>拒不改正的。</w:t>
            </w:r>
          </w:p>
        </w:tc>
        <w:tc>
          <w:tcPr>
            <w:tcW w:w="3267" w:type="dxa"/>
            <w:tcBorders>
              <w:tl2br w:val="nil"/>
              <w:tr2bl w:val="nil"/>
            </w:tcBorders>
            <w:noWrap w:val="0"/>
            <w:vAlign w:val="center"/>
          </w:tcPr>
          <w:p w14:paraId="6C1AB1B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w:t>
            </w:r>
            <w:r>
              <w:rPr>
                <w:rFonts w:hint="eastAsia" w:ascii="宋体" w:hAnsi="宋体" w:cs="宋体"/>
                <w:color w:val="auto"/>
                <w:kern w:val="0"/>
                <w:sz w:val="24"/>
                <w:szCs w:val="24"/>
                <w:highlight w:val="none"/>
                <w:lang w:val="en-US" w:eastAsia="zh-CN"/>
              </w:rPr>
              <w:t>9000</w:t>
            </w:r>
            <w:r>
              <w:rPr>
                <w:rFonts w:hint="eastAsia" w:ascii="宋体" w:hAnsi="宋体" w:eastAsia="宋体" w:cs="宋体"/>
                <w:color w:val="auto"/>
                <w:kern w:val="0"/>
                <w:sz w:val="24"/>
                <w:szCs w:val="24"/>
                <w:highlight w:val="none"/>
              </w:rPr>
              <w:t>元以下罚款。</w:t>
            </w:r>
          </w:p>
        </w:tc>
      </w:tr>
      <w:tr w14:paraId="09E7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787" w:type="dxa"/>
            <w:vMerge w:val="continue"/>
            <w:tcBorders>
              <w:tl2br w:val="nil"/>
              <w:tr2bl w:val="nil"/>
            </w:tcBorders>
            <w:noWrap w:val="0"/>
            <w:vAlign w:val="center"/>
          </w:tcPr>
          <w:p w14:paraId="698C982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EBDF9D6">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758D103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7BBE5DF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一般</w:t>
            </w:r>
          </w:p>
        </w:tc>
        <w:tc>
          <w:tcPr>
            <w:tcW w:w="3316" w:type="dxa"/>
            <w:tcBorders>
              <w:tl2br w:val="nil"/>
              <w:tr2bl w:val="nil"/>
            </w:tcBorders>
            <w:noWrap w:val="0"/>
            <w:vAlign w:val="center"/>
          </w:tcPr>
          <w:p w14:paraId="0568D84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逾期10日以</w:t>
            </w:r>
            <w:r>
              <w:rPr>
                <w:rFonts w:hint="eastAsia" w:ascii="宋体" w:hAnsi="宋体" w:cs="宋体"/>
                <w:color w:val="auto"/>
                <w:kern w:val="0"/>
                <w:sz w:val="24"/>
                <w:szCs w:val="24"/>
                <w:highlight w:val="none"/>
                <w:lang w:val="en-US" w:eastAsia="zh-CN"/>
              </w:rPr>
              <w:t>上20日以下</w:t>
            </w:r>
            <w:r>
              <w:rPr>
                <w:rFonts w:hint="eastAsia" w:ascii="宋体" w:hAnsi="宋体" w:eastAsia="宋体" w:cs="宋体"/>
                <w:color w:val="auto"/>
                <w:kern w:val="0"/>
                <w:sz w:val="24"/>
                <w:szCs w:val="24"/>
                <w:highlight w:val="none"/>
              </w:rPr>
              <w:t>拒不改正的。</w:t>
            </w:r>
          </w:p>
        </w:tc>
        <w:tc>
          <w:tcPr>
            <w:tcW w:w="3267" w:type="dxa"/>
            <w:tcBorders>
              <w:tl2br w:val="nil"/>
              <w:tr2bl w:val="nil"/>
            </w:tcBorders>
            <w:noWrap w:val="0"/>
            <w:vAlign w:val="center"/>
          </w:tcPr>
          <w:p w14:paraId="6443862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w:t>
            </w:r>
            <w:r>
              <w:rPr>
                <w:rFonts w:hint="eastAsia" w:ascii="宋体" w:hAnsi="宋体" w:cs="宋体"/>
                <w:color w:val="auto"/>
                <w:kern w:val="0"/>
                <w:sz w:val="24"/>
                <w:szCs w:val="24"/>
                <w:highlight w:val="none"/>
                <w:lang w:val="en-US" w:eastAsia="zh-CN"/>
              </w:rPr>
              <w:t>9000</w:t>
            </w:r>
            <w:r>
              <w:rPr>
                <w:rFonts w:hint="eastAsia" w:ascii="宋体" w:hAnsi="宋体" w:eastAsia="宋体" w:cs="宋体"/>
                <w:color w:val="auto"/>
                <w:kern w:val="0"/>
                <w:sz w:val="24"/>
                <w:szCs w:val="24"/>
                <w:highlight w:val="none"/>
              </w:rPr>
              <w:t>元</w:t>
            </w:r>
            <w:r>
              <w:rPr>
                <w:rFonts w:hint="eastAsia" w:ascii="宋体" w:hAnsi="宋体" w:cs="宋体"/>
                <w:color w:val="auto"/>
                <w:kern w:val="0"/>
                <w:sz w:val="24"/>
                <w:szCs w:val="24"/>
                <w:highlight w:val="none"/>
                <w:lang w:val="en-US" w:eastAsia="zh-CN"/>
              </w:rPr>
              <w:t>以上2.1万元</w:t>
            </w:r>
            <w:r>
              <w:rPr>
                <w:rFonts w:hint="eastAsia" w:ascii="宋体" w:hAnsi="宋体" w:eastAsia="宋体" w:cs="宋体"/>
                <w:color w:val="auto"/>
                <w:kern w:val="0"/>
                <w:sz w:val="24"/>
                <w:szCs w:val="24"/>
                <w:highlight w:val="none"/>
              </w:rPr>
              <w:t>以下罚款。</w:t>
            </w:r>
          </w:p>
        </w:tc>
      </w:tr>
      <w:tr w14:paraId="1180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787" w:type="dxa"/>
            <w:vMerge w:val="continue"/>
            <w:tcBorders>
              <w:tl2br w:val="nil"/>
              <w:tr2bl w:val="nil"/>
            </w:tcBorders>
            <w:noWrap w:val="0"/>
            <w:vAlign w:val="center"/>
          </w:tcPr>
          <w:p w14:paraId="0526555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DFA08B6">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5F5BFBB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080086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较重</w:t>
            </w:r>
          </w:p>
        </w:tc>
        <w:tc>
          <w:tcPr>
            <w:tcW w:w="3316" w:type="dxa"/>
            <w:tcBorders>
              <w:tl2br w:val="nil"/>
              <w:tr2bl w:val="nil"/>
            </w:tcBorders>
            <w:noWrap w:val="0"/>
            <w:vAlign w:val="center"/>
          </w:tcPr>
          <w:p w14:paraId="127DA27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逾期</w:t>
            </w:r>
            <w:r>
              <w:rPr>
                <w:rFonts w:hint="eastAsia" w:ascii="宋体" w:hAnsi="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日以上拒不改正的。</w:t>
            </w:r>
          </w:p>
        </w:tc>
        <w:tc>
          <w:tcPr>
            <w:tcW w:w="3267" w:type="dxa"/>
            <w:tcBorders>
              <w:tl2br w:val="nil"/>
              <w:tr2bl w:val="nil"/>
            </w:tcBorders>
            <w:noWrap w:val="0"/>
            <w:vAlign w:val="center"/>
          </w:tcPr>
          <w:p w14:paraId="2CE825D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w:t>
            </w:r>
            <w:r>
              <w:rPr>
                <w:rFonts w:hint="eastAsia" w:ascii="宋体" w:hAnsi="宋体" w:cs="宋体"/>
                <w:color w:val="auto"/>
                <w:kern w:val="0"/>
                <w:sz w:val="24"/>
                <w:szCs w:val="24"/>
                <w:highlight w:val="none"/>
                <w:lang w:val="en-US" w:eastAsia="zh-CN"/>
              </w:rPr>
              <w:t>2.1万</w:t>
            </w:r>
            <w:r>
              <w:rPr>
                <w:rFonts w:hint="eastAsia" w:ascii="宋体" w:hAnsi="宋体" w:eastAsia="宋体" w:cs="宋体"/>
                <w:color w:val="auto"/>
                <w:kern w:val="0"/>
                <w:sz w:val="24"/>
                <w:szCs w:val="24"/>
                <w:highlight w:val="none"/>
              </w:rPr>
              <w:t>元</w:t>
            </w:r>
            <w:r>
              <w:rPr>
                <w:rFonts w:hint="eastAsia" w:ascii="宋体" w:hAnsi="宋体" w:cs="宋体"/>
                <w:color w:val="auto"/>
                <w:kern w:val="0"/>
                <w:sz w:val="24"/>
                <w:szCs w:val="24"/>
                <w:highlight w:val="none"/>
                <w:lang w:val="en-US" w:eastAsia="zh-CN"/>
              </w:rPr>
              <w:t>以上3万元</w:t>
            </w:r>
            <w:r>
              <w:rPr>
                <w:rFonts w:hint="eastAsia" w:ascii="宋体" w:hAnsi="宋体" w:eastAsia="宋体" w:cs="宋体"/>
                <w:color w:val="auto"/>
                <w:kern w:val="0"/>
                <w:sz w:val="24"/>
                <w:szCs w:val="24"/>
                <w:highlight w:val="none"/>
              </w:rPr>
              <w:t>以下罚款。</w:t>
            </w:r>
          </w:p>
        </w:tc>
      </w:tr>
      <w:tr w14:paraId="1C00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787" w:type="dxa"/>
            <w:vMerge w:val="restart"/>
            <w:tcBorders>
              <w:tl2br w:val="nil"/>
              <w:tr2bl w:val="nil"/>
            </w:tcBorders>
            <w:noWrap w:val="0"/>
            <w:vAlign w:val="center"/>
          </w:tcPr>
          <w:p w14:paraId="3104829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64</w:t>
            </w:r>
          </w:p>
        </w:tc>
        <w:tc>
          <w:tcPr>
            <w:tcW w:w="1718" w:type="dxa"/>
            <w:vMerge w:val="restart"/>
            <w:tcBorders>
              <w:tl2br w:val="nil"/>
              <w:tr2bl w:val="nil"/>
            </w:tcBorders>
            <w:noWrap w:val="0"/>
            <w:vAlign w:val="center"/>
          </w:tcPr>
          <w:p w14:paraId="2220000C">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outlineLvl w:val="2"/>
              <w:rPr>
                <w:rFonts w:hint="eastAsia" w:ascii="宋体" w:hAnsi="宋体" w:eastAsia="宋体" w:cs="宋体"/>
                <w:b w:val="0"/>
                <w:bCs w:val="0"/>
                <w:color w:val="auto"/>
                <w:kern w:val="0"/>
                <w:sz w:val="24"/>
                <w:szCs w:val="24"/>
                <w:highlight w:val="none"/>
                <w:lang w:eastAsia="zh-CN"/>
              </w:rPr>
            </w:pPr>
            <w:bookmarkStart w:id="307" w:name="_Toc30552"/>
            <w:bookmarkStart w:id="308" w:name="_Toc20084"/>
            <w:bookmarkStart w:id="309" w:name="_Toc6782"/>
            <w:bookmarkStart w:id="310" w:name="_Toc3876"/>
            <w:bookmarkStart w:id="311" w:name="_Toc27026"/>
            <w:r>
              <w:rPr>
                <w:rFonts w:hint="eastAsia" w:ascii="宋体" w:hAnsi="宋体" w:eastAsia="宋体" w:cs="宋体"/>
                <w:b w:val="0"/>
                <w:bCs w:val="0"/>
                <w:color w:val="auto"/>
                <w:kern w:val="0"/>
                <w:sz w:val="24"/>
                <w:szCs w:val="24"/>
                <w:highlight w:val="none"/>
              </w:rPr>
              <w:t>《食品召回管理办法》</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lang w:val="en-US" w:eastAsia="zh-CN"/>
              </w:rPr>
              <w:t>20</w:t>
            </w:r>
            <w:r>
              <w:rPr>
                <w:rFonts w:hint="eastAsia" w:ascii="宋体" w:hAnsi="宋体" w:cs="宋体"/>
                <w:b w:val="0"/>
                <w:bCs w:val="0"/>
                <w:color w:val="auto"/>
                <w:kern w:val="0"/>
                <w:sz w:val="24"/>
                <w:szCs w:val="24"/>
                <w:highlight w:val="none"/>
                <w:lang w:val="en-US" w:eastAsia="zh-CN"/>
              </w:rPr>
              <w:t>20</w:t>
            </w:r>
            <w:r>
              <w:rPr>
                <w:rFonts w:hint="eastAsia" w:ascii="宋体" w:hAnsi="宋体" w:eastAsia="宋体" w:cs="宋体"/>
                <w:b w:val="0"/>
                <w:bCs w:val="0"/>
                <w:color w:val="auto"/>
                <w:kern w:val="0"/>
                <w:sz w:val="24"/>
                <w:szCs w:val="24"/>
                <w:highlight w:val="none"/>
                <w:lang w:val="en-US" w:eastAsia="zh-CN"/>
              </w:rPr>
              <w:t>年</w:t>
            </w:r>
            <w:r>
              <w:rPr>
                <w:rFonts w:hint="eastAsia" w:ascii="宋体" w:hAnsi="宋体" w:cs="宋体"/>
                <w:b w:val="0"/>
                <w:bCs w:val="0"/>
                <w:color w:val="auto"/>
                <w:kern w:val="0"/>
                <w:sz w:val="24"/>
                <w:szCs w:val="24"/>
                <w:highlight w:val="none"/>
                <w:lang w:val="en-US" w:eastAsia="zh-CN"/>
              </w:rPr>
              <w:t>10</w:t>
            </w:r>
            <w:r>
              <w:rPr>
                <w:rFonts w:hint="eastAsia" w:ascii="宋体" w:hAnsi="宋体" w:eastAsia="宋体" w:cs="宋体"/>
                <w:b w:val="0"/>
                <w:bCs w:val="0"/>
                <w:color w:val="auto"/>
                <w:kern w:val="0"/>
                <w:sz w:val="24"/>
                <w:szCs w:val="24"/>
                <w:highlight w:val="none"/>
                <w:lang w:val="en-US" w:eastAsia="zh-CN"/>
              </w:rPr>
              <w:t>月</w:t>
            </w:r>
            <w:r>
              <w:rPr>
                <w:rFonts w:hint="eastAsia" w:ascii="宋体" w:hAnsi="宋体" w:cs="宋体"/>
                <w:b w:val="0"/>
                <w:bCs w:val="0"/>
                <w:color w:val="auto"/>
                <w:kern w:val="0"/>
                <w:sz w:val="24"/>
                <w:szCs w:val="24"/>
                <w:highlight w:val="none"/>
                <w:lang w:val="en-US" w:eastAsia="zh-CN"/>
              </w:rPr>
              <w:t>23</w:t>
            </w:r>
            <w:r>
              <w:rPr>
                <w:rFonts w:hint="eastAsia" w:ascii="宋体" w:hAnsi="宋体" w:eastAsia="宋体" w:cs="宋体"/>
                <w:b w:val="0"/>
                <w:bCs w:val="0"/>
                <w:color w:val="auto"/>
                <w:kern w:val="0"/>
                <w:sz w:val="24"/>
                <w:szCs w:val="24"/>
                <w:highlight w:val="none"/>
                <w:lang w:val="en-US" w:eastAsia="zh-CN"/>
              </w:rPr>
              <w:t>日</w:t>
            </w:r>
            <w:r>
              <w:rPr>
                <w:rFonts w:hint="eastAsia" w:ascii="宋体" w:hAnsi="宋体" w:cs="宋体"/>
                <w:b w:val="0"/>
                <w:bCs w:val="0"/>
                <w:color w:val="auto"/>
                <w:kern w:val="0"/>
                <w:sz w:val="24"/>
                <w:szCs w:val="24"/>
                <w:highlight w:val="none"/>
                <w:lang w:val="en-US" w:eastAsia="zh-CN"/>
              </w:rPr>
              <w:t>起施行</w:t>
            </w:r>
            <w:r>
              <w:rPr>
                <w:rFonts w:hint="eastAsia" w:ascii="宋体" w:hAnsi="宋体" w:eastAsia="宋体" w:cs="宋体"/>
                <w:b w:val="0"/>
                <w:bCs w:val="0"/>
                <w:color w:val="auto"/>
                <w:kern w:val="0"/>
                <w:sz w:val="24"/>
                <w:szCs w:val="24"/>
                <w:highlight w:val="none"/>
                <w:lang w:eastAsia="zh-CN"/>
              </w:rPr>
              <w:t>）</w:t>
            </w:r>
            <w:bookmarkEnd w:id="307"/>
            <w:bookmarkEnd w:id="308"/>
            <w:bookmarkEnd w:id="309"/>
            <w:bookmarkEnd w:id="310"/>
            <w:bookmarkEnd w:id="311"/>
          </w:p>
        </w:tc>
        <w:tc>
          <w:tcPr>
            <w:tcW w:w="4132" w:type="dxa"/>
            <w:vMerge w:val="restart"/>
            <w:tcBorders>
              <w:tl2br w:val="nil"/>
              <w:tr2bl w:val="nil"/>
            </w:tcBorders>
            <w:noWrap w:val="0"/>
            <w:vAlign w:val="center"/>
          </w:tcPr>
          <w:p w14:paraId="5B1A542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第三十八条 食品生产经营者违反本办法第八条第一款、第十二条第一款、第十三条、第十四条、第二十条第一款、第二十一条、第二十三条第一款、第二十四条第一款的规定，不立即停止生产经营、不主动召回、不按规定时限启动召回、不按照召回计划召回不安全食品或者不按照规定处置不安全食品的，由市场监督管理部门给予警告，并处</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万元以上</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万元以下罚款。</w:t>
            </w:r>
          </w:p>
        </w:tc>
        <w:tc>
          <w:tcPr>
            <w:tcW w:w="1133" w:type="dxa"/>
            <w:tcBorders>
              <w:tl2br w:val="nil"/>
              <w:tr2bl w:val="nil"/>
            </w:tcBorders>
            <w:noWrap w:val="0"/>
            <w:vAlign w:val="center"/>
          </w:tcPr>
          <w:p w14:paraId="45494B3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2BD332A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涉及货值金额</w:t>
            </w:r>
            <w:r>
              <w:rPr>
                <w:rFonts w:hint="default" w:ascii="宋体" w:hAnsi="宋体" w:cs="宋体"/>
                <w:color w:val="auto"/>
                <w:kern w:val="0"/>
                <w:sz w:val="24"/>
                <w:szCs w:val="24"/>
                <w:highlight w:val="none"/>
                <w:lang w:val="en"/>
              </w:rPr>
              <w:t>10</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66354A3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给予警告，并处1万元以上1.6万元以下万元罚款。</w:t>
            </w:r>
          </w:p>
        </w:tc>
      </w:tr>
      <w:tr w14:paraId="5917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jc w:val="center"/>
        </w:trPr>
        <w:tc>
          <w:tcPr>
            <w:tcW w:w="787" w:type="dxa"/>
            <w:vMerge w:val="continue"/>
            <w:tcBorders>
              <w:tl2br w:val="nil"/>
              <w:tr2bl w:val="nil"/>
            </w:tcBorders>
            <w:noWrap w:val="0"/>
            <w:vAlign w:val="center"/>
          </w:tcPr>
          <w:p w14:paraId="10187C3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2A74CEC">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394A881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056085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245D16A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涉及货值金额</w:t>
            </w:r>
            <w:r>
              <w:rPr>
                <w:rFonts w:hint="default" w:ascii="宋体" w:hAnsi="宋体" w:cs="宋体"/>
                <w:color w:val="auto"/>
                <w:kern w:val="0"/>
                <w:sz w:val="24"/>
                <w:szCs w:val="24"/>
                <w:highlight w:val="none"/>
                <w:lang w:val="en"/>
              </w:rPr>
              <w:t>10</w:t>
            </w:r>
            <w:r>
              <w:rPr>
                <w:rFonts w:hint="eastAsia" w:ascii="宋体" w:hAnsi="宋体" w:eastAsia="宋体" w:cs="宋体"/>
                <w:color w:val="auto"/>
                <w:kern w:val="0"/>
                <w:sz w:val="24"/>
                <w:szCs w:val="24"/>
                <w:highlight w:val="none"/>
              </w:rPr>
              <w:t>万元以上</w:t>
            </w:r>
            <w:r>
              <w:rPr>
                <w:rFonts w:hint="default" w:ascii="宋体" w:hAnsi="宋体" w:cs="宋体"/>
                <w:color w:val="auto"/>
                <w:kern w:val="0"/>
                <w:sz w:val="24"/>
                <w:szCs w:val="24"/>
                <w:highlight w:val="none"/>
                <w:lang w:val="en"/>
              </w:rPr>
              <w:t>20</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281AB0C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给予警告，并处1.6万元以上2.4万元以下罚款。</w:t>
            </w:r>
          </w:p>
        </w:tc>
      </w:tr>
      <w:tr w14:paraId="5920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787" w:type="dxa"/>
            <w:vMerge w:val="continue"/>
            <w:tcBorders>
              <w:tl2br w:val="nil"/>
              <w:tr2bl w:val="nil"/>
            </w:tcBorders>
            <w:noWrap w:val="0"/>
            <w:vAlign w:val="center"/>
          </w:tcPr>
          <w:p w14:paraId="488289A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4F6CA7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233B170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04FBE07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6692B48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涉及货值金额</w:t>
            </w:r>
            <w:r>
              <w:rPr>
                <w:rFonts w:hint="default" w:ascii="宋体" w:hAnsi="宋体" w:cs="宋体"/>
                <w:color w:val="auto"/>
                <w:kern w:val="0"/>
                <w:sz w:val="24"/>
                <w:szCs w:val="24"/>
                <w:highlight w:val="none"/>
                <w:lang w:val="en"/>
              </w:rPr>
              <w:t>20</w:t>
            </w:r>
            <w:r>
              <w:rPr>
                <w:rFonts w:hint="eastAsia" w:ascii="宋体" w:hAnsi="宋体" w:eastAsia="宋体" w:cs="宋体"/>
                <w:color w:val="auto"/>
                <w:kern w:val="0"/>
                <w:sz w:val="24"/>
                <w:szCs w:val="24"/>
                <w:highlight w:val="none"/>
              </w:rPr>
              <w:t>万元以上的。</w:t>
            </w:r>
          </w:p>
        </w:tc>
        <w:tc>
          <w:tcPr>
            <w:tcW w:w="3267" w:type="dxa"/>
            <w:tcBorders>
              <w:tl2br w:val="nil"/>
              <w:tr2bl w:val="nil"/>
            </w:tcBorders>
            <w:noWrap w:val="0"/>
            <w:vAlign w:val="center"/>
          </w:tcPr>
          <w:p w14:paraId="445C2C3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给予警告，并处2.4万元以上3万元以下罚款。</w:t>
            </w:r>
          </w:p>
        </w:tc>
      </w:tr>
      <w:tr w14:paraId="49291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787" w:type="dxa"/>
            <w:vMerge w:val="restart"/>
            <w:tcBorders>
              <w:tl2br w:val="nil"/>
              <w:tr2bl w:val="nil"/>
            </w:tcBorders>
            <w:noWrap w:val="0"/>
            <w:vAlign w:val="center"/>
          </w:tcPr>
          <w:p w14:paraId="275D780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w:t>
            </w:r>
            <w:r>
              <w:rPr>
                <w:rFonts w:hint="eastAsia" w:ascii="宋体" w:hAnsi="宋体" w:cs="宋体"/>
                <w:b w:val="0"/>
                <w:bCs w:val="0"/>
                <w:color w:val="auto"/>
                <w:kern w:val="0"/>
                <w:sz w:val="24"/>
                <w:szCs w:val="24"/>
                <w:highlight w:val="none"/>
                <w:lang w:val="en-US" w:eastAsia="zh-CN"/>
              </w:rPr>
              <w:t>65</w:t>
            </w:r>
          </w:p>
        </w:tc>
        <w:tc>
          <w:tcPr>
            <w:tcW w:w="1718" w:type="dxa"/>
            <w:vMerge w:val="restart"/>
            <w:tcBorders>
              <w:tl2br w:val="nil"/>
              <w:tr2bl w:val="nil"/>
            </w:tcBorders>
            <w:noWrap w:val="0"/>
            <w:vAlign w:val="center"/>
          </w:tcPr>
          <w:p w14:paraId="506F3E9B">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《食品召回管理办法》</w:t>
            </w:r>
          </w:p>
        </w:tc>
        <w:tc>
          <w:tcPr>
            <w:tcW w:w="4132" w:type="dxa"/>
            <w:vMerge w:val="restart"/>
            <w:tcBorders>
              <w:tl2br w:val="nil"/>
              <w:tr2bl w:val="nil"/>
            </w:tcBorders>
            <w:noWrap w:val="0"/>
            <w:vAlign w:val="center"/>
          </w:tcPr>
          <w:p w14:paraId="23D40E2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第三十九条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食品经营者违反本办法第十九条的规定，不配合食品生产者召回不安全食品的，由市场监督管理部门给予警告，并处</w:t>
            </w:r>
            <w:r>
              <w:rPr>
                <w:rFonts w:hint="eastAsia" w:ascii="宋体" w:hAnsi="宋体" w:cs="宋体"/>
                <w:color w:val="auto"/>
                <w:kern w:val="0"/>
                <w:sz w:val="24"/>
                <w:szCs w:val="24"/>
                <w:highlight w:val="none"/>
                <w:lang w:val="en-US" w:eastAsia="zh-CN"/>
              </w:rPr>
              <w:t>5000</w:t>
            </w:r>
            <w:r>
              <w:rPr>
                <w:rFonts w:hint="eastAsia" w:ascii="宋体" w:hAnsi="宋体" w:eastAsia="宋体" w:cs="宋体"/>
                <w:color w:val="auto"/>
                <w:kern w:val="0"/>
                <w:sz w:val="24"/>
                <w:szCs w:val="24"/>
                <w:highlight w:val="none"/>
              </w:rPr>
              <w:t>元以上</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万元以下罚款。</w:t>
            </w:r>
          </w:p>
        </w:tc>
        <w:tc>
          <w:tcPr>
            <w:tcW w:w="1133" w:type="dxa"/>
            <w:tcBorders>
              <w:tl2br w:val="nil"/>
              <w:tr2bl w:val="nil"/>
            </w:tcBorders>
            <w:noWrap w:val="0"/>
            <w:vAlign w:val="center"/>
          </w:tcPr>
          <w:p w14:paraId="040F1B1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1AF31F0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涉及货值金额</w:t>
            </w:r>
            <w:r>
              <w:rPr>
                <w:rFonts w:hint="default" w:ascii="宋体" w:hAnsi="宋体" w:cs="宋体"/>
                <w:color w:val="auto"/>
                <w:kern w:val="0"/>
                <w:sz w:val="24"/>
                <w:szCs w:val="24"/>
                <w:highlight w:val="none"/>
                <w:lang w:val="en"/>
              </w:rPr>
              <w:t>10</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31D8413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w:t>
            </w:r>
            <w:r>
              <w:rPr>
                <w:rFonts w:hint="eastAsia" w:ascii="宋体" w:hAnsi="宋体" w:cs="宋体"/>
                <w:color w:val="auto"/>
                <w:kern w:val="0"/>
                <w:sz w:val="24"/>
                <w:szCs w:val="24"/>
                <w:highlight w:val="none"/>
                <w:lang w:val="en-US" w:eastAsia="zh-CN"/>
              </w:rPr>
              <w:t>5000</w:t>
            </w:r>
            <w:r>
              <w:rPr>
                <w:rFonts w:hint="eastAsia" w:ascii="宋体" w:hAnsi="宋体" w:eastAsia="宋体" w:cs="宋体"/>
                <w:color w:val="auto"/>
                <w:kern w:val="0"/>
                <w:sz w:val="24"/>
                <w:szCs w:val="24"/>
                <w:highlight w:val="none"/>
              </w:rPr>
              <w:t>元以上1.25万元以下罚款。</w:t>
            </w:r>
          </w:p>
        </w:tc>
      </w:tr>
      <w:tr w14:paraId="3F43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exact"/>
          <w:jc w:val="center"/>
        </w:trPr>
        <w:tc>
          <w:tcPr>
            <w:tcW w:w="787" w:type="dxa"/>
            <w:vMerge w:val="continue"/>
            <w:tcBorders>
              <w:tl2br w:val="nil"/>
              <w:tr2bl w:val="nil"/>
            </w:tcBorders>
            <w:noWrap w:val="0"/>
            <w:vAlign w:val="center"/>
          </w:tcPr>
          <w:p w14:paraId="5419A97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3ED81B6">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02B7F55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179CFC3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6D530AF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涉及货值金额</w:t>
            </w:r>
            <w:r>
              <w:rPr>
                <w:rFonts w:hint="default" w:ascii="宋体" w:hAnsi="宋体" w:cs="宋体"/>
                <w:color w:val="auto"/>
                <w:kern w:val="0"/>
                <w:sz w:val="24"/>
                <w:szCs w:val="24"/>
                <w:highlight w:val="none"/>
                <w:lang w:val="en"/>
              </w:rPr>
              <w:t>10</w:t>
            </w:r>
            <w:r>
              <w:rPr>
                <w:rFonts w:hint="eastAsia" w:ascii="宋体" w:hAnsi="宋体" w:eastAsia="宋体" w:cs="宋体"/>
                <w:color w:val="auto"/>
                <w:kern w:val="0"/>
                <w:sz w:val="24"/>
                <w:szCs w:val="24"/>
                <w:highlight w:val="none"/>
              </w:rPr>
              <w:t>万元以上</w:t>
            </w:r>
            <w:r>
              <w:rPr>
                <w:rFonts w:hint="default" w:ascii="宋体" w:hAnsi="宋体" w:cs="宋体"/>
                <w:color w:val="auto"/>
                <w:kern w:val="0"/>
                <w:sz w:val="24"/>
                <w:szCs w:val="24"/>
                <w:highlight w:val="none"/>
                <w:lang w:val="en"/>
              </w:rPr>
              <w:t>20</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7948338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给予警告，并处1.25万元以上2.25万元以下罚款。</w:t>
            </w:r>
          </w:p>
        </w:tc>
      </w:tr>
      <w:tr w14:paraId="7286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exact"/>
          <w:jc w:val="center"/>
        </w:trPr>
        <w:tc>
          <w:tcPr>
            <w:tcW w:w="787" w:type="dxa"/>
            <w:vMerge w:val="continue"/>
            <w:tcBorders>
              <w:tl2br w:val="nil"/>
              <w:tr2bl w:val="nil"/>
            </w:tcBorders>
            <w:noWrap w:val="0"/>
            <w:vAlign w:val="center"/>
          </w:tcPr>
          <w:p w14:paraId="1DF9146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322783F">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BB669D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7643DAE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61BAFA1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涉及货值金额</w:t>
            </w:r>
            <w:r>
              <w:rPr>
                <w:rFonts w:hint="eastAsia" w:ascii="宋体" w:hAnsi="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万元以上的。</w:t>
            </w:r>
          </w:p>
        </w:tc>
        <w:tc>
          <w:tcPr>
            <w:tcW w:w="3267" w:type="dxa"/>
            <w:tcBorders>
              <w:tl2br w:val="nil"/>
              <w:tr2bl w:val="nil"/>
            </w:tcBorders>
            <w:noWrap w:val="0"/>
            <w:vAlign w:val="center"/>
          </w:tcPr>
          <w:p w14:paraId="1719CFD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给予警告，并处2.25万元以上3万元以下罚款。</w:t>
            </w:r>
          </w:p>
        </w:tc>
      </w:tr>
      <w:tr w14:paraId="2FF7E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exact"/>
          <w:jc w:val="center"/>
        </w:trPr>
        <w:tc>
          <w:tcPr>
            <w:tcW w:w="787" w:type="dxa"/>
            <w:vMerge w:val="restart"/>
            <w:tcBorders>
              <w:tl2br w:val="nil"/>
              <w:tr2bl w:val="nil"/>
            </w:tcBorders>
            <w:noWrap w:val="0"/>
            <w:vAlign w:val="center"/>
          </w:tcPr>
          <w:p w14:paraId="5DB6C1F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66</w:t>
            </w:r>
          </w:p>
        </w:tc>
        <w:tc>
          <w:tcPr>
            <w:tcW w:w="1718" w:type="dxa"/>
            <w:vMerge w:val="restart"/>
            <w:tcBorders>
              <w:tl2br w:val="nil"/>
              <w:tr2bl w:val="nil"/>
            </w:tcBorders>
            <w:noWrap w:val="0"/>
            <w:vAlign w:val="center"/>
          </w:tcPr>
          <w:p w14:paraId="200CF81D">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《食品召回管理办法》</w:t>
            </w:r>
          </w:p>
        </w:tc>
        <w:tc>
          <w:tcPr>
            <w:tcW w:w="4132" w:type="dxa"/>
            <w:vMerge w:val="restart"/>
            <w:tcBorders>
              <w:tl2br w:val="nil"/>
              <w:tr2bl w:val="nil"/>
            </w:tcBorders>
            <w:noWrap w:val="0"/>
            <w:vAlign w:val="center"/>
          </w:tcPr>
          <w:p w14:paraId="788F689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第四十条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食品生产经营者违反本办法第十三条、第二十四条第二款、第三十二条的规定，未按规定履行相关报告义务的，由市场监督管理部门责令改正，给予警告；拒不改正的，处</w:t>
            </w:r>
            <w:r>
              <w:rPr>
                <w:rFonts w:hint="eastAsia" w:ascii="宋体" w:hAnsi="宋体" w:cs="宋体"/>
                <w:color w:val="auto"/>
                <w:kern w:val="0"/>
                <w:sz w:val="24"/>
                <w:szCs w:val="24"/>
                <w:highlight w:val="none"/>
                <w:lang w:val="en-US" w:eastAsia="zh-CN"/>
              </w:rPr>
              <w:t>2000</w:t>
            </w:r>
            <w:r>
              <w:rPr>
                <w:rFonts w:hint="eastAsia" w:ascii="宋体" w:hAnsi="宋体" w:eastAsia="宋体" w:cs="宋体"/>
                <w:color w:val="auto"/>
                <w:kern w:val="0"/>
                <w:sz w:val="24"/>
                <w:szCs w:val="24"/>
                <w:highlight w:val="none"/>
              </w:rPr>
              <w:t>元以上</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万元以下罚款。</w:t>
            </w:r>
          </w:p>
        </w:tc>
        <w:tc>
          <w:tcPr>
            <w:tcW w:w="1133" w:type="dxa"/>
            <w:tcBorders>
              <w:tl2br w:val="nil"/>
              <w:tr2bl w:val="nil"/>
            </w:tcBorders>
            <w:noWrap w:val="0"/>
            <w:vAlign w:val="center"/>
          </w:tcPr>
          <w:p w14:paraId="318BB1C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28AAD45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7FD2497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w:t>
            </w:r>
            <w:r>
              <w:rPr>
                <w:rFonts w:hint="eastAsia" w:ascii="宋体" w:hAnsi="宋体" w:cs="宋体"/>
                <w:color w:val="auto"/>
                <w:kern w:val="0"/>
                <w:sz w:val="24"/>
                <w:szCs w:val="24"/>
                <w:highlight w:val="none"/>
                <w:lang w:val="en-US" w:eastAsia="zh-CN"/>
              </w:rPr>
              <w:t>2000</w:t>
            </w:r>
            <w:r>
              <w:rPr>
                <w:rFonts w:hint="eastAsia" w:ascii="宋体" w:hAnsi="宋体" w:eastAsia="宋体" w:cs="宋体"/>
                <w:color w:val="auto"/>
                <w:kern w:val="0"/>
                <w:sz w:val="24"/>
                <w:szCs w:val="24"/>
                <w:highlight w:val="none"/>
              </w:rPr>
              <w:t>元以上</w:t>
            </w:r>
            <w:r>
              <w:rPr>
                <w:rFonts w:hint="eastAsia" w:ascii="宋体" w:hAnsi="宋体" w:cs="宋体"/>
                <w:color w:val="auto"/>
                <w:kern w:val="0"/>
                <w:sz w:val="24"/>
                <w:szCs w:val="24"/>
                <w:highlight w:val="none"/>
                <w:lang w:val="en-US" w:eastAsia="zh-CN"/>
              </w:rPr>
              <w:t>7400</w:t>
            </w:r>
            <w:r>
              <w:rPr>
                <w:rFonts w:hint="eastAsia" w:ascii="宋体" w:hAnsi="宋体" w:eastAsia="宋体" w:cs="宋体"/>
                <w:color w:val="auto"/>
                <w:kern w:val="0"/>
                <w:sz w:val="24"/>
                <w:szCs w:val="24"/>
                <w:highlight w:val="none"/>
              </w:rPr>
              <w:t>元以下罚款。</w:t>
            </w:r>
          </w:p>
        </w:tc>
      </w:tr>
      <w:tr w14:paraId="4871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exact"/>
          <w:jc w:val="center"/>
        </w:trPr>
        <w:tc>
          <w:tcPr>
            <w:tcW w:w="787" w:type="dxa"/>
            <w:vMerge w:val="continue"/>
            <w:tcBorders>
              <w:tl2br w:val="nil"/>
              <w:tr2bl w:val="nil"/>
            </w:tcBorders>
            <w:noWrap w:val="0"/>
            <w:vAlign w:val="center"/>
          </w:tcPr>
          <w:p w14:paraId="344637F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4603BDA">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3092080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3F0566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19B4ECB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0D44274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w:t>
            </w:r>
            <w:r>
              <w:rPr>
                <w:rFonts w:hint="eastAsia" w:ascii="宋体" w:hAnsi="宋体" w:cs="宋体"/>
                <w:color w:val="auto"/>
                <w:kern w:val="0"/>
                <w:sz w:val="24"/>
                <w:szCs w:val="24"/>
                <w:highlight w:val="none"/>
                <w:lang w:val="en-US" w:eastAsia="zh-CN"/>
              </w:rPr>
              <w:t>7400</w:t>
            </w:r>
            <w:r>
              <w:rPr>
                <w:rFonts w:hint="eastAsia" w:ascii="宋体" w:hAnsi="宋体" w:eastAsia="宋体" w:cs="宋体"/>
                <w:color w:val="auto"/>
                <w:kern w:val="0"/>
                <w:sz w:val="24"/>
                <w:szCs w:val="24"/>
                <w:highlight w:val="none"/>
              </w:rPr>
              <w:t>元以上1.46万元以下罚款。</w:t>
            </w:r>
          </w:p>
        </w:tc>
      </w:tr>
      <w:tr w14:paraId="046B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exact"/>
          <w:jc w:val="center"/>
        </w:trPr>
        <w:tc>
          <w:tcPr>
            <w:tcW w:w="787" w:type="dxa"/>
            <w:vMerge w:val="continue"/>
            <w:tcBorders>
              <w:tl2br w:val="nil"/>
              <w:tr2bl w:val="nil"/>
            </w:tcBorders>
            <w:noWrap w:val="0"/>
            <w:vAlign w:val="center"/>
          </w:tcPr>
          <w:p w14:paraId="650B27A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B3AF7B7">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70EEE46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7E1F175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1023D2F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w:t>
            </w:r>
            <w:r>
              <w:rPr>
                <w:rFonts w:hint="eastAsia" w:ascii="宋体" w:hAnsi="宋体" w:cs="宋体"/>
                <w:color w:val="auto"/>
                <w:kern w:val="0"/>
                <w:sz w:val="24"/>
                <w:szCs w:val="24"/>
                <w:highlight w:val="none"/>
                <w:lang w:eastAsia="zh-CN"/>
              </w:rPr>
              <w:t>，且</w:t>
            </w:r>
            <w:r>
              <w:rPr>
                <w:rFonts w:hint="eastAsia" w:ascii="宋体" w:hAnsi="宋体" w:eastAsia="宋体" w:cs="宋体"/>
                <w:color w:val="auto"/>
                <w:kern w:val="0"/>
                <w:sz w:val="24"/>
                <w:szCs w:val="24"/>
                <w:highlight w:val="none"/>
              </w:rPr>
              <w:t>已经造成不良影响或者违法行为持续时间较长的。</w:t>
            </w:r>
          </w:p>
        </w:tc>
        <w:tc>
          <w:tcPr>
            <w:tcW w:w="3267" w:type="dxa"/>
            <w:tcBorders>
              <w:tl2br w:val="nil"/>
              <w:tr2bl w:val="nil"/>
            </w:tcBorders>
            <w:noWrap w:val="0"/>
            <w:vAlign w:val="center"/>
          </w:tcPr>
          <w:p w14:paraId="3A8C8A9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处1.46万元以上2万元以下罚款。</w:t>
            </w:r>
          </w:p>
        </w:tc>
      </w:tr>
      <w:tr w14:paraId="757C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exact"/>
          <w:jc w:val="center"/>
        </w:trPr>
        <w:tc>
          <w:tcPr>
            <w:tcW w:w="787" w:type="dxa"/>
            <w:vMerge w:val="restart"/>
            <w:tcBorders>
              <w:tl2br w:val="nil"/>
              <w:tr2bl w:val="nil"/>
            </w:tcBorders>
            <w:noWrap w:val="0"/>
            <w:vAlign w:val="center"/>
          </w:tcPr>
          <w:p w14:paraId="7EA3BE4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67</w:t>
            </w:r>
          </w:p>
        </w:tc>
        <w:tc>
          <w:tcPr>
            <w:tcW w:w="1718" w:type="dxa"/>
            <w:vMerge w:val="restart"/>
            <w:tcBorders>
              <w:tl2br w:val="nil"/>
              <w:tr2bl w:val="nil"/>
            </w:tcBorders>
            <w:noWrap w:val="0"/>
            <w:vAlign w:val="center"/>
          </w:tcPr>
          <w:p w14:paraId="1FA162F7">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《食品召回管理办法》</w:t>
            </w:r>
          </w:p>
        </w:tc>
        <w:tc>
          <w:tcPr>
            <w:tcW w:w="4132" w:type="dxa"/>
            <w:vMerge w:val="restart"/>
            <w:tcBorders>
              <w:tl2br w:val="nil"/>
              <w:tr2bl w:val="nil"/>
            </w:tcBorders>
            <w:noWrap w:val="0"/>
            <w:vAlign w:val="center"/>
          </w:tcPr>
          <w:p w14:paraId="5B83ED1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第四十一条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食品生产经营者违反本办法第二十三条第二款的规定，市场监督管理部门责令食品生产经营者依法处置不安全食品，食品生产经营者拒绝或者拖延履行的，由市场监督管理部门给予警告，并处</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万元以上</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万元以下罚款。</w:t>
            </w:r>
          </w:p>
        </w:tc>
        <w:tc>
          <w:tcPr>
            <w:tcW w:w="1133" w:type="dxa"/>
            <w:tcBorders>
              <w:tl2br w:val="nil"/>
              <w:tr2bl w:val="nil"/>
            </w:tcBorders>
            <w:noWrap w:val="0"/>
            <w:vAlign w:val="center"/>
          </w:tcPr>
          <w:p w14:paraId="6C6929C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153C930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涉及货值金额</w:t>
            </w:r>
            <w:r>
              <w:rPr>
                <w:rFonts w:hint="default" w:ascii="宋体" w:hAnsi="宋体" w:cs="宋体"/>
                <w:color w:val="auto"/>
                <w:kern w:val="0"/>
                <w:sz w:val="24"/>
                <w:szCs w:val="24"/>
                <w:highlight w:val="none"/>
                <w:lang w:val="en"/>
              </w:rPr>
              <w:t>10</w:t>
            </w:r>
            <w:r>
              <w:rPr>
                <w:rFonts w:hint="eastAsia" w:ascii="宋体" w:hAnsi="宋体" w:eastAsia="宋体" w:cs="宋体"/>
                <w:color w:val="auto"/>
                <w:kern w:val="0"/>
                <w:sz w:val="24"/>
                <w:szCs w:val="24"/>
                <w:highlight w:val="none"/>
              </w:rPr>
              <w:t>万元以下的。</w:t>
            </w:r>
          </w:p>
        </w:tc>
        <w:tc>
          <w:tcPr>
            <w:tcW w:w="3267" w:type="dxa"/>
            <w:tcBorders>
              <w:tl2br w:val="nil"/>
              <w:tr2bl w:val="nil"/>
            </w:tcBorders>
            <w:noWrap w:val="0"/>
            <w:vAlign w:val="center"/>
          </w:tcPr>
          <w:p w14:paraId="63F99F9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给予警告，并处2万元以上2.3万元以下罚款。</w:t>
            </w:r>
          </w:p>
        </w:tc>
      </w:tr>
      <w:tr w14:paraId="3034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exact"/>
          <w:jc w:val="center"/>
        </w:trPr>
        <w:tc>
          <w:tcPr>
            <w:tcW w:w="787" w:type="dxa"/>
            <w:vMerge w:val="continue"/>
            <w:tcBorders>
              <w:tl2br w:val="nil"/>
              <w:tr2bl w:val="nil"/>
            </w:tcBorders>
            <w:noWrap w:val="0"/>
            <w:vAlign w:val="center"/>
          </w:tcPr>
          <w:p w14:paraId="49A0AE5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2523B3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1DBF20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B64286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6554062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涉及货值金额</w:t>
            </w:r>
            <w:r>
              <w:rPr>
                <w:rFonts w:hint="default" w:ascii="宋体" w:hAnsi="宋体" w:cs="宋体"/>
                <w:color w:val="auto"/>
                <w:kern w:val="0"/>
                <w:sz w:val="24"/>
                <w:szCs w:val="24"/>
                <w:highlight w:val="none"/>
                <w:lang w:val="en"/>
              </w:rPr>
              <w:t>10</w:t>
            </w:r>
            <w:r>
              <w:rPr>
                <w:rFonts w:hint="eastAsia" w:ascii="宋体" w:hAnsi="宋体" w:eastAsia="宋体" w:cs="宋体"/>
                <w:color w:val="auto"/>
                <w:kern w:val="0"/>
                <w:sz w:val="24"/>
                <w:szCs w:val="24"/>
                <w:highlight w:val="none"/>
              </w:rPr>
              <w:t>万元以上</w:t>
            </w:r>
            <w:r>
              <w:rPr>
                <w:rFonts w:hint="default" w:ascii="宋体" w:hAnsi="宋体" w:cs="宋体"/>
                <w:color w:val="auto"/>
                <w:kern w:val="0"/>
                <w:sz w:val="24"/>
                <w:szCs w:val="24"/>
                <w:highlight w:val="none"/>
                <w:lang w:val="en"/>
              </w:rPr>
              <w:t>30</w:t>
            </w:r>
            <w:r>
              <w:rPr>
                <w:rFonts w:hint="eastAsia" w:ascii="宋体" w:hAnsi="宋体" w:eastAsia="宋体" w:cs="宋体"/>
                <w:color w:val="auto"/>
                <w:kern w:val="0"/>
                <w:sz w:val="24"/>
                <w:szCs w:val="24"/>
                <w:highlight w:val="none"/>
              </w:rPr>
              <w:t>元以下的。</w:t>
            </w:r>
          </w:p>
        </w:tc>
        <w:tc>
          <w:tcPr>
            <w:tcW w:w="3267" w:type="dxa"/>
            <w:tcBorders>
              <w:tl2br w:val="nil"/>
              <w:tr2bl w:val="nil"/>
            </w:tcBorders>
            <w:noWrap w:val="0"/>
            <w:vAlign w:val="center"/>
          </w:tcPr>
          <w:p w14:paraId="3F830AF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给予警告，并处2.3万元以上2.7万元以下罚款。</w:t>
            </w:r>
          </w:p>
        </w:tc>
      </w:tr>
      <w:tr w14:paraId="11A2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exact"/>
          <w:jc w:val="center"/>
        </w:trPr>
        <w:tc>
          <w:tcPr>
            <w:tcW w:w="787" w:type="dxa"/>
            <w:vMerge w:val="continue"/>
            <w:tcBorders>
              <w:tl2br w:val="nil"/>
              <w:tr2bl w:val="nil"/>
            </w:tcBorders>
            <w:noWrap w:val="0"/>
            <w:vAlign w:val="center"/>
          </w:tcPr>
          <w:p w14:paraId="6D404CC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97E690D">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0EFE185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6057B82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2429E0F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涉及货值金额</w:t>
            </w:r>
            <w:r>
              <w:rPr>
                <w:rFonts w:hint="default" w:ascii="宋体" w:hAnsi="宋体" w:cs="宋体"/>
                <w:color w:val="auto"/>
                <w:kern w:val="0"/>
                <w:sz w:val="24"/>
                <w:szCs w:val="24"/>
                <w:highlight w:val="none"/>
                <w:lang w:val="en"/>
              </w:rPr>
              <w:t>30</w:t>
            </w:r>
            <w:r>
              <w:rPr>
                <w:rFonts w:hint="eastAsia" w:ascii="宋体" w:hAnsi="宋体" w:eastAsia="宋体" w:cs="宋体"/>
                <w:color w:val="auto"/>
                <w:kern w:val="0"/>
                <w:sz w:val="24"/>
                <w:szCs w:val="24"/>
                <w:highlight w:val="none"/>
              </w:rPr>
              <w:t>万元以上的。</w:t>
            </w:r>
          </w:p>
        </w:tc>
        <w:tc>
          <w:tcPr>
            <w:tcW w:w="3267" w:type="dxa"/>
            <w:tcBorders>
              <w:tl2br w:val="nil"/>
              <w:tr2bl w:val="nil"/>
            </w:tcBorders>
            <w:noWrap w:val="0"/>
            <w:vAlign w:val="center"/>
          </w:tcPr>
          <w:p w14:paraId="45C4EA1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给予警告，并处2.7万元以上3万元罚款。</w:t>
            </w:r>
          </w:p>
        </w:tc>
      </w:tr>
      <w:tr w14:paraId="015A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exact"/>
          <w:jc w:val="center"/>
        </w:trPr>
        <w:tc>
          <w:tcPr>
            <w:tcW w:w="787" w:type="dxa"/>
            <w:vMerge w:val="restart"/>
            <w:tcBorders>
              <w:tl2br w:val="nil"/>
              <w:tr2bl w:val="nil"/>
            </w:tcBorders>
            <w:noWrap w:val="0"/>
            <w:vAlign w:val="center"/>
          </w:tcPr>
          <w:p w14:paraId="6FBDF75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68</w:t>
            </w:r>
          </w:p>
        </w:tc>
        <w:tc>
          <w:tcPr>
            <w:tcW w:w="1718" w:type="dxa"/>
            <w:vMerge w:val="restart"/>
            <w:tcBorders>
              <w:tl2br w:val="nil"/>
              <w:tr2bl w:val="nil"/>
            </w:tcBorders>
            <w:noWrap w:val="0"/>
            <w:vAlign w:val="center"/>
          </w:tcPr>
          <w:p w14:paraId="1A4F508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《食品召回管理办法》</w:t>
            </w:r>
          </w:p>
        </w:tc>
        <w:tc>
          <w:tcPr>
            <w:tcW w:w="4132" w:type="dxa"/>
            <w:vMerge w:val="restart"/>
            <w:tcBorders>
              <w:tl2br w:val="nil"/>
              <w:tr2bl w:val="nil"/>
            </w:tcBorders>
            <w:noWrap w:val="0"/>
            <w:vAlign w:val="center"/>
          </w:tcPr>
          <w:p w14:paraId="5CDFF08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第四十二条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食品生产经营者违反本办法第二十八条的规定，未按规定记录保存不安全食品停止生产经营、召回和处置情况的，由市场监督管理部门责令改正，给予警告；拒不改正的，处</w:t>
            </w:r>
            <w:r>
              <w:rPr>
                <w:rFonts w:hint="eastAsia" w:ascii="宋体" w:hAnsi="宋体" w:cs="宋体"/>
                <w:color w:val="auto"/>
                <w:kern w:val="0"/>
                <w:sz w:val="24"/>
                <w:szCs w:val="24"/>
                <w:highlight w:val="none"/>
                <w:lang w:val="en-US" w:eastAsia="zh-CN"/>
              </w:rPr>
              <w:t>2000</w:t>
            </w:r>
            <w:r>
              <w:rPr>
                <w:rFonts w:hint="eastAsia" w:ascii="宋体" w:hAnsi="宋体" w:eastAsia="宋体" w:cs="宋体"/>
                <w:color w:val="auto"/>
                <w:kern w:val="0"/>
                <w:sz w:val="24"/>
                <w:szCs w:val="24"/>
                <w:highlight w:val="none"/>
              </w:rPr>
              <w:t>元以上</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万元以下罚款。</w:t>
            </w:r>
          </w:p>
        </w:tc>
        <w:tc>
          <w:tcPr>
            <w:tcW w:w="1133" w:type="dxa"/>
            <w:tcBorders>
              <w:tl2br w:val="nil"/>
              <w:tr2bl w:val="nil"/>
            </w:tcBorders>
            <w:noWrap w:val="0"/>
            <w:vAlign w:val="center"/>
          </w:tcPr>
          <w:p w14:paraId="7D11E58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7F52F8B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56D37FC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处2000元以上7400元以下罚款。</w:t>
            </w:r>
          </w:p>
        </w:tc>
      </w:tr>
      <w:tr w14:paraId="1BB1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exact"/>
          <w:jc w:val="center"/>
        </w:trPr>
        <w:tc>
          <w:tcPr>
            <w:tcW w:w="787" w:type="dxa"/>
            <w:vMerge w:val="continue"/>
            <w:tcBorders>
              <w:tl2br w:val="nil"/>
              <w:tr2bl w:val="nil"/>
            </w:tcBorders>
            <w:noWrap w:val="0"/>
            <w:vAlign w:val="center"/>
          </w:tcPr>
          <w:p w14:paraId="3C76D03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24D3305">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00CD315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09F9753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5E44E6F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702A63C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处7400元以上1</w:t>
            </w:r>
            <w:r>
              <w:rPr>
                <w:rFonts w:hint="eastAsia" w:ascii="宋体" w:hAnsi="宋体" w:cs="宋体"/>
                <w:color w:val="auto"/>
                <w:kern w:val="0"/>
                <w:sz w:val="24"/>
                <w:szCs w:val="24"/>
                <w:highlight w:val="none"/>
                <w:lang w:val="en-US" w:eastAsia="zh-CN"/>
              </w:rPr>
              <w:t>.46万</w:t>
            </w:r>
            <w:r>
              <w:rPr>
                <w:rFonts w:hint="eastAsia" w:ascii="宋体" w:hAnsi="宋体" w:eastAsia="宋体" w:cs="宋体"/>
                <w:color w:val="auto"/>
                <w:kern w:val="0"/>
                <w:sz w:val="24"/>
                <w:szCs w:val="24"/>
                <w:highlight w:val="none"/>
              </w:rPr>
              <w:t>元以下罚款。</w:t>
            </w:r>
          </w:p>
        </w:tc>
      </w:tr>
      <w:tr w14:paraId="6062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1" w:hRule="exact"/>
          <w:jc w:val="center"/>
        </w:trPr>
        <w:tc>
          <w:tcPr>
            <w:tcW w:w="787" w:type="dxa"/>
            <w:vMerge w:val="continue"/>
            <w:tcBorders>
              <w:tl2br w:val="nil"/>
              <w:tr2bl w:val="nil"/>
            </w:tcBorders>
            <w:noWrap w:val="0"/>
            <w:vAlign w:val="center"/>
          </w:tcPr>
          <w:p w14:paraId="35E090D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F420D78">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05D2CE0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7498656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36D5A2D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w:t>
            </w:r>
            <w:r>
              <w:rPr>
                <w:rFonts w:hint="eastAsia" w:ascii="宋体" w:hAnsi="宋体" w:cs="宋体"/>
                <w:color w:val="auto"/>
                <w:kern w:val="0"/>
                <w:sz w:val="24"/>
                <w:szCs w:val="24"/>
                <w:highlight w:val="none"/>
                <w:lang w:eastAsia="zh-CN"/>
              </w:rPr>
              <w:t>，且</w:t>
            </w:r>
            <w:r>
              <w:rPr>
                <w:rFonts w:hint="eastAsia" w:ascii="宋体" w:hAnsi="宋体" w:eastAsia="宋体" w:cs="宋体"/>
                <w:color w:val="auto"/>
                <w:kern w:val="0"/>
                <w:sz w:val="24"/>
                <w:szCs w:val="24"/>
                <w:highlight w:val="none"/>
              </w:rPr>
              <w:t>已经造成不良影响或者违法行为持续时间较长的。</w:t>
            </w:r>
          </w:p>
        </w:tc>
        <w:tc>
          <w:tcPr>
            <w:tcW w:w="3267" w:type="dxa"/>
            <w:tcBorders>
              <w:tl2br w:val="nil"/>
              <w:tr2bl w:val="nil"/>
            </w:tcBorders>
            <w:noWrap w:val="0"/>
            <w:vAlign w:val="center"/>
          </w:tcPr>
          <w:p w14:paraId="0E55F48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w:t>
            </w:r>
            <w:r>
              <w:rPr>
                <w:rFonts w:hint="eastAsia" w:ascii="宋体" w:hAnsi="宋体" w:cs="宋体"/>
                <w:color w:val="auto"/>
                <w:kern w:val="0"/>
                <w:sz w:val="24"/>
                <w:szCs w:val="24"/>
                <w:highlight w:val="none"/>
                <w:lang w:val="en-US" w:eastAsia="zh-CN"/>
              </w:rPr>
              <w:t>1.46万</w:t>
            </w:r>
            <w:r>
              <w:rPr>
                <w:rFonts w:hint="eastAsia" w:ascii="宋体" w:hAnsi="宋体" w:eastAsia="宋体" w:cs="宋体"/>
                <w:color w:val="auto"/>
                <w:kern w:val="0"/>
                <w:sz w:val="24"/>
                <w:szCs w:val="24"/>
                <w:highlight w:val="none"/>
              </w:rPr>
              <w:t>元以上2</w:t>
            </w:r>
            <w:r>
              <w:rPr>
                <w:rFonts w:hint="eastAsia" w:ascii="宋体" w:hAnsi="宋体" w:cs="宋体"/>
                <w:color w:val="auto"/>
                <w:kern w:val="0"/>
                <w:sz w:val="24"/>
                <w:szCs w:val="24"/>
                <w:highlight w:val="none"/>
                <w:lang w:val="en-US" w:eastAsia="zh-CN"/>
              </w:rPr>
              <w:t>万</w:t>
            </w:r>
            <w:r>
              <w:rPr>
                <w:rFonts w:hint="eastAsia" w:ascii="宋体" w:hAnsi="宋体" w:eastAsia="宋体" w:cs="宋体"/>
                <w:color w:val="auto"/>
                <w:kern w:val="0"/>
                <w:sz w:val="24"/>
                <w:szCs w:val="24"/>
                <w:highlight w:val="none"/>
              </w:rPr>
              <w:t>元以下罚款。</w:t>
            </w:r>
          </w:p>
        </w:tc>
      </w:tr>
      <w:tr w14:paraId="1C6D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exact"/>
          <w:jc w:val="center"/>
        </w:trPr>
        <w:tc>
          <w:tcPr>
            <w:tcW w:w="787" w:type="dxa"/>
            <w:vMerge w:val="restart"/>
            <w:tcBorders>
              <w:tl2br w:val="nil"/>
              <w:tr2bl w:val="nil"/>
            </w:tcBorders>
            <w:noWrap w:val="0"/>
            <w:vAlign w:val="center"/>
          </w:tcPr>
          <w:p w14:paraId="5EEF4D4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69</w:t>
            </w:r>
          </w:p>
        </w:tc>
        <w:tc>
          <w:tcPr>
            <w:tcW w:w="1718" w:type="dxa"/>
            <w:vMerge w:val="restart"/>
            <w:tcBorders>
              <w:tl2br w:val="nil"/>
              <w:tr2bl w:val="nil"/>
            </w:tcBorders>
            <w:noWrap w:val="0"/>
            <w:vAlign w:val="center"/>
          </w:tcPr>
          <w:p w14:paraId="0365B22F">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outlineLvl w:val="2"/>
              <w:rPr>
                <w:rFonts w:hint="eastAsia" w:ascii="宋体" w:hAnsi="宋体" w:eastAsia="宋体" w:cs="宋体"/>
                <w:b w:val="0"/>
                <w:bCs w:val="0"/>
                <w:color w:val="auto"/>
                <w:kern w:val="0"/>
                <w:sz w:val="24"/>
                <w:szCs w:val="24"/>
                <w:highlight w:val="none"/>
                <w:lang w:eastAsia="zh-CN"/>
              </w:rPr>
            </w:pPr>
            <w:bookmarkStart w:id="312" w:name="_Toc11183"/>
            <w:bookmarkStart w:id="313" w:name="_Toc21863"/>
            <w:bookmarkStart w:id="314" w:name="_Toc14154"/>
            <w:bookmarkStart w:id="315" w:name="_Toc22263"/>
            <w:bookmarkStart w:id="316" w:name="_Toc25539"/>
            <w:r>
              <w:rPr>
                <w:rFonts w:hint="eastAsia" w:ascii="宋体" w:hAnsi="宋体" w:eastAsia="宋体" w:cs="宋体"/>
                <w:b w:val="0"/>
                <w:bCs w:val="0"/>
                <w:color w:val="auto"/>
                <w:kern w:val="0"/>
                <w:sz w:val="24"/>
                <w:szCs w:val="24"/>
                <w:highlight w:val="none"/>
              </w:rPr>
              <w:t>《食品生产许可管理办法》</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20</w:t>
            </w:r>
            <w:r>
              <w:rPr>
                <w:rFonts w:hint="eastAsia" w:ascii="宋体" w:hAnsi="宋体" w:cs="宋体"/>
                <w:b w:val="0"/>
                <w:bCs w:val="0"/>
                <w:color w:val="auto"/>
                <w:kern w:val="0"/>
                <w:sz w:val="24"/>
                <w:szCs w:val="24"/>
                <w:highlight w:val="none"/>
                <w:lang w:val="en-US" w:eastAsia="zh-CN"/>
              </w:rPr>
              <w:t>20</w:t>
            </w:r>
            <w:r>
              <w:rPr>
                <w:rFonts w:hint="eastAsia" w:ascii="宋体" w:hAnsi="宋体" w:eastAsia="宋体" w:cs="宋体"/>
                <w:b w:val="0"/>
                <w:bCs w:val="0"/>
                <w:color w:val="auto"/>
                <w:kern w:val="0"/>
                <w:sz w:val="24"/>
                <w:szCs w:val="24"/>
                <w:highlight w:val="none"/>
              </w:rPr>
              <w:t>年</w:t>
            </w:r>
            <w:r>
              <w:rPr>
                <w:rFonts w:hint="eastAsia" w:ascii="宋体" w:hAnsi="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rPr>
              <w:t>月</w:t>
            </w: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rPr>
              <w:t>日</w:t>
            </w:r>
            <w:r>
              <w:rPr>
                <w:rFonts w:hint="eastAsia" w:ascii="宋体" w:hAnsi="宋体" w:cs="宋体"/>
                <w:b w:val="0"/>
                <w:bCs w:val="0"/>
                <w:color w:val="auto"/>
                <w:kern w:val="0"/>
                <w:sz w:val="24"/>
                <w:szCs w:val="24"/>
                <w:highlight w:val="none"/>
                <w:lang w:val="en-US" w:eastAsia="zh-CN"/>
              </w:rPr>
              <w:t>起施行</w:t>
            </w:r>
            <w:r>
              <w:rPr>
                <w:rFonts w:hint="eastAsia" w:ascii="宋体" w:hAnsi="宋体" w:eastAsia="宋体" w:cs="宋体"/>
                <w:b w:val="0"/>
                <w:bCs w:val="0"/>
                <w:color w:val="auto"/>
                <w:kern w:val="0"/>
                <w:sz w:val="24"/>
                <w:szCs w:val="24"/>
                <w:highlight w:val="none"/>
                <w:lang w:eastAsia="zh-CN"/>
              </w:rPr>
              <w:t>）</w:t>
            </w:r>
            <w:bookmarkEnd w:id="312"/>
            <w:bookmarkEnd w:id="313"/>
            <w:bookmarkEnd w:id="314"/>
            <w:bookmarkEnd w:id="315"/>
            <w:bookmarkEnd w:id="316"/>
          </w:p>
        </w:tc>
        <w:tc>
          <w:tcPr>
            <w:tcW w:w="4132" w:type="dxa"/>
            <w:vMerge w:val="restart"/>
            <w:tcBorders>
              <w:tl2br w:val="nil"/>
              <w:tr2bl w:val="nil"/>
            </w:tcBorders>
            <w:noWrap w:val="0"/>
            <w:vAlign w:val="center"/>
          </w:tcPr>
          <w:p w14:paraId="5ACFFCB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第五十一条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被许可人以欺骗、贿赂等不正当手段取得食品生产许可的，由原发证的市场监督管理部门撤销许可，并处1万元以上3万元以下罚款。被许可人在3年内不得再次申请食品生产许可。</w:t>
            </w:r>
          </w:p>
        </w:tc>
        <w:tc>
          <w:tcPr>
            <w:tcW w:w="1133" w:type="dxa"/>
            <w:tcBorders>
              <w:tl2br w:val="nil"/>
              <w:tr2bl w:val="nil"/>
            </w:tcBorders>
            <w:noWrap w:val="0"/>
            <w:vAlign w:val="center"/>
          </w:tcPr>
          <w:p w14:paraId="6901136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28BCC75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被许可人取得食品生产许可后尚未开始生产的。</w:t>
            </w:r>
          </w:p>
        </w:tc>
        <w:tc>
          <w:tcPr>
            <w:tcW w:w="3267" w:type="dxa"/>
            <w:tcBorders>
              <w:tl2br w:val="nil"/>
              <w:tr2bl w:val="nil"/>
            </w:tcBorders>
            <w:noWrap w:val="0"/>
            <w:vAlign w:val="center"/>
          </w:tcPr>
          <w:p w14:paraId="68AEAAB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由原发证的市场监督管理部门撤销许可，并处1万元以上1.6万元以下罚款。</w:t>
            </w:r>
          </w:p>
        </w:tc>
      </w:tr>
      <w:tr w14:paraId="18D43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exact"/>
          <w:jc w:val="center"/>
        </w:trPr>
        <w:tc>
          <w:tcPr>
            <w:tcW w:w="787" w:type="dxa"/>
            <w:vMerge w:val="continue"/>
            <w:tcBorders>
              <w:tl2br w:val="nil"/>
              <w:tr2bl w:val="nil"/>
            </w:tcBorders>
            <w:noWrap w:val="0"/>
            <w:vAlign w:val="center"/>
          </w:tcPr>
          <w:p w14:paraId="0080106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5BDDA6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4197FE0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04AEDC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598136E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被许可人取得食品生产许可后已经进行生产但尚无违法所得的。</w:t>
            </w:r>
          </w:p>
        </w:tc>
        <w:tc>
          <w:tcPr>
            <w:tcW w:w="3267" w:type="dxa"/>
            <w:tcBorders>
              <w:tl2br w:val="nil"/>
              <w:tr2bl w:val="nil"/>
            </w:tcBorders>
            <w:noWrap w:val="0"/>
            <w:vAlign w:val="center"/>
          </w:tcPr>
          <w:p w14:paraId="2C996FF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由原发证的市场监督管理部门撤销许可，并处1.6万元以上2.4万元以下罚款。</w:t>
            </w:r>
          </w:p>
        </w:tc>
      </w:tr>
      <w:tr w14:paraId="2A04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exact"/>
          <w:jc w:val="center"/>
        </w:trPr>
        <w:tc>
          <w:tcPr>
            <w:tcW w:w="787" w:type="dxa"/>
            <w:vMerge w:val="continue"/>
            <w:tcBorders>
              <w:tl2br w:val="nil"/>
              <w:tr2bl w:val="nil"/>
            </w:tcBorders>
            <w:noWrap w:val="0"/>
            <w:vAlign w:val="center"/>
          </w:tcPr>
          <w:p w14:paraId="32C7DD8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0951287">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5F93C16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519101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67E969E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被许可人取得食品生产许可后已经进行生产并有违法所得的。</w:t>
            </w:r>
          </w:p>
        </w:tc>
        <w:tc>
          <w:tcPr>
            <w:tcW w:w="3267" w:type="dxa"/>
            <w:tcBorders>
              <w:tl2br w:val="nil"/>
              <w:tr2bl w:val="nil"/>
            </w:tcBorders>
            <w:noWrap w:val="0"/>
            <w:vAlign w:val="center"/>
          </w:tcPr>
          <w:p w14:paraId="50997B7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由原发证的市场监督管理部门撤销许可，并处2.4万元以上3万元以下罚款。</w:t>
            </w:r>
          </w:p>
        </w:tc>
      </w:tr>
      <w:tr w14:paraId="7F9DA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exact"/>
          <w:jc w:val="center"/>
        </w:trPr>
        <w:tc>
          <w:tcPr>
            <w:tcW w:w="787" w:type="dxa"/>
            <w:vMerge w:val="restart"/>
            <w:tcBorders>
              <w:tl2br w:val="nil"/>
              <w:tr2bl w:val="nil"/>
            </w:tcBorders>
            <w:noWrap w:val="0"/>
            <w:vAlign w:val="center"/>
          </w:tcPr>
          <w:p w14:paraId="25801F0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70</w:t>
            </w:r>
          </w:p>
        </w:tc>
        <w:tc>
          <w:tcPr>
            <w:tcW w:w="1718" w:type="dxa"/>
            <w:vMerge w:val="restart"/>
            <w:tcBorders>
              <w:tl2br w:val="nil"/>
              <w:tr2bl w:val="nil"/>
            </w:tcBorders>
            <w:noWrap w:val="0"/>
            <w:vAlign w:val="center"/>
          </w:tcPr>
          <w:p w14:paraId="156F4DFA">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《食品生产许可管理办法》</w:t>
            </w:r>
          </w:p>
        </w:tc>
        <w:tc>
          <w:tcPr>
            <w:tcW w:w="4132" w:type="dxa"/>
            <w:vMerge w:val="restart"/>
            <w:tcBorders>
              <w:tl2br w:val="nil"/>
              <w:tr2bl w:val="nil"/>
            </w:tcBorders>
            <w:noWrap w:val="0"/>
            <w:vAlign w:val="center"/>
          </w:tcPr>
          <w:p w14:paraId="0E5CEE4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第五十二条第一款</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违反本办法第三十一条第一款规定，食品生产者伪造、涂改、倒卖、出租、出借、转让食品生产许可证的，由县级以上地方</w:t>
            </w:r>
            <w:r>
              <w:rPr>
                <w:rStyle w:val="13"/>
                <w:rFonts w:hint="eastAsia" w:ascii="宋体" w:hAnsi="宋体" w:eastAsia="宋体" w:cs="宋体"/>
                <w:b w:val="0"/>
                <w:bCs w:val="0"/>
                <w:color w:val="auto"/>
                <w:sz w:val="24"/>
                <w:szCs w:val="24"/>
                <w:highlight w:val="none"/>
              </w:rPr>
              <w:t>市场监督管理部门</w:t>
            </w:r>
            <w:r>
              <w:rPr>
                <w:rFonts w:hint="eastAsia" w:ascii="宋体" w:hAnsi="宋体" w:eastAsia="宋体" w:cs="宋体"/>
                <w:color w:val="auto"/>
                <w:kern w:val="0"/>
                <w:sz w:val="24"/>
                <w:szCs w:val="24"/>
                <w:highlight w:val="none"/>
              </w:rPr>
              <w:t>责令改正，给予警告，并处1万元以下罚款；情节严重的，处1万元以上3万元以下罚款。</w:t>
            </w:r>
          </w:p>
        </w:tc>
        <w:tc>
          <w:tcPr>
            <w:tcW w:w="1133" w:type="dxa"/>
            <w:tcBorders>
              <w:tl2br w:val="nil"/>
              <w:tr2bl w:val="nil"/>
            </w:tcBorders>
            <w:noWrap w:val="0"/>
            <w:vAlign w:val="center"/>
          </w:tcPr>
          <w:p w14:paraId="434EDAC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0B30FC6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尚未进行生产或者没有违法所得的。</w:t>
            </w:r>
          </w:p>
        </w:tc>
        <w:tc>
          <w:tcPr>
            <w:tcW w:w="3267" w:type="dxa"/>
            <w:tcBorders>
              <w:tl2br w:val="nil"/>
              <w:tr2bl w:val="nil"/>
            </w:tcBorders>
            <w:noWrap w:val="0"/>
            <w:vAlign w:val="center"/>
          </w:tcPr>
          <w:p w14:paraId="548E57D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000元以下罚款。</w:t>
            </w:r>
          </w:p>
        </w:tc>
      </w:tr>
      <w:tr w14:paraId="1272C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exact"/>
          <w:jc w:val="center"/>
        </w:trPr>
        <w:tc>
          <w:tcPr>
            <w:tcW w:w="787" w:type="dxa"/>
            <w:vMerge w:val="continue"/>
            <w:tcBorders>
              <w:tl2br w:val="nil"/>
              <w:tr2bl w:val="nil"/>
            </w:tcBorders>
            <w:noWrap w:val="0"/>
            <w:vAlign w:val="center"/>
          </w:tcPr>
          <w:p w14:paraId="777BF9F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6599607">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0B11805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50358C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75AEF04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已经进行生产或者违法所得10万元以下的。</w:t>
            </w:r>
          </w:p>
        </w:tc>
        <w:tc>
          <w:tcPr>
            <w:tcW w:w="3267" w:type="dxa"/>
            <w:tcBorders>
              <w:tl2br w:val="nil"/>
              <w:tr2bl w:val="nil"/>
            </w:tcBorders>
            <w:noWrap w:val="0"/>
            <w:vAlign w:val="center"/>
          </w:tcPr>
          <w:p w14:paraId="787315A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000元以上</w:t>
            </w:r>
            <w:r>
              <w:rPr>
                <w:rFonts w:hint="eastAsia" w:ascii="宋体" w:hAnsi="宋体" w:cs="宋体"/>
                <w:color w:val="auto"/>
                <w:kern w:val="0"/>
                <w:sz w:val="24"/>
                <w:szCs w:val="24"/>
                <w:highlight w:val="none"/>
                <w:lang w:val="en-US" w:eastAsia="zh-CN"/>
              </w:rPr>
              <w:t>7000</w:t>
            </w:r>
            <w:r>
              <w:rPr>
                <w:rFonts w:hint="eastAsia" w:ascii="宋体" w:hAnsi="宋体" w:eastAsia="宋体" w:cs="宋体"/>
                <w:color w:val="auto"/>
                <w:kern w:val="0"/>
                <w:sz w:val="24"/>
                <w:szCs w:val="24"/>
                <w:highlight w:val="none"/>
              </w:rPr>
              <w:t>元以下罚款。</w:t>
            </w:r>
          </w:p>
        </w:tc>
      </w:tr>
      <w:tr w14:paraId="4FA7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exact"/>
          <w:jc w:val="center"/>
        </w:trPr>
        <w:tc>
          <w:tcPr>
            <w:tcW w:w="787" w:type="dxa"/>
            <w:vMerge w:val="continue"/>
            <w:tcBorders>
              <w:tl2br w:val="nil"/>
              <w:tr2bl w:val="nil"/>
            </w:tcBorders>
            <w:noWrap w:val="0"/>
            <w:vAlign w:val="center"/>
          </w:tcPr>
          <w:p w14:paraId="000AC79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69F5896">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37A1D05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15339E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3200DEA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生产的食品货值金额10万元以上20万元以下，或者违法所得10万元以上20万元以下的。</w:t>
            </w:r>
          </w:p>
        </w:tc>
        <w:tc>
          <w:tcPr>
            <w:tcW w:w="3267" w:type="dxa"/>
            <w:tcBorders>
              <w:tl2br w:val="nil"/>
              <w:tr2bl w:val="nil"/>
            </w:tcBorders>
            <w:noWrap w:val="0"/>
            <w:vAlign w:val="center"/>
          </w:tcPr>
          <w:p w14:paraId="411CD58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给予警告，处</w:t>
            </w:r>
            <w:r>
              <w:rPr>
                <w:rFonts w:hint="eastAsia" w:ascii="宋体" w:hAnsi="宋体" w:cs="宋体"/>
                <w:color w:val="auto"/>
                <w:kern w:val="0"/>
                <w:sz w:val="24"/>
                <w:szCs w:val="24"/>
                <w:highlight w:val="none"/>
                <w:lang w:val="en-US" w:eastAsia="zh-CN"/>
              </w:rPr>
              <w:t>7000</w:t>
            </w:r>
            <w:r>
              <w:rPr>
                <w:rFonts w:hint="eastAsia" w:ascii="宋体" w:hAnsi="宋体" w:eastAsia="宋体" w:cs="宋体"/>
                <w:color w:val="auto"/>
                <w:kern w:val="0"/>
                <w:sz w:val="24"/>
                <w:szCs w:val="24"/>
                <w:highlight w:val="none"/>
              </w:rPr>
              <w:t>元以上</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万元以下罚款。</w:t>
            </w:r>
          </w:p>
        </w:tc>
      </w:tr>
      <w:tr w14:paraId="545C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exact"/>
          <w:jc w:val="center"/>
        </w:trPr>
        <w:tc>
          <w:tcPr>
            <w:tcW w:w="787" w:type="dxa"/>
            <w:vMerge w:val="continue"/>
            <w:tcBorders>
              <w:tl2br w:val="nil"/>
              <w:tr2bl w:val="nil"/>
            </w:tcBorders>
            <w:noWrap w:val="0"/>
            <w:vAlign w:val="center"/>
          </w:tcPr>
          <w:p w14:paraId="1DBE780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4642864">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E7944E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6F4A1EB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严重</w:t>
            </w:r>
          </w:p>
        </w:tc>
        <w:tc>
          <w:tcPr>
            <w:tcW w:w="3316" w:type="dxa"/>
            <w:tcBorders>
              <w:tl2br w:val="nil"/>
              <w:tr2bl w:val="nil"/>
            </w:tcBorders>
            <w:noWrap w:val="0"/>
            <w:vAlign w:val="center"/>
          </w:tcPr>
          <w:p w14:paraId="19B9E4D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生产的食品货值金额20万元以上，或者违法所得20万元以上的。</w:t>
            </w:r>
          </w:p>
        </w:tc>
        <w:tc>
          <w:tcPr>
            <w:tcW w:w="3267" w:type="dxa"/>
            <w:tcBorders>
              <w:tl2br w:val="nil"/>
              <w:tr2bl w:val="nil"/>
            </w:tcBorders>
            <w:noWrap w:val="0"/>
            <w:vAlign w:val="center"/>
          </w:tcPr>
          <w:p w14:paraId="4B89945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给予警告，处</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万元以上3万元以下罚款。</w:t>
            </w:r>
          </w:p>
        </w:tc>
      </w:tr>
      <w:tr w14:paraId="78E8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787" w:type="dxa"/>
            <w:vMerge w:val="restart"/>
            <w:tcBorders>
              <w:tl2br w:val="nil"/>
              <w:tr2bl w:val="nil"/>
            </w:tcBorders>
            <w:noWrap w:val="0"/>
            <w:vAlign w:val="center"/>
          </w:tcPr>
          <w:p w14:paraId="07E12FE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71</w:t>
            </w:r>
          </w:p>
        </w:tc>
        <w:tc>
          <w:tcPr>
            <w:tcW w:w="1718" w:type="dxa"/>
            <w:vMerge w:val="restart"/>
            <w:tcBorders>
              <w:tl2br w:val="nil"/>
              <w:tr2bl w:val="nil"/>
            </w:tcBorders>
            <w:noWrap w:val="0"/>
            <w:vAlign w:val="center"/>
          </w:tcPr>
          <w:p w14:paraId="5512610F">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《食品生产许可管理办法》</w:t>
            </w:r>
          </w:p>
        </w:tc>
        <w:tc>
          <w:tcPr>
            <w:tcW w:w="4132" w:type="dxa"/>
            <w:vMerge w:val="restart"/>
            <w:tcBorders>
              <w:tl2br w:val="nil"/>
              <w:tr2bl w:val="nil"/>
            </w:tcBorders>
            <w:noWrap w:val="0"/>
            <w:vAlign w:val="center"/>
          </w:tcPr>
          <w:p w14:paraId="30F1DFF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第五十三条第一款</w:t>
            </w:r>
            <w:r>
              <w:rPr>
                <w:rFonts w:hint="eastAsia" w:ascii="宋体" w:hAnsi="宋体" w:cs="宋体"/>
                <w:b/>
                <w:bCs/>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办法第三十二条第一款规定，食品生产许可证有效期内，食品生产者名称、现有设备布局和工艺流程、主要生产设备设施等事项发生变化，需要变更食品生产许可证载明的许可事项，未按规定申请变更的，由原发证的市场监督管理部门责令改正，给予警告；拒不改正的，处1万元以上3万元以下罚款。</w:t>
            </w:r>
          </w:p>
        </w:tc>
        <w:tc>
          <w:tcPr>
            <w:tcW w:w="1133" w:type="dxa"/>
            <w:tcBorders>
              <w:tl2br w:val="nil"/>
              <w:tr2bl w:val="nil"/>
            </w:tcBorders>
            <w:noWrap w:val="0"/>
            <w:vAlign w:val="center"/>
          </w:tcPr>
          <w:p w14:paraId="6348AA4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2FF19C8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0D55521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处1万元以上1.6万元以下罚款。</w:t>
            </w:r>
          </w:p>
        </w:tc>
      </w:tr>
      <w:tr w14:paraId="31B4E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787" w:type="dxa"/>
            <w:vMerge w:val="continue"/>
            <w:tcBorders>
              <w:tl2br w:val="nil"/>
              <w:tr2bl w:val="nil"/>
            </w:tcBorders>
            <w:noWrap w:val="0"/>
            <w:vAlign w:val="center"/>
          </w:tcPr>
          <w:p w14:paraId="33A725C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6F5C424">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2D64B6E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C3778A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3CC5437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46D582B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处1.6万元以上2.4万元以下罚款。</w:t>
            </w:r>
          </w:p>
        </w:tc>
      </w:tr>
      <w:tr w14:paraId="6117B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787" w:type="dxa"/>
            <w:vMerge w:val="continue"/>
            <w:tcBorders>
              <w:tl2br w:val="nil"/>
              <w:tr2bl w:val="nil"/>
            </w:tcBorders>
            <w:noWrap w:val="0"/>
            <w:vAlign w:val="center"/>
          </w:tcPr>
          <w:p w14:paraId="3035472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47940A8">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5BD5AD6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7707450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4D876C9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w:t>
            </w:r>
            <w:r>
              <w:rPr>
                <w:rFonts w:hint="eastAsia" w:ascii="宋体" w:hAnsi="宋体" w:cs="宋体"/>
                <w:color w:val="auto"/>
                <w:kern w:val="0"/>
                <w:sz w:val="24"/>
                <w:szCs w:val="24"/>
                <w:highlight w:val="none"/>
                <w:lang w:eastAsia="zh-CN"/>
              </w:rPr>
              <w:t>，且</w:t>
            </w:r>
            <w:r>
              <w:rPr>
                <w:rFonts w:hint="eastAsia" w:ascii="宋体" w:hAnsi="宋体" w:eastAsia="宋体" w:cs="宋体"/>
                <w:color w:val="auto"/>
                <w:kern w:val="0"/>
                <w:sz w:val="24"/>
                <w:szCs w:val="24"/>
                <w:highlight w:val="none"/>
              </w:rPr>
              <w:t>已经造成不良影响或者违法行为持续时间较长的。</w:t>
            </w:r>
          </w:p>
        </w:tc>
        <w:tc>
          <w:tcPr>
            <w:tcW w:w="3267" w:type="dxa"/>
            <w:tcBorders>
              <w:tl2br w:val="nil"/>
              <w:tr2bl w:val="nil"/>
            </w:tcBorders>
            <w:noWrap w:val="0"/>
            <w:vAlign w:val="center"/>
          </w:tcPr>
          <w:p w14:paraId="75C0273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处2.4万元以上3万元以下罚款。</w:t>
            </w:r>
          </w:p>
        </w:tc>
      </w:tr>
      <w:tr w14:paraId="4BFAF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787" w:type="dxa"/>
            <w:vMerge w:val="restart"/>
            <w:tcBorders>
              <w:tl2br w:val="nil"/>
              <w:tr2bl w:val="nil"/>
            </w:tcBorders>
            <w:noWrap w:val="0"/>
            <w:vAlign w:val="center"/>
          </w:tcPr>
          <w:p w14:paraId="71BB615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w:t>
            </w:r>
            <w:r>
              <w:rPr>
                <w:rFonts w:hint="eastAsia" w:ascii="宋体" w:hAnsi="宋体" w:cs="宋体"/>
                <w:b w:val="0"/>
                <w:bCs w:val="0"/>
                <w:color w:val="auto"/>
                <w:kern w:val="0"/>
                <w:sz w:val="24"/>
                <w:szCs w:val="24"/>
                <w:highlight w:val="none"/>
                <w:lang w:val="en-US" w:eastAsia="zh-CN"/>
              </w:rPr>
              <w:t>72</w:t>
            </w:r>
          </w:p>
        </w:tc>
        <w:tc>
          <w:tcPr>
            <w:tcW w:w="1718" w:type="dxa"/>
            <w:vMerge w:val="restart"/>
            <w:tcBorders>
              <w:tl2br w:val="nil"/>
              <w:tr2bl w:val="nil"/>
            </w:tcBorders>
            <w:noWrap w:val="0"/>
            <w:vAlign w:val="center"/>
          </w:tcPr>
          <w:p w14:paraId="3CB1B1A0">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《食品生产许可管理办法》</w:t>
            </w:r>
          </w:p>
        </w:tc>
        <w:tc>
          <w:tcPr>
            <w:tcW w:w="4132" w:type="dxa"/>
            <w:vMerge w:val="restart"/>
            <w:tcBorders>
              <w:tl2br w:val="nil"/>
              <w:tr2bl w:val="nil"/>
            </w:tcBorders>
            <w:noWrap w:val="0"/>
            <w:vAlign w:val="center"/>
          </w:tcPr>
          <w:p w14:paraId="28DE42B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第五十三条第</w:t>
            </w:r>
            <w:r>
              <w:rPr>
                <w:rFonts w:hint="eastAsia" w:ascii="宋体" w:hAnsi="宋体" w:cs="宋体"/>
                <w:color w:val="auto"/>
                <w:kern w:val="0"/>
                <w:sz w:val="24"/>
                <w:szCs w:val="24"/>
                <w:highlight w:val="none"/>
                <w:lang w:val="en-US" w:eastAsia="zh-CN"/>
              </w:rPr>
              <w:t>三</w:t>
            </w:r>
            <w:r>
              <w:rPr>
                <w:rFonts w:hint="eastAsia" w:ascii="宋体" w:hAnsi="宋体" w:eastAsia="宋体" w:cs="宋体"/>
                <w:color w:val="auto"/>
                <w:kern w:val="0"/>
                <w:sz w:val="24"/>
                <w:szCs w:val="24"/>
                <w:highlight w:val="none"/>
              </w:rPr>
              <w:t>款</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办法第三十二条第三款、第四十条第一款规定，食品生产许可证副本载明的同一食品类别内的事项发生变化，食品生产者未按规定报告的，食品生产者终止食品生产，食品生产许可被撤回、撤销或者食品生产许可证被吊销，未按规定申请办理注销手续的，由原发证的市场监督管理部门责令改正；拒不改正的，给予警告，并处5000元以下罚款。</w:t>
            </w:r>
          </w:p>
        </w:tc>
        <w:tc>
          <w:tcPr>
            <w:tcW w:w="1133" w:type="dxa"/>
            <w:tcBorders>
              <w:tl2br w:val="nil"/>
              <w:tr2bl w:val="nil"/>
            </w:tcBorders>
            <w:noWrap w:val="0"/>
            <w:vAlign w:val="center"/>
          </w:tcPr>
          <w:p w14:paraId="5C8833B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36BC488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6C37A93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给予警告，并处1500元以下罚款。</w:t>
            </w:r>
          </w:p>
        </w:tc>
      </w:tr>
      <w:tr w14:paraId="621C8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787" w:type="dxa"/>
            <w:vMerge w:val="continue"/>
            <w:tcBorders>
              <w:tl2br w:val="nil"/>
              <w:tr2bl w:val="nil"/>
            </w:tcBorders>
            <w:noWrap w:val="0"/>
            <w:vAlign w:val="center"/>
          </w:tcPr>
          <w:p w14:paraId="1BE979A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9A5BAF4">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19EFC3D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CF88E2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096D723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0D9FFD7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给予警告，并处1500元以上3500元以下罚款。</w:t>
            </w:r>
          </w:p>
        </w:tc>
      </w:tr>
      <w:tr w14:paraId="6AFB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787" w:type="dxa"/>
            <w:vMerge w:val="continue"/>
            <w:tcBorders>
              <w:tl2br w:val="nil"/>
              <w:tr2bl w:val="nil"/>
            </w:tcBorders>
            <w:noWrap w:val="0"/>
            <w:vAlign w:val="center"/>
          </w:tcPr>
          <w:p w14:paraId="06C20CE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5F477CB">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3AECCF2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7FA27A9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7B9F74C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w:t>
            </w:r>
            <w:r>
              <w:rPr>
                <w:rFonts w:hint="eastAsia" w:ascii="宋体" w:hAnsi="宋体" w:cs="宋体"/>
                <w:color w:val="auto"/>
                <w:kern w:val="0"/>
                <w:sz w:val="24"/>
                <w:szCs w:val="24"/>
                <w:highlight w:val="none"/>
                <w:lang w:eastAsia="zh-CN"/>
              </w:rPr>
              <w:t>，且</w:t>
            </w:r>
            <w:r>
              <w:rPr>
                <w:rFonts w:hint="eastAsia" w:ascii="宋体" w:hAnsi="宋体" w:eastAsia="宋体" w:cs="宋体"/>
                <w:color w:val="auto"/>
                <w:kern w:val="0"/>
                <w:sz w:val="24"/>
                <w:szCs w:val="24"/>
                <w:highlight w:val="none"/>
              </w:rPr>
              <w:t>已经造成不良影响或者违法行为持续时间较长的。</w:t>
            </w:r>
          </w:p>
        </w:tc>
        <w:tc>
          <w:tcPr>
            <w:tcW w:w="3267" w:type="dxa"/>
            <w:tcBorders>
              <w:tl2br w:val="nil"/>
              <w:tr2bl w:val="nil"/>
            </w:tcBorders>
            <w:noWrap w:val="0"/>
            <w:vAlign w:val="center"/>
          </w:tcPr>
          <w:p w14:paraId="2B3CAB1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给予警告，并处3500元以上5000元以下罚款。</w:t>
            </w:r>
          </w:p>
        </w:tc>
      </w:tr>
      <w:tr w14:paraId="395D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787" w:type="dxa"/>
            <w:vMerge w:val="restart"/>
            <w:tcBorders>
              <w:tl2br w:val="nil"/>
              <w:tr2bl w:val="nil"/>
            </w:tcBorders>
            <w:noWrap w:val="0"/>
            <w:vAlign w:val="center"/>
          </w:tcPr>
          <w:p w14:paraId="6E624CE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73</w:t>
            </w:r>
          </w:p>
        </w:tc>
        <w:tc>
          <w:tcPr>
            <w:tcW w:w="1718" w:type="dxa"/>
            <w:vMerge w:val="restart"/>
            <w:tcBorders>
              <w:tl2br w:val="nil"/>
              <w:tr2bl w:val="nil"/>
            </w:tcBorders>
            <w:noWrap w:val="0"/>
            <w:vAlign w:val="center"/>
          </w:tcPr>
          <w:p w14:paraId="437220D6">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outlineLvl w:val="2"/>
              <w:rPr>
                <w:rFonts w:hint="eastAsia" w:ascii="宋体" w:hAnsi="宋体" w:eastAsia="宋体" w:cs="宋体"/>
                <w:b w:val="0"/>
                <w:bCs w:val="0"/>
                <w:color w:val="auto"/>
                <w:kern w:val="0"/>
                <w:sz w:val="24"/>
                <w:szCs w:val="24"/>
                <w:highlight w:val="none"/>
                <w:lang w:eastAsia="zh-CN"/>
              </w:rPr>
            </w:pPr>
            <w:bookmarkStart w:id="317" w:name="_Toc3288"/>
            <w:bookmarkStart w:id="318" w:name="_Toc12198"/>
            <w:bookmarkStart w:id="319" w:name="_Toc21414"/>
            <w:bookmarkStart w:id="320" w:name="_Toc20460"/>
            <w:bookmarkStart w:id="321" w:name="_Toc23193"/>
            <w:r>
              <w:rPr>
                <w:rFonts w:hint="eastAsia" w:ascii="宋体" w:hAnsi="宋体" w:eastAsia="宋体" w:cs="宋体"/>
                <w:b w:val="0"/>
                <w:bCs w:val="0"/>
                <w:color w:val="auto"/>
                <w:kern w:val="0"/>
                <w:sz w:val="24"/>
                <w:szCs w:val="24"/>
                <w:highlight w:val="none"/>
              </w:rPr>
              <w:t>《食品经营许可</w:t>
            </w:r>
            <w:r>
              <w:rPr>
                <w:rFonts w:hint="eastAsia" w:ascii="宋体" w:hAnsi="宋体" w:cs="宋体"/>
                <w:b w:val="0"/>
                <w:bCs w:val="0"/>
                <w:color w:val="auto"/>
                <w:kern w:val="0"/>
                <w:sz w:val="24"/>
                <w:szCs w:val="24"/>
                <w:highlight w:val="none"/>
                <w:lang w:val="en-US" w:eastAsia="zh-CN"/>
              </w:rPr>
              <w:t>和备案</w:t>
            </w:r>
            <w:r>
              <w:rPr>
                <w:rFonts w:hint="eastAsia" w:ascii="宋体" w:hAnsi="宋体" w:eastAsia="宋体" w:cs="宋体"/>
                <w:b w:val="0"/>
                <w:bCs w:val="0"/>
                <w:color w:val="auto"/>
                <w:kern w:val="0"/>
                <w:sz w:val="24"/>
                <w:szCs w:val="24"/>
                <w:highlight w:val="none"/>
              </w:rPr>
              <w:t>管理办法》</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lang w:val="en-US" w:eastAsia="zh-CN"/>
              </w:rPr>
              <w:t>20</w:t>
            </w:r>
            <w:r>
              <w:rPr>
                <w:rFonts w:hint="eastAsia" w:ascii="宋体" w:hAnsi="宋体" w:cs="宋体"/>
                <w:b w:val="0"/>
                <w:bCs w:val="0"/>
                <w:color w:val="auto"/>
                <w:kern w:val="0"/>
                <w:sz w:val="24"/>
                <w:szCs w:val="24"/>
                <w:highlight w:val="none"/>
                <w:lang w:val="en-US" w:eastAsia="zh-CN"/>
              </w:rPr>
              <w:t>23</w:t>
            </w:r>
            <w:r>
              <w:rPr>
                <w:rFonts w:hint="eastAsia" w:ascii="宋体" w:hAnsi="宋体" w:eastAsia="宋体" w:cs="宋体"/>
                <w:b w:val="0"/>
                <w:bCs w:val="0"/>
                <w:color w:val="auto"/>
                <w:kern w:val="0"/>
                <w:sz w:val="24"/>
                <w:szCs w:val="24"/>
                <w:highlight w:val="none"/>
                <w:lang w:val="en-US" w:eastAsia="zh-CN"/>
              </w:rPr>
              <w:t>年</w:t>
            </w:r>
            <w:r>
              <w:rPr>
                <w:rFonts w:hint="eastAsia" w:ascii="宋体" w:hAnsi="宋体" w:cs="宋体"/>
                <w:b w:val="0"/>
                <w:bCs w:val="0"/>
                <w:color w:val="auto"/>
                <w:kern w:val="0"/>
                <w:sz w:val="24"/>
                <w:szCs w:val="24"/>
                <w:highlight w:val="none"/>
                <w:lang w:val="en-US" w:eastAsia="zh-CN"/>
              </w:rPr>
              <w:t>12</w:t>
            </w:r>
            <w:r>
              <w:rPr>
                <w:rFonts w:hint="eastAsia" w:ascii="宋体" w:hAnsi="宋体" w:eastAsia="宋体" w:cs="宋体"/>
                <w:b w:val="0"/>
                <w:bCs w:val="0"/>
                <w:color w:val="auto"/>
                <w:kern w:val="0"/>
                <w:sz w:val="24"/>
                <w:szCs w:val="24"/>
                <w:highlight w:val="none"/>
                <w:lang w:val="en-US" w:eastAsia="zh-CN"/>
              </w:rPr>
              <w:t>月</w:t>
            </w: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日</w:t>
            </w:r>
            <w:r>
              <w:rPr>
                <w:rFonts w:hint="eastAsia" w:ascii="宋体" w:hAnsi="宋体" w:cs="宋体"/>
                <w:b w:val="0"/>
                <w:bCs w:val="0"/>
                <w:color w:val="auto"/>
                <w:kern w:val="0"/>
                <w:sz w:val="24"/>
                <w:szCs w:val="24"/>
                <w:highlight w:val="none"/>
                <w:lang w:val="en-US" w:eastAsia="zh-CN"/>
              </w:rPr>
              <w:t>起施行</w:t>
            </w:r>
            <w:r>
              <w:rPr>
                <w:rFonts w:hint="eastAsia" w:ascii="宋体" w:hAnsi="宋体" w:eastAsia="宋体" w:cs="宋体"/>
                <w:b w:val="0"/>
                <w:bCs w:val="0"/>
                <w:color w:val="auto"/>
                <w:kern w:val="0"/>
                <w:sz w:val="24"/>
                <w:szCs w:val="24"/>
                <w:highlight w:val="none"/>
                <w:lang w:eastAsia="zh-CN"/>
              </w:rPr>
              <w:t>）</w:t>
            </w:r>
            <w:bookmarkEnd w:id="317"/>
            <w:bookmarkEnd w:id="318"/>
            <w:bookmarkEnd w:id="319"/>
            <w:bookmarkEnd w:id="320"/>
            <w:bookmarkEnd w:id="321"/>
          </w:p>
        </w:tc>
        <w:tc>
          <w:tcPr>
            <w:tcW w:w="4132" w:type="dxa"/>
            <w:vMerge w:val="restart"/>
            <w:tcBorders>
              <w:tl2br w:val="nil"/>
              <w:tr2bl w:val="nil"/>
            </w:tcBorders>
            <w:noWrap w:val="0"/>
            <w:vAlign w:val="center"/>
          </w:tcPr>
          <w:p w14:paraId="571566C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auto"/>
                <w:kern w:val="0"/>
                <w:sz w:val="24"/>
                <w:szCs w:val="24"/>
                <w:highlight w:val="none"/>
              </w:rPr>
            </w:pPr>
            <w:r>
              <w:rPr>
                <w:rFonts w:hint="eastAsia" w:ascii="宋体" w:hAnsi="宋体" w:cs="宋体"/>
                <w:b w:val="0"/>
                <w:bCs w:val="0"/>
                <w:color w:val="auto"/>
                <w:kern w:val="0"/>
                <w:sz w:val="24"/>
                <w:szCs w:val="24"/>
                <w:highlight w:val="none"/>
                <w:lang w:val="en-US" w:eastAsia="zh-CN"/>
              </w:rPr>
              <w:t xml:space="preserve">第五十二条第四款 </w:t>
            </w:r>
            <w:r>
              <w:rPr>
                <w:rFonts w:hint="eastAsia" w:ascii="宋体" w:hAnsi="宋体" w:eastAsia="宋体" w:cs="宋体"/>
                <w:i w:val="0"/>
                <w:iCs w:val="0"/>
                <w:caps w:val="0"/>
                <w:color w:val="auto"/>
                <w:spacing w:val="0"/>
                <w:kern w:val="0"/>
                <w:sz w:val="24"/>
                <w:szCs w:val="24"/>
                <w:highlight w:val="none"/>
                <w:shd w:val="clear" w:color="auto" w:fill="auto"/>
              </w:rPr>
              <w:t>食品经营许可证载明的除许可事项以外的其他事项发生变化，食品经营者未按照规定申请变更的，由县级以上地方市场监督管理部门责令限期改正；逾期不改的，处一千元以上一万元以下罚款。</w:t>
            </w:r>
          </w:p>
        </w:tc>
        <w:tc>
          <w:tcPr>
            <w:tcW w:w="1133" w:type="dxa"/>
            <w:tcBorders>
              <w:tl2br w:val="nil"/>
              <w:tr2bl w:val="nil"/>
            </w:tcBorders>
            <w:noWrap w:val="0"/>
            <w:vAlign w:val="center"/>
          </w:tcPr>
          <w:p w14:paraId="55F78C3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较轻</w:t>
            </w:r>
          </w:p>
        </w:tc>
        <w:tc>
          <w:tcPr>
            <w:tcW w:w="3316" w:type="dxa"/>
            <w:tcBorders>
              <w:tl2br w:val="nil"/>
              <w:tr2bl w:val="nil"/>
            </w:tcBorders>
            <w:noWrap w:val="0"/>
            <w:vAlign w:val="center"/>
          </w:tcPr>
          <w:p w14:paraId="03743A6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5522ABC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auto"/>
                <w:kern w:val="0"/>
                <w:sz w:val="24"/>
                <w:szCs w:val="24"/>
                <w:highlight w:val="none"/>
              </w:rPr>
            </w:pPr>
            <w:r>
              <w:rPr>
                <w:rFonts w:hint="eastAsia" w:ascii="宋体" w:hAnsi="宋体" w:cs="宋体"/>
                <w:b w:val="0"/>
                <w:bCs w:val="0"/>
                <w:color w:val="auto"/>
                <w:kern w:val="0"/>
                <w:sz w:val="24"/>
                <w:szCs w:val="24"/>
                <w:highlight w:val="none"/>
                <w:lang w:val="en-US" w:eastAsia="zh-CN"/>
              </w:rPr>
              <w:t>处1000元以上3700元以下罚款。</w:t>
            </w:r>
          </w:p>
        </w:tc>
      </w:tr>
      <w:tr w14:paraId="2671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787" w:type="dxa"/>
            <w:vMerge w:val="continue"/>
            <w:tcBorders>
              <w:tl2br w:val="nil"/>
              <w:tr2bl w:val="nil"/>
            </w:tcBorders>
            <w:noWrap w:val="0"/>
            <w:vAlign w:val="center"/>
          </w:tcPr>
          <w:p w14:paraId="1452EF5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F5EC40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02EAEFA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auto"/>
                <w:kern w:val="0"/>
                <w:sz w:val="24"/>
                <w:szCs w:val="24"/>
                <w:highlight w:val="none"/>
              </w:rPr>
            </w:pPr>
          </w:p>
        </w:tc>
        <w:tc>
          <w:tcPr>
            <w:tcW w:w="1133" w:type="dxa"/>
            <w:tcBorders>
              <w:tl2br w:val="nil"/>
              <w:tr2bl w:val="nil"/>
            </w:tcBorders>
            <w:noWrap w:val="0"/>
            <w:vAlign w:val="center"/>
          </w:tcPr>
          <w:p w14:paraId="59D649C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一般</w:t>
            </w:r>
          </w:p>
        </w:tc>
        <w:tc>
          <w:tcPr>
            <w:tcW w:w="3316" w:type="dxa"/>
            <w:tcBorders>
              <w:tl2br w:val="nil"/>
              <w:tr2bl w:val="nil"/>
            </w:tcBorders>
            <w:noWrap w:val="0"/>
            <w:vAlign w:val="center"/>
          </w:tcPr>
          <w:p w14:paraId="0ED176A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734F521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auto"/>
                <w:kern w:val="0"/>
                <w:sz w:val="24"/>
                <w:szCs w:val="24"/>
                <w:highlight w:val="none"/>
              </w:rPr>
            </w:pPr>
            <w:r>
              <w:rPr>
                <w:rFonts w:hint="eastAsia" w:ascii="宋体" w:hAnsi="宋体" w:cs="宋体"/>
                <w:b w:val="0"/>
                <w:bCs w:val="0"/>
                <w:color w:val="auto"/>
                <w:kern w:val="0"/>
                <w:sz w:val="24"/>
                <w:szCs w:val="24"/>
                <w:highlight w:val="none"/>
                <w:lang w:val="en-US" w:eastAsia="zh-CN"/>
              </w:rPr>
              <w:t>处3700元以上7300元以下罚款。</w:t>
            </w:r>
          </w:p>
        </w:tc>
      </w:tr>
      <w:tr w14:paraId="5069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787" w:type="dxa"/>
            <w:vMerge w:val="continue"/>
            <w:tcBorders>
              <w:tl2br w:val="nil"/>
              <w:tr2bl w:val="nil"/>
            </w:tcBorders>
            <w:noWrap w:val="0"/>
            <w:vAlign w:val="center"/>
          </w:tcPr>
          <w:p w14:paraId="3E82307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00A0E4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1E24A57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auto"/>
                <w:kern w:val="0"/>
                <w:sz w:val="24"/>
                <w:szCs w:val="24"/>
                <w:highlight w:val="none"/>
              </w:rPr>
            </w:pPr>
          </w:p>
        </w:tc>
        <w:tc>
          <w:tcPr>
            <w:tcW w:w="1133" w:type="dxa"/>
            <w:tcBorders>
              <w:tl2br w:val="nil"/>
              <w:tr2bl w:val="nil"/>
            </w:tcBorders>
            <w:noWrap w:val="0"/>
            <w:vAlign w:val="center"/>
          </w:tcPr>
          <w:p w14:paraId="2771CA4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较重</w:t>
            </w:r>
          </w:p>
        </w:tc>
        <w:tc>
          <w:tcPr>
            <w:tcW w:w="3316" w:type="dxa"/>
            <w:tcBorders>
              <w:tl2br w:val="nil"/>
              <w:tr2bl w:val="nil"/>
            </w:tcBorders>
            <w:noWrap w:val="0"/>
            <w:vAlign w:val="center"/>
          </w:tcPr>
          <w:p w14:paraId="4BC9F3A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color w:val="auto"/>
                <w:kern w:val="0"/>
                <w:sz w:val="24"/>
                <w:szCs w:val="24"/>
                <w:highlight w:val="none"/>
              </w:rPr>
              <w:t>拒不改正</w:t>
            </w:r>
            <w:r>
              <w:rPr>
                <w:rFonts w:hint="eastAsia" w:ascii="宋体" w:hAnsi="宋体" w:eastAsia="宋体" w:cs="宋体"/>
                <w:color w:val="auto"/>
                <w:kern w:val="0"/>
                <w:sz w:val="24"/>
                <w:szCs w:val="24"/>
                <w:highlight w:val="none"/>
                <w:lang w:eastAsia="zh-CN"/>
              </w:rPr>
              <w:t>，且</w:t>
            </w:r>
            <w:r>
              <w:rPr>
                <w:rFonts w:hint="eastAsia" w:ascii="宋体" w:hAnsi="宋体" w:eastAsia="宋体" w:cs="宋体"/>
                <w:color w:val="auto"/>
                <w:kern w:val="0"/>
                <w:sz w:val="24"/>
                <w:szCs w:val="24"/>
                <w:highlight w:val="none"/>
              </w:rPr>
              <w:t>已经造成不良影响或者违法行为持续时间较长的。</w:t>
            </w:r>
          </w:p>
        </w:tc>
        <w:tc>
          <w:tcPr>
            <w:tcW w:w="3267" w:type="dxa"/>
            <w:tcBorders>
              <w:tl2br w:val="nil"/>
              <w:tr2bl w:val="nil"/>
            </w:tcBorders>
            <w:noWrap w:val="0"/>
            <w:vAlign w:val="center"/>
          </w:tcPr>
          <w:p w14:paraId="3E7E586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auto"/>
                <w:kern w:val="0"/>
                <w:sz w:val="24"/>
                <w:szCs w:val="24"/>
                <w:highlight w:val="none"/>
              </w:rPr>
            </w:pPr>
            <w:r>
              <w:rPr>
                <w:rFonts w:hint="eastAsia" w:ascii="宋体" w:hAnsi="宋体" w:cs="宋体"/>
                <w:b w:val="0"/>
                <w:bCs w:val="0"/>
                <w:color w:val="auto"/>
                <w:kern w:val="0"/>
                <w:sz w:val="24"/>
                <w:szCs w:val="24"/>
                <w:highlight w:val="none"/>
                <w:lang w:val="en-US" w:eastAsia="zh-CN"/>
              </w:rPr>
              <w:t>处7300元以上1万元以下罚款。</w:t>
            </w:r>
          </w:p>
        </w:tc>
      </w:tr>
      <w:tr w14:paraId="7EBD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787" w:type="dxa"/>
            <w:vMerge w:val="restart"/>
            <w:tcBorders>
              <w:tl2br w:val="nil"/>
              <w:tr2bl w:val="nil"/>
            </w:tcBorders>
            <w:noWrap w:val="0"/>
            <w:vAlign w:val="center"/>
          </w:tcPr>
          <w:p w14:paraId="6703148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74</w:t>
            </w:r>
          </w:p>
        </w:tc>
        <w:tc>
          <w:tcPr>
            <w:tcW w:w="1718" w:type="dxa"/>
            <w:vMerge w:val="restart"/>
            <w:tcBorders>
              <w:tl2br w:val="nil"/>
              <w:tr2bl w:val="nil"/>
            </w:tcBorders>
            <w:noWrap w:val="0"/>
            <w:vAlign w:val="center"/>
          </w:tcPr>
          <w:p w14:paraId="6E09494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《食品经营许可</w:t>
            </w:r>
            <w:r>
              <w:rPr>
                <w:rFonts w:hint="eastAsia" w:ascii="宋体" w:hAnsi="宋体" w:cs="宋体"/>
                <w:b w:val="0"/>
                <w:bCs w:val="0"/>
                <w:color w:val="auto"/>
                <w:kern w:val="0"/>
                <w:sz w:val="24"/>
                <w:szCs w:val="24"/>
                <w:highlight w:val="none"/>
                <w:lang w:val="en-US" w:eastAsia="zh-CN"/>
              </w:rPr>
              <w:t>和备案</w:t>
            </w:r>
            <w:r>
              <w:rPr>
                <w:rFonts w:hint="eastAsia" w:ascii="宋体" w:hAnsi="宋体" w:eastAsia="宋体" w:cs="宋体"/>
                <w:b w:val="0"/>
                <w:bCs w:val="0"/>
                <w:color w:val="auto"/>
                <w:kern w:val="0"/>
                <w:sz w:val="24"/>
                <w:szCs w:val="24"/>
                <w:highlight w:val="none"/>
              </w:rPr>
              <w:t>管理办法》</w:t>
            </w:r>
          </w:p>
        </w:tc>
        <w:tc>
          <w:tcPr>
            <w:tcW w:w="4132" w:type="dxa"/>
            <w:vMerge w:val="restart"/>
            <w:tcBorders>
              <w:tl2br w:val="nil"/>
              <w:tr2bl w:val="nil"/>
            </w:tcBorders>
            <w:noWrap w:val="0"/>
            <w:vAlign w:val="center"/>
          </w:tcPr>
          <w:p w14:paraId="37D3B94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auto"/>
                <w:kern w:val="0"/>
                <w:sz w:val="24"/>
                <w:szCs w:val="24"/>
                <w:highlight w:val="none"/>
              </w:rPr>
            </w:pPr>
            <w:r>
              <w:rPr>
                <w:rFonts w:ascii="宋体" w:hAnsi="宋体" w:eastAsia="宋体" w:cs="宋体"/>
                <w:color w:val="auto"/>
                <w:sz w:val="24"/>
                <w:szCs w:val="24"/>
              </w:rPr>
              <w:t>第五十四条</w:t>
            </w:r>
            <w:r>
              <w:rPr>
                <w:rFonts w:hint="eastAsia" w:ascii="宋体" w:hAnsi="宋体" w:cs="宋体"/>
                <w:color w:val="auto"/>
                <w:sz w:val="24"/>
                <w:szCs w:val="24"/>
                <w:lang w:val="en-US" w:eastAsia="zh-CN"/>
              </w:rPr>
              <w:t xml:space="preserve"> </w:t>
            </w:r>
            <w:r>
              <w:rPr>
                <w:rFonts w:ascii="宋体" w:hAnsi="宋体" w:eastAsia="宋体" w:cs="宋体"/>
                <w:color w:val="auto"/>
                <w:sz w:val="24"/>
                <w:szCs w:val="24"/>
              </w:rPr>
              <w:t>被许可人以欺骗、贿赂等不正当手段取得食品经营许可的，由原发证的市场监督管理部门撤销许可，处一万元以上三万元以下罚款；造成危害后果的，处三万元以上二十万元以下罚款。被许可人在三年内不得再次申请食品经营许可。</w:t>
            </w:r>
          </w:p>
        </w:tc>
        <w:tc>
          <w:tcPr>
            <w:tcW w:w="1133" w:type="dxa"/>
            <w:tcBorders>
              <w:tl2br w:val="nil"/>
              <w:tr2bl w:val="nil"/>
            </w:tcBorders>
            <w:noWrap w:val="0"/>
            <w:vAlign w:val="center"/>
          </w:tcPr>
          <w:p w14:paraId="2AC7E9A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较轻</w:t>
            </w:r>
          </w:p>
        </w:tc>
        <w:tc>
          <w:tcPr>
            <w:tcW w:w="3316" w:type="dxa"/>
            <w:tcBorders>
              <w:tl2br w:val="nil"/>
              <w:tr2bl w:val="nil"/>
            </w:tcBorders>
            <w:noWrap w:val="0"/>
            <w:vAlign w:val="center"/>
          </w:tcPr>
          <w:p w14:paraId="5341D3F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spacing w:val="0"/>
                <w:kern w:val="21"/>
                <w:sz w:val="24"/>
                <w:szCs w:val="24"/>
                <w:lang w:val="en-US" w:eastAsia="zh-CN"/>
              </w:rPr>
              <w:t>未造成人体健康和人身、财产受损</w:t>
            </w:r>
            <w:r>
              <w:rPr>
                <w:rFonts w:hint="eastAsia" w:ascii="宋体" w:hAnsi="宋体" w:eastAsia="宋体" w:cs="宋体"/>
                <w:color w:val="auto"/>
                <w:kern w:val="0"/>
                <w:sz w:val="24"/>
                <w:szCs w:val="24"/>
                <w:highlight w:val="none"/>
              </w:rPr>
              <w:t>。</w:t>
            </w:r>
          </w:p>
        </w:tc>
        <w:tc>
          <w:tcPr>
            <w:tcW w:w="3267" w:type="dxa"/>
            <w:tcBorders>
              <w:tl2br w:val="nil"/>
              <w:tr2bl w:val="nil"/>
            </w:tcBorders>
            <w:noWrap w:val="0"/>
            <w:vAlign w:val="center"/>
          </w:tcPr>
          <w:p w14:paraId="7598994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auto"/>
                <w:kern w:val="0"/>
                <w:sz w:val="24"/>
                <w:szCs w:val="24"/>
                <w:highlight w:val="none"/>
              </w:rPr>
            </w:pPr>
            <w:r>
              <w:rPr>
                <w:rFonts w:ascii="宋体" w:hAnsi="宋体" w:eastAsia="宋体" w:cs="宋体"/>
                <w:color w:val="auto"/>
                <w:sz w:val="24"/>
                <w:szCs w:val="24"/>
              </w:rPr>
              <w:t>撤销许可，处</w:t>
            </w:r>
            <w:r>
              <w:rPr>
                <w:rFonts w:hint="eastAsia" w:ascii="宋体" w:hAnsi="宋体" w:cs="宋体"/>
                <w:color w:val="auto"/>
                <w:sz w:val="24"/>
                <w:szCs w:val="24"/>
                <w:lang w:val="en-US" w:eastAsia="zh-CN"/>
              </w:rPr>
              <w:t>1</w:t>
            </w:r>
            <w:r>
              <w:rPr>
                <w:rFonts w:ascii="宋体" w:hAnsi="宋体" w:eastAsia="宋体" w:cs="宋体"/>
                <w:color w:val="auto"/>
                <w:sz w:val="24"/>
                <w:szCs w:val="24"/>
              </w:rPr>
              <w:t>万元以上</w:t>
            </w:r>
            <w:r>
              <w:rPr>
                <w:rFonts w:hint="eastAsia" w:ascii="宋体" w:hAnsi="宋体" w:cs="宋体"/>
                <w:color w:val="auto"/>
                <w:sz w:val="24"/>
                <w:szCs w:val="24"/>
                <w:lang w:val="en-US" w:eastAsia="zh-CN"/>
              </w:rPr>
              <w:t>3</w:t>
            </w:r>
            <w:r>
              <w:rPr>
                <w:rFonts w:ascii="宋体" w:hAnsi="宋体" w:eastAsia="宋体" w:cs="宋体"/>
                <w:color w:val="auto"/>
                <w:sz w:val="24"/>
                <w:szCs w:val="24"/>
              </w:rPr>
              <w:t>万元以下罚款</w:t>
            </w:r>
            <w:r>
              <w:rPr>
                <w:rFonts w:hint="eastAsia" w:ascii="宋体" w:hAnsi="宋体" w:cs="宋体"/>
                <w:color w:val="auto"/>
                <w:sz w:val="24"/>
                <w:szCs w:val="24"/>
                <w:lang w:eastAsia="zh-CN"/>
              </w:rPr>
              <w:t>。</w:t>
            </w:r>
          </w:p>
        </w:tc>
      </w:tr>
      <w:tr w14:paraId="75A2A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87" w:type="dxa"/>
            <w:vMerge w:val="continue"/>
            <w:tcBorders>
              <w:tl2br w:val="nil"/>
              <w:tr2bl w:val="nil"/>
            </w:tcBorders>
            <w:noWrap w:val="0"/>
            <w:vAlign w:val="center"/>
          </w:tcPr>
          <w:p w14:paraId="48C1C25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B8EEFDD">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238B848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1CDF61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2C90B35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违法经营额3万元以下，</w:t>
            </w:r>
            <w:r>
              <w:rPr>
                <w:rFonts w:hint="eastAsia" w:ascii="宋体" w:hAnsi="宋体" w:eastAsia="宋体" w:cs="宋体"/>
                <w:b w:val="0"/>
                <w:bCs w:val="0"/>
                <w:color w:val="auto"/>
                <w:spacing w:val="0"/>
                <w:kern w:val="21"/>
                <w:sz w:val="24"/>
                <w:szCs w:val="24"/>
                <w:lang w:val="en-US" w:eastAsia="zh-CN"/>
              </w:rPr>
              <w:t>造成人体健康和人身、财产受损</w:t>
            </w:r>
            <w:r>
              <w:rPr>
                <w:rFonts w:hint="eastAsia" w:ascii="宋体" w:hAnsi="宋体" w:eastAsia="宋体" w:cs="宋体"/>
                <w:color w:val="auto"/>
                <w:kern w:val="0"/>
                <w:sz w:val="24"/>
                <w:szCs w:val="24"/>
                <w:highlight w:val="none"/>
              </w:rPr>
              <w:t>。</w:t>
            </w:r>
          </w:p>
        </w:tc>
        <w:tc>
          <w:tcPr>
            <w:tcW w:w="3267" w:type="dxa"/>
            <w:tcBorders>
              <w:tl2br w:val="nil"/>
              <w:tr2bl w:val="nil"/>
            </w:tcBorders>
            <w:noWrap w:val="0"/>
            <w:vAlign w:val="center"/>
          </w:tcPr>
          <w:p w14:paraId="444A77E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ascii="宋体" w:hAnsi="宋体" w:eastAsia="宋体" w:cs="宋体"/>
                <w:color w:val="auto"/>
                <w:sz w:val="24"/>
                <w:szCs w:val="24"/>
              </w:rPr>
              <w:t>撤销许可，处</w:t>
            </w:r>
            <w:r>
              <w:rPr>
                <w:rFonts w:hint="eastAsia" w:ascii="宋体" w:hAnsi="宋体" w:cs="宋体"/>
                <w:color w:val="auto"/>
                <w:sz w:val="24"/>
                <w:szCs w:val="24"/>
                <w:lang w:val="en-US" w:eastAsia="zh-CN"/>
              </w:rPr>
              <w:t>3</w:t>
            </w:r>
            <w:r>
              <w:rPr>
                <w:rFonts w:ascii="宋体" w:hAnsi="宋体" w:eastAsia="宋体" w:cs="宋体"/>
                <w:color w:val="auto"/>
                <w:sz w:val="24"/>
                <w:szCs w:val="24"/>
              </w:rPr>
              <w:t>万元以上</w:t>
            </w:r>
            <w:r>
              <w:rPr>
                <w:rFonts w:hint="eastAsia" w:ascii="宋体" w:hAnsi="宋体" w:cs="宋体"/>
                <w:color w:val="auto"/>
                <w:sz w:val="24"/>
                <w:szCs w:val="24"/>
                <w:lang w:val="en-US" w:eastAsia="zh-CN"/>
              </w:rPr>
              <w:t>8.1</w:t>
            </w:r>
            <w:r>
              <w:rPr>
                <w:rFonts w:ascii="宋体" w:hAnsi="宋体" w:eastAsia="宋体" w:cs="宋体"/>
                <w:color w:val="auto"/>
                <w:sz w:val="24"/>
                <w:szCs w:val="24"/>
              </w:rPr>
              <w:t>万元以下罚款</w:t>
            </w:r>
            <w:r>
              <w:rPr>
                <w:rFonts w:hint="eastAsia" w:ascii="宋体" w:hAnsi="宋体" w:cs="宋体"/>
                <w:color w:val="auto"/>
                <w:sz w:val="24"/>
                <w:szCs w:val="24"/>
                <w:lang w:eastAsia="zh-CN"/>
              </w:rPr>
              <w:t>。</w:t>
            </w:r>
          </w:p>
        </w:tc>
      </w:tr>
      <w:tr w14:paraId="32E7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787" w:type="dxa"/>
            <w:vMerge w:val="continue"/>
            <w:tcBorders>
              <w:tl2br w:val="nil"/>
              <w:tr2bl w:val="nil"/>
            </w:tcBorders>
            <w:noWrap w:val="0"/>
            <w:vAlign w:val="center"/>
          </w:tcPr>
          <w:p w14:paraId="647094D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94DB65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7617DE2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8DC4AE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4F6881C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违法经营额3万元以上，</w:t>
            </w:r>
            <w:r>
              <w:rPr>
                <w:rFonts w:hint="eastAsia" w:ascii="宋体" w:hAnsi="宋体" w:eastAsia="宋体" w:cs="宋体"/>
                <w:b w:val="0"/>
                <w:bCs w:val="0"/>
                <w:color w:val="auto"/>
                <w:spacing w:val="0"/>
                <w:kern w:val="21"/>
                <w:sz w:val="24"/>
                <w:szCs w:val="24"/>
                <w:lang w:val="en-US" w:eastAsia="zh-CN"/>
              </w:rPr>
              <w:t>造成人体健康和人身、财产受损</w:t>
            </w:r>
            <w:r>
              <w:rPr>
                <w:rFonts w:hint="eastAsia" w:ascii="宋体" w:hAnsi="宋体" w:eastAsia="宋体" w:cs="宋体"/>
                <w:color w:val="auto"/>
                <w:kern w:val="0"/>
                <w:sz w:val="24"/>
                <w:szCs w:val="24"/>
                <w:highlight w:val="none"/>
              </w:rPr>
              <w:t>。</w:t>
            </w:r>
          </w:p>
        </w:tc>
        <w:tc>
          <w:tcPr>
            <w:tcW w:w="3267" w:type="dxa"/>
            <w:tcBorders>
              <w:tl2br w:val="nil"/>
              <w:tr2bl w:val="nil"/>
            </w:tcBorders>
            <w:noWrap w:val="0"/>
            <w:vAlign w:val="center"/>
          </w:tcPr>
          <w:p w14:paraId="739B55C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ascii="宋体" w:hAnsi="宋体" w:eastAsia="宋体" w:cs="宋体"/>
                <w:color w:val="auto"/>
                <w:sz w:val="24"/>
                <w:szCs w:val="24"/>
              </w:rPr>
              <w:t>撤销许可，处</w:t>
            </w:r>
            <w:r>
              <w:rPr>
                <w:rFonts w:hint="eastAsia" w:ascii="宋体" w:hAnsi="宋体" w:cs="宋体"/>
                <w:color w:val="auto"/>
                <w:sz w:val="24"/>
                <w:szCs w:val="24"/>
                <w:lang w:val="en-US" w:eastAsia="zh-CN"/>
              </w:rPr>
              <w:t>8.1</w:t>
            </w:r>
            <w:r>
              <w:rPr>
                <w:rFonts w:ascii="宋体" w:hAnsi="宋体" w:eastAsia="宋体" w:cs="宋体"/>
                <w:color w:val="auto"/>
                <w:sz w:val="24"/>
                <w:szCs w:val="24"/>
              </w:rPr>
              <w:t>万元以上</w:t>
            </w:r>
            <w:r>
              <w:rPr>
                <w:rFonts w:hint="eastAsia" w:ascii="宋体" w:hAnsi="宋体" w:cs="宋体"/>
                <w:color w:val="auto"/>
                <w:sz w:val="24"/>
                <w:szCs w:val="24"/>
                <w:lang w:val="en-US" w:eastAsia="zh-CN"/>
              </w:rPr>
              <w:t>14.9</w:t>
            </w:r>
            <w:r>
              <w:rPr>
                <w:rFonts w:ascii="宋体" w:hAnsi="宋体" w:eastAsia="宋体" w:cs="宋体"/>
                <w:color w:val="auto"/>
                <w:sz w:val="24"/>
                <w:szCs w:val="24"/>
              </w:rPr>
              <w:t>万元以下罚款</w:t>
            </w:r>
            <w:r>
              <w:rPr>
                <w:rFonts w:hint="eastAsia" w:ascii="宋体" w:hAnsi="宋体" w:cs="宋体"/>
                <w:color w:val="auto"/>
                <w:sz w:val="24"/>
                <w:szCs w:val="24"/>
                <w:lang w:eastAsia="zh-CN"/>
              </w:rPr>
              <w:t>。</w:t>
            </w:r>
          </w:p>
        </w:tc>
      </w:tr>
      <w:tr w14:paraId="000C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87" w:type="dxa"/>
            <w:vMerge w:val="continue"/>
            <w:tcBorders>
              <w:tl2br w:val="nil"/>
              <w:tr2bl w:val="nil"/>
            </w:tcBorders>
            <w:noWrap w:val="0"/>
            <w:vAlign w:val="center"/>
          </w:tcPr>
          <w:p w14:paraId="1EC0916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FBDE0D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3024702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95E686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严重</w:t>
            </w:r>
          </w:p>
        </w:tc>
        <w:tc>
          <w:tcPr>
            <w:tcW w:w="3316" w:type="dxa"/>
            <w:tcBorders>
              <w:tl2br w:val="nil"/>
              <w:tr2bl w:val="nil"/>
            </w:tcBorders>
            <w:noWrap w:val="0"/>
            <w:vAlign w:val="center"/>
          </w:tcPr>
          <w:p w14:paraId="5D329FE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default" w:ascii="宋体" w:hAnsi="宋体" w:cs="宋体"/>
                <w:color w:val="auto"/>
                <w:kern w:val="0"/>
                <w:sz w:val="24"/>
                <w:szCs w:val="24"/>
                <w:highlight w:val="none"/>
                <w:lang w:val="en-US" w:eastAsia="zh-CN"/>
              </w:rPr>
            </w:pPr>
            <w:r>
              <w:rPr>
                <w:rFonts w:hint="eastAsia" w:ascii="宋体" w:hAnsi="宋体" w:eastAsia="宋体" w:cs="宋体"/>
                <w:b w:val="0"/>
                <w:bCs w:val="0"/>
                <w:color w:val="auto"/>
                <w:spacing w:val="0"/>
                <w:kern w:val="21"/>
                <w:sz w:val="24"/>
                <w:szCs w:val="24"/>
                <w:lang w:val="en-US" w:eastAsia="zh-CN"/>
              </w:rPr>
              <w:t>造成人体健康和人身、财产</w:t>
            </w:r>
            <w:r>
              <w:rPr>
                <w:rFonts w:hint="eastAsia" w:ascii="宋体" w:hAnsi="宋体" w:cs="宋体"/>
                <w:b w:val="0"/>
                <w:bCs w:val="0"/>
                <w:color w:val="auto"/>
                <w:spacing w:val="0"/>
                <w:kern w:val="21"/>
                <w:sz w:val="24"/>
                <w:szCs w:val="24"/>
                <w:lang w:val="en-US" w:eastAsia="zh-CN"/>
              </w:rPr>
              <w:t>严重</w:t>
            </w:r>
            <w:r>
              <w:rPr>
                <w:rFonts w:hint="eastAsia" w:ascii="宋体" w:hAnsi="宋体" w:eastAsia="宋体" w:cs="宋体"/>
                <w:b w:val="0"/>
                <w:bCs w:val="0"/>
                <w:color w:val="auto"/>
                <w:spacing w:val="0"/>
                <w:kern w:val="21"/>
                <w:sz w:val="24"/>
                <w:szCs w:val="24"/>
                <w:lang w:val="en-US" w:eastAsia="zh-CN"/>
              </w:rPr>
              <w:t>受损</w:t>
            </w:r>
            <w:r>
              <w:rPr>
                <w:rFonts w:hint="eastAsia" w:ascii="宋体" w:hAnsi="宋体" w:eastAsia="宋体" w:cs="宋体"/>
                <w:color w:val="auto"/>
                <w:kern w:val="0"/>
                <w:sz w:val="24"/>
                <w:szCs w:val="24"/>
                <w:highlight w:val="none"/>
              </w:rPr>
              <w:t>。</w:t>
            </w:r>
          </w:p>
        </w:tc>
        <w:tc>
          <w:tcPr>
            <w:tcW w:w="3267" w:type="dxa"/>
            <w:tcBorders>
              <w:tl2br w:val="nil"/>
              <w:tr2bl w:val="nil"/>
            </w:tcBorders>
            <w:noWrap w:val="0"/>
            <w:vAlign w:val="center"/>
          </w:tcPr>
          <w:p w14:paraId="556B2F4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ascii="宋体" w:hAnsi="宋体" w:eastAsia="宋体" w:cs="宋体"/>
                <w:color w:val="auto"/>
                <w:sz w:val="24"/>
                <w:szCs w:val="24"/>
              </w:rPr>
              <w:t>撤销许可，处</w:t>
            </w:r>
            <w:r>
              <w:rPr>
                <w:rFonts w:hint="eastAsia" w:ascii="宋体" w:hAnsi="宋体" w:cs="宋体"/>
                <w:color w:val="auto"/>
                <w:sz w:val="24"/>
                <w:szCs w:val="24"/>
                <w:lang w:val="en-US" w:eastAsia="zh-CN"/>
              </w:rPr>
              <w:t>14.9</w:t>
            </w:r>
            <w:r>
              <w:rPr>
                <w:rFonts w:ascii="宋体" w:hAnsi="宋体" w:eastAsia="宋体" w:cs="宋体"/>
                <w:color w:val="auto"/>
                <w:sz w:val="24"/>
                <w:szCs w:val="24"/>
              </w:rPr>
              <w:t>万元以上</w:t>
            </w:r>
            <w:r>
              <w:rPr>
                <w:rFonts w:hint="eastAsia" w:ascii="宋体" w:hAnsi="宋体" w:cs="宋体"/>
                <w:color w:val="auto"/>
                <w:sz w:val="24"/>
                <w:szCs w:val="24"/>
                <w:lang w:val="en-US" w:eastAsia="zh-CN"/>
              </w:rPr>
              <w:t>20</w:t>
            </w:r>
            <w:r>
              <w:rPr>
                <w:rFonts w:ascii="宋体" w:hAnsi="宋体" w:eastAsia="宋体" w:cs="宋体"/>
                <w:color w:val="auto"/>
                <w:sz w:val="24"/>
                <w:szCs w:val="24"/>
              </w:rPr>
              <w:t>万元以下罚款</w:t>
            </w:r>
            <w:r>
              <w:rPr>
                <w:rFonts w:hint="eastAsia" w:ascii="宋体" w:hAnsi="宋体" w:cs="宋体"/>
                <w:color w:val="auto"/>
                <w:sz w:val="24"/>
                <w:szCs w:val="24"/>
                <w:lang w:eastAsia="zh-CN"/>
              </w:rPr>
              <w:t>。</w:t>
            </w:r>
          </w:p>
        </w:tc>
      </w:tr>
      <w:tr w14:paraId="0759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787" w:type="dxa"/>
            <w:vMerge w:val="restart"/>
            <w:tcBorders>
              <w:tl2br w:val="nil"/>
              <w:tr2bl w:val="nil"/>
            </w:tcBorders>
            <w:noWrap w:val="0"/>
            <w:vAlign w:val="center"/>
          </w:tcPr>
          <w:p w14:paraId="5135346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w:t>
            </w:r>
            <w:r>
              <w:rPr>
                <w:rFonts w:hint="eastAsia" w:ascii="宋体" w:hAnsi="宋体" w:cs="宋体"/>
                <w:b w:val="0"/>
                <w:bCs w:val="0"/>
                <w:color w:val="auto"/>
                <w:kern w:val="0"/>
                <w:sz w:val="24"/>
                <w:szCs w:val="24"/>
                <w:highlight w:val="none"/>
                <w:lang w:val="en-US" w:eastAsia="zh-CN"/>
              </w:rPr>
              <w:t>75</w:t>
            </w:r>
          </w:p>
        </w:tc>
        <w:tc>
          <w:tcPr>
            <w:tcW w:w="1718" w:type="dxa"/>
            <w:vMerge w:val="restart"/>
            <w:tcBorders>
              <w:tl2br w:val="nil"/>
              <w:tr2bl w:val="nil"/>
            </w:tcBorders>
            <w:noWrap w:val="0"/>
            <w:vAlign w:val="center"/>
          </w:tcPr>
          <w:p w14:paraId="2844968F">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《食品经营许可</w:t>
            </w:r>
            <w:r>
              <w:rPr>
                <w:rFonts w:hint="eastAsia" w:ascii="宋体" w:hAnsi="宋体" w:cs="宋体"/>
                <w:b w:val="0"/>
                <w:bCs w:val="0"/>
                <w:color w:val="auto"/>
                <w:kern w:val="0"/>
                <w:sz w:val="24"/>
                <w:szCs w:val="24"/>
                <w:highlight w:val="none"/>
                <w:lang w:val="en-US" w:eastAsia="zh-CN"/>
              </w:rPr>
              <w:t>和备案</w:t>
            </w:r>
            <w:r>
              <w:rPr>
                <w:rFonts w:hint="eastAsia" w:ascii="宋体" w:hAnsi="宋体" w:eastAsia="宋体" w:cs="宋体"/>
                <w:b w:val="0"/>
                <w:bCs w:val="0"/>
                <w:color w:val="auto"/>
                <w:kern w:val="0"/>
                <w:sz w:val="24"/>
                <w:szCs w:val="24"/>
                <w:highlight w:val="none"/>
              </w:rPr>
              <w:t>管理办法》</w:t>
            </w:r>
          </w:p>
        </w:tc>
        <w:tc>
          <w:tcPr>
            <w:tcW w:w="4132" w:type="dxa"/>
            <w:vMerge w:val="restart"/>
            <w:tcBorders>
              <w:tl2br w:val="nil"/>
              <w:tr2bl w:val="nil"/>
            </w:tcBorders>
            <w:noWrap w:val="0"/>
            <w:vAlign w:val="center"/>
          </w:tcPr>
          <w:p w14:paraId="312EB4F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ascii="宋体" w:hAnsi="宋体" w:eastAsia="宋体" w:cs="宋体"/>
                <w:color w:val="auto"/>
                <w:sz w:val="24"/>
                <w:szCs w:val="24"/>
              </w:rPr>
              <w:t>第五十六条</w:t>
            </w:r>
            <w:r>
              <w:rPr>
                <w:rFonts w:hint="eastAsia" w:ascii="宋体" w:hAnsi="宋体" w:cs="宋体"/>
                <w:color w:val="auto"/>
                <w:sz w:val="24"/>
                <w:szCs w:val="24"/>
                <w:lang w:val="en-US" w:eastAsia="zh-CN"/>
              </w:rPr>
              <w:t xml:space="preserve"> </w:t>
            </w:r>
            <w:r>
              <w:rPr>
                <w:rFonts w:ascii="宋体" w:hAnsi="宋体" w:eastAsia="宋体" w:cs="宋体"/>
                <w:color w:val="auto"/>
                <w:sz w:val="24"/>
                <w:szCs w:val="24"/>
              </w:rPr>
              <w:t>违反本办法第七条第二款、第三款或者第十六条规定的，由县级以上地方市场监督管理部门责令限期改正；逾期不改的，处一千元以上一万元以下罚款。</w:t>
            </w:r>
          </w:p>
        </w:tc>
        <w:tc>
          <w:tcPr>
            <w:tcW w:w="1133" w:type="dxa"/>
            <w:tcBorders>
              <w:tl2br w:val="nil"/>
              <w:tr2bl w:val="nil"/>
            </w:tcBorders>
            <w:noWrap w:val="0"/>
            <w:vAlign w:val="center"/>
          </w:tcPr>
          <w:p w14:paraId="4FB8609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29F3C19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03B222D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w:t>
            </w:r>
            <w:r>
              <w:rPr>
                <w:rFonts w:hint="eastAsia" w:ascii="宋体" w:hAnsi="宋体" w:cs="宋体"/>
                <w:color w:val="auto"/>
                <w:kern w:val="0"/>
                <w:sz w:val="24"/>
                <w:szCs w:val="24"/>
                <w:highlight w:val="none"/>
                <w:lang w:val="en-US" w:eastAsia="zh-CN"/>
              </w:rPr>
              <w:t>1000</w:t>
            </w:r>
            <w:r>
              <w:rPr>
                <w:rFonts w:hint="eastAsia" w:ascii="宋体" w:hAnsi="宋体" w:eastAsia="宋体" w:cs="宋体"/>
                <w:color w:val="auto"/>
                <w:kern w:val="0"/>
                <w:sz w:val="24"/>
                <w:szCs w:val="24"/>
                <w:highlight w:val="none"/>
              </w:rPr>
              <w:t>元以上</w:t>
            </w:r>
            <w:r>
              <w:rPr>
                <w:rFonts w:hint="eastAsia" w:ascii="宋体" w:hAnsi="宋体" w:cs="宋体"/>
                <w:color w:val="auto"/>
                <w:kern w:val="0"/>
                <w:sz w:val="24"/>
                <w:szCs w:val="24"/>
                <w:highlight w:val="none"/>
                <w:lang w:val="en-US" w:eastAsia="zh-CN"/>
              </w:rPr>
              <w:t>3700</w:t>
            </w:r>
            <w:r>
              <w:rPr>
                <w:rFonts w:hint="eastAsia" w:ascii="宋体" w:hAnsi="宋体" w:eastAsia="宋体" w:cs="宋体"/>
                <w:color w:val="auto"/>
                <w:kern w:val="0"/>
                <w:sz w:val="24"/>
                <w:szCs w:val="24"/>
                <w:highlight w:val="none"/>
              </w:rPr>
              <w:t>元以下罚款。</w:t>
            </w:r>
          </w:p>
        </w:tc>
      </w:tr>
      <w:tr w14:paraId="609F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787" w:type="dxa"/>
            <w:vMerge w:val="continue"/>
            <w:tcBorders>
              <w:tl2br w:val="nil"/>
              <w:tr2bl w:val="nil"/>
            </w:tcBorders>
            <w:noWrap w:val="0"/>
            <w:vAlign w:val="center"/>
          </w:tcPr>
          <w:p w14:paraId="63FACB4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CB90E98">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034D0A1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A27765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5183B3B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32920C3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w:t>
            </w:r>
            <w:r>
              <w:rPr>
                <w:rFonts w:hint="eastAsia" w:ascii="宋体" w:hAnsi="宋体" w:cs="宋体"/>
                <w:color w:val="auto"/>
                <w:kern w:val="0"/>
                <w:sz w:val="24"/>
                <w:szCs w:val="24"/>
                <w:highlight w:val="none"/>
                <w:lang w:val="en-US" w:eastAsia="zh-CN"/>
              </w:rPr>
              <w:t>3700</w:t>
            </w:r>
            <w:r>
              <w:rPr>
                <w:rFonts w:hint="eastAsia" w:ascii="宋体" w:hAnsi="宋体" w:eastAsia="宋体" w:cs="宋体"/>
                <w:color w:val="auto"/>
                <w:kern w:val="0"/>
                <w:sz w:val="24"/>
                <w:szCs w:val="24"/>
                <w:highlight w:val="none"/>
              </w:rPr>
              <w:t>元以上7</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00元以下罚款。</w:t>
            </w:r>
          </w:p>
        </w:tc>
      </w:tr>
      <w:tr w14:paraId="0128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jc w:val="center"/>
        </w:trPr>
        <w:tc>
          <w:tcPr>
            <w:tcW w:w="787" w:type="dxa"/>
            <w:vMerge w:val="continue"/>
            <w:tcBorders>
              <w:tl2br w:val="nil"/>
              <w:tr2bl w:val="nil"/>
            </w:tcBorders>
            <w:noWrap w:val="0"/>
            <w:vAlign w:val="center"/>
          </w:tcPr>
          <w:p w14:paraId="228B473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48BD617">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1A90EE9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1246A86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53BC509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w:t>
            </w:r>
            <w:r>
              <w:rPr>
                <w:rFonts w:hint="eastAsia" w:ascii="宋体" w:hAnsi="宋体" w:cs="宋体"/>
                <w:color w:val="auto"/>
                <w:kern w:val="0"/>
                <w:sz w:val="24"/>
                <w:szCs w:val="24"/>
                <w:highlight w:val="none"/>
                <w:lang w:eastAsia="zh-CN"/>
              </w:rPr>
              <w:t>，且</w:t>
            </w:r>
            <w:r>
              <w:rPr>
                <w:rFonts w:hint="eastAsia" w:ascii="宋体" w:hAnsi="宋体" w:eastAsia="宋体" w:cs="宋体"/>
                <w:color w:val="auto"/>
                <w:kern w:val="0"/>
                <w:sz w:val="24"/>
                <w:szCs w:val="24"/>
                <w:highlight w:val="none"/>
              </w:rPr>
              <w:t>已经造成不良影响或者违法行为持续时间较长的。</w:t>
            </w:r>
          </w:p>
        </w:tc>
        <w:tc>
          <w:tcPr>
            <w:tcW w:w="3267" w:type="dxa"/>
            <w:tcBorders>
              <w:tl2br w:val="nil"/>
              <w:tr2bl w:val="nil"/>
            </w:tcBorders>
            <w:noWrap w:val="0"/>
            <w:vAlign w:val="center"/>
          </w:tcPr>
          <w:p w14:paraId="513B6CA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处7</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00元以上1万元以下罚款。</w:t>
            </w:r>
          </w:p>
        </w:tc>
      </w:tr>
      <w:tr w14:paraId="0099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787" w:type="dxa"/>
            <w:vMerge w:val="restart"/>
            <w:tcBorders>
              <w:tl2br w:val="nil"/>
              <w:tr2bl w:val="nil"/>
            </w:tcBorders>
            <w:noWrap w:val="0"/>
            <w:vAlign w:val="center"/>
          </w:tcPr>
          <w:p w14:paraId="7F809B6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76</w:t>
            </w:r>
          </w:p>
        </w:tc>
        <w:tc>
          <w:tcPr>
            <w:tcW w:w="1718" w:type="dxa"/>
            <w:vMerge w:val="restart"/>
            <w:tcBorders>
              <w:tl2br w:val="nil"/>
              <w:tr2bl w:val="nil"/>
            </w:tcBorders>
            <w:noWrap w:val="0"/>
            <w:vAlign w:val="center"/>
          </w:tcPr>
          <w:p w14:paraId="2F1C9347">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《食品经营许可</w:t>
            </w:r>
            <w:r>
              <w:rPr>
                <w:rFonts w:hint="eastAsia" w:ascii="宋体" w:hAnsi="宋体" w:cs="宋体"/>
                <w:b w:val="0"/>
                <w:bCs w:val="0"/>
                <w:color w:val="auto"/>
                <w:kern w:val="0"/>
                <w:sz w:val="24"/>
                <w:szCs w:val="24"/>
                <w:highlight w:val="none"/>
                <w:lang w:val="en-US" w:eastAsia="zh-CN"/>
              </w:rPr>
              <w:t>和备案</w:t>
            </w:r>
            <w:r>
              <w:rPr>
                <w:rFonts w:hint="eastAsia" w:ascii="宋体" w:hAnsi="宋体" w:eastAsia="宋体" w:cs="宋体"/>
                <w:b w:val="0"/>
                <w:bCs w:val="0"/>
                <w:color w:val="auto"/>
                <w:kern w:val="0"/>
                <w:sz w:val="24"/>
                <w:szCs w:val="24"/>
                <w:highlight w:val="none"/>
              </w:rPr>
              <w:t>管理办法》</w:t>
            </w:r>
          </w:p>
        </w:tc>
        <w:tc>
          <w:tcPr>
            <w:tcW w:w="4132" w:type="dxa"/>
            <w:vMerge w:val="restart"/>
            <w:tcBorders>
              <w:tl2br w:val="nil"/>
              <w:tr2bl w:val="nil"/>
            </w:tcBorders>
            <w:noWrap w:val="0"/>
            <w:vAlign w:val="center"/>
          </w:tcPr>
          <w:p w14:paraId="4EA7092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ascii="宋体" w:hAnsi="宋体" w:eastAsia="宋体" w:cs="宋体"/>
                <w:color w:val="auto"/>
                <w:sz w:val="24"/>
                <w:szCs w:val="24"/>
              </w:rPr>
              <w:t>第五十七条</w:t>
            </w:r>
            <w:r>
              <w:rPr>
                <w:rFonts w:hint="eastAsia" w:ascii="宋体" w:hAnsi="宋体" w:cs="宋体"/>
                <w:color w:val="auto"/>
                <w:sz w:val="24"/>
                <w:szCs w:val="24"/>
                <w:lang w:val="en-US" w:eastAsia="zh-CN"/>
              </w:rPr>
              <w:t xml:space="preserve">第一款 </w:t>
            </w:r>
            <w:r>
              <w:rPr>
                <w:rFonts w:ascii="宋体" w:hAnsi="宋体" w:eastAsia="宋体" w:cs="宋体"/>
                <w:color w:val="auto"/>
                <w:sz w:val="24"/>
                <w:szCs w:val="24"/>
              </w:rPr>
              <w:t>违反本办法第二十八条第一款规定的，由县级以上地方市场监督管理部门责令改正，给予警告，并处一万元以上三万元以下罚款；情节严重的，处三万元以上十万元以下罚款；造成危害后果的，处十万元以上二十万元以下罚款。</w:t>
            </w:r>
          </w:p>
        </w:tc>
        <w:tc>
          <w:tcPr>
            <w:tcW w:w="1133" w:type="dxa"/>
            <w:tcBorders>
              <w:tl2br w:val="nil"/>
              <w:tr2bl w:val="nil"/>
            </w:tcBorders>
            <w:noWrap w:val="0"/>
            <w:vAlign w:val="center"/>
          </w:tcPr>
          <w:p w14:paraId="79C207C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0F2313C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未造成</w:t>
            </w:r>
            <w:r>
              <w:rPr>
                <w:rFonts w:hint="eastAsia" w:ascii="宋体" w:hAnsi="宋体" w:cs="宋体"/>
                <w:color w:val="auto"/>
                <w:kern w:val="0"/>
                <w:sz w:val="24"/>
                <w:szCs w:val="24"/>
                <w:highlight w:val="none"/>
                <w:lang w:val="en-US" w:eastAsia="zh-CN"/>
              </w:rPr>
              <w:t>危害后果</w:t>
            </w:r>
            <w:r>
              <w:rPr>
                <w:rFonts w:hint="eastAsia" w:ascii="宋体" w:hAnsi="宋体" w:eastAsia="宋体" w:cs="宋体"/>
                <w:color w:val="auto"/>
                <w:kern w:val="0"/>
                <w:sz w:val="24"/>
                <w:szCs w:val="24"/>
                <w:highlight w:val="none"/>
              </w:rPr>
              <w:t>的。</w:t>
            </w:r>
          </w:p>
        </w:tc>
        <w:tc>
          <w:tcPr>
            <w:tcW w:w="3267" w:type="dxa"/>
            <w:tcBorders>
              <w:tl2br w:val="nil"/>
              <w:tr2bl w:val="nil"/>
            </w:tcBorders>
            <w:noWrap w:val="0"/>
            <w:vAlign w:val="center"/>
          </w:tcPr>
          <w:p w14:paraId="05BFBC2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ascii="宋体" w:hAnsi="宋体" w:eastAsia="宋体" w:cs="宋体"/>
                <w:color w:val="auto"/>
                <w:sz w:val="24"/>
                <w:szCs w:val="24"/>
              </w:rPr>
              <w:t>责令改正，</w:t>
            </w:r>
            <w:r>
              <w:rPr>
                <w:rFonts w:hint="eastAsia" w:ascii="宋体" w:hAnsi="宋体" w:eastAsia="宋体" w:cs="宋体"/>
                <w:color w:val="auto"/>
                <w:kern w:val="0"/>
                <w:sz w:val="24"/>
                <w:szCs w:val="24"/>
                <w:highlight w:val="none"/>
              </w:rPr>
              <w:t>给予警告，并处</w:t>
            </w:r>
            <w:r>
              <w:rPr>
                <w:rFonts w:hint="eastAsia" w:ascii="宋体" w:hAnsi="宋体" w:cs="宋体"/>
                <w:color w:val="auto"/>
                <w:kern w:val="0"/>
                <w:sz w:val="24"/>
                <w:szCs w:val="24"/>
                <w:highlight w:val="none"/>
                <w:lang w:val="en-US" w:eastAsia="zh-CN"/>
              </w:rPr>
              <w:t>1万</w:t>
            </w:r>
            <w:r>
              <w:rPr>
                <w:rFonts w:hint="eastAsia" w:ascii="宋体" w:hAnsi="宋体" w:eastAsia="宋体" w:cs="宋体"/>
                <w:color w:val="auto"/>
                <w:kern w:val="0"/>
                <w:sz w:val="24"/>
                <w:szCs w:val="24"/>
                <w:highlight w:val="none"/>
              </w:rPr>
              <w:t>元以</w:t>
            </w:r>
            <w:r>
              <w:rPr>
                <w:rFonts w:hint="eastAsia" w:ascii="宋体" w:hAnsi="宋体" w:cs="宋体"/>
                <w:color w:val="auto"/>
                <w:kern w:val="0"/>
                <w:sz w:val="24"/>
                <w:szCs w:val="24"/>
                <w:highlight w:val="none"/>
                <w:lang w:val="en-US" w:eastAsia="zh-CN"/>
              </w:rPr>
              <w:t>上3万元以下</w:t>
            </w:r>
            <w:r>
              <w:rPr>
                <w:rFonts w:hint="eastAsia" w:ascii="宋体" w:hAnsi="宋体" w:eastAsia="宋体" w:cs="宋体"/>
                <w:color w:val="auto"/>
                <w:kern w:val="0"/>
                <w:sz w:val="24"/>
                <w:szCs w:val="24"/>
                <w:highlight w:val="none"/>
              </w:rPr>
              <w:t>罚款。</w:t>
            </w:r>
          </w:p>
        </w:tc>
      </w:tr>
      <w:tr w14:paraId="144E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787" w:type="dxa"/>
            <w:vMerge w:val="continue"/>
            <w:tcBorders>
              <w:tl2br w:val="nil"/>
              <w:tr2bl w:val="nil"/>
            </w:tcBorders>
            <w:noWrap w:val="0"/>
            <w:vAlign w:val="center"/>
          </w:tcPr>
          <w:p w14:paraId="04AF2A8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1B136DF">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692482E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05FBED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1B7C7CD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lang w:val="en-US" w:eastAsia="zh-CN"/>
              </w:rPr>
              <w:t>情节严重的。</w:t>
            </w:r>
          </w:p>
        </w:tc>
        <w:tc>
          <w:tcPr>
            <w:tcW w:w="3267" w:type="dxa"/>
            <w:tcBorders>
              <w:tl2br w:val="nil"/>
              <w:tr2bl w:val="nil"/>
            </w:tcBorders>
            <w:noWrap w:val="0"/>
            <w:vAlign w:val="center"/>
          </w:tcPr>
          <w:p w14:paraId="37461DF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ascii="宋体" w:hAnsi="宋体" w:eastAsia="宋体" w:cs="宋体"/>
                <w:color w:val="auto"/>
                <w:sz w:val="24"/>
                <w:szCs w:val="24"/>
              </w:rPr>
              <w:t>责令改正，</w:t>
            </w:r>
            <w:r>
              <w:rPr>
                <w:rFonts w:hint="eastAsia" w:ascii="宋体" w:hAnsi="宋体" w:eastAsia="宋体" w:cs="宋体"/>
                <w:color w:val="auto"/>
                <w:kern w:val="0"/>
                <w:sz w:val="24"/>
                <w:szCs w:val="24"/>
                <w:highlight w:val="none"/>
              </w:rPr>
              <w:t>给予警告，并处</w:t>
            </w:r>
            <w:r>
              <w:rPr>
                <w:rFonts w:hint="eastAsia" w:ascii="宋体" w:hAnsi="宋体" w:cs="宋体"/>
                <w:color w:val="auto"/>
                <w:kern w:val="0"/>
                <w:sz w:val="24"/>
                <w:szCs w:val="24"/>
                <w:highlight w:val="none"/>
                <w:lang w:val="en-US" w:eastAsia="zh-CN"/>
              </w:rPr>
              <w:t>3万</w:t>
            </w:r>
            <w:r>
              <w:rPr>
                <w:rFonts w:hint="eastAsia" w:ascii="宋体" w:hAnsi="宋体" w:eastAsia="宋体" w:cs="宋体"/>
                <w:color w:val="auto"/>
                <w:kern w:val="0"/>
                <w:sz w:val="24"/>
                <w:szCs w:val="24"/>
                <w:highlight w:val="none"/>
              </w:rPr>
              <w:t>元以上</w:t>
            </w:r>
            <w:r>
              <w:rPr>
                <w:rFonts w:hint="eastAsia" w:ascii="宋体" w:hAnsi="宋体" w:cs="宋体"/>
                <w:color w:val="auto"/>
                <w:kern w:val="0"/>
                <w:sz w:val="24"/>
                <w:szCs w:val="24"/>
                <w:highlight w:val="none"/>
                <w:lang w:val="en-US" w:eastAsia="zh-CN"/>
              </w:rPr>
              <w:t>10万</w:t>
            </w:r>
            <w:r>
              <w:rPr>
                <w:rFonts w:hint="eastAsia" w:ascii="宋体" w:hAnsi="宋体" w:eastAsia="宋体" w:cs="宋体"/>
                <w:color w:val="auto"/>
                <w:kern w:val="0"/>
                <w:sz w:val="24"/>
                <w:szCs w:val="24"/>
                <w:highlight w:val="none"/>
              </w:rPr>
              <w:t>元以下罚款。</w:t>
            </w:r>
          </w:p>
        </w:tc>
      </w:tr>
      <w:tr w14:paraId="2F47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787" w:type="dxa"/>
            <w:vMerge w:val="continue"/>
            <w:tcBorders>
              <w:tl2br w:val="nil"/>
              <w:tr2bl w:val="nil"/>
            </w:tcBorders>
            <w:noWrap w:val="0"/>
            <w:vAlign w:val="center"/>
          </w:tcPr>
          <w:p w14:paraId="7E2341B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C649531">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08333B0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4387A3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524CC05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造成</w:t>
            </w:r>
            <w:r>
              <w:rPr>
                <w:rFonts w:hint="eastAsia" w:ascii="宋体" w:hAnsi="宋体" w:cs="宋体"/>
                <w:color w:val="auto"/>
                <w:kern w:val="0"/>
                <w:sz w:val="24"/>
                <w:szCs w:val="24"/>
                <w:highlight w:val="none"/>
                <w:lang w:val="en-US" w:eastAsia="zh-CN"/>
              </w:rPr>
              <w:t>危害后果的</w:t>
            </w:r>
            <w:r>
              <w:rPr>
                <w:rFonts w:hint="eastAsia" w:ascii="宋体" w:hAnsi="宋体" w:eastAsia="宋体" w:cs="宋体"/>
                <w:color w:val="auto"/>
                <w:kern w:val="0"/>
                <w:sz w:val="24"/>
                <w:szCs w:val="24"/>
                <w:highlight w:val="none"/>
              </w:rPr>
              <w:t>。</w:t>
            </w:r>
          </w:p>
        </w:tc>
        <w:tc>
          <w:tcPr>
            <w:tcW w:w="3267" w:type="dxa"/>
            <w:tcBorders>
              <w:tl2br w:val="nil"/>
              <w:tr2bl w:val="nil"/>
            </w:tcBorders>
            <w:noWrap w:val="0"/>
            <w:vAlign w:val="center"/>
          </w:tcPr>
          <w:p w14:paraId="5C683ED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ascii="宋体" w:hAnsi="宋体" w:eastAsia="宋体" w:cs="宋体"/>
                <w:color w:val="auto"/>
                <w:sz w:val="24"/>
                <w:szCs w:val="24"/>
              </w:rPr>
              <w:t>责令改正，</w:t>
            </w:r>
            <w:r>
              <w:rPr>
                <w:rFonts w:hint="eastAsia" w:ascii="宋体" w:hAnsi="宋体" w:eastAsia="宋体" w:cs="宋体"/>
                <w:color w:val="auto"/>
                <w:kern w:val="0"/>
                <w:sz w:val="24"/>
                <w:szCs w:val="24"/>
                <w:highlight w:val="none"/>
              </w:rPr>
              <w:t>给予警告，并处</w:t>
            </w:r>
            <w:r>
              <w:rPr>
                <w:rFonts w:hint="eastAsia" w:ascii="宋体" w:hAnsi="宋体" w:cs="宋体"/>
                <w:color w:val="auto"/>
                <w:kern w:val="0"/>
                <w:sz w:val="24"/>
                <w:szCs w:val="24"/>
                <w:highlight w:val="none"/>
                <w:lang w:val="en-US" w:eastAsia="zh-CN"/>
              </w:rPr>
              <w:t>10万</w:t>
            </w:r>
            <w:r>
              <w:rPr>
                <w:rFonts w:hint="eastAsia" w:ascii="宋体" w:hAnsi="宋体" w:eastAsia="宋体" w:cs="宋体"/>
                <w:color w:val="auto"/>
                <w:kern w:val="0"/>
                <w:sz w:val="24"/>
                <w:szCs w:val="24"/>
                <w:highlight w:val="none"/>
              </w:rPr>
              <w:t>元以上</w:t>
            </w:r>
            <w:r>
              <w:rPr>
                <w:rFonts w:hint="eastAsia" w:ascii="宋体" w:hAnsi="宋体" w:cs="宋体"/>
                <w:color w:val="auto"/>
                <w:kern w:val="0"/>
                <w:sz w:val="24"/>
                <w:szCs w:val="24"/>
                <w:highlight w:val="none"/>
                <w:lang w:val="en-US" w:eastAsia="zh-CN"/>
              </w:rPr>
              <w:t>20万</w:t>
            </w:r>
            <w:r>
              <w:rPr>
                <w:rFonts w:hint="eastAsia" w:ascii="宋体" w:hAnsi="宋体" w:eastAsia="宋体" w:cs="宋体"/>
                <w:color w:val="auto"/>
                <w:kern w:val="0"/>
                <w:sz w:val="24"/>
                <w:szCs w:val="24"/>
                <w:highlight w:val="none"/>
              </w:rPr>
              <w:t>元以下罚款。</w:t>
            </w:r>
          </w:p>
        </w:tc>
      </w:tr>
      <w:tr w14:paraId="4ED6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787" w:type="dxa"/>
            <w:vMerge w:val="restart"/>
            <w:tcBorders>
              <w:tl2br w:val="nil"/>
              <w:tr2bl w:val="nil"/>
            </w:tcBorders>
            <w:noWrap w:val="0"/>
            <w:vAlign w:val="center"/>
          </w:tcPr>
          <w:p w14:paraId="7A50266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277</w:t>
            </w:r>
          </w:p>
        </w:tc>
        <w:tc>
          <w:tcPr>
            <w:tcW w:w="1718" w:type="dxa"/>
            <w:vMerge w:val="restart"/>
            <w:tcBorders>
              <w:tl2br w:val="nil"/>
              <w:tr2bl w:val="nil"/>
            </w:tcBorders>
            <w:noWrap w:val="0"/>
            <w:vAlign w:val="center"/>
          </w:tcPr>
          <w:p w14:paraId="11D2329C">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val="0"/>
                <w:bCs w:val="0"/>
                <w:color w:val="auto"/>
                <w:kern w:val="0"/>
                <w:sz w:val="24"/>
                <w:szCs w:val="24"/>
                <w:highlight w:val="none"/>
              </w:rPr>
              <w:t>《食品经营许可</w:t>
            </w:r>
            <w:r>
              <w:rPr>
                <w:rFonts w:hint="eastAsia" w:ascii="宋体" w:hAnsi="宋体" w:cs="宋体"/>
                <w:b w:val="0"/>
                <w:bCs w:val="0"/>
                <w:color w:val="auto"/>
                <w:kern w:val="0"/>
                <w:sz w:val="24"/>
                <w:szCs w:val="24"/>
                <w:highlight w:val="none"/>
                <w:lang w:val="en-US" w:eastAsia="zh-CN"/>
              </w:rPr>
              <w:t>和备案</w:t>
            </w:r>
            <w:r>
              <w:rPr>
                <w:rFonts w:hint="eastAsia" w:ascii="宋体" w:hAnsi="宋体" w:eastAsia="宋体" w:cs="宋体"/>
                <w:b w:val="0"/>
                <w:bCs w:val="0"/>
                <w:color w:val="auto"/>
                <w:kern w:val="0"/>
                <w:sz w:val="24"/>
                <w:szCs w:val="24"/>
                <w:highlight w:val="none"/>
              </w:rPr>
              <w:t>管理办法》</w:t>
            </w:r>
          </w:p>
        </w:tc>
        <w:tc>
          <w:tcPr>
            <w:tcW w:w="4132" w:type="dxa"/>
            <w:vMerge w:val="restart"/>
            <w:tcBorders>
              <w:tl2br w:val="nil"/>
              <w:tr2bl w:val="nil"/>
            </w:tcBorders>
            <w:noWrap w:val="0"/>
            <w:vAlign w:val="center"/>
          </w:tcPr>
          <w:p w14:paraId="02D15AE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ascii="宋体" w:hAnsi="宋体" w:eastAsia="宋体" w:cs="宋体"/>
                <w:color w:val="auto"/>
                <w:sz w:val="24"/>
                <w:szCs w:val="24"/>
              </w:rPr>
              <w:t>第五十八条</w:t>
            </w:r>
            <w:r>
              <w:rPr>
                <w:rFonts w:hint="eastAsia" w:ascii="宋体" w:hAnsi="宋体" w:cs="宋体"/>
                <w:color w:val="auto"/>
                <w:sz w:val="24"/>
                <w:szCs w:val="24"/>
                <w:lang w:val="en-US" w:eastAsia="zh-CN"/>
              </w:rPr>
              <w:t xml:space="preserve">第一款 </w:t>
            </w:r>
            <w:r>
              <w:rPr>
                <w:rFonts w:ascii="宋体" w:hAnsi="宋体" w:eastAsia="宋体" w:cs="宋体"/>
                <w:color w:val="auto"/>
                <w:sz w:val="24"/>
                <w:szCs w:val="24"/>
              </w:rPr>
              <w:t>违反本办法第三十条第一款第一项规定的，由县级以上地方市场监督管理部门责令限期改正；逾期不改的，处两千元以上一万元以下罚款；情节严重的，处一万元以上五万元以下罚款；造成危害后果的，处五万元以上二十万元以下罚款。</w:t>
            </w:r>
          </w:p>
        </w:tc>
        <w:tc>
          <w:tcPr>
            <w:tcW w:w="1133" w:type="dxa"/>
            <w:tcBorders>
              <w:tl2br w:val="nil"/>
              <w:tr2bl w:val="nil"/>
            </w:tcBorders>
            <w:noWrap w:val="0"/>
            <w:vAlign w:val="center"/>
          </w:tcPr>
          <w:p w14:paraId="1D5AA45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463236F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逾期不改的</w:t>
            </w:r>
            <w:r>
              <w:rPr>
                <w:rFonts w:hint="eastAsia" w:ascii="宋体" w:hAnsi="宋体" w:eastAsia="宋体" w:cs="宋体"/>
                <w:color w:val="auto"/>
                <w:kern w:val="0"/>
                <w:sz w:val="24"/>
                <w:szCs w:val="24"/>
                <w:highlight w:val="none"/>
              </w:rPr>
              <w:t>。</w:t>
            </w:r>
          </w:p>
        </w:tc>
        <w:tc>
          <w:tcPr>
            <w:tcW w:w="3267" w:type="dxa"/>
            <w:tcBorders>
              <w:tl2br w:val="nil"/>
              <w:tr2bl w:val="nil"/>
            </w:tcBorders>
            <w:noWrap w:val="0"/>
            <w:vAlign w:val="center"/>
          </w:tcPr>
          <w:p w14:paraId="3734CF1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ascii="宋体" w:hAnsi="宋体" w:eastAsia="宋体" w:cs="宋体"/>
                <w:color w:val="auto"/>
                <w:spacing w:val="-6"/>
                <w:sz w:val="24"/>
                <w:szCs w:val="24"/>
              </w:rPr>
            </w:pPr>
            <w:r>
              <w:rPr>
                <w:rFonts w:hint="eastAsia" w:ascii="宋体" w:hAnsi="宋体" w:eastAsia="宋体" w:cs="宋体"/>
                <w:color w:val="auto"/>
                <w:spacing w:val="-6"/>
                <w:kern w:val="0"/>
                <w:sz w:val="24"/>
                <w:szCs w:val="24"/>
                <w:highlight w:val="none"/>
              </w:rPr>
              <w:t>处</w:t>
            </w:r>
            <w:r>
              <w:rPr>
                <w:rFonts w:hint="eastAsia" w:ascii="宋体" w:hAnsi="宋体" w:cs="宋体"/>
                <w:color w:val="auto"/>
                <w:spacing w:val="-6"/>
                <w:kern w:val="0"/>
                <w:sz w:val="24"/>
                <w:szCs w:val="24"/>
                <w:highlight w:val="none"/>
                <w:lang w:val="en-US" w:eastAsia="zh-CN"/>
              </w:rPr>
              <w:t>2000</w:t>
            </w:r>
            <w:r>
              <w:rPr>
                <w:rFonts w:hint="eastAsia" w:ascii="宋体" w:hAnsi="宋体" w:eastAsia="宋体" w:cs="宋体"/>
                <w:color w:val="auto"/>
                <w:spacing w:val="-6"/>
                <w:kern w:val="0"/>
                <w:sz w:val="24"/>
                <w:szCs w:val="24"/>
                <w:highlight w:val="none"/>
              </w:rPr>
              <w:t>元以</w:t>
            </w:r>
            <w:r>
              <w:rPr>
                <w:rFonts w:hint="eastAsia" w:ascii="宋体" w:hAnsi="宋体" w:cs="宋体"/>
                <w:color w:val="auto"/>
                <w:spacing w:val="-6"/>
                <w:kern w:val="0"/>
                <w:sz w:val="24"/>
                <w:szCs w:val="24"/>
                <w:highlight w:val="none"/>
                <w:lang w:val="en-US" w:eastAsia="zh-CN"/>
              </w:rPr>
              <w:t>上1万元以下</w:t>
            </w:r>
            <w:r>
              <w:rPr>
                <w:rFonts w:hint="eastAsia" w:ascii="宋体" w:hAnsi="宋体" w:eastAsia="宋体" w:cs="宋体"/>
                <w:color w:val="auto"/>
                <w:spacing w:val="-6"/>
                <w:kern w:val="0"/>
                <w:sz w:val="24"/>
                <w:szCs w:val="24"/>
                <w:highlight w:val="none"/>
              </w:rPr>
              <w:t>罚款。</w:t>
            </w:r>
          </w:p>
        </w:tc>
      </w:tr>
      <w:tr w14:paraId="3A7E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787" w:type="dxa"/>
            <w:vMerge w:val="continue"/>
            <w:tcBorders>
              <w:tl2br w:val="nil"/>
              <w:tr2bl w:val="nil"/>
            </w:tcBorders>
            <w:noWrap w:val="0"/>
            <w:vAlign w:val="center"/>
          </w:tcPr>
          <w:p w14:paraId="57FF5AD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1A4360C">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704392E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ascii="宋体" w:hAnsi="宋体" w:eastAsia="宋体" w:cs="宋体"/>
                <w:color w:val="auto"/>
                <w:sz w:val="24"/>
                <w:szCs w:val="24"/>
              </w:rPr>
            </w:pPr>
          </w:p>
        </w:tc>
        <w:tc>
          <w:tcPr>
            <w:tcW w:w="1133" w:type="dxa"/>
            <w:tcBorders>
              <w:tl2br w:val="nil"/>
              <w:tr2bl w:val="nil"/>
            </w:tcBorders>
            <w:noWrap w:val="0"/>
            <w:vAlign w:val="center"/>
          </w:tcPr>
          <w:p w14:paraId="1438FA9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4A264D4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情节严重的。</w:t>
            </w:r>
          </w:p>
        </w:tc>
        <w:tc>
          <w:tcPr>
            <w:tcW w:w="3267" w:type="dxa"/>
            <w:tcBorders>
              <w:tl2br w:val="nil"/>
              <w:tr2bl w:val="nil"/>
            </w:tcBorders>
            <w:noWrap w:val="0"/>
            <w:vAlign w:val="center"/>
          </w:tcPr>
          <w:p w14:paraId="36EA512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ascii="宋体" w:hAnsi="宋体" w:eastAsia="宋体" w:cs="宋体"/>
                <w:color w:val="auto"/>
                <w:spacing w:val="-6"/>
                <w:sz w:val="24"/>
                <w:szCs w:val="24"/>
              </w:rPr>
            </w:pPr>
            <w:r>
              <w:rPr>
                <w:rFonts w:hint="eastAsia" w:ascii="宋体" w:hAnsi="宋体" w:eastAsia="宋体" w:cs="宋体"/>
                <w:color w:val="auto"/>
                <w:spacing w:val="-6"/>
                <w:kern w:val="0"/>
                <w:sz w:val="24"/>
                <w:szCs w:val="24"/>
                <w:highlight w:val="none"/>
              </w:rPr>
              <w:t>处</w:t>
            </w:r>
            <w:r>
              <w:rPr>
                <w:rFonts w:hint="eastAsia" w:ascii="宋体" w:hAnsi="宋体" w:cs="宋体"/>
                <w:color w:val="auto"/>
                <w:spacing w:val="-6"/>
                <w:kern w:val="0"/>
                <w:sz w:val="24"/>
                <w:szCs w:val="24"/>
                <w:highlight w:val="none"/>
                <w:lang w:val="en-US" w:eastAsia="zh-CN"/>
              </w:rPr>
              <w:t>1万</w:t>
            </w:r>
            <w:r>
              <w:rPr>
                <w:rFonts w:hint="eastAsia" w:ascii="宋体" w:hAnsi="宋体" w:eastAsia="宋体" w:cs="宋体"/>
                <w:color w:val="auto"/>
                <w:spacing w:val="-6"/>
                <w:kern w:val="0"/>
                <w:sz w:val="24"/>
                <w:szCs w:val="24"/>
                <w:highlight w:val="none"/>
              </w:rPr>
              <w:t>元以上</w:t>
            </w:r>
            <w:r>
              <w:rPr>
                <w:rFonts w:hint="eastAsia" w:ascii="宋体" w:hAnsi="宋体" w:cs="宋体"/>
                <w:color w:val="auto"/>
                <w:spacing w:val="-6"/>
                <w:kern w:val="0"/>
                <w:sz w:val="24"/>
                <w:szCs w:val="24"/>
                <w:highlight w:val="none"/>
                <w:lang w:val="en-US" w:eastAsia="zh-CN"/>
              </w:rPr>
              <w:t>5万</w:t>
            </w:r>
            <w:r>
              <w:rPr>
                <w:rFonts w:hint="eastAsia" w:ascii="宋体" w:hAnsi="宋体" w:eastAsia="宋体" w:cs="宋体"/>
                <w:color w:val="auto"/>
                <w:spacing w:val="-6"/>
                <w:kern w:val="0"/>
                <w:sz w:val="24"/>
                <w:szCs w:val="24"/>
                <w:highlight w:val="none"/>
              </w:rPr>
              <w:t>元以下罚款。</w:t>
            </w:r>
          </w:p>
        </w:tc>
      </w:tr>
      <w:tr w14:paraId="19EB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787" w:type="dxa"/>
            <w:vMerge w:val="continue"/>
            <w:tcBorders>
              <w:tl2br w:val="nil"/>
              <w:tr2bl w:val="nil"/>
            </w:tcBorders>
            <w:noWrap w:val="0"/>
            <w:vAlign w:val="center"/>
          </w:tcPr>
          <w:p w14:paraId="2C98BE4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DAD4EB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0CFC1DD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ascii="宋体" w:hAnsi="宋体" w:eastAsia="宋体" w:cs="宋体"/>
                <w:color w:val="auto"/>
                <w:sz w:val="24"/>
                <w:szCs w:val="24"/>
              </w:rPr>
            </w:pPr>
          </w:p>
        </w:tc>
        <w:tc>
          <w:tcPr>
            <w:tcW w:w="1133" w:type="dxa"/>
            <w:tcBorders>
              <w:tl2br w:val="nil"/>
              <w:tr2bl w:val="nil"/>
            </w:tcBorders>
            <w:noWrap w:val="0"/>
            <w:vAlign w:val="center"/>
          </w:tcPr>
          <w:p w14:paraId="0BFAF39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33CF5E1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造成</w:t>
            </w:r>
            <w:r>
              <w:rPr>
                <w:rFonts w:hint="eastAsia" w:ascii="宋体" w:hAnsi="宋体" w:cs="宋体"/>
                <w:color w:val="auto"/>
                <w:kern w:val="0"/>
                <w:sz w:val="24"/>
                <w:szCs w:val="24"/>
                <w:highlight w:val="none"/>
                <w:lang w:val="en-US" w:eastAsia="zh-CN"/>
              </w:rPr>
              <w:t>危害后果的</w:t>
            </w:r>
            <w:r>
              <w:rPr>
                <w:rFonts w:hint="eastAsia" w:ascii="宋体" w:hAnsi="宋体" w:eastAsia="宋体" w:cs="宋体"/>
                <w:color w:val="auto"/>
                <w:kern w:val="0"/>
                <w:sz w:val="24"/>
                <w:szCs w:val="24"/>
                <w:highlight w:val="none"/>
              </w:rPr>
              <w:t>。</w:t>
            </w:r>
          </w:p>
        </w:tc>
        <w:tc>
          <w:tcPr>
            <w:tcW w:w="3267" w:type="dxa"/>
            <w:tcBorders>
              <w:tl2br w:val="nil"/>
              <w:tr2bl w:val="nil"/>
            </w:tcBorders>
            <w:noWrap w:val="0"/>
            <w:vAlign w:val="center"/>
          </w:tcPr>
          <w:p w14:paraId="4A384E5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ascii="宋体" w:hAnsi="宋体" w:eastAsia="宋体" w:cs="宋体"/>
                <w:color w:val="auto"/>
                <w:spacing w:val="-6"/>
                <w:sz w:val="24"/>
                <w:szCs w:val="24"/>
              </w:rPr>
            </w:pPr>
            <w:r>
              <w:rPr>
                <w:rFonts w:hint="eastAsia" w:ascii="宋体" w:hAnsi="宋体" w:eastAsia="宋体" w:cs="宋体"/>
                <w:color w:val="auto"/>
                <w:spacing w:val="-6"/>
                <w:kern w:val="0"/>
                <w:sz w:val="24"/>
                <w:szCs w:val="24"/>
                <w:highlight w:val="none"/>
              </w:rPr>
              <w:t>处</w:t>
            </w:r>
            <w:r>
              <w:rPr>
                <w:rFonts w:hint="eastAsia" w:ascii="宋体" w:hAnsi="宋体" w:cs="宋体"/>
                <w:color w:val="auto"/>
                <w:spacing w:val="-6"/>
                <w:kern w:val="0"/>
                <w:sz w:val="24"/>
                <w:szCs w:val="24"/>
                <w:highlight w:val="none"/>
                <w:lang w:val="en-US" w:eastAsia="zh-CN"/>
              </w:rPr>
              <w:t>5万</w:t>
            </w:r>
            <w:r>
              <w:rPr>
                <w:rFonts w:hint="eastAsia" w:ascii="宋体" w:hAnsi="宋体" w:eastAsia="宋体" w:cs="宋体"/>
                <w:color w:val="auto"/>
                <w:spacing w:val="-6"/>
                <w:kern w:val="0"/>
                <w:sz w:val="24"/>
                <w:szCs w:val="24"/>
                <w:highlight w:val="none"/>
              </w:rPr>
              <w:t>元以上</w:t>
            </w:r>
            <w:r>
              <w:rPr>
                <w:rFonts w:hint="eastAsia" w:ascii="宋体" w:hAnsi="宋体" w:cs="宋体"/>
                <w:color w:val="auto"/>
                <w:spacing w:val="-6"/>
                <w:kern w:val="0"/>
                <w:sz w:val="24"/>
                <w:szCs w:val="24"/>
                <w:highlight w:val="none"/>
                <w:lang w:val="en-US" w:eastAsia="zh-CN"/>
              </w:rPr>
              <w:t>20万</w:t>
            </w:r>
            <w:r>
              <w:rPr>
                <w:rFonts w:hint="eastAsia" w:ascii="宋体" w:hAnsi="宋体" w:eastAsia="宋体" w:cs="宋体"/>
                <w:color w:val="auto"/>
                <w:spacing w:val="-6"/>
                <w:kern w:val="0"/>
                <w:sz w:val="24"/>
                <w:szCs w:val="24"/>
                <w:highlight w:val="none"/>
              </w:rPr>
              <w:t>元以下罚款。</w:t>
            </w:r>
          </w:p>
        </w:tc>
      </w:tr>
      <w:tr w14:paraId="401B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87" w:type="dxa"/>
            <w:vMerge w:val="restart"/>
            <w:tcBorders>
              <w:tl2br w:val="nil"/>
              <w:tr2bl w:val="nil"/>
            </w:tcBorders>
            <w:noWrap w:val="0"/>
            <w:vAlign w:val="center"/>
          </w:tcPr>
          <w:p w14:paraId="2EA3112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278</w:t>
            </w:r>
          </w:p>
        </w:tc>
        <w:tc>
          <w:tcPr>
            <w:tcW w:w="1718" w:type="dxa"/>
            <w:vMerge w:val="restart"/>
            <w:tcBorders>
              <w:tl2br w:val="nil"/>
              <w:tr2bl w:val="nil"/>
            </w:tcBorders>
            <w:noWrap w:val="0"/>
            <w:vAlign w:val="center"/>
          </w:tcPr>
          <w:p w14:paraId="653980A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val="0"/>
                <w:bCs w:val="0"/>
                <w:color w:val="auto"/>
                <w:kern w:val="0"/>
                <w:sz w:val="24"/>
                <w:szCs w:val="24"/>
                <w:highlight w:val="none"/>
              </w:rPr>
              <w:t>《食品经营许可</w:t>
            </w:r>
            <w:r>
              <w:rPr>
                <w:rFonts w:hint="eastAsia" w:ascii="宋体" w:hAnsi="宋体" w:cs="宋体"/>
                <w:b w:val="0"/>
                <w:bCs w:val="0"/>
                <w:color w:val="auto"/>
                <w:kern w:val="0"/>
                <w:sz w:val="24"/>
                <w:szCs w:val="24"/>
                <w:highlight w:val="none"/>
                <w:lang w:val="en-US" w:eastAsia="zh-CN"/>
              </w:rPr>
              <w:t>和备案</w:t>
            </w:r>
            <w:r>
              <w:rPr>
                <w:rFonts w:hint="eastAsia" w:ascii="宋体" w:hAnsi="宋体" w:eastAsia="宋体" w:cs="宋体"/>
                <w:b w:val="0"/>
                <w:bCs w:val="0"/>
                <w:color w:val="auto"/>
                <w:kern w:val="0"/>
                <w:sz w:val="24"/>
                <w:szCs w:val="24"/>
                <w:highlight w:val="none"/>
              </w:rPr>
              <w:t>管理办法》</w:t>
            </w:r>
          </w:p>
        </w:tc>
        <w:tc>
          <w:tcPr>
            <w:tcW w:w="4132" w:type="dxa"/>
            <w:vMerge w:val="restart"/>
            <w:tcBorders>
              <w:tl2br w:val="nil"/>
              <w:tr2bl w:val="nil"/>
            </w:tcBorders>
            <w:noWrap w:val="0"/>
            <w:vAlign w:val="center"/>
          </w:tcPr>
          <w:p w14:paraId="2DFAFA0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ascii="宋体" w:hAnsi="宋体" w:eastAsia="宋体" w:cs="宋体"/>
                <w:color w:val="auto"/>
                <w:sz w:val="24"/>
                <w:szCs w:val="24"/>
              </w:rPr>
              <w:t>第五十八条</w:t>
            </w:r>
            <w:r>
              <w:rPr>
                <w:rFonts w:hint="eastAsia" w:ascii="宋体" w:hAnsi="宋体" w:cs="宋体"/>
                <w:color w:val="auto"/>
                <w:sz w:val="24"/>
                <w:szCs w:val="24"/>
                <w:lang w:val="en-US" w:eastAsia="zh-CN"/>
              </w:rPr>
              <w:t xml:space="preserve">第二款 </w:t>
            </w:r>
            <w:r>
              <w:rPr>
                <w:rFonts w:ascii="宋体" w:hAnsi="宋体" w:eastAsia="宋体" w:cs="宋体"/>
                <w:i w:val="0"/>
                <w:iCs w:val="0"/>
                <w:caps w:val="0"/>
                <w:color w:val="auto"/>
                <w:spacing w:val="0"/>
                <w:sz w:val="24"/>
                <w:szCs w:val="24"/>
                <w:shd w:val="clear" w:color="auto" w:fill="auto"/>
              </w:rPr>
              <w:t>违反本办法第三十条第一款第二项至第六项规定的，由县级以上地方市场监督管理部门责令限期改正；逾期不改的，处一千元以上一万元以下罚款。</w:t>
            </w:r>
          </w:p>
        </w:tc>
        <w:tc>
          <w:tcPr>
            <w:tcW w:w="1133" w:type="dxa"/>
            <w:tcBorders>
              <w:tl2br w:val="nil"/>
              <w:tr2bl w:val="nil"/>
            </w:tcBorders>
            <w:noWrap w:val="0"/>
            <w:vAlign w:val="center"/>
          </w:tcPr>
          <w:p w14:paraId="75DD1B9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7D10772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逾期10日以</w:t>
            </w:r>
            <w:r>
              <w:rPr>
                <w:rFonts w:hint="eastAsia" w:ascii="宋体" w:hAnsi="宋体" w:cs="宋体"/>
                <w:color w:val="auto"/>
                <w:kern w:val="0"/>
                <w:sz w:val="24"/>
                <w:szCs w:val="24"/>
                <w:highlight w:val="none"/>
                <w:lang w:val="en-US" w:eastAsia="zh-CN"/>
              </w:rPr>
              <w:t>下</w:t>
            </w:r>
            <w:r>
              <w:rPr>
                <w:rFonts w:hint="eastAsia" w:ascii="宋体" w:hAnsi="宋体" w:eastAsia="宋体" w:cs="宋体"/>
                <w:color w:val="auto"/>
                <w:kern w:val="0"/>
                <w:sz w:val="24"/>
                <w:szCs w:val="24"/>
                <w:highlight w:val="none"/>
              </w:rPr>
              <w:t>拒不改正的。</w:t>
            </w:r>
          </w:p>
        </w:tc>
        <w:tc>
          <w:tcPr>
            <w:tcW w:w="3267" w:type="dxa"/>
            <w:tcBorders>
              <w:tl2br w:val="nil"/>
              <w:tr2bl w:val="nil"/>
            </w:tcBorders>
            <w:noWrap w:val="0"/>
            <w:vAlign w:val="center"/>
          </w:tcPr>
          <w:p w14:paraId="348BBB5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ascii="宋体" w:hAnsi="宋体" w:eastAsia="宋体" w:cs="宋体"/>
                <w:color w:val="auto"/>
                <w:spacing w:val="6"/>
                <w:sz w:val="24"/>
                <w:szCs w:val="24"/>
              </w:rPr>
            </w:pPr>
            <w:r>
              <w:rPr>
                <w:rFonts w:hint="eastAsia" w:ascii="宋体" w:hAnsi="宋体" w:eastAsia="宋体" w:cs="宋体"/>
                <w:color w:val="auto"/>
                <w:spacing w:val="6"/>
                <w:kern w:val="0"/>
                <w:sz w:val="24"/>
                <w:szCs w:val="24"/>
                <w:highlight w:val="none"/>
              </w:rPr>
              <w:t>处</w:t>
            </w:r>
            <w:r>
              <w:rPr>
                <w:rFonts w:hint="eastAsia" w:ascii="宋体" w:hAnsi="宋体" w:cs="宋体"/>
                <w:color w:val="auto"/>
                <w:spacing w:val="6"/>
                <w:kern w:val="0"/>
                <w:sz w:val="24"/>
                <w:szCs w:val="24"/>
                <w:highlight w:val="none"/>
                <w:lang w:val="en-US" w:eastAsia="zh-CN"/>
              </w:rPr>
              <w:t>1000</w:t>
            </w:r>
            <w:r>
              <w:rPr>
                <w:rFonts w:hint="eastAsia" w:ascii="宋体" w:hAnsi="宋体" w:eastAsia="宋体" w:cs="宋体"/>
                <w:color w:val="auto"/>
                <w:spacing w:val="6"/>
                <w:kern w:val="0"/>
                <w:sz w:val="24"/>
                <w:szCs w:val="24"/>
                <w:highlight w:val="none"/>
              </w:rPr>
              <w:t>元以上</w:t>
            </w:r>
            <w:r>
              <w:rPr>
                <w:rFonts w:hint="eastAsia" w:ascii="宋体" w:hAnsi="宋体" w:cs="宋体"/>
                <w:color w:val="auto"/>
                <w:spacing w:val="6"/>
                <w:kern w:val="0"/>
                <w:sz w:val="24"/>
                <w:szCs w:val="24"/>
                <w:highlight w:val="none"/>
                <w:lang w:val="en-US" w:eastAsia="zh-CN"/>
              </w:rPr>
              <w:t>3700</w:t>
            </w:r>
            <w:r>
              <w:rPr>
                <w:rFonts w:hint="eastAsia" w:ascii="宋体" w:hAnsi="宋体" w:eastAsia="宋体" w:cs="宋体"/>
                <w:color w:val="auto"/>
                <w:spacing w:val="6"/>
                <w:kern w:val="0"/>
                <w:sz w:val="24"/>
                <w:szCs w:val="24"/>
                <w:highlight w:val="none"/>
              </w:rPr>
              <w:t>元以下罚款。</w:t>
            </w:r>
          </w:p>
        </w:tc>
      </w:tr>
      <w:tr w14:paraId="3CE9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787" w:type="dxa"/>
            <w:vMerge w:val="continue"/>
            <w:tcBorders>
              <w:tl2br w:val="nil"/>
              <w:tr2bl w:val="nil"/>
            </w:tcBorders>
            <w:noWrap w:val="0"/>
            <w:vAlign w:val="center"/>
          </w:tcPr>
          <w:p w14:paraId="1286A06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BD94CA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77ACED1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ascii="宋体" w:hAnsi="宋体" w:eastAsia="宋体" w:cs="宋体"/>
                <w:color w:val="auto"/>
                <w:sz w:val="24"/>
                <w:szCs w:val="24"/>
              </w:rPr>
            </w:pPr>
          </w:p>
        </w:tc>
        <w:tc>
          <w:tcPr>
            <w:tcW w:w="1133" w:type="dxa"/>
            <w:tcBorders>
              <w:tl2br w:val="nil"/>
              <w:tr2bl w:val="nil"/>
            </w:tcBorders>
            <w:noWrap w:val="0"/>
            <w:vAlign w:val="center"/>
          </w:tcPr>
          <w:p w14:paraId="2316004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7E5C85E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逾期10日以</w:t>
            </w:r>
            <w:r>
              <w:rPr>
                <w:rFonts w:hint="eastAsia" w:ascii="宋体" w:hAnsi="宋体" w:cs="宋体"/>
                <w:color w:val="auto"/>
                <w:kern w:val="0"/>
                <w:sz w:val="24"/>
                <w:szCs w:val="24"/>
                <w:highlight w:val="none"/>
                <w:lang w:val="en-US" w:eastAsia="zh-CN"/>
              </w:rPr>
              <w:t>上20日以下</w:t>
            </w:r>
            <w:r>
              <w:rPr>
                <w:rFonts w:hint="eastAsia" w:ascii="宋体" w:hAnsi="宋体" w:eastAsia="宋体" w:cs="宋体"/>
                <w:color w:val="auto"/>
                <w:kern w:val="0"/>
                <w:sz w:val="24"/>
                <w:szCs w:val="24"/>
                <w:highlight w:val="none"/>
              </w:rPr>
              <w:t>拒不改正的。</w:t>
            </w:r>
          </w:p>
        </w:tc>
        <w:tc>
          <w:tcPr>
            <w:tcW w:w="3267" w:type="dxa"/>
            <w:tcBorders>
              <w:tl2br w:val="nil"/>
              <w:tr2bl w:val="nil"/>
            </w:tcBorders>
            <w:noWrap w:val="0"/>
            <w:vAlign w:val="center"/>
          </w:tcPr>
          <w:p w14:paraId="3DE8BEA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ascii="宋体" w:hAnsi="宋体" w:eastAsia="宋体" w:cs="宋体"/>
                <w:color w:val="auto"/>
                <w:spacing w:val="6"/>
                <w:sz w:val="24"/>
                <w:szCs w:val="24"/>
              </w:rPr>
            </w:pPr>
            <w:r>
              <w:rPr>
                <w:rFonts w:hint="eastAsia" w:ascii="宋体" w:hAnsi="宋体" w:eastAsia="宋体" w:cs="宋体"/>
                <w:color w:val="auto"/>
                <w:spacing w:val="6"/>
                <w:kern w:val="0"/>
                <w:sz w:val="24"/>
                <w:szCs w:val="24"/>
                <w:highlight w:val="none"/>
              </w:rPr>
              <w:t>处</w:t>
            </w:r>
            <w:r>
              <w:rPr>
                <w:rFonts w:hint="eastAsia" w:ascii="宋体" w:hAnsi="宋体" w:cs="宋体"/>
                <w:color w:val="auto"/>
                <w:spacing w:val="6"/>
                <w:kern w:val="0"/>
                <w:sz w:val="24"/>
                <w:szCs w:val="24"/>
                <w:highlight w:val="none"/>
                <w:lang w:val="en-US" w:eastAsia="zh-CN"/>
              </w:rPr>
              <w:t>3700</w:t>
            </w:r>
            <w:r>
              <w:rPr>
                <w:rFonts w:hint="eastAsia" w:ascii="宋体" w:hAnsi="宋体" w:eastAsia="宋体" w:cs="宋体"/>
                <w:color w:val="auto"/>
                <w:spacing w:val="6"/>
                <w:kern w:val="0"/>
                <w:sz w:val="24"/>
                <w:szCs w:val="24"/>
                <w:highlight w:val="none"/>
              </w:rPr>
              <w:t>元以上7</w:t>
            </w:r>
            <w:r>
              <w:rPr>
                <w:rFonts w:hint="eastAsia" w:ascii="宋体" w:hAnsi="宋体" w:cs="宋体"/>
                <w:color w:val="auto"/>
                <w:spacing w:val="6"/>
                <w:kern w:val="0"/>
                <w:sz w:val="24"/>
                <w:szCs w:val="24"/>
                <w:highlight w:val="none"/>
                <w:lang w:val="en-US" w:eastAsia="zh-CN"/>
              </w:rPr>
              <w:t>3</w:t>
            </w:r>
            <w:r>
              <w:rPr>
                <w:rFonts w:hint="eastAsia" w:ascii="宋体" w:hAnsi="宋体" w:eastAsia="宋体" w:cs="宋体"/>
                <w:color w:val="auto"/>
                <w:spacing w:val="6"/>
                <w:kern w:val="0"/>
                <w:sz w:val="24"/>
                <w:szCs w:val="24"/>
                <w:highlight w:val="none"/>
              </w:rPr>
              <w:t>00元以下罚款。</w:t>
            </w:r>
          </w:p>
        </w:tc>
      </w:tr>
      <w:tr w14:paraId="308EF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787" w:type="dxa"/>
            <w:vMerge w:val="continue"/>
            <w:tcBorders>
              <w:tl2br w:val="nil"/>
              <w:tr2bl w:val="nil"/>
            </w:tcBorders>
            <w:noWrap w:val="0"/>
            <w:vAlign w:val="center"/>
          </w:tcPr>
          <w:p w14:paraId="40D34D0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0502F17">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35E6FCE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ascii="宋体" w:hAnsi="宋体" w:eastAsia="宋体" w:cs="宋体"/>
                <w:color w:val="auto"/>
                <w:sz w:val="24"/>
                <w:szCs w:val="24"/>
              </w:rPr>
            </w:pPr>
          </w:p>
        </w:tc>
        <w:tc>
          <w:tcPr>
            <w:tcW w:w="1133" w:type="dxa"/>
            <w:tcBorders>
              <w:tl2br w:val="nil"/>
              <w:tr2bl w:val="nil"/>
            </w:tcBorders>
            <w:noWrap w:val="0"/>
            <w:vAlign w:val="center"/>
          </w:tcPr>
          <w:p w14:paraId="520B4AF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701B012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逾期</w:t>
            </w:r>
            <w:r>
              <w:rPr>
                <w:rFonts w:hint="eastAsia" w:ascii="宋体" w:hAnsi="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日以上拒不改正的。</w:t>
            </w:r>
          </w:p>
        </w:tc>
        <w:tc>
          <w:tcPr>
            <w:tcW w:w="3267" w:type="dxa"/>
            <w:tcBorders>
              <w:tl2br w:val="nil"/>
              <w:tr2bl w:val="nil"/>
            </w:tcBorders>
            <w:noWrap w:val="0"/>
            <w:vAlign w:val="center"/>
          </w:tcPr>
          <w:p w14:paraId="66A374E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ascii="宋体" w:hAnsi="宋体" w:eastAsia="宋体" w:cs="宋体"/>
                <w:color w:val="auto"/>
                <w:spacing w:val="-6"/>
                <w:sz w:val="24"/>
                <w:szCs w:val="24"/>
              </w:rPr>
            </w:pPr>
            <w:r>
              <w:rPr>
                <w:rFonts w:hint="eastAsia" w:ascii="宋体" w:hAnsi="宋体" w:eastAsia="宋体" w:cs="宋体"/>
                <w:color w:val="auto"/>
                <w:spacing w:val="-6"/>
                <w:kern w:val="0"/>
                <w:sz w:val="24"/>
                <w:szCs w:val="24"/>
                <w:highlight w:val="none"/>
              </w:rPr>
              <w:t>处7</w:t>
            </w:r>
            <w:r>
              <w:rPr>
                <w:rFonts w:hint="eastAsia" w:ascii="宋体" w:hAnsi="宋体" w:cs="宋体"/>
                <w:color w:val="auto"/>
                <w:spacing w:val="-6"/>
                <w:kern w:val="0"/>
                <w:sz w:val="24"/>
                <w:szCs w:val="24"/>
                <w:highlight w:val="none"/>
                <w:lang w:val="en-US" w:eastAsia="zh-CN"/>
              </w:rPr>
              <w:t>3</w:t>
            </w:r>
            <w:r>
              <w:rPr>
                <w:rFonts w:hint="eastAsia" w:ascii="宋体" w:hAnsi="宋体" w:eastAsia="宋体" w:cs="宋体"/>
                <w:color w:val="auto"/>
                <w:spacing w:val="-6"/>
                <w:kern w:val="0"/>
                <w:sz w:val="24"/>
                <w:szCs w:val="24"/>
                <w:highlight w:val="none"/>
              </w:rPr>
              <w:t>00元以上1万元以下罚款。</w:t>
            </w:r>
          </w:p>
        </w:tc>
      </w:tr>
      <w:tr w14:paraId="10A3C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87" w:type="dxa"/>
            <w:vMerge w:val="restart"/>
            <w:tcBorders>
              <w:tl2br w:val="nil"/>
              <w:tr2bl w:val="nil"/>
            </w:tcBorders>
            <w:noWrap w:val="0"/>
            <w:vAlign w:val="center"/>
          </w:tcPr>
          <w:p w14:paraId="4A38076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279</w:t>
            </w:r>
          </w:p>
        </w:tc>
        <w:tc>
          <w:tcPr>
            <w:tcW w:w="1718" w:type="dxa"/>
            <w:vMerge w:val="restart"/>
            <w:tcBorders>
              <w:tl2br w:val="nil"/>
              <w:tr2bl w:val="nil"/>
            </w:tcBorders>
            <w:noWrap w:val="0"/>
            <w:vAlign w:val="center"/>
          </w:tcPr>
          <w:p w14:paraId="3AD69AE1">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val="0"/>
                <w:bCs w:val="0"/>
                <w:color w:val="auto"/>
                <w:kern w:val="0"/>
                <w:sz w:val="24"/>
                <w:szCs w:val="24"/>
                <w:highlight w:val="none"/>
              </w:rPr>
              <w:t>《食品经营许可</w:t>
            </w:r>
            <w:r>
              <w:rPr>
                <w:rFonts w:hint="eastAsia" w:ascii="宋体" w:hAnsi="宋体" w:cs="宋体"/>
                <w:b w:val="0"/>
                <w:bCs w:val="0"/>
                <w:color w:val="auto"/>
                <w:kern w:val="0"/>
                <w:sz w:val="24"/>
                <w:szCs w:val="24"/>
                <w:highlight w:val="none"/>
                <w:lang w:val="en-US" w:eastAsia="zh-CN"/>
              </w:rPr>
              <w:t>和备案</w:t>
            </w:r>
            <w:r>
              <w:rPr>
                <w:rFonts w:hint="eastAsia" w:ascii="宋体" w:hAnsi="宋体" w:eastAsia="宋体" w:cs="宋体"/>
                <w:b w:val="0"/>
                <w:bCs w:val="0"/>
                <w:color w:val="auto"/>
                <w:kern w:val="0"/>
                <w:sz w:val="24"/>
                <w:szCs w:val="24"/>
                <w:highlight w:val="none"/>
              </w:rPr>
              <w:t>管理办法》</w:t>
            </w:r>
          </w:p>
        </w:tc>
        <w:tc>
          <w:tcPr>
            <w:tcW w:w="4132" w:type="dxa"/>
            <w:vMerge w:val="restart"/>
            <w:tcBorders>
              <w:tl2br w:val="nil"/>
              <w:tr2bl w:val="nil"/>
            </w:tcBorders>
            <w:noWrap w:val="0"/>
            <w:vAlign w:val="center"/>
          </w:tcPr>
          <w:p w14:paraId="6BE7AC5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ascii="宋体" w:hAnsi="宋体" w:eastAsia="宋体" w:cs="宋体"/>
                <w:color w:val="auto"/>
                <w:sz w:val="24"/>
                <w:szCs w:val="24"/>
              </w:rPr>
              <w:t>第五十九条</w:t>
            </w:r>
            <w:r>
              <w:rPr>
                <w:rFonts w:hint="eastAsia" w:ascii="宋体" w:hAnsi="宋体" w:cs="宋体"/>
                <w:color w:val="auto"/>
                <w:sz w:val="24"/>
                <w:szCs w:val="24"/>
                <w:lang w:val="en-US" w:eastAsia="zh-CN"/>
              </w:rPr>
              <w:t xml:space="preserve">第一款 </w:t>
            </w:r>
            <w:r>
              <w:rPr>
                <w:rFonts w:ascii="宋体" w:hAnsi="宋体" w:eastAsia="宋体" w:cs="宋体"/>
                <w:color w:val="auto"/>
                <w:sz w:val="24"/>
                <w:szCs w:val="24"/>
              </w:rPr>
              <w:t>未按照规定提交备案信息或者备案信息发生变化未按照规定进行备案信息更新的，由县级以上地方市场监督管理部门责令限期改正；逾期不改的，处两千元以上一万元以下罚款。</w:t>
            </w:r>
          </w:p>
        </w:tc>
        <w:tc>
          <w:tcPr>
            <w:tcW w:w="1133" w:type="dxa"/>
            <w:tcBorders>
              <w:tl2br w:val="nil"/>
              <w:tr2bl w:val="nil"/>
            </w:tcBorders>
            <w:noWrap w:val="0"/>
            <w:vAlign w:val="center"/>
          </w:tcPr>
          <w:p w14:paraId="271A88A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28B3351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逾期10日以</w:t>
            </w:r>
            <w:r>
              <w:rPr>
                <w:rFonts w:hint="eastAsia" w:ascii="宋体" w:hAnsi="宋体" w:cs="宋体"/>
                <w:color w:val="auto"/>
                <w:kern w:val="0"/>
                <w:sz w:val="24"/>
                <w:szCs w:val="24"/>
                <w:highlight w:val="none"/>
                <w:lang w:val="en-US" w:eastAsia="zh-CN"/>
              </w:rPr>
              <w:t>下</w:t>
            </w:r>
            <w:r>
              <w:rPr>
                <w:rFonts w:hint="eastAsia" w:ascii="宋体" w:hAnsi="宋体" w:eastAsia="宋体" w:cs="宋体"/>
                <w:color w:val="auto"/>
                <w:kern w:val="0"/>
                <w:sz w:val="24"/>
                <w:szCs w:val="24"/>
                <w:highlight w:val="none"/>
              </w:rPr>
              <w:t>拒不改正的。</w:t>
            </w:r>
          </w:p>
        </w:tc>
        <w:tc>
          <w:tcPr>
            <w:tcW w:w="3267" w:type="dxa"/>
            <w:tcBorders>
              <w:tl2br w:val="nil"/>
              <w:tr2bl w:val="nil"/>
            </w:tcBorders>
            <w:noWrap w:val="0"/>
            <w:vAlign w:val="center"/>
          </w:tcPr>
          <w:p w14:paraId="5E9065F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ascii="宋体" w:hAnsi="宋体" w:eastAsia="宋体" w:cs="宋体"/>
                <w:color w:val="auto"/>
                <w:spacing w:val="11"/>
                <w:sz w:val="24"/>
                <w:szCs w:val="24"/>
              </w:rPr>
            </w:pPr>
            <w:r>
              <w:rPr>
                <w:rFonts w:hint="eastAsia" w:ascii="宋体" w:hAnsi="宋体" w:eastAsia="宋体" w:cs="宋体"/>
                <w:color w:val="auto"/>
                <w:spacing w:val="11"/>
                <w:kern w:val="0"/>
                <w:sz w:val="24"/>
                <w:szCs w:val="24"/>
                <w:highlight w:val="none"/>
              </w:rPr>
              <w:t>处</w:t>
            </w:r>
            <w:r>
              <w:rPr>
                <w:rFonts w:hint="eastAsia" w:ascii="宋体" w:hAnsi="宋体" w:cs="宋体"/>
                <w:color w:val="auto"/>
                <w:spacing w:val="11"/>
                <w:kern w:val="0"/>
                <w:sz w:val="24"/>
                <w:szCs w:val="24"/>
                <w:highlight w:val="none"/>
                <w:lang w:val="en-US" w:eastAsia="zh-CN"/>
              </w:rPr>
              <w:t>2000</w:t>
            </w:r>
            <w:r>
              <w:rPr>
                <w:rFonts w:hint="eastAsia" w:ascii="宋体" w:hAnsi="宋体" w:eastAsia="宋体" w:cs="宋体"/>
                <w:color w:val="auto"/>
                <w:spacing w:val="11"/>
                <w:kern w:val="0"/>
                <w:sz w:val="24"/>
                <w:szCs w:val="24"/>
                <w:highlight w:val="none"/>
              </w:rPr>
              <w:t>元以上</w:t>
            </w:r>
            <w:r>
              <w:rPr>
                <w:rFonts w:hint="eastAsia" w:ascii="宋体" w:hAnsi="宋体" w:cs="宋体"/>
                <w:color w:val="auto"/>
                <w:spacing w:val="11"/>
                <w:kern w:val="0"/>
                <w:sz w:val="24"/>
                <w:szCs w:val="24"/>
                <w:highlight w:val="none"/>
                <w:lang w:val="en-US" w:eastAsia="zh-CN"/>
              </w:rPr>
              <w:t>4400</w:t>
            </w:r>
            <w:r>
              <w:rPr>
                <w:rFonts w:hint="eastAsia" w:ascii="宋体" w:hAnsi="宋体" w:eastAsia="宋体" w:cs="宋体"/>
                <w:color w:val="auto"/>
                <w:spacing w:val="11"/>
                <w:kern w:val="0"/>
                <w:sz w:val="24"/>
                <w:szCs w:val="24"/>
                <w:highlight w:val="none"/>
              </w:rPr>
              <w:t>元以下罚款。</w:t>
            </w:r>
          </w:p>
        </w:tc>
      </w:tr>
      <w:tr w14:paraId="7A8E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87" w:type="dxa"/>
            <w:vMerge w:val="continue"/>
            <w:tcBorders>
              <w:tl2br w:val="nil"/>
              <w:tr2bl w:val="nil"/>
            </w:tcBorders>
            <w:noWrap w:val="0"/>
            <w:vAlign w:val="center"/>
          </w:tcPr>
          <w:p w14:paraId="00C5B2E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D63A0D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305FF2E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ascii="宋体" w:hAnsi="宋体" w:eastAsia="宋体" w:cs="宋体"/>
                <w:color w:val="auto"/>
                <w:sz w:val="24"/>
                <w:szCs w:val="24"/>
              </w:rPr>
            </w:pPr>
          </w:p>
        </w:tc>
        <w:tc>
          <w:tcPr>
            <w:tcW w:w="1133" w:type="dxa"/>
            <w:tcBorders>
              <w:tl2br w:val="nil"/>
              <w:tr2bl w:val="nil"/>
            </w:tcBorders>
            <w:noWrap w:val="0"/>
            <w:vAlign w:val="center"/>
          </w:tcPr>
          <w:p w14:paraId="44C65AD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4C54135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逾期10日以</w:t>
            </w:r>
            <w:r>
              <w:rPr>
                <w:rFonts w:hint="eastAsia" w:ascii="宋体" w:hAnsi="宋体" w:cs="宋体"/>
                <w:color w:val="auto"/>
                <w:kern w:val="0"/>
                <w:sz w:val="24"/>
                <w:szCs w:val="24"/>
                <w:highlight w:val="none"/>
                <w:lang w:val="en-US" w:eastAsia="zh-CN"/>
              </w:rPr>
              <w:t>上20日以下</w:t>
            </w:r>
            <w:r>
              <w:rPr>
                <w:rFonts w:hint="eastAsia" w:ascii="宋体" w:hAnsi="宋体" w:eastAsia="宋体" w:cs="宋体"/>
                <w:color w:val="auto"/>
                <w:kern w:val="0"/>
                <w:sz w:val="24"/>
                <w:szCs w:val="24"/>
                <w:highlight w:val="none"/>
              </w:rPr>
              <w:t>拒不改正的。</w:t>
            </w:r>
          </w:p>
        </w:tc>
        <w:tc>
          <w:tcPr>
            <w:tcW w:w="3267" w:type="dxa"/>
            <w:tcBorders>
              <w:tl2br w:val="nil"/>
              <w:tr2bl w:val="nil"/>
            </w:tcBorders>
            <w:noWrap w:val="0"/>
            <w:vAlign w:val="center"/>
          </w:tcPr>
          <w:p w14:paraId="07DC61F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ascii="宋体" w:hAnsi="宋体" w:eastAsia="宋体" w:cs="宋体"/>
                <w:color w:val="auto"/>
                <w:spacing w:val="11"/>
                <w:sz w:val="24"/>
                <w:szCs w:val="24"/>
              </w:rPr>
            </w:pPr>
            <w:r>
              <w:rPr>
                <w:rFonts w:hint="eastAsia" w:ascii="宋体" w:hAnsi="宋体" w:eastAsia="宋体" w:cs="宋体"/>
                <w:color w:val="auto"/>
                <w:spacing w:val="11"/>
                <w:kern w:val="0"/>
                <w:sz w:val="24"/>
                <w:szCs w:val="24"/>
                <w:highlight w:val="none"/>
              </w:rPr>
              <w:t>处</w:t>
            </w:r>
            <w:r>
              <w:rPr>
                <w:rFonts w:hint="eastAsia" w:ascii="宋体" w:hAnsi="宋体" w:cs="宋体"/>
                <w:color w:val="auto"/>
                <w:spacing w:val="11"/>
                <w:kern w:val="0"/>
                <w:sz w:val="24"/>
                <w:szCs w:val="24"/>
                <w:highlight w:val="none"/>
                <w:lang w:val="en-US" w:eastAsia="zh-CN"/>
              </w:rPr>
              <w:t>4400</w:t>
            </w:r>
            <w:r>
              <w:rPr>
                <w:rFonts w:hint="eastAsia" w:ascii="宋体" w:hAnsi="宋体" w:eastAsia="宋体" w:cs="宋体"/>
                <w:color w:val="auto"/>
                <w:spacing w:val="11"/>
                <w:kern w:val="0"/>
                <w:sz w:val="24"/>
                <w:szCs w:val="24"/>
                <w:highlight w:val="none"/>
              </w:rPr>
              <w:t>元以上7</w:t>
            </w:r>
            <w:r>
              <w:rPr>
                <w:rFonts w:hint="eastAsia" w:ascii="宋体" w:hAnsi="宋体" w:cs="宋体"/>
                <w:color w:val="auto"/>
                <w:spacing w:val="11"/>
                <w:kern w:val="0"/>
                <w:sz w:val="24"/>
                <w:szCs w:val="24"/>
                <w:highlight w:val="none"/>
                <w:lang w:val="en-US" w:eastAsia="zh-CN"/>
              </w:rPr>
              <w:t>6</w:t>
            </w:r>
            <w:r>
              <w:rPr>
                <w:rFonts w:hint="eastAsia" w:ascii="宋体" w:hAnsi="宋体" w:eastAsia="宋体" w:cs="宋体"/>
                <w:color w:val="auto"/>
                <w:spacing w:val="11"/>
                <w:kern w:val="0"/>
                <w:sz w:val="24"/>
                <w:szCs w:val="24"/>
                <w:highlight w:val="none"/>
              </w:rPr>
              <w:t>00元以下罚款。</w:t>
            </w:r>
          </w:p>
        </w:tc>
      </w:tr>
      <w:tr w14:paraId="40C8B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787" w:type="dxa"/>
            <w:vMerge w:val="continue"/>
            <w:tcBorders>
              <w:tl2br w:val="nil"/>
              <w:tr2bl w:val="nil"/>
            </w:tcBorders>
            <w:noWrap w:val="0"/>
            <w:vAlign w:val="center"/>
          </w:tcPr>
          <w:p w14:paraId="67C0146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C3BFFA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6EC0ED1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ascii="宋体" w:hAnsi="宋体" w:eastAsia="宋体" w:cs="宋体"/>
                <w:color w:val="auto"/>
                <w:sz w:val="24"/>
                <w:szCs w:val="24"/>
              </w:rPr>
            </w:pPr>
          </w:p>
        </w:tc>
        <w:tc>
          <w:tcPr>
            <w:tcW w:w="1133" w:type="dxa"/>
            <w:tcBorders>
              <w:tl2br w:val="nil"/>
              <w:tr2bl w:val="nil"/>
            </w:tcBorders>
            <w:noWrap w:val="0"/>
            <w:vAlign w:val="center"/>
          </w:tcPr>
          <w:p w14:paraId="5991FAC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400047C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逾期</w:t>
            </w:r>
            <w:r>
              <w:rPr>
                <w:rFonts w:hint="eastAsia" w:ascii="宋体" w:hAnsi="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日以上拒不改正的。</w:t>
            </w:r>
          </w:p>
        </w:tc>
        <w:tc>
          <w:tcPr>
            <w:tcW w:w="3267" w:type="dxa"/>
            <w:tcBorders>
              <w:tl2br w:val="nil"/>
              <w:tr2bl w:val="nil"/>
            </w:tcBorders>
            <w:noWrap w:val="0"/>
            <w:vAlign w:val="center"/>
          </w:tcPr>
          <w:p w14:paraId="3B98F1A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ascii="宋体" w:hAnsi="宋体" w:eastAsia="宋体" w:cs="宋体"/>
                <w:color w:val="auto"/>
                <w:spacing w:val="11"/>
                <w:sz w:val="24"/>
                <w:szCs w:val="24"/>
              </w:rPr>
            </w:pPr>
            <w:r>
              <w:rPr>
                <w:rFonts w:hint="eastAsia" w:ascii="宋体" w:hAnsi="宋体" w:eastAsia="宋体" w:cs="宋体"/>
                <w:color w:val="auto"/>
                <w:spacing w:val="11"/>
                <w:kern w:val="0"/>
                <w:sz w:val="24"/>
                <w:szCs w:val="24"/>
                <w:highlight w:val="none"/>
              </w:rPr>
              <w:t>处7</w:t>
            </w:r>
            <w:r>
              <w:rPr>
                <w:rFonts w:hint="eastAsia" w:ascii="宋体" w:hAnsi="宋体" w:cs="宋体"/>
                <w:color w:val="auto"/>
                <w:spacing w:val="11"/>
                <w:kern w:val="0"/>
                <w:sz w:val="24"/>
                <w:szCs w:val="24"/>
                <w:highlight w:val="none"/>
                <w:lang w:val="en-US" w:eastAsia="zh-CN"/>
              </w:rPr>
              <w:t>6</w:t>
            </w:r>
            <w:r>
              <w:rPr>
                <w:rFonts w:hint="eastAsia" w:ascii="宋体" w:hAnsi="宋体" w:eastAsia="宋体" w:cs="宋体"/>
                <w:color w:val="auto"/>
                <w:spacing w:val="11"/>
                <w:kern w:val="0"/>
                <w:sz w:val="24"/>
                <w:szCs w:val="24"/>
                <w:highlight w:val="none"/>
              </w:rPr>
              <w:t>00元以上1万元以下罚款。</w:t>
            </w:r>
          </w:p>
        </w:tc>
      </w:tr>
      <w:tr w14:paraId="2C9F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787" w:type="dxa"/>
            <w:vMerge w:val="restart"/>
            <w:tcBorders>
              <w:tl2br w:val="nil"/>
              <w:tr2bl w:val="nil"/>
            </w:tcBorders>
            <w:noWrap w:val="0"/>
            <w:vAlign w:val="center"/>
          </w:tcPr>
          <w:p w14:paraId="62BA79A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280</w:t>
            </w:r>
          </w:p>
        </w:tc>
        <w:tc>
          <w:tcPr>
            <w:tcW w:w="1718" w:type="dxa"/>
            <w:vMerge w:val="restart"/>
            <w:tcBorders>
              <w:tl2br w:val="nil"/>
              <w:tr2bl w:val="nil"/>
            </w:tcBorders>
            <w:noWrap w:val="0"/>
            <w:vAlign w:val="center"/>
          </w:tcPr>
          <w:p w14:paraId="196BD72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val="0"/>
                <w:bCs w:val="0"/>
                <w:color w:val="auto"/>
                <w:kern w:val="0"/>
                <w:sz w:val="24"/>
                <w:szCs w:val="24"/>
                <w:highlight w:val="none"/>
              </w:rPr>
              <w:t>《食品经营许可</w:t>
            </w:r>
            <w:r>
              <w:rPr>
                <w:rFonts w:hint="eastAsia" w:ascii="宋体" w:hAnsi="宋体" w:cs="宋体"/>
                <w:b w:val="0"/>
                <w:bCs w:val="0"/>
                <w:color w:val="auto"/>
                <w:kern w:val="0"/>
                <w:sz w:val="24"/>
                <w:szCs w:val="24"/>
                <w:highlight w:val="none"/>
                <w:lang w:val="en-US" w:eastAsia="zh-CN"/>
              </w:rPr>
              <w:t>和备案</w:t>
            </w:r>
            <w:r>
              <w:rPr>
                <w:rFonts w:hint="eastAsia" w:ascii="宋体" w:hAnsi="宋体" w:eastAsia="宋体" w:cs="宋体"/>
                <w:b w:val="0"/>
                <w:bCs w:val="0"/>
                <w:color w:val="auto"/>
                <w:kern w:val="0"/>
                <w:sz w:val="24"/>
                <w:szCs w:val="24"/>
                <w:highlight w:val="none"/>
              </w:rPr>
              <w:t>管理办法》</w:t>
            </w:r>
          </w:p>
        </w:tc>
        <w:tc>
          <w:tcPr>
            <w:tcW w:w="4132" w:type="dxa"/>
            <w:vMerge w:val="restart"/>
            <w:tcBorders>
              <w:tl2br w:val="nil"/>
              <w:tr2bl w:val="nil"/>
            </w:tcBorders>
            <w:noWrap w:val="0"/>
            <w:vAlign w:val="center"/>
          </w:tcPr>
          <w:p w14:paraId="77DE0AF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default" w:ascii="宋体" w:hAnsi="宋体" w:eastAsia="宋体" w:cs="宋体"/>
                <w:color w:val="auto"/>
                <w:kern w:val="0"/>
                <w:sz w:val="24"/>
                <w:szCs w:val="24"/>
                <w:highlight w:val="none"/>
                <w:lang w:val="en-US"/>
              </w:rPr>
            </w:pPr>
            <w:r>
              <w:rPr>
                <w:rFonts w:ascii="宋体" w:hAnsi="宋体" w:eastAsia="宋体" w:cs="宋体"/>
                <w:color w:val="auto"/>
                <w:sz w:val="24"/>
                <w:szCs w:val="24"/>
              </w:rPr>
              <w:t>第五十九条</w:t>
            </w:r>
            <w:r>
              <w:rPr>
                <w:rFonts w:hint="eastAsia" w:ascii="宋体" w:hAnsi="宋体" w:cs="宋体"/>
                <w:color w:val="auto"/>
                <w:sz w:val="24"/>
                <w:szCs w:val="24"/>
                <w:lang w:val="en-US" w:eastAsia="zh-CN"/>
              </w:rPr>
              <w:t xml:space="preserve">第二款 </w:t>
            </w:r>
            <w:r>
              <w:rPr>
                <w:rFonts w:ascii="宋体" w:hAnsi="宋体" w:eastAsia="宋体" w:cs="宋体"/>
                <w:i w:val="0"/>
                <w:iCs w:val="0"/>
                <w:caps w:val="0"/>
                <w:color w:val="auto"/>
                <w:spacing w:val="0"/>
                <w:sz w:val="24"/>
                <w:szCs w:val="24"/>
                <w:shd w:val="clear" w:color="auto" w:fill="auto"/>
              </w:rPr>
              <w:t>备案时提供虚假信息的，由县级以上地方市场监督管理部门取消备案，处五千元以上三万元以下罚款。</w:t>
            </w:r>
          </w:p>
        </w:tc>
        <w:tc>
          <w:tcPr>
            <w:tcW w:w="1133" w:type="dxa"/>
            <w:tcBorders>
              <w:tl2br w:val="nil"/>
              <w:tr2bl w:val="nil"/>
            </w:tcBorders>
            <w:noWrap w:val="0"/>
            <w:vAlign w:val="center"/>
          </w:tcPr>
          <w:p w14:paraId="6B130FC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5BB42B2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未造成</w:t>
            </w:r>
            <w:r>
              <w:rPr>
                <w:rFonts w:hint="eastAsia" w:ascii="宋体" w:hAnsi="宋体" w:cs="宋体"/>
                <w:color w:val="auto"/>
                <w:kern w:val="0"/>
                <w:sz w:val="24"/>
                <w:szCs w:val="24"/>
                <w:highlight w:val="none"/>
                <w:lang w:val="en-US" w:eastAsia="zh-CN"/>
              </w:rPr>
              <w:t>危害后果</w:t>
            </w:r>
            <w:r>
              <w:rPr>
                <w:rFonts w:hint="eastAsia" w:ascii="宋体" w:hAnsi="宋体" w:eastAsia="宋体" w:cs="宋体"/>
                <w:color w:val="auto"/>
                <w:kern w:val="0"/>
                <w:sz w:val="24"/>
                <w:szCs w:val="24"/>
                <w:highlight w:val="none"/>
              </w:rPr>
              <w:t>的。</w:t>
            </w:r>
          </w:p>
        </w:tc>
        <w:tc>
          <w:tcPr>
            <w:tcW w:w="3267" w:type="dxa"/>
            <w:tcBorders>
              <w:tl2br w:val="nil"/>
              <w:tr2bl w:val="nil"/>
            </w:tcBorders>
            <w:noWrap w:val="0"/>
            <w:vAlign w:val="center"/>
          </w:tcPr>
          <w:p w14:paraId="0E70D45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处5000元以上1.25万元以下罚款。</w:t>
            </w:r>
          </w:p>
        </w:tc>
      </w:tr>
      <w:tr w14:paraId="06ED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787" w:type="dxa"/>
            <w:vMerge w:val="continue"/>
            <w:tcBorders>
              <w:tl2br w:val="nil"/>
              <w:tr2bl w:val="nil"/>
            </w:tcBorders>
            <w:noWrap w:val="0"/>
            <w:vAlign w:val="center"/>
          </w:tcPr>
          <w:p w14:paraId="6BE6826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4DA0485">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3C4A510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ascii="宋体" w:hAnsi="宋体" w:eastAsia="宋体" w:cs="宋体"/>
                <w:color w:val="auto"/>
                <w:sz w:val="24"/>
                <w:szCs w:val="24"/>
              </w:rPr>
            </w:pPr>
          </w:p>
        </w:tc>
        <w:tc>
          <w:tcPr>
            <w:tcW w:w="1133" w:type="dxa"/>
            <w:tcBorders>
              <w:tl2br w:val="nil"/>
              <w:tr2bl w:val="nil"/>
            </w:tcBorders>
            <w:noWrap w:val="0"/>
            <w:vAlign w:val="center"/>
          </w:tcPr>
          <w:p w14:paraId="7E3D4AE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056FD1F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造成</w:t>
            </w:r>
            <w:r>
              <w:rPr>
                <w:rFonts w:hint="eastAsia" w:ascii="宋体" w:hAnsi="宋体" w:cs="宋体"/>
                <w:color w:val="auto"/>
                <w:kern w:val="0"/>
                <w:sz w:val="24"/>
                <w:szCs w:val="24"/>
                <w:highlight w:val="none"/>
                <w:lang w:val="en-US" w:eastAsia="zh-CN"/>
              </w:rPr>
              <w:t>危害后果的。</w:t>
            </w:r>
          </w:p>
        </w:tc>
        <w:tc>
          <w:tcPr>
            <w:tcW w:w="3267" w:type="dxa"/>
            <w:tcBorders>
              <w:tl2br w:val="nil"/>
              <w:tr2bl w:val="nil"/>
            </w:tcBorders>
            <w:noWrap w:val="0"/>
            <w:vAlign w:val="center"/>
          </w:tcPr>
          <w:p w14:paraId="56B2625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ascii="宋体" w:hAnsi="宋体" w:eastAsia="宋体" w:cs="宋体"/>
                <w:color w:val="auto"/>
                <w:sz w:val="24"/>
                <w:szCs w:val="24"/>
              </w:rPr>
            </w:pPr>
            <w:r>
              <w:rPr>
                <w:rFonts w:hint="eastAsia" w:ascii="宋体" w:hAnsi="宋体" w:cs="宋体"/>
                <w:color w:val="auto"/>
                <w:sz w:val="24"/>
                <w:szCs w:val="24"/>
                <w:lang w:val="en-US" w:eastAsia="zh-CN"/>
              </w:rPr>
              <w:t>处1.25万元以上2.25万元以下罚款。</w:t>
            </w:r>
          </w:p>
        </w:tc>
      </w:tr>
      <w:tr w14:paraId="3F12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787" w:type="dxa"/>
            <w:vMerge w:val="continue"/>
            <w:tcBorders>
              <w:tl2br w:val="nil"/>
              <w:tr2bl w:val="nil"/>
            </w:tcBorders>
            <w:noWrap w:val="0"/>
            <w:vAlign w:val="center"/>
          </w:tcPr>
          <w:p w14:paraId="1B197E9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170805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03CE17E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ascii="宋体" w:hAnsi="宋体" w:eastAsia="宋体" w:cs="宋体"/>
                <w:color w:val="auto"/>
                <w:sz w:val="24"/>
                <w:szCs w:val="24"/>
              </w:rPr>
            </w:pPr>
          </w:p>
        </w:tc>
        <w:tc>
          <w:tcPr>
            <w:tcW w:w="1133" w:type="dxa"/>
            <w:tcBorders>
              <w:tl2br w:val="nil"/>
              <w:tr2bl w:val="nil"/>
            </w:tcBorders>
            <w:noWrap w:val="0"/>
            <w:vAlign w:val="center"/>
          </w:tcPr>
          <w:p w14:paraId="290991D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0A32F2A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造成</w:t>
            </w:r>
            <w:r>
              <w:rPr>
                <w:rFonts w:hint="eastAsia" w:ascii="宋体" w:hAnsi="宋体" w:cs="宋体"/>
                <w:color w:val="auto"/>
                <w:kern w:val="0"/>
                <w:sz w:val="24"/>
                <w:szCs w:val="24"/>
                <w:highlight w:val="none"/>
                <w:lang w:val="en-US" w:eastAsia="zh-CN"/>
              </w:rPr>
              <w:t>严重危害后果的</w:t>
            </w:r>
            <w:r>
              <w:rPr>
                <w:rFonts w:hint="eastAsia" w:ascii="宋体" w:hAnsi="宋体" w:eastAsia="宋体" w:cs="宋体"/>
                <w:color w:val="auto"/>
                <w:kern w:val="0"/>
                <w:sz w:val="24"/>
                <w:szCs w:val="24"/>
                <w:highlight w:val="none"/>
              </w:rPr>
              <w:t>。</w:t>
            </w:r>
          </w:p>
        </w:tc>
        <w:tc>
          <w:tcPr>
            <w:tcW w:w="3267" w:type="dxa"/>
            <w:tcBorders>
              <w:tl2br w:val="nil"/>
              <w:tr2bl w:val="nil"/>
            </w:tcBorders>
            <w:noWrap w:val="0"/>
            <w:vAlign w:val="center"/>
          </w:tcPr>
          <w:p w14:paraId="2DBD0C7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ascii="宋体" w:hAnsi="宋体" w:eastAsia="宋体" w:cs="宋体"/>
                <w:color w:val="auto"/>
                <w:sz w:val="24"/>
                <w:szCs w:val="24"/>
              </w:rPr>
            </w:pPr>
            <w:r>
              <w:rPr>
                <w:rFonts w:hint="eastAsia" w:ascii="宋体" w:hAnsi="宋体" w:cs="宋体"/>
                <w:color w:val="auto"/>
                <w:sz w:val="24"/>
                <w:szCs w:val="24"/>
                <w:lang w:val="en-US" w:eastAsia="zh-CN"/>
              </w:rPr>
              <w:t>处2.25万元以上3万元以下罚款。</w:t>
            </w:r>
          </w:p>
        </w:tc>
      </w:tr>
      <w:tr w14:paraId="165C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787" w:type="dxa"/>
            <w:vMerge w:val="restart"/>
            <w:tcBorders>
              <w:tl2br w:val="nil"/>
              <w:tr2bl w:val="nil"/>
            </w:tcBorders>
            <w:noWrap w:val="0"/>
            <w:vAlign w:val="center"/>
          </w:tcPr>
          <w:p w14:paraId="7D6F085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281</w:t>
            </w:r>
          </w:p>
        </w:tc>
        <w:tc>
          <w:tcPr>
            <w:tcW w:w="1718" w:type="dxa"/>
            <w:vMerge w:val="restart"/>
            <w:tcBorders>
              <w:tl2br w:val="nil"/>
              <w:tr2bl w:val="nil"/>
            </w:tcBorders>
            <w:noWrap w:val="0"/>
            <w:vAlign w:val="center"/>
          </w:tcPr>
          <w:p w14:paraId="143852F1">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outlineLvl w:val="2"/>
              <w:rPr>
                <w:rFonts w:hint="eastAsia" w:ascii="宋体" w:hAnsi="宋体" w:eastAsia="宋体" w:cs="宋体"/>
                <w:b/>
                <w:bCs/>
                <w:color w:val="auto"/>
                <w:kern w:val="0"/>
                <w:sz w:val="24"/>
                <w:szCs w:val="24"/>
                <w:highlight w:val="none"/>
              </w:rPr>
            </w:pPr>
            <w:bookmarkStart w:id="322" w:name="_Toc26737"/>
            <w:bookmarkStart w:id="323" w:name="_Toc16641"/>
            <w:bookmarkStart w:id="324" w:name="_Toc6849"/>
            <w:bookmarkStart w:id="325" w:name="_Toc14050"/>
            <w:r>
              <w:rPr>
                <w:rFonts w:hint="eastAsia" w:ascii="宋体" w:hAnsi="宋体" w:eastAsia="宋体" w:cs="宋体"/>
                <w:i w:val="0"/>
                <w:color w:val="auto"/>
                <w:kern w:val="0"/>
                <w:sz w:val="24"/>
                <w:szCs w:val="24"/>
                <w:highlight w:val="none"/>
                <w:u w:val="none"/>
                <w:lang w:val="en-US" w:eastAsia="zh-CN" w:bidi="ar"/>
              </w:rPr>
              <w:t>《食品相关产品质量安全监督管理暂行办法》（2023年3月1日</w:t>
            </w:r>
            <w:r>
              <w:rPr>
                <w:rFonts w:hint="eastAsia" w:ascii="宋体" w:hAnsi="宋体" w:cs="宋体"/>
                <w:i w:val="0"/>
                <w:color w:val="auto"/>
                <w:kern w:val="0"/>
                <w:sz w:val="24"/>
                <w:szCs w:val="24"/>
                <w:highlight w:val="none"/>
                <w:u w:val="none"/>
                <w:lang w:val="en-US" w:eastAsia="zh-CN" w:bidi="ar"/>
              </w:rPr>
              <w:t>起施行</w:t>
            </w:r>
            <w:r>
              <w:rPr>
                <w:rFonts w:hint="eastAsia" w:ascii="宋体" w:hAnsi="宋体" w:eastAsia="宋体" w:cs="宋体"/>
                <w:i w:val="0"/>
                <w:color w:val="auto"/>
                <w:kern w:val="0"/>
                <w:sz w:val="24"/>
                <w:szCs w:val="24"/>
                <w:highlight w:val="none"/>
                <w:u w:val="none"/>
                <w:lang w:val="en-US" w:eastAsia="zh-CN" w:bidi="ar"/>
              </w:rPr>
              <w:t>）</w:t>
            </w:r>
            <w:bookmarkEnd w:id="322"/>
            <w:bookmarkEnd w:id="323"/>
            <w:bookmarkEnd w:id="324"/>
            <w:bookmarkEnd w:id="325"/>
          </w:p>
        </w:tc>
        <w:tc>
          <w:tcPr>
            <w:tcW w:w="4132" w:type="dxa"/>
            <w:vMerge w:val="restart"/>
            <w:tcBorders>
              <w:tl2br w:val="nil"/>
              <w:tr2bl w:val="nil"/>
            </w:tcBorders>
            <w:noWrap w:val="0"/>
            <w:vAlign w:val="center"/>
          </w:tcPr>
          <w:p w14:paraId="6DA107B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cs="宋体"/>
                <w:color w:val="auto"/>
                <w:kern w:val="0"/>
                <w:sz w:val="24"/>
                <w:highlight w:val="none"/>
              </w:rPr>
              <w:t>第三十五条 违反本办法第六条第一项规定，使用不符合食品安全标准及相关公告的原辅料和添加剂，以及其他可能危害人体健康的物质作为原辅料生产食品相关产品，或者超范围、超限量使用添加剂生产食品相关产品的，处十万元以下罚款；情节严重的，处二十万元以下罚款。</w:t>
            </w:r>
          </w:p>
        </w:tc>
        <w:tc>
          <w:tcPr>
            <w:tcW w:w="1133" w:type="dxa"/>
            <w:tcBorders>
              <w:tl2br w:val="nil"/>
              <w:tr2bl w:val="nil"/>
            </w:tcBorders>
            <w:noWrap w:val="0"/>
            <w:vAlign w:val="center"/>
          </w:tcPr>
          <w:p w14:paraId="407D358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41AAA39A">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违法生产销售的食品相关产品货值金额5000元以下的</w:t>
            </w:r>
            <w:r>
              <w:rPr>
                <w:rFonts w:hint="eastAsia" w:ascii="宋体" w:hAnsi="宋体" w:cs="宋体"/>
                <w:i w:val="0"/>
                <w:color w:val="auto"/>
                <w:kern w:val="0"/>
                <w:sz w:val="24"/>
                <w:szCs w:val="24"/>
                <w:highlight w:val="none"/>
                <w:u w:val="none"/>
                <w:lang w:val="en-US" w:eastAsia="zh-CN" w:bidi="ar"/>
              </w:rPr>
              <w:t>。</w:t>
            </w:r>
          </w:p>
        </w:tc>
        <w:tc>
          <w:tcPr>
            <w:tcW w:w="3267" w:type="dxa"/>
            <w:tcBorders>
              <w:tl2br w:val="nil"/>
              <w:tr2bl w:val="nil"/>
            </w:tcBorders>
            <w:noWrap w:val="0"/>
            <w:vAlign w:val="center"/>
          </w:tcPr>
          <w:p w14:paraId="277B5D2E">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处3万元以下罚款</w:t>
            </w:r>
            <w:r>
              <w:rPr>
                <w:rFonts w:hint="eastAsia" w:ascii="宋体" w:hAnsi="宋体" w:cs="宋体"/>
                <w:i w:val="0"/>
                <w:color w:val="auto"/>
                <w:kern w:val="0"/>
                <w:sz w:val="24"/>
                <w:szCs w:val="24"/>
                <w:highlight w:val="none"/>
                <w:u w:val="none"/>
                <w:lang w:val="en-US" w:eastAsia="zh-CN" w:bidi="ar"/>
              </w:rPr>
              <w:t>。</w:t>
            </w:r>
          </w:p>
        </w:tc>
      </w:tr>
      <w:tr w14:paraId="7DAF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787" w:type="dxa"/>
            <w:vMerge w:val="continue"/>
            <w:tcBorders>
              <w:tl2br w:val="nil"/>
              <w:tr2bl w:val="nil"/>
            </w:tcBorders>
            <w:noWrap w:val="0"/>
            <w:vAlign w:val="center"/>
          </w:tcPr>
          <w:p w14:paraId="32BFD19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C6150CB">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i w:val="0"/>
                <w:color w:val="auto"/>
                <w:kern w:val="0"/>
                <w:sz w:val="24"/>
                <w:szCs w:val="24"/>
                <w:highlight w:val="none"/>
                <w:u w:val="none"/>
                <w:lang w:val="en-US" w:eastAsia="zh-CN" w:bidi="ar"/>
              </w:rPr>
            </w:pPr>
          </w:p>
        </w:tc>
        <w:tc>
          <w:tcPr>
            <w:tcW w:w="4132" w:type="dxa"/>
            <w:vMerge w:val="continue"/>
            <w:tcBorders>
              <w:tl2br w:val="nil"/>
              <w:tr2bl w:val="nil"/>
            </w:tcBorders>
            <w:noWrap w:val="0"/>
            <w:vAlign w:val="center"/>
          </w:tcPr>
          <w:p w14:paraId="3AE6DBC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cs="宋体"/>
                <w:color w:val="auto"/>
                <w:kern w:val="0"/>
                <w:sz w:val="24"/>
                <w:highlight w:val="none"/>
              </w:rPr>
            </w:pPr>
          </w:p>
        </w:tc>
        <w:tc>
          <w:tcPr>
            <w:tcW w:w="1133" w:type="dxa"/>
            <w:tcBorders>
              <w:tl2br w:val="nil"/>
              <w:tr2bl w:val="nil"/>
            </w:tcBorders>
            <w:noWrap w:val="0"/>
            <w:vAlign w:val="center"/>
          </w:tcPr>
          <w:p w14:paraId="19D9036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0CAD6908">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违法生产销售的食品相关产品货值金额5000元以上2万元以下的</w:t>
            </w:r>
            <w:r>
              <w:rPr>
                <w:rFonts w:hint="eastAsia" w:ascii="宋体" w:hAnsi="宋体" w:cs="宋体"/>
                <w:i w:val="0"/>
                <w:color w:val="auto"/>
                <w:kern w:val="0"/>
                <w:sz w:val="24"/>
                <w:szCs w:val="24"/>
                <w:highlight w:val="none"/>
                <w:u w:val="none"/>
                <w:lang w:val="en-US" w:eastAsia="zh-CN" w:bidi="ar"/>
              </w:rPr>
              <w:t>。</w:t>
            </w:r>
          </w:p>
        </w:tc>
        <w:tc>
          <w:tcPr>
            <w:tcW w:w="3267" w:type="dxa"/>
            <w:tcBorders>
              <w:tl2br w:val="nil"/>
              <w:tr2bl w:val="nil"/>
            </w:tcBorders>
            <w:noWrap w:val="0"/>
            <w:vAlign w:val="center"/>
          </w:tcPr>
          <w:p w14:paraId="1BA9157D">
            <w:pPr>
              <w:keepNext w:val="0"/>
              <w:keepLines w:val="0"/>
              <w:widowControl/>
              <w:suppressLineNumbers w:val="0"/>
              <w:spacing w:line="400" w:lineRule="exact"/>
              <w:jc w:val="left"/>
              <w:textAlignment w:val="auto"/>
              <w:rPr>
                <w:rFonts w:hint="eastAsia" w:ascii="宋体" w:hAnsi="宋体" w:eastAsia="宋体" w:cs="宋体"/>
                <w:i w:val="0"/>
                <w:color w:val="auto"/>
                <w:spacing w:val="-6"/>
                <w:kern w:val="0"/>
                <w:sz w:val="24"/>
                <w:szCs w:val="24"/>
                <w:highlight w:val="none"/>
                <w:u w:val="none"/>
                <w:lang w:val="en-US" w:eastAsia="zh-CN" w:bidi="ar"/>
              </w:rPr>
            </w:pPr>
            <w:r>
              <w:rPr>
                <w:rFonts w:hint="eastAsia" w:ascii="宋体" w:hAnsi="宋体" w:eastAsia="宋体" w:cs="宋体"/>
                <w:i w:val="0"/>
                <w:color w:val="auto"/>
                <w:spacing w:val="-6"/>
                <w:kern w:val="0"/>
                <w:sz w:val="24"/>
                <w:szCs w:val="24"/>
                <w:highlight w:val="none"/>
                <w:u w:val="none"/>
                <w:lang w:val="en-US" w:eastAsia="zh-CN" w:bidi="ar"/>
              </w:rPr>
              <w:t>处3万元以上7万元以下罚款</w:t>
            </w:r>
            <w:r>
              <w:rPr>
                <w:rFonts w:hint="eastAsia" w:ascii="宋体" w:hAnsi="宋体" w:cs="宋体"/>
                <w:i w:val="0"/>
                <w:color w:val="auto"/>
                <w:spacing w:val="-6"/>
                <w:kern w:val="0"/>
                <w:sz w:val="24"/>
                <w:szCs w:val="24"/>
                <w:highlight w:val="none"/>
                <w:u w:val="none"/>
                <w:lang w:val="en-US" w:eastAsia="zh-CN" w:bidi="ar"/>
              </w:rPr>
              <w:t>。</w:t>
            </w:r>
          </w:p>
        </w:tc>
      </w:tr>
      <w:tr w14:paraId="1393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787" w:type="dxa"/>
            <w:vMerge w:val="continue"/>
            <w:tcBorders>
              <w:tl2br w:val="nil"/>
              <w:tr2bl w:val="nil"/>
            </w:tcBorders>
            <w:noWrap w:val="0"/>
            <w:vAlign w:val="center"/>
          </w:tcPr>
          <w:p w14:paraId="2BB22B1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F33F9A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i w:val="0"/>
                <w:color w:val="auto"/>
                <w:kern w:val="0"/>
                <w:sz w:val="24"/>
                <w:szCs w:val="24"/>
                <w:highlight w:val="none"/>
                <w:u w:val="none"/>
                <w:lang w:val="en-US" w:eastAsia="zh-CN" w:bidi="ar"/>
              </w:rPr>
            </w:pPr>
          </w:p>
        </w:tc>
        <w:tc>
          <w:tcPr>
            <w:tcW w:w="4132" w:type="dxa"/>
            <w:vMerge w:val="continue"/>
            <w:tcBorders>
              <w:tl2br w:val="nil"/>
              <w:tr2bl w:val="nil"/>
            </w:tcBorders>
            <w:noWrap w:val="0"/>
            <w:vAlign w:val="center"/>
          </w:tcPr>
          <w:p w14:paraId="40B35B7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cs="宋体"/>
                <w:color w:val="auto"/>
                <w:kern w:val="0"/>
                <w:sz w:val="24"/>
                <w:highlight w:val="none"/>
              </w:rPr>
            </w:pPr>
          </w:p>
        </w:tc>
        <w:tc>
          <w:tcPr>
            <w:tcW w:w="1133" w:type="dxa"/>
            <w:tcBorders>
              <w:tl2br w:val="nil"/>
              <w:tr2bl w:val="nil"/>
            </w:tcBorders>
            <w:noWrap w:val="0"/>
            <w:vAlign w:val="center"/>
          </w:tcPr>
          <w:p w14:paraId="5F74816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5CE8A59B">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违法生产销售的食品相关产品货值金额2万元以上</w:t>
            </w:r>
            <w:r>
              <w:rPr>
                <w:rFonts w:hint="eastAsia" w:ascii="宋体" w:hAnsi="宋体" w:cs="宋体"/>
                <w:i w:val="0"/>
                <w:color w:val="auto"/>
                <w:kern w:val="0"/>
                <w:sz w:val="24"/>
                <w:szCs w:val="24"/>
                <w:highlight w:val="none"/>
                <w:u w:val="none"/>
                <w:lang w:val="en-US" w:eastAsia="zh-CN" w:bidi="ar"/>
              </w:rPr>
              <w:t>。</w:t>
            </w:r>
          </w:p>
        </w:tc>
        <w:tc>
          <w:tcPr>
            <w:tcW w:w="3267" w:type="dxa"/>
            <w:tcBorders>
              <w:tl2br w:val="nil"/>
              <w:tr2bl w:val="nil"/>
            </w:tcBorders>
            <w:noWrap w:val="0"/>
            <w:vAlign w:val="center"/>
          </w:tcPr>
          <w:p w14:paraId="2D9D778A">
            <w:pPr>
              <w:keepNext w:val="0"/>
              <w:keepLines w:val="0"/>
              <w:widowControl/>
              <w:suppressLineNumbers w:val="0"/>
              <w:spacing w:line="400" w:lineRule="exact"/>
              <w:jc w:val="left"/>
              <w:textAlignment w:val="auto"/>
              <w:rPr>
                <w:rFonts w:hint="eastAsia" w:ascii="宋体" w:hAnsi="宋体" w:eastAsia="宋体" w:cs="宋体"/>
                <w:i w:val="0"/>
                <w:color w:val="auto"/>
                <w:spacing w:val="-6"/>
                <w:kern w:val="0"/>
                <w:sz w:val="24"/>
                <w:szCs w:val="24"/>
                <w:highlight w:val="none"/>
                <w:u w:val="none"/>
                <w:lang w:val="en-US" w:eastAsia="zh-CN" w:bidi="ar"/>
              </w:rPr>
            </w:pPr>
            <w:r>
              <w:rPr>
                <w:rFonts w:hint="eastAsia" w:ascii="宋体" w:hAnsi="宋体" w:eastAsia="宋体" w:cs="宋体"/>
                <w:i w:val="0"/>
                <w:color w:val="auto"/>
                <w:spacing w:val="-6"/>
                <w:kern w:val="0"/>
                <w:sz w:val="24"/>
                <w:szCs w:val="24"/>
                <w:highlight w:val="none"/>
                <w:u w:val="none"/>
                <w:lang w:val="en-US" w:eastAsia="zh-CN" w:bidi="ar"/>
              </w:rPr>
              <w:t>处7万元以上10万元以下罚款</w:t>
            </w:r>
            <w:r>
              <w:rPr>
                <w:rFonts w:hint="eastAsia" w:ascii="宋体" w:hAnsi="宋体" w:cs="宋体"/>
                <w:i w:val="0"/>
                <w:color w:val="auto"/>
                <w:spacing w:val="-6"/>
                <w:kern w:val="0"/>
                <w:sz w:val="24"/>
                <w:szCs w:val="24"/>
                <w:highlight w:val="none"/>
                <w:u w:val="none"/>
                <w:lang w:val="en-US" w:eastAsia="zh-CN" w:bidi="ar"/>
              </w:rPr>
              <w:t>。</w:t>
            </w:r>
          </w:p>
        </w:tc>
      </w:tr>
      <w:tr w14:paraId="7AAC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787" w:type="dxa"/>
            <w:vMerge w:val="continue"/>
            <w:tcBorders>
              <w:tl2br w:val="nil"/>
              <w:tr2bl w:val="nil"/>
            </w:tcBorders>
            <w:noWrap w:val="0"/>
            <w:vAlign w:val="center"/>
          </w:tcPr>
          <w:p w14:paraId="365DD22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4DD3FC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i w:val="0"/>
                <w:color w:val="auto"/>
                <w:kern w:val="0"/>
                <w:sz w:val="24"/>
                <w:szCs w:val="24"/>
                <w:highlight w:val="none"/>
                <w:u w:val="none"/>
                <w:lang w:val="en-US" w:eastAsia="zh-CN" w:bidi="ar"/>
              </w:rPr>
            </w:pPr>
          </w:p>
        </w:tc>
        <w:tc>
          <w:tcPr>
            <w:tcW w:w="4132" w:type="dxa"/>
            <w:vMerge w:val="continue"/>
            <w:tcBorders>
              <w:tl2br w:val="nil"/>
              <w:tr2bl w:val="nil"/>
            </w:tcBorders>
            <w:noWrap w:val="0"/>
            <w:vAlign w:val="center"/>
          </w:tcPr>
          <w:p w14:paraId="0FDC929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cs="宋体"/>
                <w:color w:val="auto"/>
                <w:kern w:val="0"/>
                <w:sz w:val="24"/>
                <w:highlight w:val="none"/>
              </w:rPr>
            </w:pPr>
          </w:p>
        </w:tc>
        <w:tc>
          <w:tcPr>
            <w:tcW w:w="1133" w:type="dxa"/>
            <w:tcBorders>
              <w:tl2br w:val="nil"/>
              <w:tr2bl w:val="nil"/>
            </w:tcBorders>
            <w:noWrap w:val="0"/>
            <w:vAlign w:val="center"/>
          </w:tcPr>
          <w:p w14:paraId="37778B8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严重</w:t>
            </w:r>
          </w:p>
        </w:tc>
        <w:tc>
          <w:tcPr>
            <w:tcW w:w="3316" w:type="dxa"/>
            <w:tcBorders>
              <w:tl2br w:val="nil"/>
              <w:tr2bl w:val="nil"/>
            </w:tcBorders>
            <w:noWrap w:val="0"/>
            <w:vAlign w:val="center"/>
          </w:tcPr>
          <w:p w14:paraId="4F6C7C5E">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b w:val="0"/>
                <w:bCs w:val="0"/>
                <w:color w:val="auto"/>
                <w:spacing w:val="0"/>
                <w:kern w:val="21"/>
                <w:sz w:val="24"/>
                <w:szCs w:val="24"/>
                <w:lang w:val="en-US" w:eastAsia="zh-CN"/>
              </w:rPr>
              <w:t>情节严重的</w:t>
            </w:r>
            <w:r>
              <w:rPr>
                <w:rFonts w:hint="eastAsia" w:ascii="宋体" w:hAnsi="宋体" w:eastAsia="宋体" w:cs="宋体"/>
                <w:color w:val="auto"/>
                <w:kern w:val="0"/>
                <w:sz w:val="24"/>
                <w:szCs w:val="24"/>
                <w:highlight w:val="none"/>
              </w:rPr>
              <w:t>。</w:t>
            </w:r>
          </w:p>
        </w:tc>
        <w:tc>
          <w:tcPr>
            <w:tcW w:w="3267" w:type="dxa"/>
            <w:tcBorders>
              <w:tl2br w:val="nil"/>
              <w:tr2bl w:val="nil"/>
            </w:tcBorders>
            <w:noWrap w:val="0"/>
            <w:vAlign w:val="center"/>
          </w:tcPr>
          <w:p w14:paraId="1BF2DAD9">
            <w:pPr>
              <w:keepNext w:val="0"/>
              <w:keepLines w:val="0"/>
              <w:widowControl/>
              <w:suppressLineNumbers w:val="0"/>
              <w:spacing w:line="400" w:lineRule="exact"/>
              <w:jc w:val="left"/>
              <w:textAlignment w:val="auto"/>
              <w:rPr>
                <w:rFonts w:hint="eastAsia" w:ascii="宋体" w:hAnsi="宋体" w:eastAsia="宋体" w:cs="宋体"/>
                <w:i w:val="0"/>
                <w:color w:val="auto"/>
                <w:spacing w:val="-6"/>
                <w:kern w:val="0"/>
                <w:sz w:val="24"/>
                <w:szCs w:val="24"/>
                <w:highlight w:val="none"/>
                <w:u w:val="none"/>
                <w:lang w:val="en-US" w:eastAsia="zh-CN" w:bidi="ar"/>
              </w:rPr>
            </w:pPr>
            <w:r>
              <w:rPr>
                <w:rFonts w:hint="eastAsia" w:ascii="宋体" w:hAnsi="宋体" w:eastAsia="宋体" w:cs="宋体"/>
                <w:i w:val="0"/>
                <w:color w:val="auto"/>
                <w:spacing w:val="-6"/>
                <w:kern w:val="0"/>
                <w:sz w:val="24"/>
                <w:szCs w:val="24"/>
                <w:highlight w:val="none"/>
                <w:u w:val="none"/>
                <w:lang w:val="en-US" w:eastAsia="zh-CN" w:bidi="ar"/>
              </w:rPr>
              <w:t>处1</w:t>
            </w:r>
            <w:r>
              <w:rPr>
                <w:rFonts w:hint="eastAsia" w:ascii="宋体" w:hAnsi="宋体" w:eastAsia="宋体" w:cs="宋体"/>
                <w:i w:val="0"/>
                <w:color w:val="auto"/>
                <w:spacing w:val="6"/>
                <w:kern w:val="0"/>
                <w:sz w:val="24"/>
                <w:szCs w:val="24"/>
                <w:highlight w:val="none"/>
                <w:u w:val="none"/>
                <w:lang w:val="en-US" w:eastAsia="zh-CN" w:bidi="ar"/>
              </w:rPr>
              <w:t>0万元以上20万元以下罚款。</w:t>
            </w:r>
          </w:p>
        </w:tc>
      </w:tr>
      <w:tr w14:paraId="2242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787" w:type="dxa"/>
            <w:vMerge w:val="restart"/>
            <w:tcBorders>
              <w:tl2br w:val="nil"/>
              <w:tr2bl w:val="nil"/>
            </w:tcBorders>
            <w:noWrap w:val="0"/>
            <w:vAlign w:val="center"/>
          </w:tcPr>
          <w:p w14:paraId="65F9F32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282</w:t>
            </w:r>
          </w:p>
        </w:tc>
        <w:tc>
          <w:tcPr>
            <w:tcW w:w="1718" w:type="dxa"/>
            <w:vMerge w:val="restart"/>
            <w:tcBorders>
              <w:tl2br w:val="nil"/>
              <w:tr2bl w:val="nil"/>
            </w:tcBorders>
            <w:noWrap w:val="0"/>
            <w:vAlign w:val="center"/>
          </w:tcPr>
          <w:p w14:paraId="056ED01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r>
              <w:rPr>
                <w:rFonts w:hint="eastAsia" w:ascii="宋体" w:hAnsi="宋体" w:eastAsia="宋体" w:cs="宋体"/>
                <w:i w:val="0"/>
                <w:color w:val="auto"/>
                <w:kern w:val="0"/>
                <w:sz w:val="24"/>
                <w:szCs w:val="24"/>
                <w:highlight w:val="none"/>
                <w:u w:val="none"/>
                <w:lang w:val="en-US" w:eastAsia="zh-CN" w:bidi="ar"/>
              </w:rPr>
              <w:t>《食品相关产品质量安全监督管理暂行办法》</w:t>
            </w:r>
          </w:p>
        </w:tc>
        <w:tc>
          <w:tcPr>
            <w:tcW w:w="4132" w:type="dxa"/>
            <w:vMerge w:val="restart"/>
            <w:tcBorders>
              <w:tl2br w:val="nil"/>
              <w:tr2bl w:val="nil"/>
            </w:tcBorders>
            <w:noWrap w:val="0"/>
            <w:vAlign w:val="center"/>
          </w:tcPr>
          <w:p w14:paraId="7F99B84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i w:val="0"/>
                <w:color w:val="auto"/>
                <w:kern w:val="0"/>
                <w:sz w:val="24"/>
                <w:szCs w:val="24"/>
                <w:highlight w:val="none"/>
                <w:u w:val="none"/>
                <w:lang w:val="en-US" w:eastAsia="zh-CN" w:bidi="ar"/>
              </w:rPr>
              <w:t>第三十六条 违反本办法规定，有下列情形之一的，责令限期改正；逾期不改或者改正后仍然不符合要求的，处三万元以下罚款；情节严重的，处五万元以下罚款</w:t>
            </w:r>
            <w:r>
              <w:rPr>
                <w:rFonts w:hint="eastAsia" w:ascii="宋体" w:hAnsi="宋体" w:cs="宋体"/>
                <w:i w:val="0"/>
                <w:color w:val="auto"/>
                <w:kern w:val="0"/>
                <w:sz w:val="24"/>
                <w:szCs w:val="24"/>
                <w:highlight w:val="none"/>
                <w:u w:val="none"/>
                <w:lang w:val="en-US" w:eastAsia="zh-CN" w:bidi="ar"/>
              </w:rPr>
              <w:t>。</w:t>
            </w:r>
          </w:p>
        </w:tc>
        <w:tc>
          <w:tcPr>
            <w:tcW w:w="1133" w:type="dxa"/>
            <w:tcBorders>
              <w:tl2br w:val="nil"/>
              <w:tr2bl w:val="nil"/>
            </w:tcBorders>
            <w:noWrap w:val="0"/>
            <w:vAlign w:val="center"/>
          </w:tcPr>
          <w:p w14:paraId="4F3E46D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4061D5BF">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责令改正期限已满整改未完成，但尚未造成不良影响的。</w:t>
            </w:r>
          </w:p>
        </w:tc>
        <w:tc>
          <w:tcPr>
            <w:tcW w:w="3267" w:type="dxa"/>
            <w:tcBorders>
              <w:tl2br w:val="nil"/>
              <w:tr2bl w:val="nil"/>
            </w:tcBorders>
            <w:noWrap w:val="0"/>
            <w:vAlign w:val="center"/>
          </w:tcPr>
          <w:p w14:paraId="1C64F3FB">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w:t>
            </w:r>
            <w:r>
              <w:rPr>
                <w:rFonts w:hint="eastAsia" w:ascii="宋体" w:hAnsi="宋体" w:cs="宋体"/>
                <w:i w:val="0"/>
                <w:color w:val="auto"/>
                <w:kern w:val="0"/>
                <w:sz w:val="24"/>
                <w:szCs w:val="24"/>
                <w:highlight w:val="none"/>
                <w:u w:val="none"/>
                <w:lang w:val="en-US" w:eastAsia="zh-CN" w:bidi="ar"/>
              </w:rPr>
              <w:t>9000</w:t>
            </w:r>
            <w:r>
              <w:rPr>
                <w:rFonts w:hint="eastAsia" w:ascii="宋体" w:hAnsi="宋体" w:eastAsia="宋体" w:cs="宋体"/>
                <w:i w:val="0"/>
                <w:color w:val="auto"/>
                <w:kern w:val="0"/>
                <w:sz w:val="24"/>
                <w:szCs w:val="24"/>
                <w:highlight w:val="none"/>
                <w:u w:val="none"/>
                <w:lang w:val="en-US" w:eastAsia="zh-CN" w:bidi="ar"/>
              </w:rPr>
              <w:t>元以下罚款。</w:t>
            </w:r>
          </w:p>
        </w:tc>
      </w:tr>
      <w:tr w14:paraId="0E46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787" w:type="dxa"/>
            <w:vMerge w:val="continue"/>
            <w:tcBorders>
              <w:tl2br w:val="nil"/>
              <w:tr2bl w:val="nil"/>
            </w:tcBorders>
            <w:noWrap w:val="0"/>
            <w:vAlign w:val="center"/>
          </w:tcPr>
          <w:p w14:paraId="5DC4F58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66DF1A1">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5A62014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B28BA0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164F52BE">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责令改正期限已满尚未开始进行整改的。</w:t>
            </w:r>
          </w:p>
        </w:tc>
        <w:tc>
          <w:tcPr>
            <w:tcW w:w="3267" w:type="dxa"/>
            <w:tcBorders>
              <w:tl2br w:val="nil"/>
              <w:tr2bl w:val="nil"/>
            </w:tcBorders>
            <w:noWrap w:val="0"/>
            <w:vAlign w:val="center"/>
          </w:tcPr>
          <w:p w14:paraId="48DF2E04">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w:t>
            </w:r>
            <w:r>
              <w:rPr>
                <w:rFonts w:hint="eastAsia" w:ascii="宋体" w:hAnsi="宋体" w:cs="宋体"/>
                <w:i w:val="0"/>
                <w:color w:val="auto"/>
                <w:kern w:val="0"/>
                <w:sz w:val="24"/>
                <w:szCs w:val="24"/>
                <w:highlight w:val="none"/>
                <w:u w:val="none"/>
                <w:lang w:val="en-US" w:eastAsia="zh-CN" w:bidi="ar"/>
              </w:rPr>
              <w:t>9000</w:t>
            </w:r>
            <w:r>
              <w:rPr>
                <w:rFonts w:hint="eastAsia" w:ascii="宋体" w:hAnsi="宋体" w:eastAsia="宋体" w:cs="宋体"/>
                <w:i w:val="0"/>
                <w:color w:val="auto"/>
                <w:kern w:val="0"/>
                <w:sz w:val="24"/>
                <w:szCs w:val="24"/>
                <w:highlight w:val="none"/>
                <w:u w:val="none"/>
                <w:lang w:val="en-US" w:eastAsia="zh-CN" w:bidi="ar"/>
              </w:rPr>
              <w:t>元以上2.1万元以下罚款。</w:t>
            </w:r>
          </w:p>
        </w:tc>
      </w:tr>
      <w:tr w14:paraId="5C7F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787" w:type="dxa"/>
            <w:vMerge w:val="continue"/>
            <w:tcBorders>
              <w:tl2br w:val="nil"/>
              <w:tr2bl w:val="nil"/>
            </w:tcBorders>
            <w:noWrap w:val="0"/>
            <w:vAlign w:val="center"/>
          </w:tcPr>
          <w:p w14:paraId="4949B34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6018964">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6700037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E5D921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664FEA5C">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拒不改正，且已经造成不良影响或者违法行为持续时间较长的。</w:t>
            </w:r>
          </w:p>
        </w:tc>
        <w:tc>
          <w:tcPr>
            <w:tcW w:w="3267" w:type="dxa"/>
            <w:tcBorders>
              <w:tl2br w:val="nil"/>
              <w:tr2bl w:val="nil"/>
            </w:tcBorders>
            <w:noWrap w:val="0"/>
            <w:vAlign w:val="center"/>
          </w:tcPr>
          <w:p w14:paraId="15781BAA">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处2.1万元以上</w:t>
            </w: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万元以下罚款。</w:t>
            </w:r>
          </w:p>
        </w:tc>
      </w:tr>
      <w:tr w14:paraId="56F6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787" w:type="dxa"/>
            <w:vMerge w:val="continue"/>
            <w:tcBorders>
              <w:tl2br w:val="nil"/>
              <w:tr2bl w:val="nil"/>
            </w:tcBorders>
            <w:noWrap w:val="0"/>
            <w:vAlign w:val="center"/>
          </w:tcPr>
          <w:p w14:paraId="6006144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F513F76">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36E2C65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51263A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严重</w:t>
            </w:r>
          </w:p>
        </w:tc>
        <w:tc>
          <w:tcPr>
            <w:tcW w:w="3316" w:type="dxa"/>
            <w:tcBorders>
              <w:tl2br w:val="nil"/>
              <w:tr2bl w:val="nil"/>
            </w:tcBorders>
            <w:noWrap w:val="0"/>
            <w:vAlign w:val="center"/>
          </w:tcPr>
          <w:p w14:paraId="4D9E9F8B">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cs="宋体"/>
                <w:i w:val="0"/>
                <w:color w:val="auto"/>
                <w:kern w:val="0"/>
                <w:sz w:val="24"/>
                <w:szCs w:val="24"/>
                <w:highlight w:val="none"/>
                <w:u w:val="none"/>
                <w:lang w:val="en-US" w:eastAsia="zh-CN" w:bidi="ar"/>
              </w:rPr>
              <w:t>情节严重的</w:t>
            </w:r>
            <w:r>
              <w:rPr>
                <w:rFonts w:hint="eastAsia" w:ascii="宋体" w:hAnsi="宋体" w:eastAsia="宋体" w:cs="宋体"/>
                <w:i w:val="0"/>
                <w:color w:val="auto"/>
                <w:kern w:val="0"/>
                <w:sz w:val="24"/>
                <w:szCs w:val="24"/>
                <w:highlight w:val="none"/>
                <w:u w:val="none"/>
                <w:lang w:val="en-US" w:eastAsia="zh-CN" w:bidi="ar"/>
              </w:rPr>
              <w:t>。</w:t>
            </w:r>
          </w:p>
        </w:tc>
        <w:tc>
          <w:tcPr>
            <w:tcW w:w="3267" w:type="dxa"/>
            <w:tcBorders>
              <w:tl2br w:val="nil"/>
              <w:tr2bl w:val="nil"/>
            </w:tcBorders>
            <w:noWrap w:val="0"/>
            <w:vAlign w:val="center"/>
          </w:tcPr>
          <w:p w14:paraId="4A68BF71">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w:t>
            </w:r>
            <w:r>
              <w:rPr>
                <w:rFonts w:hint="eastAsia" w:ascii="宋体" w:hAnsi="宋体" w:cs="宋体"/>
                <w:i w:val="0"/>
                <w:color w:val="auto"/>
                <w:kern w:val="0"/>
                <w:sz w:val="24"/>
                <w:szCs w:val="24"/>
                <w:highlight w:val="none"/>
                <w:u w:val="none"/>
                <w:lang w:val="en-US" w:eastAsia="zh-CN" w:bidi="ar"/>
              </w:rPr>
              <w:t>3万元以上</w:t>
            </w:r>
            <w:r>
              <w:rPr>
                <w:rFonts w:hint="eastAsia" w:ascii="宋体" w:hAnsi="宋体" w:eastAsia="宋体" w:cs="宋体"/>
                <w:i w:val="0"/>
                <w:color w:val="auto"/>
                <w:kern w:val="0"/>
                <w:sz w:val="24"/>
                <w:szCs w:val="24"/>
                <w:highlight w:val="none"/>
                <w:u w:val="none"/>
                <w:lang w:val="en-US" w:eastAsia="zh-CN" w:bidi="ar"/>
              </w:rPr>
              <w:t>5万元以下罚款。</w:t>
            </w:r>
          </w:p>
        </w:tc>
      </w:tr>
      <w:tr w14:paraId="7501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787" w:type="dxa"/>
            <w:vMerge w:val="restart"/>
            <w:tcBorders>
              <w:tl2br w:val="nil"/>
              <w:tr2bl w:val="nil"/>
            </w:tcBorders>
            <w:noWrap w:val="0"/>
            <w:vAlign w:val="center"/>
          </w:tcPr>
          <w:p w14:paraId="67F408F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283</w:t>
            </w:r>
          </w:p>
        </w:tc>
        <w:tc>
          <w:tcPr>
            <w:tcW w:w="1718" w:type="dxa"/>
            <w:vMerge w:val="restart"/>
            <w:tcBorders>
              <w:tl2br w:val="nil"/>
              <w:tr2bl w:val="nil"/>
            </w:tcBorders>
            <w:noWrap w:val="0"/>
            <w:vAlign w:val="center"/>
          </w:tcPr>
          <w:p w14:paraId="1860307B">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outlineLvl w:val="2"/>
              <w:rPr>
                <w:rFonts w:hint="eastAsia" w:ascii="宋体" w:hAnsi="宋体" w:eastAsia="宋体" w:cs="宋体"/>
                <w:b/>
                <w:bCs/>
                <w:color w:val="auto"/>
                <w:kern w:val="0"/>
                <w:sz w:val="24"/>
                <w:szCs w:val="24"/>
                <w:highlight w:val="none"/>
              </w:rPr>
            </w:pPr>
            <w:bookmarkStart w:id="326" w:name="_Toc26380"/>
            <w:bookmarkStart w:id="327" w:name="_Toc8477"/>
            <w:bookmarkStart w:id="328" w:name="_Toc16421"/>
            <w:bookmarkStart w:id="329" w:name="_Toc13726"/>
            <w:r>
              <w:rPr>
                <w:rFonts w:hint="eastAsia" w:ascii="宋体" w:hAnsi="宋体" w:eastAsia="宋体" w:cs="宋体"/>
                <w:i w:val="0"/>
                <w:color w:val="auto"/>
                <w:kern w:val="0"/>
                <w:sz w:val="24"/>
                <w:szCs w:val="24"/>
                <w:highlight w:val="none"/>
                <w:u w:val="none"/>
                <w:lang w:val="en-US" w:eastAsia="zh-CN" w:bidi="ar"/>
              </w:rPr>
              <w:t>《食用农产品市场销售质量安全监督管理办法》</w:t>
            </w:r>
            <w:r>
              <w:rPr>
                <w:rFonts w:hint="eastAsia" w:ascii="宋体" w:hAnsi="宋体" w:cs="宋体"/>
                <w:i w:val="0"/>
                <w:color w:val="auto"/>
                <w:kern w:val="0"/>
                <w:sz w:val="24"/>
                <w:szCs w:val="24"/>
                <w:highlight w:val="none"/>
                <w:u w:val="none"/>
                <w:lang w:val="en-US" w:eastAsia="zh-CN" w:bidi="ar"/>
              </w:rPr>
              <w:t>（2023年12月1日起施行）</w:t>
            </w:r>
            <w:bookmarkEnd w:id="326"/>
            <w:bookmarkEnd w:id="327"/>
            <w:bookmarkEnd w:id="328"/>
            <w:bookmarkEnd w:id="329"/>
          </w:p>
        </w:tc>
        <w:tc>
          <w:tcPr>
            <w:tcW w:w="4132" w:type="dxa"/>
            <w:vMerge w:val="restart"/>
            <w:tcBorders>
              <w:tl2br w:val="nil"/>
              <w:tr2bl w:val="nil"/>
            </w:tcBorders>
            <w:noWrap w:val="0"/>
            <w:vAlign w:val="center"/>
          </w:tcPr>
          <w:p w14:paraId="528A9AB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eastAsia="zh-CN"/>
              </w:rPr>
            </w:pPr>
            <w:r>
              <w:rPr>
                <w:rFonts w:ascii="宋体" w:hAnsi="宋体" w:eastAsia="宋体" w:cs="宋体"/>
                <w:color w:val="auto"/>
                <w:sz w:val="24"/>
                <w:szCs w:val="24"/>
              </w:rPr>
              <w:t>第三十八条</w:t>
            </w:r>
            <w:r>
              <w:rPr>
                <w:rFonts w:hint="eastAsia" w:ascii="宋体" w:hAnsi="宋体" w:cs="宋体"/>
                <w:color w:val="auto"/>
                <w:sz w:val="24"/>
                <w:szCs w:val="24"/>
                <w:lang w:val="en-US" w:eastAsia="zh-CN"/>
              </w:rPr>
              <w:t xml:space="preserve"> </w:t>
            </w:r>
            <w:r>
              <w:rPr>
                <w:rFonts w:ascii="宋体" w:hAnsi="宋体" w:eastAsia="宋体" w:cs="宋体"/>
                <w:color w:val="auto"/>
                <w:sz w:val="24"/>
                <w:szCs w:val="24"/>
              </w:rPr>
              <w:t>销售者违反本办法第七条第一、二款、第十六条、第十八条规定，食用农产品贮存和运输受托方违反本办法第十七条、第十八条规定，有下列情形之一的，由县级以上市场监督管理部门责令改正，给予警告；拒不改正的，处五千元以上三万元以下罚款</w:t>
            </w:r>
            <w:r>
              <w:rPr>
                <w:rFonts w:hint="eastAsia" w:ascii="宋体" w:hAnsi="宋体" w:cs="宋体"/>
                <w:color w:val="auto"/>
                <w:sz w:val="24"/>
                <w:szCs w:val="24"/>
                <w:lang w:eastAsia="zh-CN"/>
              </w:rPr>
              <w:t>。</w:t>
            </w:r>
          </w:p>
        </w:tc>
        <w:tc>
          <w:tcPr>
            <w:tcW w:w="1133" w:type="dxa"/>
            <w:tcBorders>
              <w:tl2br w:val="nil"/>
              <w:tr2bl w:val="nil"/>
            </w:tcBorders>
            <w:noWrap w:val="0"/>
            <w:vAlign w:val="center"/>
          </w:tcPr>
          <w:p w14:paraId="3424410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10244E2C">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责令改正期限已满整改未完成，但尚未造成不良影响的。</w:t>
            </w:r>
          </w:p>
        </w:tc>
        <w:tc>
          <w:tcPr>
            <w:tcW w:w="3267" w:type="dxa"/>
            <w:tcBorders>
              <w:tl2br w:val="nil"/>
              <w:tr2bl w:val="nil"/>
            </w:tcBorders>
            <w:noWrap w:val="0"/>
            <w:vAlign w:val="center"/>
          </w:tcPr>
          <w:p w14:paraId="28CF2E26">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w:t>
            </w:r>
            <w:r>
              <w:rPr>
                <w:rFonts w:hint="eastAsia" w:ascii="宋体" w:hAnsi="宋体" w:cs="宋体"/>
                <w:i w:val="0"/>
                <w:color w:val="auto"/>
                <w:kern w:val="0"/>
                <w:sz w:val="24"/>
                <w:szCs w:val="24"/>
                <w:highlight w:val="none"/>
                <w:u w:val="none"/>
                <w:lang w:val="en-US" w:eastAsia="zh-CN" w:bidi="ar"/>
              </w:rPr>
              <w:t>5000</w:t>
            </w:r>
            <w:r>
              <w:rPr>
                <w:rFonts w:hint="eastAsia" w:ascii="宋体" w:hAnsi="宋体" w:eastAsia="宋体" w:cs="宋体"/>
                <w:i w:val="0"/>
                <w:color w:val="auto"/>
                <w:kern w:val="0"/>
                <w:sz w:val="24"/>
                <w:szCs w:val="24"/>
                <w:highlight w:val="none"/>
                <w:u w:val="none"/>
                <w:lang w:val="en-US" w:eastAsia="zh-CN" w:bidi="ar"/>
              </w:rPr>
              <w:t>元</w:t>
            </w:r>
            <w:r>
              <w:rPr>
                <w:rFonts w:hint="eastAsia" w:ascii="宋体" w:hAnsi="宋体" w:cs="宋体"/>
                <w:i w:val="0"/>
                <w:color w:val="auto"/>
                <w:kern w:val="0"/>
                <w:sz w:val="24"/>
                <w:szCs w:val="24"/>
                <w:highlight w:val="none"/>
                <w:u w:val="none"/>
                <w:lang w:val="en-US" w:eastAsia="zh-CN" w:bidi="ar"/>
              </w:rPr>
              <w:t>以上1.25万元以下</w:t>
            </w:r>
            <w:r>
              <w:rPr>
                <w:rFonts w:hint="eastAsia" w:ascii="宋体" w:hAnsi="宋体" w:eastAsia="宋体" w:cs="宋体"/>
                <w:i w:val="0"/>
                <w:color w:val="auto"/>
                <w:kern w:val="0"/>
                <w:sz w:val="24"/>
                <w:szCs w:val="24"/>
                <w:highlight w:val="none"/>
                <w:u w:val="none"/>
                <w:lang w:val="en-US" w:eastAsia="zh-CN" w:bidi="ar"/>
              </w:rPr>
              <w:t>罚款。</w:t>
            </w:r>
          </w:p>
        </w:tc>
      </w:tr>
      <w:tr w14:paraId="228B7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787" w:type="dxa"/>
            <w:vMerge w:val="continue"/>
            <w:tcBorders>
              <w:tl2br w:val="nil"/>
              <w:tr2bl w:val="nil"/>
            </w:tcBorders>
            <w:noWrap w:val="0"/>
            <w:vAlign w:val="center"/>
          </w:tcPr>
          <w:p w14:paraId="72EFC67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67231BD">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2A21FE8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0D7199D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4AFFAF09">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责令改正期限已满尚未开始进行整改的。</w:t>
            </w:r>
          </w:p>
        </w:tc>
        <w:tc>
          <w:tcPr>
            <w:tcW w:w="3267" w:type="dxa"/>
            <w:tcBorders>
              <w:tl2br w:val="nil"/>
              <w:tr2bl w:val="nil"/>
            </w:tcBorders>
            <w:noWrap w:val="0"/>
            <w:vAlign w:val="center"/>
          </w:tcPr>
          <w:p w14:paraId="2175D5CF">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w:t>
            </w:r>
            <w:r>
              <w:rPr>
                <w:rFonts w:hint="eastAsia" w:ascii="宋体" w:hAnsi="宋体" w:cs="宋体"/>
                <w:i w:val="0"/>
                <w:color w:val="auto"/>
                <w:kern w:val="0"/>
                <w:sz w:val="24"/>
                <w:szCs w:val="24"/>
                <w:highlight w:val="none"/>
                <w:u w:val="none"/>
                <w:lang w:val="en-US" w:eastAsia="zh-CN" w:bidi="ar"/>
              </w:rPr>
              <w:t>1.25万</w:t>
            </w:r>
            <w:r>
              <w:rPr>
                <w:rFonts w:hint="eastAsia" w:ascii="宋体" w:hAnsi="宋体" w:eastAsia="宋体" w:cs="宋体"/>
                <w:i w:val="0"/>
                <w:color w:val="auto"/>
                <w:kern w:val="0"/>
                <w:sz w:val="24"/>
                <w:szCs w:val="24"/>
                <w:highlight w:val="none"/>
                <w:u w:val="none"/>
                <w:lang w:val="en-US" w:eastAsia="zh-CN" w:bidi="ar"/>
              </w:rPr>
              <w:t>元以上2.</w:t>
            </w:r>
            <w:r>
              <w:rPr>
                <w:rFonts w:hint="eastAsia" w:ascii="宋体" w:hAnsi="宋体" w:cs="宋体"/>
                <w:i w:val="0"/>
                <w:color w:val="auto"/>
                <w:kern w:val="0"/>
                <w:sz w:val="24"/>
                <w:szCs w:val="24"/>
                <w:highlight w:val="none"/>
                <w:u w:val="none"/>
                <w:lang w:val="en-US" w:eastAsia="zh-CN" w:bidi="ar"/>
              </w:rPr>
              <w:t>25</w:t>
            </w:r>
            <w:r>
              <w:rPr>
                <w:rFonts w:hint="eastAsia" w:ascii="宋体" w:hAnsi="宋体" w:eastAsia="宋体" w:cs="宋体"/>
                <w:i w:val="0"/>
                <w:color w:val="auto"/>
                <w:kern w:val="0"/>
                <w:sz w:val="24"/>
                <w:szCs w:val="24"/>
                <w:highlight w:val="none"/>
                <w:u w:val="none"/>
                <w:lang w:val="en-US" w:eastAsia="zh-CN" w:bidi="ar"/>
              </w:rPr>
              <w:t>万元以下罚款。</w:t>
            </w:r>
          </w:p>
        </w:tc>
      </w:tr>
      <w:tr w14:paraId="2C430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87" w:type="dxa"/>
            <w:vMerge w:val="continue"/>
            <w:tcBorders>
              <w:tl2br w:val="nil"/>
              <w:tr2bl w:val="nil"/>
            </w:tcBorders>
            <w:noWrap w:val="0"/>
            <w:vAlign w:val="center"/>
          </w:tcPr>
          <w:p w14:paraId="1668CF0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1E65B3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2775141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87EB34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0380C7DF">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拒不改正，且已经造成不良影响或者违法行为持续时间较长的。</w:t>
            </w:r>
          </w:p>
        </w:tc>
        <w:tc>
          <w:tcPr>
            <w:tcW w:w="3267" w:type="dxa"/>
            <w:tcBorders>
              <w:tl2br w:val="nil"/>
              <w:tr2bl w:val="nil"/>
            </w:tcBorders>
            <w:noWrap w:val="0"/>
            <w:vAlign w:val="center"/>
          </w:tcPr>
          <w:p w14:paraId="40BB3C35">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处2.</w:t>
            </w:r>
            <w:r>
              <w:rPr>
                <w:rFonts w:hint="eastAsia" w:ascii="宋体" w:hAnsi="宋体" w:cs="宋体"/>
                <w:i w:val="0"/>
                <w:color w:val="auto"/>
                <w:kern w:val="0"/>
                <w:sz w:val="24"/>
                <w:szCs w:val="24"/>
                <w:highlight w:val="none"/>
                <w:u w:val="none"/>
                <w:lang w:val="en-US" w:eastAsia="zh-CN" w:bidi="ar"/>
              </w:rPr>
              <w:t>25</w:t>
            </w:r>
            <w:r>
              <w:rPr>
                <w:rFonts w:hint="eastAsia" w:ascii="宋体" w:hAnsi="宋体" w:eastAsia="宋体" w:cs="宋体"/>
                <w:i w:val="0"/>
                <w:color w:val="auto"/>
                <w:kern w:val="0"/>
                <w:sz w:val="24"/>
                <w:szCs w:val="24"/>
                <w:highlight w:val="none"/>
                <w:u w:val="none"/>
                <w:lang w:val="en-US" w:eastAsia="zh-CN" w:bidi="ar"/>
              </w:rPr>
              <w:t>万元以上</w:t>
            </w: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万元以下罚款。</w:t>
            </w:r>
          </w:p>
        </w:tc>
      </w:tr>
      <w:tr w14:paraId="5435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787" w:type="dxa"/>
            <w:vMerge w:val="restart"/>
            <w:tcBorders>
              <w:tl2br w:val="nil"/>
              <w:tr2bl w:val="nil"/>
            </w:tcBorders>
            <w:noWrap w:val="0"/>
            <w:vAlign w:val="center"/>
          </w:tcPr>
          <w:p w14:paraId="740E597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284</w:t>
            </w:r>
          </w:p>
        </w:tc>
        <w:tc>
          <w:tcPr>
            <w:tcW w:w="1718" w:type="dxa"/>
            <w:vMerge w:val="restart"/>
            <w:tcBorders>
              <w:tl2br w:val="nil"/>
              <w:tr2bl w:val="nil"/>
            </w:tcBorders>
            <w:noWrap w:val="0"/>
            <w:vAlign w:val="center"/>
          </w:tcPr>
          <w:p w14:paraId="3A81AEA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r>
              <w:rPr>
                <w:rFonts w:hint="eastAsia" w:ascii="宋体" w:hAnsi="宋体" w:eastAsia="宋体" w:cs="宋体"/>
                <w:i w:val="0"/>
                <w:color w:val="auto"/>
                <w:kern w:val="0"/>
                <w:sz w:val="24"/>
                <w:szCs w:val="24"/>
                <w:highlight w:val="none"/>
                <w:u w:val="none"/>
                <w:lang w:val="en-US" w:eastAsia="zh-CN" w:bidi="ar"/>
              </w:rPr>
              <w:t>《食用农产品市场销售质量安全监督管理办法》</w:t>
            </w:r>
          </w:p>
        </w:tc>
        <w:tc>
          <w:tcPr>
            <w:tcW w:w="4132" w:type="dxa"/>
            <w:vMerge w:val="restart"/>
            <w:tcBorders>
              <w:tl2br w:val="nil"/>
              <w:tr2bl w:val="nil"/>
            </w:tcBorders>
            <w:noWrap w:val="0"/>
            <w:vAlign w:val="center"/>
          </w:tcPr>
          <w:p w14:paraId="7F8AC4E9">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i w:val="0"/>
                <w:color w:val="auto"/>
                <w:kern w:val="0"/>
                <w:sz w:val="24"/>
                <w:szCs w:val="24"/>
                <w:highlight w:val="none"/>
                <w:u w:val="none"/>
                <w:lang w:val="en-US" w:eastAsia="zh-CN" w:bidi="ar"/>
              </w:rPr>
              <w:t>第四十条</w:t>
            </w:r>
            <w:r>
              <w:rPr>
                <w:rFonts w:hint="eastAsia" w:ascii="宋体" w:hAnsi="宋体" w:cs="宋体"/>
                <w:i w:val="0"/>
                <w:color w:val="auto"/>
                <w:kern w:val="0"/>
                <w:sz w:val="24"/>
                <w:szCs w:val="24"/>
                <w:highlight w:val="none"/>
                <w:u w:val="none"/>
                <w:lang w:val="en-US" w:eastAsia="zh-CN" w:bidi="ar"/>
              </w:rPr>
              <w:t xml:space="preserve"> </w:t>
            </w:r>
            <w:r>
              <w:rPr>
                <w:rFonts w:hint="eastAsia" w:ascii="宋体" w:hAnsi="宋体" w:eastAsia="宋体" w:cs="宋体"/>
                <w:i w:val="0"/>
                <w:color w:val="auto"/>
                <w:kern w:val="0"/>
                <w:sz w:val="24"/>
                <w:szCs w:val="24"/>
                <w:highlight w:val="none"/>
                <w:u w:val="none"/>
                <w:lang w:val="en-US" w:eastAsia="zh-CN" w:bidi="ar"/>
              </w:rPr>
              <w:t>销售者违反本办法第十二条、第十三条规定，未按要求标明食用农产品相关信息的，由县级以上市场监督管理部门责令改正；拒不改正的，处二千元以上一万元以下罚款。</w:t>
            </w:r>
          </w:p>
        </w:tc>
        <w:tc>
          <w:tcPr>
            <w:tcW w:w="1133" w:type="dxa"/>
            <w:tcBorders>
              <w:tl2br w:val="nil"/>
              <w:tr2bl w:val="nil"/>
            </w:tcBorders>
            <w:noWrap w:val="0"/>
            <w:vAlign w:val="center"/>
          </w:tcPr>
          <w:p w14:paraId="55539A6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7949A800">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责令改正期限已满整改未完成，但尚未造成不良影响的。</w:t>
            </w:r>
          </w:p>
        </w:tc>
        <w:tc>
          <w:tcPr>
            <w:tcW w:w="3267" w:type="dxa"/>
            <w:tcBorders>
              <w:tl2br w:val="nil"/>
              <w:tr2bl w:val="nil"/>
            </w:tcBorders>
            <w:noWrap w:val="0"/>
            <w:vAlign w:val="center"/>
          </w:tcPr>
          <w:p w14:paraId="03F68587">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w:t>
            </w:r>
            <w:r>
              <w:rPr>
                <w:rFonts w:hint="eastAsia" w:ascii="宋体" w:hAnsi="宋体" w:cs="宋体"/>
                <w:i w:val="0"/>
                <w:color w:val="auto"/>
                <w:kern w:val="0"/>
                <w:sz w:val="24"/>
                <w:szCs w:val="24"/>
                <w:highlight w:val="none"/>
                <w:u w:val="none"/>
                <w:lang w:val="en-US" w:eastAsia="zh-CN" w:bidi="ar"/>
              </w:rPr>
              <w:t>2000</w:t>
            </w:r>
            <w:r>
              <w:rPr>
                <w:rFonts w:hint="eastAsia" w:ascii="宋体" w:hAnsi="宋体" w:eastAsia="宋体" w:cs="宋体"/>
                <w:i w:val="0"/>
                <w:color w:val="auto"/>
                <w:kern w:val="0"/>
                <w:sz w:val="24"/>
                <w:szCs w:val="24"/>
                <w:highlight w:val="none"/>
                <w:u w:val="none"/>
                <w:lang w:val="en-US" w:eastAsia="zh-CN" w:bidi="ar"/>
              </w:rPr>
              <w:t>元</w:t>
            </w:r>
            <w:r>
              <w:rPr>
                <w:rFonts w:hint="eastAsia" w:ascii="宋体" w:hAnsi="宋体" w:cs="宋体"/>
                <w:i w:val="0"/>
                <w:color w:val="auto"/>
                <w:kern w:val="0"/>
                <w:sz w:val="24"/>
                <w:szCs w:val="24"/>
                <w:highlight w:val="none"/>
                <w:u w:val="none"/>
                <w:lang w:val="en-US" w:eastAsia="zh-CN" w:bidi="ar"/>
              </w:rPr>
              <w:t>以上4400元以下</w:t>
            </w:r>
            <w:r>
              <w:rPr>
                <w:rFonts w:hint="eastAsia" w:ascii="宋体" w:hAnsi="宋体" w:eastAsia="宋体" w:cs="宋体"/>
                <w:i w:val="0"/>
                <w:color w:val="auto"/>
                <w:kern w:val="0"/>
                <w:sz w:val="24"/>
                <w:szCs w:val="24"/>
                <w:highlight w:val="none"/>
                <w:u w:val="none"/>
                <w:lang w:val="en-US" w:eastAsia="zh-CN" w:bidi="ar"/>
              </w:rPr>
              <w:t>罚款。</w:t>
            </w:r>
          </w:p>
        </w:tc>
      </w:tr>
      <w:tr w14:paraId="05A3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787" w:type="dxa"/>
            <w:vMerge w:val="continue"/>
            <w:tcBorders>
              <w:tl2br w:val="nil"/>
              <w:tr2bl w:val="nil"/>
            </w:tcBorders>
            <w:noWrap w:val="0"/>
            <w:vAlign w:val="center"/>
          </w:tcPr>
          <w:p w14:paraId="054B494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8EA2805">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696486E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034DE85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6F23B9CF">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责令改正期限已满尚未开始进行整改的。</w:t>
            </w:r>
          </w:p>
        </w:tc>
        <w:tc>
          <w:tcPr>
            <w:tcW w:w="3267" w:type="dxa"/>
            <w:tcBorders>
              <w:tl2br w:val="nil"/>
              <w:tr2bl w:val="nil"/>
            </w:tcBorders>
            <w:noWrap w:val="0"/>
            <w:vAlign w:val="center"/>
          </w:tcPr>
          <w:p w14:paraId="7F684D9C">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w:t>
            </w:r>
            <w:r>
              <w:rPr>
                <w:rFonts w:hint="eastAsia" w:ascii="宋体" w:hAnsi="宋体" w:cs="宋体"/>
                <w:i w:val="0"/>
                <w:color w:val="auto"/>
                <w:kern w:val="0"/>
                <w:sz w:val="24"/>
                <w:szCs w:val="24"/>
                <w:highlight w:val="none"/>
                <w:u w:val="none"/>
                <w:lang w:val="en-US" w:eastAsia="zh-CN" w:bidi="ar"/>
              </w:rPr>
              <w:t>4400</w:t>
            </w:r>
            <w:r>
              <w:rPr>
                <w:rFonts w:hint="eastAsia" w:ascii="宋体" w:hAnsi="宋体" w:eastAsia="宋体" w:cs="宋体"/>
                <w:i w:val="0"/>
                <w:color w:val="auto"/>
                <w:kern w:val="0"/>
                <w:sz w:val="24"/>
                <w:szCs w:val="24"/>
                <w:highlight w:val="none"/>
                <w:u w:val="none"/>
                <w:lang w:val="en-US" w:eastAsia="zh-CN" w:bidi="ar"/>
              </w:rPr>
              <w:t>元以上</w:t>
            </w:r>
            <w:r>
              <w:rPr>
                <w:rFonts w:hint="eastAsia" w:ascii="宋体" w:hAnsi="宋体" w:cs="宋体"/>
                <w:i w:val="0"/>
                <w:color w:val="auto"/>
                <w:kern w:val="0"/>
                <w:sz w:val="24"/>
                <w:szCs w:val="24"/>
                <w:highlight w:val="none"/>
                <w:u w:val="none"/>
                <w:lang w:val="en-US" w:eastAsia="zh-CN" w:bidi="ar"/>
              </w:rPr>
              <w:t>7600</w:t>
            </w:r>
            <w:r>
              <w:rPr>
                <w:rFonts w:hint="eastAsia" w:ascii="宋体" w:hAnsi="宋体" w:eastAsia="宋体" w:cs="宋体"/>
                <w:i w:val="0"/>
                <w:color w:val="auto"/>
                <w:kern w:val="0"/>
                <w:sz w:val="24"/>
                <w:szCs w:val="24"/>
                <w:highlight w:val="none"/>
                <w:u w:val="none"/>
                <w:lang w:val="en-US" w:eastAsia="zh-CN" w:bidi="ar"/>
              </w:rPr>
              <w:t>元以下罚款。</w:t>
            </w:r>
          </w:p>
        </w:tc>
      </w:tr>
      <w:tr w14:paraId="4BB3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787" w:type="dxa"/>
            <w:vMerge w:val="continue"/>
            <w:tcBorders>
              <w:tl2br w:val="nil"/>
              <w:tr2bl w:val="nil"/>
            </w:tcBorders>
            <w:noWrap w:val="0"/>
            <w:vAlign w:val="center"/>
          </w:tcPr>
          <w:p w14:paraId="711B0CE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9C9CCC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DB0102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0E21658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31C7EB42">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拒不改正，且已经造成不良影响或者违法行为持续时间较长的。</w:t>
            </w:r>
          </w:p>
        </w:tc>
        <w:tc>
          <w:tcPr>
            <w:tcW w:w="3267" w:type="dxa"/>
            <w:tcBorders>
              <w:tl2br w:val="nil"/>
              <w:tr2bl w:val="nil"/>
            </w:tcBorders>
            <w:noWrap w:val="0"/>
            <w:vAlign w:val="center"/>
          </w:tcPr>
          <w:p w14:paraId="2C00D9BA">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w:t>
            </w:r>
            <w:r>
              <w:rPr>
                <w:rFonts w:hint="eastAsia" w:ascii="宋体" w:hAnsi="宋体" w:cs="宋体"/>
                <w:i w:val="0"/>
                <w:color w:val="auto"/>
                <w:kern w:val="0"/>
                <w:sz w:val="24"/>
                <w:szCs w:val="24"/>
                <w:highlight w:val="none"/>
                <w:u w:val="none"/>
                <w:lang w:val="en-US" w:eastAsia="zh-CN" w:bidi="ar"/>
              </w:rPr>
              <w:t>7600</w:t>
            </w:r>
            <w:r>
              <w:rPr>
                <w:rFonts w:hint="eastAsia" w:ascii="宋体" w:hAnsi="宋体" w:eastAsia="宋体" w:cs="宋体"/>
                <w:i w:val="0"/>
                <w:color w:val="auto"/>
                <w:kern w:val="0"/>
                <w:sz w:val="24"/>
                <w:szCs w:val="24"/>
                <w:highlight w:val="none"/>
                <w:u w:val="none"/>
                <w:lang w:val="en-US" w:eastAsia="zh-CN" w:bidi="ar"/>
              </w:rPr>
              <w:t>元以上</w:t>
            </w: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万元以下罚款。</w:t>
            </w:r>
          </w:p>
        </w:tc>
      </w:tr>
      <w:tr w14:paraId="5160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787" w:type="dxa"/>
            <w:vMerge w:val="restart"/>
            <w:tcBorders>
              <w:tl2br w:val="nil"/>
              <w:tr2bl w:val="nil"/>
            </w:tcBorders>
            <w:noWrap w:val="0"/>
            <w:vAlign w:val="center"/>
          </w:tcPr>
          <w:p w14:paraId="26692A3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285</w:t>
            </w:r>
          </w:p>
        </w:tc>
        <w:tc>
          <w:tcPr>
            <w:tcW w:w="1718" w:type="dxa"/>
            <w:vMerge w:val="restart"/>
            <w:tcBorders>
              <w:tl2br w:val="nil"/>
              <w:tr2bl w:val="nil"/>
            </w:tcBorders>
            <w:noWrap w:val="0"/>
            <w:vAlign w:val="center"/>
          </w:tcPr>
          <w:p w14:paraId="7C8086EA">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r>
              <w:rPr>
                <w:rFonts w:hint="eastAsia" w:ascii="宋体" w:hAnsi="宋体" w:eastAsia="宋体" w:cs="宋体"/>
                <w:i w:val="0"/>
                <w:color w:val="auto"/>
                <w:kern w:val="0"/>
                <w:sz w:val="24"/>
                <w:szCs w:val="24"/>
                <w:highlight w:val="none"/>
                <w:u w:val="none"/>
                <w:lang w:val="en-US" w:eastAsia="zh-CN" w:bidi="ar"/>
              </w:rPr>
              <w:t>《食用农产品市场销售质量安全监督管理办法》</w:t>
            </w:r>
          </w:p>
        </w:tc>
        <w:tc>
          <w:tcPr>
            <w:tcW w:w="4132" w:type="dxa"/>
            <w:vMerge w:val="restart"/>
            <w:tcBorders>
              <w:tl2br w:val="nil"/>
              <w:tr2bl w:val="nil"/>
            </w:tcBorders>
            <w:noWrap w:val="0"/>
            <w:vAlign w:val="center"/>
          </w:tcPr>
          <w:p w14:paraId="7D104AC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i w:val="0"/>
                <w:color w:val="auto"/>
                <w:kern w:val="0"/>
                <w:sz w:val="24"/>
                <w:szCs w:val="24"/>
                <w:highlight w:val="none"/>
                <w:u w:val="none"/>
                <w:lang w:val="en-US" w:eastAsia="zh-CN" w:bidi="ar"/>
              </w:rPr>
              <w:t>第四十一条</w:t>
            </w:r>
            <w:r>
              <w:rPr>
                <w:rFonts w:hint="eastAsia" w:ascii="宋体" w:hAnsi="宋体" w:cs="宋体"/>
                <w:i w:val="0"/>
                <w:color w:val="auto"/>
                <w:kern w:val="0"/>
                <w:sz w:val="24"/>
                <w:szCs w:val="24"/>
                <w:highlight w:val="none"/>
                <w:u w:val="none"/>
                <w:lang w:val="en-US" w:eastAsia="zh-CN" w:bidi="ar"/>
              </w:rPr>
              <w:t xml:space="preserve"> </w:t>
            </w:r>
            <w:r>
              <w:rPr>
                <w:rFonts w:hint="eastAsia" w:ascii="宋体" w:hAnsi="宋体" w:eastAsia="宋体" w:cs="宋体"/>
                <w:i w:val="0"/>
                <w:color w:val="auto"/>
                <w:kern w:val="0"/>
                <w:sz w:val="24"/>
                <w:szCs w:val="24"/>
                <w:highlight w:val="none"/>
                <w:u w:val="none"/>
                <w:lang w:val="en-US" w:eastAsia="zh-CN" w:bidi="ar"/>
              </w:rPr>
              <w:t>销售者违反本办法第十四条规定，加工、销售即食食用农产品，未采取有效措施做好食品安全防护，造成污染的，由县级以上市场监督管理部门责令改正；拒不改正的，处五千元以上三万元以下罚款。</w:t>
            </w:r>
          </w:p>
        </w:tc>
        <w:tc>
          <w:tcPr>
            <w:tcW w:w="1133" w:type="dxa"/>
            <w:tcBorders>
              <w:tl2br w:val="nil"/>
              <w:tr2bl w:val="nil"/>
            </w:tcBorders>
            <w:noWrap w:val="0"/>
            <w:vAlign w:val="center"/>
          </w:tcPr>
          <w:p w14:paraId="4F5B481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733F7DD0">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责令改正期限已满整改未完成，但尚未造成不良影响的。</w:t>
            </w:r>
          </w:p>
        </w:tc>
        <w:tc>
          <w:tcPr>
            <w:tcW w:w="3267" w:type="dxa"/>
            <w:tcBorders>
              <w:tl2br w:val="nil"/>
              <w:tr2bl w:val="nil"/>
            </w:tcBorders>
            <w:noWrap w:val="0"/>
            <w:vAlign w:val="center"/>
          </w:tcPr>
          <w:p w14:paraId="01196D0E">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w:t>
            </w:r>
            <w:r>
              <w:rPr>
                <w:rFonts w:hint="eastAsia" w:ascii="宋体" w:hAnsi="宋体" w:cs="宋体"/>
                <w:i w:val="0"/>
                <w:color w:val="auto"/>
                <w:kern w:val="0"/>
                <w:sz w:val="24"/>
                <w:szCs w:val="24"/>
                <w:highlight w:val="none"/>
                <w:u w:val="none"/>
                <w:lang w:val="en-US" w:eastAsia="zh-CN" w:bidi="ar"/>
              </w:rPr>
              <w:t>5000</w:t>
            </w:r>
            <w:r>
              <w:rPr>
                <w:rFonts w:hint="eastAsia" w:ascii="宋体" w:hAnsi="宋体" w:eastAsia="宋体" w:cs="宋体"/>
                <w:i w:val="0"/>
                <w:color w:val="auto"/>
                <w:kern w:val="0"/>
                <w:sz w:val="24"/>
                <w:szCs w:val="24"/>
                <w:highlight w:val="none"/>
                <w:u w:val="none"/>
                <w:lang w:val="en-US" w:eastAsia="zh-CN" w:bidi="ar"/>
              </w:rPr>
              <w:t>元</w:t>
            </w:r>
            <w:r>
              <w:rPr>
                <w:rFonts w:hint="eastAsia" w:ascii="宋体" w:hAnsi="宋体" w:cs="宋体"/>
                <w:i w:val="0"/>
                <w:color w:val="auto"/>
                <w:kern w:val="0"/>
                <w:sz w:val="24"/>
                <w:szCs w:val="24"/>
                <w:highlight w:val="none"/>
                <w:u w:val="none"/>
                <w:lang w:val="en-US" w:eastAsia="zh-CN" w:bidi="ar"/>
              </w:rPr>
              <w:t>以上1.25万元以下</w:t>
            </w:r>
            <w:r>
              <w:rPr>
                <w:rFonts w:hint="eastAsia" w:ascii="宋体" w:hAnsi="宋体" w:eastAsia="宋体" w:cs="宋体"/>
                <w:i w:val="0"/>
                <w:color w:val="auto"/>
                <w:kern w:val="0"/>
                <w:sz w:val="24"/>
                <w:szCs w:val="24"/>
                <w:highlight w:val="none"/>
                <w:u w:val="none"/>
                <w:lang w:val="en-US" w:eastAsia="zh-CN" w:bidi="ar"/>
              </w:rPr>
              <w:t>罚款。</w:t>
            </w:r>
          </w:p>
        </w:tc>
      </w:tr>
      <w:tr w14:paraId="19A4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787" w:type="dxa"/>
            <w:vMerge w:val="continue"/>
            <w:tcBorders>
              <w:tl2br w:val="nil"/>
              <w:tr2bl w:val="nil"/>
            </w:tcBorders>
            <w:noWrap w:val="0"/>
            <w:vAlign w:val="center"/>
          </w:tcPr>
          <w:p w14:paraId="0A57D73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E09AA7B">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777DA6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5F8FF4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2D43466E">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责令改正期限已满尚未开始进行整改的。</w:t>
            </w:r>
          </w:p>
        </w:tc>
        <w:tc>
          <w:tcPr>
            <w:tcW w:w="3267" w:type="dxa"/>
            <w:tcBorders>
              <w:tl2br w:val="nil"/>
              <w:tr2bl w:val="nil"/>
            </w:tcBorders>
            <w:noWrap w:val="0"/>
            <w:vAlign w:val="center"/>
          </w:tcPr>
          <w:p w14:paraId="17AAC51A">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w:t>
            </w:r>
            <w:r>
              <w:rPr>
                <w:rFonts w:hint="eastAsia" w:ascii="宋体" w:hAnsi="宋体" w:cs="宋体"/>
                <w:i w:val="0"/>
                <w:color w:val="auto"/>
                <w:kern w:val="0"/>
                <w:sz w:val="24"/>
                <w:szCs w:val="24"/>
                <w:highlight w:val="none"/>
                <w:u w:val="none"/>
                <w:lang w:val="en-US" w:eastAsia="zh-CN" w:bidi="ar"/>
              </w:rPr>
              <w:t>1.25万</w:t>
            </w:r>
            <w:r>
              <w:rPr>
                <w:rFonts w:hint="eastAsia" w:ascii="宋体" w:hAnsi="宋体" w:eastAsia="宋体" w:cs="宋体"/>
                <w:i w:val="0"/>
                <w:color w:val="auto"/>
                <w:kern w:val="0"/>
                <w:sz w:val="24"/>
                <w:szCs w:val="24"/>
                <w:highlight w:val="none"/>
                <w:u w:val="none"/>
                <w:lang w:val="en-US" w:eastAsia="zh-CN" w:bidi="ar"/>
              </w:rPr>
              <w:t>元以上2.</w:t>
            </w:r>
            <w:r>
              <w:rPr>
                <w:rFonts w:hint="eastAsia" w:ascii="宋体" w:hAnsi="宋体" w:cs="宋体"/>
                <w:i w:val="0"/>
                <w:color w:val="auto"/>
                <w:kern w:val="0"/>
                <w:sz w:val="24"/>
                <w:szCs w:val="24"/>
                <w:highlight w:val="none"/>
                <w:u w:val="none"/>
                <w:lang w:val="en-US" w:eastAsia="zh-CN" w:bidi="ar"/>
              </w:rPr>
              <w:t>25</w:t>
            </w:r>
            <w:r>
              <w:rPr>
                <w:rFonts w:hint="eastAsia" w:ascii="宋体" w:hAnsi="宋体" w:eastAsia="宋体" w:cs="宋体"/>
                <w:i w:val="0"/>
                <w:color w:val="auto"/>
                <w:kern w:val="0"/>
                <w:sz w:val="24"/>
                <w:szCs w:val="24"/>
                <w:highlight w:val="none"/>
                <w:u w:val="none"/>
                <w:lang w:val="en-US" w:eastAsia="zh-CN" w:bidi="ar"/>
              </w:rPr>
              <w:t>万元以下罚款。</w:t>
            </w:r>
          </w:p>
        </w:tc>
      </w:tr>
      <w:tr w14:paraId="5EA7E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1" w:hRule="atLeast"/>
          <w:jc w:val="center"/>
        </w:trPr>
        <w:tc>
          <w:tcPr>
            <w:tcW w:w="787" w:type="dxa"/>
            <w:vMerge w:val="continue"/>
            <w:tcBorders>
              <w:tl2br w:val="nil"/>
              <w:tr2bl w:val="nil"/>
            </w:tcBorders>
            <w:noWrap w:val="0"/>
            <w:vAlign w:val="center"/>
          </w:tcPr>
          <w:p w14:paraId="7FB1A81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B50BD15">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26D66A8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CA9691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2F03EE85">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拒不改正，且已经造成不良影响或者违法行为持续时间较长的。</w:t>
            </w:r>
          </w:p>
        </w:tc>
        <w:tc>
          <w:tcPr>
            <w:tcW w:w="3267" w:type="dxa"/>
            <w:tcBorders>
              <w:tl2br w:val="nil"/>
              <w:tr2bl w:val="nil"/>
            </w:tcBorders>
            <w:noWrap w:val="0"/>
            <w:vAlign w:val="center"/>
          </w:tcPr>
          <w:p w14:paraId="0759A9F0">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处2.</w:t>
            </w:r>
            <w:r>
              <w:rPr>
                <w:rFonts w:hint="eastAsia" w:ascii="宋体" w:hAnsi="宋体" w:cs="宋体"/>
                <w:i w:val="0"/>
                <w:color w:val="auto"/>
                <w:kern w:val="0"/>
                <w:sz w:val="24"/>
                <w:szCs w:val="24"/>
                <w:highlight w:val="none"/>
                <w:u w:val="none"/>
                <w:lang w:val="en-US" w:eastAsia="zh-CN" w:bidi="ar"/>
              </w:rPr>
              <w:t>25</w:t>
            </w:r>
            <w:r>
              <w:rPr>
                <w:rFonts w:hint="eastAsia" w:ascii="宋体" w:hAnsi="宋体" w:eastAsia="宋体" w:cs="宋体"/>
                <w:i w:val="0"/>
                <w:color w:val="auto"/>
                <w:kern w:val="0"/>
                <w:sz w:val="24"/>
                <w:szCs w:val="24"/>
                <w:highlight w:val="none"/>
                <w:u w:val="none"/>
                <w:lang w:val="en-US" w:eastAsia="zh-CN" w:bidi="ar"/>
              </w:rPr>
              <w:t>万元以上</w:t>
            </w: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万元以下罚款。</w:t>
            </w:r>
          </w:p>
        </w:tc>
      </w:tr>
      <w:tr w14:paraId="74D67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87" w:type="dxa"/>
            <w:vMerge w:val="restart"/>
            <w:tcBorders>
              <w:tl2br w:val="nil"/>
              <w:tr2bl w:val="nil"/>
            </w:tcBorders>
            <w:noWrap w:val="0"/>
            <w:vAlign w:val="center"/>
          </w:tcPr>
          <w:p w14:paraId="38191F3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rPr>
            </w:pPr>
            <w:r>
              <w:rPr>
                <w:rFonts w:hint="eastAsia" w:ascii="宋体" w:hAnsi="宋体" w:cs="宋体"/>
                <w:b w:val="0"/>
                <w:bCs w:val="0"/>
                <w:color w:val="auto"/>
                <w:kern w:val="0"/>
                <w:sz w:val="24"/>
                <w:szCs w:val="24"/>
                <w:highlight w:val="none"/>
                <w:lang w:val="en-US" w:eastAsia="zh-CN"/>
              </w:rPr>
              <w:t>286</w:t>
            </w:r>
          </w:p>
        </w:tc>
        <w:tc>
          <w:tcPr>
            <w:tcW w:w="1718" w:type="dxa"/>
            <w:vMerge w:val="restart"/>
            <w:tcBorders>
              <w:tl2br w:val="nil"/>
              <w:tr2bl w:val="nil"/>
            </w:tcBorders>
            <w:noWrap w:val="0"/>
            <w:vAlign w:val="center"/>
          </w:tcPr>
          <w:p w14:paraId="18ECCAF6">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r>
              <w:rPr>
                <w:rFonts w:hint="eastAsia" w:ascii="宋体" w:hAnsi="宋体" w:eastAsia="宋体" w:cs="宋体"/>
                <w:i w:val="0"/>
                <w:color w:val="auto"/>
                <w:kern w:val="0"/>
                <w:sz w:val="24"/>
                <w:szCs w:val="24"/>
                <w:highlight w:val="none"/>
                <w:u w:val="none"/>
                <w:lang w:val="en-US" w:eastAsia="zh-CN" w:bidi="ar"/>
              </w:rPr>
              <w:t>《食用农产品市场销售质量安全监督管理办法》</w:t>
            </w:r>
          </w:p>
        </w:tc>
        <w:tc>
          <w:tcPr>
            <w:tcW w:w="4132" w:type="dxa"/>
            <w:vMerge w:val="restart"/>
            <w:tcBorders>
              <w:tl2br w:val="nil"/>
              <w:tr2bl w:val="nil"/>
            </w:tcBorders>
            <w:noWrap w:val="0"/>
            <w:vAlign w:val="center"/>
          </w:tcPr>
          <w:p w14:paraId="77D1BBC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i w:val="0"/>
                <w:color w:val="auto"/>
                <w:kern w:val="0"/>
                <w:sz w:val="24"/>
                <w:szCs w:val="24"/>
                <w:highlight w:val="none"/>
                <w:u w:val="none"/>
                <w:lang w:val="en-US" w:eastAsia="zh-CN" w:bidi="ar"/>
              </w:rPr>
              <w:t>第四十五条</w:t>
            </w:r>
            <w:r>
              <w:rPr>
                <w:rFonts w:hint="eastAsia" w:ascii="宋体" w:hAnsi="宋体" w:cs="宋体"/>
                <w:i w:val="0"/>
                <w:color w:val="auto"/>
                <w:kern w:val="0"/>
                <w:sz w:val="24"/>
                <w:szCs w:val="24"/>
                <w:highlight w:val="none"/>
                <w:u w:val="none"/>
                <w:lang w:val="en-US" w:eastAsia="zh-CN" w:bidi="ar"/>
              </w:rPr>
              <w:t xml:space="preserve"> </w:t>
            </w:r>
            <w:r>
              <w:rPr>
                <w:rFonts w:hint="eastAsia" w:ascii="宋体" w:hAnsi="宋体" w:eastAsia="宋体" w:cs="宋体"/>
                <w:i w:val="0"/>
                <w:color w:val="auto"/>
                <w:kern w:val="0"/>
                <w:sz w:val="24"/>
                <w:szCs w:val="24"/>
                <w:highlight w:val="none"/>
                <w:u w:val="none"/>
                <w:lang w:val="en-US" w:eastAsia="zh-CN" w:bidi="ar"/>
              </w:rPr>
              <w:t>集中交易市场开办者违反本办法第二十条第二款、第二十一条、第二十三条规定，有下列情形之一的，由县级以上市场监督管理部门责令改正；拒不改正的，处五千元以上三万元以下罚款。</w:t>
            </w:r>
          </w:p>
        </w:tc>
        <w:tc>
          <w:tcPr>
            <w:tcW w:w="1133" w:type="dxa"/>
            <w:tcBorders>
              <w:tl2br w:val="nil"/>
              <w:tr2bl w:val="nil"/>
            </w:tcBorders>
            <w:noWrap w:val="0"/>
            <w:vAlign w:val="center"/>
          </w:tcPr>
          <w:p w14:paraId="7794D34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015D4A9A">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责令改正期限已满整改未完成，但尚未造成不良影响的。</w:t>
            </w:r>
          </w:p>
        </w:tc>
        <w:tc>
          <w:tcPr>
            <w:tcW w:w="3267" w:type="dxa"/>
            <w:tcBorders>
              <w:tl2br w:val="nil"/>
              <w:tr2bl w:val="nil"/>
            </w:tcBorders>
            <w:noWrap w:val="0"/>
            <w:vAlign w:val="center"/>
          </w:tcPr>
          <w:p w14:paraId="4DAFCDB6">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w:t>
            </w:r>
            <w:r>
              <w:rPr>
                <w:rFonts w:hint="eastAsia" w:ascii="宋体" w:hAnsi="宋体" w:cs="宋体"/>
                <w:i w:val="0"/>
                <w:color w:val="auto"/>
                <w:kern w:val="0"/>
                <w:sz w:val="24"/>
                <w:szCs w:val="24"/>
                <w:highlight w:val="none"/>
                <w:u w:val="none"/>
                <w:lang w:val="en-US" w:eastAsia="zh-CN" w:bidi="ar"/>
              </w:rPr>
              <w:t>5000</w:t>
            </w:r>
            <w:r>
              <w:rPr>
                <w:rFonts w:hint="eastAsia" w:ascii="宋体" w:hAnsi="宋体" w:eastAsia="宋体" w:cs="宋体"/>
                <w:i w:val="0"/>
                <w:color w:val="auto"/>
                <w:kern w:val="0"/>
                <w:sz w:val="24"/>
                <w:szCs w:val="24"/>
                <w:highlight w:val="none"/>
                <w:u w:val="none"/>
                <w:lang w:val="en-US" w:eastAsia="zh-CN" w:bidi="ar"/>
              </w:rPr>
              <w:t>元</w:t>
            </w:r>
            <w:r>
              <w:rPr>
                <w:rFonts w:hint="eastAsia" w:ascii="宋体" w:hAnsi="宋体" w:cs="宋体"/>
                <w:i w:val="0"/>
                <w:color w:val="auto"/>
                <w:kern w:val="0"/>
                <w:sz w:val="24"/>
                <w:szCs w:val="24"/>
                <w:highlight w:val="none"/>
                <w:u w:val="none"/>
                <w:lang w:val="en-US" w:eastAsia="zh-CN" w:bidi="ar"/>
              </w:rPr>
              <w:t>以上1.25万元以下</w:t>
            </w:r>
            <w:r>
              <w:rPr>
                <w:rFonts w:hint="eastAsia" w:ascii="宋体" w:hAnsi="宋体" w:eastAsia="宋体" w:cs="宋体"/>
                <w:i w:val="0"/>
                <w:color w:val="auto"/>
                <w:kern w:val="0"/>
                <w:sz w:val="24"/>
                <w:szCs w:val="24"/>
                <w:highlight w:val="none"/>
                <w:u w:val="none"/>
                <w:lang w:val="en-US" w:eastAsia="zh-CN" w:bidi="ar"/>
              </w:rPr>
              <w:t>罚款。</w:t>
            </w:r>
          </w:p>
        </w:tc>
      </w:tr>
      <w:tr w14:paraId="211A0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787" w:type="dxa"/>
            <w:vMerge w:val="continue"/>
            <w:tcBorders>
              <w:tl2br w:val="nil"/>
              <w:tr2bl w:val="nil"/>
            </w:tcBorders>
            <w:noWrap w:val="0"/>
            <w:vAlign w:val="center"/>
          </w:tcPr>
          <w:p w14:paraId="2ACC65B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F451F7F">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i w:val="0"/>
                <w:color w:val="auto"/>
                <w:kern w:val="0"/>
                <w:sz w:val="24"/>
                <w:szCs w:val="24"/>
                <w:highlight w:val="none"/>
                <w:u w:val="none"/>
                <w:lang w:val="en-US" w:eastAsia="zh-CN" w:bidi="ar"/>
              </w:rPr>
            </w:pPr>
          </w:p>
        </w:tc>
        <w:tc>
          <w:tcPr>
            <w:tcW w:w="4132" w:type="dxa"/>
            <w:vMerge w:val="continue"/>
            <w:tcBorders>
              <w:tl2br w:val="nil"/>
              <w:tr2bl w:val="nil"/>
            </w:tcBorders>
            <w:noWrap w:val="0"/>
            <w:vAlign w:val="center"/>
          </w:tcPr>
          <w:p w14:paraId="722E688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i w:val="0"/>
                <w:color w:val="auto"/>
                <w:kern w:val="0"/>
                <w:sz w:val="24"/>
                <w:szCs w:val="24"/>
                <w:highlight w:val="none"/>
                <w:u w:val="none"/>
                <w:lang w:val="en-US" w:eastAsia="zh-CN" w:bidi="ar"/>
              </w:rPr>
            </w:pPr>
          </w:p>
        </w:tc>
        <w:tc>
          <w:tcPr>
            <w:tcW w:w="1133" w:type="dxa"/>
            <w:tcBorders>
              <w:tl2br w:val="nil"/>
              <w:tr2bl w:val="nil"/>
            </w:tcBorders>
            <w:noWrap w:val="0"/>
            <w:vAlign w:val="center"/>
          </w:tcPr>
          <w:p w14:paraId="72122E7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5CD26654">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责令改正期限已满尚未开始进行整改的。</w:t>
            </w:r>
          </w:p>
        </w:tc>
        <w:tc>
          <w:tcPr>
            <w:tcW w:w="3267" w:type="dxa"/>
            <w:tcBorders>
              <w:tl2br w:val="nil"/>
              <w:tr2bl w:val="nil"/>
            </w:tcBorders>
            <w:noWrap w:val="0"/>
            <w:vAlign w:val="center"/>
          </w:tcPr>
          <w:p w14:paraId="3E652BBA">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w:t>
            </w:r>
            <w:r>
              <w:rPr>
                <w:rFonts w:hint="eastAsia" w:ascii="宋体" w:hAnsi="宋体" w:cs="宋体"/>
                <w:i w:val="0"/>
                <w:color w:val="auto"/>
                <w:kern w:val="0"/>
                <w:sz w:val="24"/>
                <w:szCs w:val="24"/>
                <w:highlight w:val="none"/>
                <w:u w:val="none"/>
                <w:lang w:val="en-US" w:eastAsia="zh-CN" w:bidi="ar"/>
              </w:rPr>
              <w:t>1.25万</w:t>
            </w:r>
            <w:r>
              <w:rPr>
                <w:rFonts w:hint="eastAsia" w:ascii="宋体" w:hAnsi="宋体" w:eastAsia="宋体" w:cs="宋体"/>
                <w:i w:val="0"/>
                <w:color w:val="auto"/>
                <w:kern w:val="0"/>
                <w:sz w:val="24"/>
                <w:szCs w:val="24"/>
                <w:highlight w:val="none"/>
                <w:u w:val="none"/>
                <w:lang w:val="en-US" w:eastAsia="zh-CN" w:bidi="ar"/>
              </w:rPr>
              <w:t>元以上2.</w:t>
            </w:r>
            <w:r>
              <w:rPr>
                <w:rFonts w:hint="eastAsia" w:ascii="宋体" w:hAnsi="宋体" w:cs="宋体"/>
                <w:i w:val="0"/>
                <w:color w:val="auto"/>
                <w:kern w:val="0"/>
                <w:sz w:val="24"/>
                <w:szCs w:val="24"/>
                <w:highlight w:val="none"/>
                <w:u w:val="none"/>
                <w:lang w:val="en-US" w:eastAsia="zh-CN" w:bidi="ar"/>
              </w:rPr>
              <w:t>25</w:t>
            </w:r>
            <w:r>
              <w:rPr>
                <w:rFonts w:hint="eastAsia" w:ascii="宋体" w:hAnsi="宋体" w:eastAsia="宋体" w:cs="宋体"/>
                <w:i w:val="0"/>
                <w:color w:val="auto"/>
                <w:kern w:val="0"/>
                <w:sz w:val="24"/>
                <w:szCs w:val="24"/>
                <w:highlight w:val="none"/>
                <w:u w:val="none"/>
                <w:lang w:val="en-US" w:eastAsia="zh-CN" w:bidi="ar"/>
              </w:rPr>
              <w:t>万元以下罚款。</w:t>
            </w:r>
          </w:p>
        </w:tc>
      </w:tr>
      <w:tr w14:paraId="3B90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87" w:type="dxa"/>
            <w:vMerge w:val="continue"/>
            <w:tcBorders>
              <w:tl2br w:val="nil"/>
              <w:tr2bl w:val="nil"/>
            </w:tcBorders>
            <w:noWrap w:val="0"/>
            <w:vAlign w:val="center"/>
          </w:tcPr>
          <w:p w14:paraId="4F21432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6ABF298">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i w:val="0"/>
                <w:color w:val="auto"/>
                <w:kern w:val="0"/>
                <w:sz w:val="24"/>
                <w:szCs w:val="24"/>
                <w:highlight w:val="none"/>
                <w:u w:val="none"/>
                <w:lang w:val="en-US" w:eastAsia="zh-CN" w:bidi="ar"/>
              </w:rPr>
            </w:pPr>
          </w:p>
        </w:tc>
        <w:tc>
          <w:tcPr>
            <w:tcW w:w="4132" w:type="dxa"/>
            <w:vMerge w:val="continue"/>
            <w:tcBorders>
              <w:tl2br w:val="nil"/>
              <w:tr2bl w:val="nil"/>
            </w:tcBorders>
            <w:noWrap w:val="0"/>
            <w:vAlign w:val="center"/>
          </w:tcPr>
          <w:p w14:paraId="63887A5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i w:val="0"/>
                <w:color w:val="auto"/>
                <w:kern w:val="0"/>
                <w:sz w:val="24"/>
                <w:szCs w:val="24"/>
                <w:highlight w:val="none"/>
                <w:u w:val="none"/>
                <w:lang w:val="en-US" w:eastAsia="zh-CN" w:bidi="ar"/>
              </w:rPr>
            </w:pPr>
          </w:p>
        </w:tc>
        <w:tc>
          <w:tcPr>
            <w:tcW w:w="1133" w:type="dxa"/>
            <w:tcBorders>
              <w:tl2br w:val="nil"/>
              <w:tr2bl w:val="nil"/>
            </w:tcBorders>
            <w:noWrap w:val="0"/>
            <w:vAlign w:val="center"/>
          </w:tcPr>
          <w:p w14:paraId="116B7ED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317F54F2">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拒</w:t>
            </w:r>
            <w:r>
              <w:rPr>
                <w:rFonts w:hint="eastAsia" w:ascii="宋体" w:hAnsi="宋体" w:eastAsia="宋体" w:cs="宋体"/>
                <w:i w:val="0"/>
                <w:color w:val="auto"/>
                <w:spacing w:val="-6"/>
                <w:kern w:val="0"/>
                <w:sz w:val="24"/>
                <w:szCs w:val="24"/>
                <w:highlight w:val="none"/>
                <w:u w:val="none"/>
                <w:lang w:val="en-US" w:eastAsia="zh-CN" w:bidi="ar"/>
              </w:rPr>
              <w:t>不改正，且已经造成不良影响或者违法行为持续时间较长的。</w:t>
            </w:r>
          </w:p>
        </w:tc>
        <w:tc>
          <w:tcPr>
            <w:tcW w:w="3267" w:type="dxa"/>
            <w:tcBorders>
              <w:tl2br w:val="nil"/>
              <w:tr2bl w:val="nil"/>
            </w:tcBorders>
            <w:noWrap w:val="0"/>
            <w:vAlign w:val="center"/>
          </w:tcPr>
          <w:p w14:paraId="4BF4AE54">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处2.</w:t>
            </w:r>
            <w:r>
              <w:rPr>
                <w:rFonts w:hint="eastAsia" w:ascii="宋体" w:hAnsi="宋体" w:cs="宋体"/>
                <w:i w:val="0"/>
                <w:color w:val="auto"/>
                <w:kern w:val="0"/>
                <w:sz w:val="24"/>
                <w:szCs w:val="24"/>
                <w:highlight w:val="none"/>
                <w:u w:val="none"/>
                <w:lang w:val="en-US" w:eastAsia="zh-CN" w:bidi="ar"/>
              </w:rPr>
              <w:t>25</w:t>
            </w:r>
            <w:r>
              <w:rPr>
                <w:rFonts w:hint="eastAsia" w:ascii="宋体" w:hAnsi="宋体" w:eastAsia="宋体" w:cs="宋体"/>
                <w:i w:val="0"/>
                <w:color w:val="auto"/>
                <w:kern w:val="0"/>
                <w:sz w:val="24"/>
                <w:szCs w:val="24"/>
                <w:highlight w:val="none"/>
                <w:u w:val="none"/>
                <w:lang w:val="en-US" w:eastAsia="zh-CN" w:bidi="ar"/>
              </w:rPr>
              <w:t>万元以上</w:t>
            </w: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万元以下罚款。</w:t>
            </w:r>
          </w:p>
        </w:tc>
      </w:tr>
      <w:tr w14:paraId="38B5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787" w:type="dxa"/>
            <w:vMerge w:val="restart"/>
            <w:tcBorders>
              <w:tl2br w:val="nil"/>
              <w:tr2bl w:val="nil"/>
            </w:tcBorders>
            <w:noWrap w:val="0"/>
            <w:vAlign w:val="center"/>
          </w:tcPr>
          <w:p w14:paraId="0A99C74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287</w:t>
            </w:r>
          </w:p>
        </w:tc>
        <w:tc>
          <w:tcPr>
            <w:tcW w:w="1718" w:type="dxa"/>
            <w:vMerge w:val="restart"/>
            <w:tcBorders>
              <w:tl2br w:val="nil"/>
              <w:tr2bl w:val="nil"/>
            </w:tcBorders>
            <w:noWrap w:val="0"/>
            <w:vAlign w:val="center"/>
          </w:tcPr>
          <w:p w14:paraId="27E5ACA4">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lang w:bidi="ar"/>
              </w:rPr>
            </w:pPr>
            <w:r>
              <w:rPr>
                <w:rFonts w:hint="eastAsia" w:ascii="宋体" w:hAnsi="宋体" w:eastAsia="宋体" w:cs="宋体"/>
                <w:i w:val="0"/>
                <w:color w:val="auto"/>
                <w:kern w:val="0"/>
                <w:sz w:val="24"/>
                <w:szCs w:val="24"/>
                <w:highlight w:val="none"/>
                <w:u w:val="none"/>
                <w:lang w:val="en-US" w:eastAsia="zh-CN" w:bidi="ar"/>
              </w:rPr>
              <w:t>《食用农产品市场销售质量安全监督管理办法》</w:t>
            </w:r>
          </w:p>
        </w:tc>
        <w:tc>
          <w:tcPr>
            <w:tcW w:w="4132" w:type="dxa"/>
            <w:vMerge w:val="restart"/>
            <w:tcBorders>
              <w:tl2br w:val="nil"/>
              <w:tr2bl w:val="nil"/>
            </w:tcBorders>
            <w:noWrap w:val="0"/>
            <w:vAlign w:val="center"/>
          </w:tcPr>
          <w:p w14:paraId="4795751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bidi="ar"/>
              </w:rPr>
            </w:pPr>
            <w:r>
              <w:rPr>
                <w:rFonts w:hint="eastAsia" w:ascii="宋体" w:hAnsi="宋体" w:eastAsia="宋体" w:cs="宋体"/>
                <w:i w:val="0"/>
                <w:color w:val="auto"/>
                <w:kern w:val="0"/>
                <w:sz w:val="24"/>
                <w:szCs w:val="24"/>
                <w:highlight w:val="none"/>
                <w:u w:val="none"/>
                <w:lang w:val="en-US" w:eastAsia="zh-CN" w:bidi="ar"/>
              </w:rPr>
              <w:t>第四十六条第一款</w:t>
            </w:r>
            <w:r>
              <w:rPr>
                <w:rFonts w:hint="eastAsia" w:ascii="宋体" w:hAnsi="宋体" w:cs="宋体"/>
                <w:i w:val="0"/>
                <w:color w:val="auto"/>
                <w:kern w:val="0"/>
                <w:sz w:val="24"/>
                <w:szCs w:val="24"/>
                <w:highlight w:val="none"/>
                <w:u w:val="none"/>
                <w:lang w:val="en-US" w:eastAsia="zh-CN" w:bidi="ar"/>
              </w:rPr>
              <w:t xml:space="preserve"> </w:t>
            </w:r>
            <w:r>
              <w:rPr>
                <w:rFonts w:hint="eastAsia" w:ascii="宋体" w:hAnsi="宋体" w:eastAsia="宋体" w:cs="宋体"/>
                <w:i w:val="0"/>
                <w:color w:val="auto"/>
                <w:kern w:val="0"/>
                <w:sz w:val="24"/>
                <w:szCs w:val="24"/>
                <w:highlight w:val="none"/>
                <w:u w:val="none"/>
                <w:lang w:val="en-US" w:eastAsia="zh-CN" w:bidi="ar"/>
              </w:rPr>
              <w:t>集中交易市场开办者违反本办法第二十五条第二款规定，抽检发现场内食用农产品不符合食品安全标准，未按要求处理并报告的，由县级以上市场监督管理部门责令改正；拒不改正的，处五千元以上三万元以下罚款。</w:t>
            </w:r>
          </w:p>
        </w:tc>
        <w:tc>
          <w:tcPr>
            <w:tcW w:w="1133" w:type="dxa"/>
            <w:tcBorders>
              <w:tl2br w:val="nil"/>
              <w:tr2bl w:val="nil"/>
            </w:tcBorders>
            <w:noWrap w:val="0"/>
            <w:vAlign w:val="center"/>
          </w:tcPr>
          <w:p w14:paraId="10AF5C0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27E62969">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责令改正期限已满整改未完成，但尚未造成不良影响的。</w:t>
            </w:r>
          </w:p>
        </w:tc>
        <w:tc>
          <w:tcPr>
            <w:tcW w:w="3267" w:type="dxa"/>
            <w:tcBorders>
              <w:tl2br w:val="nil"/>
              <w:tr2bl w:val="nil"/>
            </w:tcBorders>
            <w:noWrap w:val="0"/>
            <w:vAlign w:val="center"/>
          </w:tcPr>
          <w:p w14:paraId="21A16058">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w:t>
            </w:r>
            <w:r>
              <w:rPr>
                <w:rFonts w:hint="eastAsia" w:ascii="宋体" w:hAnsi="宋体" w:cs="宋体"/>
                <w:i w:val="0"/>
                <w:color w:val="auto"/>
                <w:kern w:val="0"/>
                <w:sz w:val="24"/>
                <w:szCs w:val="24"/>
                <w:highlight w:val="none"/>
                <w:u w:val="none"/>
                <w:lang w:val="en-US" w:eastAsia="zh-CN" w:bidi="ar"/>
              </w:rPr>
              <w:t>5000</w:t>
            </w:r>
            <w:r>
              <w:rPr>
                <w:rFonts w:hint="eastAsia" w:ascii="宋体" w:hAnsi="宋体" w:eastAsia="宋体" w:cs="宋体"/>
                <w:i w:val="0"/>
                <w:color w:val="auto"/>
                <w:kern w:val="0"/>
                <w:sz w:val="24"/>
                <w:szCs w:val="24"/>
                <w:highlight w:val="none"/>
                <w:u w:val="none"/>
                <w:lang w:val="en-US" w:eastAsia="zh-CN" w:bidi="ar"/>
              </w:rPr>
              <w:t>元</w:t>
            </w:r>
            <w:r>
              <w:rPr>
                <w:rFonts w:hint="eastAsia" w:ascii="宋体" w:hAnsi="宋体" w:cs="宋体"/>
                <w:i w:val="0"/>
                <w:color w:val="auto"/>
                <w:kern w:val="0"/>
                <w:sz w:val="24"/>
                <w:szCs w:val="24"/>
                <w:highlight w:val="none"/>
                <w:u w:val="none"/>
                <w:lang w:val="en-US" w:eastAsia="zh-CN" w:bidi="ar"/>
              </w:rPr>
              <w:t>以上1.25万元以下</w:t>
            </w:r>
            <w:r>
              <w:rPr>
                <w:rFonts w:hint="eastAsia" w:ascii="宋体" w:hAnsi="宋体" w:eastAsia="宋体" w:cs="宋体"/>
                <w:i w:val="0"/>
                <w:color w:val="auto"/>
                <w:kern w:val="0"/>
                <w:sz w:val="24"/>
                <w:szCs w:val="24"/>
                <w:highlight w:val="none"/>
                <w:u w:val="none"/>
                <w:lang w:val="en-US" w:eastAsia="zh-CN" w:bidi="ar"/>
              </w:rPr>
              <w:t>罚款。</w:t>
            </w:r>
          </w:p>
        </w:tc>
      </w:tr>
      <w:tr w14:paraId="7E833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87" w:type="dxa"/>
            <w:vMerge w:val="continue"/>
            <w:tcBorders>
              <w:tl2br w:val="nil"/>
              <w:tr2bl w:val="nil"/>
            </w:tcBorders>
            <w:noWrap w:val="0"/>
            <w:vAlign w:val="center"/>
          </w:tcPr>
          <w:p w14:paraId="59D9EC2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9E87CB1">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i w:val="0"/>
                <w:color w:val="auto"/>
                <w:kern w:val="0"/>
                <w:sz w:val="24"/>
                <w:szCs w:val="24"/>
                <w:highlight w:val="none"/>
                <w:u w:val="none"/>
                <w:lang w:val="en-US" w:eastAsia="zh-CN" w:bidi="ar"/>
              </w:rPr>
            </w:pPr>
          </w:p>
        </w:tc>
        <w:tc>
          <w:tcPr>
            <w:tcW w:w="4132" w:type="dxa"/>
            <w:vMerge w:val="continue"/>
            <w:tcBorders>
              <w:tl2br w:val="nil"/>
              <w:tr2bl w:val="nil"/>
            </w:tcBorders>
            <w:noWrap w:val="0"/>
            <w:vAlign w:val="center"/>
          </w:tcPr>
          <w:p w14:paraId="3B218E7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i w:val="0"/>
                <w:color w:val="auto"/>
                <w:kern w:val="0"/>
                <w:sz w:val="24"/>
                <w:szCs w:val="24"/>
                <w:highlight w:val="none"/>
                <w:u w:val="none"/>
                <w:lang w:val="en-US" w:eastAsia="zh-CN" w:bidi="ar"/>
              </w:rPr>
            </w:pPr>
          </w:p>
        </w:tc>
        <w:tc>
          <w:tcPr>
            <w:tcW w:w="1133" w:type="dxa"/>
            <w:tcBorders>
              <w:tl2br w:val="nil"/>
              <w:tr2bl w:val="nil"/>
            </w:tcBorders>
            <w:noWrap w:val="0"/>
            <w:vAlign w:val="center"/>
          </w:tcPr>
          <w:p w14:paraId="59D9A58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3063D275">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责令改正期限已满尚未开始进行整改的。</w:t>
            </w:r>
          </w:p>
        </w:tc>
        <w:tc>
          <w:tcPr>
            <w:tcW w:w="3267" w:type="dxa"/>
            <w:tcBorders>
              <w:tl2br w:val="nil"/>
              <w:tr2bl w:val="nil"/>
            </w:tcBorders>
            <w:noWrap w:val="0"/>
            <w:vAlign w:val="center"/>
          </w:tcPr>
          <w:p w14:paraId="0FB77F0B">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w:t>
            </w:r>
            <w:r>
              <w:rPr>
                <w:rFonts w:hint="eastAsia" w:ascii="宋体" w:hAnsi="宋体" w:cs="宋体"/>
                <w:i w:val="0"/>
                <w:color w:val="auto"/>
                <w:kern w:val="0"/>
                <w:sz w:val="24"/>
                <w:szCs w:val="24"/>
                <w:highlight w:val="none"/>
                <w:u w:val="none"/>
                <w:lang w:val="en-US" w:eastAsia="zh-CN" w:bidi="ar"/>
              </w:rPr>
              <w:t>1.25万</w:t>
            </w:r>
            <w:r>
              <w:rPr>
                <w:rFonts w:hint="eastAsia" w:ascii="宋体" w:hAnsi="宋体" w:eastAsia="宋体" w:cs="宋体"/>
                <w:i w:val="0"/>
                <w:color w:val="auto"/>
                <w:kern w:val="0"/>
                <w:sz w:val="24"/>
                <w:szCs w:val="24"/>
                <w:highlight w:val="none"/>
                <w:u w:val="none"/>
                <w:lang w:val="en-US" w:eastAsia="zh-CN" w:bidi="ar"/>
              </w:rPr>
              <w:t>元以上2.</w:t>
            </w:r>
            <w:r>
              <w:rPr>
                <w:rFonts w:hint="eastAsia" w:ascii="宋体" w:hAnsi="宋体" w:cs="宋体"/>
                <w:i w:val="0"/>
                <w:color w:val="auto"/>
                <w:kern w:val="0"/>
                <w:sz w:val="24"/>
                <w:szCs w:val="24"/>
                <w:highlight w:val="none"/>
                <w:u w:val="none"/>
                <w:lang w:val="en-US" w:eastAsia="zh-CN" w:bidi="ar"/>
              </w:rPr>
              <w:t>25</w:t>
            </w:r>
            <w:r>
              <w:rPr>
                <w:rFonts w:hint="eastAsia" w:ascii="宋体" w:hAnsi="宋体" w:eastAsia="宋体" w:cs="宋体"/>
                <w:i w:val="0"/>
                <w:color w:val="auto"/>
                <w:kern w:val="0"/>
                <w:sz w:val="24"/>
                <w:szCs w:val="24"/>
                <w:highlight w:val="none"/>
                <w:u w:val="none"/>
                <w:lang w:val="en-US" w:eastAsia="zh-CN" w:bidi="ar"/>
              </w:rPr>
              <w:t>万元以下罚款。</w:t>
            </w:r>
          </w:p>
        </w:tc>
      </w:tr>
      <w:tr w14:paraId="6ED7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787" w:type="dxa"/>
            <w:vMerge w:val="continue"/>
            <w:tcBorders>
              <w:tl2br w:val="nil"/>
              <w:tr2bl w:val="nil"/>
            </w:tcBorders>
            <w:noWrap w:val="0"/>
            <w:vAlign w:val="center"/>
          </w:tcPr>
          <w:p w14:paraId="19ED68D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879EBDC">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i w:val="0"/>
                <w:color w:val="auto"/>
                <w:kern w:val="0"/>
                <w:sz w:val="24"/>
                <w:szCs w:val="24"/>
                <w:highlight w:val="none"/>
                <w:u w:val="none"/>
                <w:lang w:val="en-US" w:eastAsia="zh-CN" w:bidi="ar"/>
              </w:rPr>
            </w:pPr>
          </w:p>
        </w:tc>
        <w:tc>
          <w:tcPr>
            <w:tcW w:w="4132" w:type="dxa"/>
            <w:vMerge w:val="continue"/>
            <w:tcBorders>
              <w:tl2br w:val="nil"/>
              <w:tr2bl w:val="nil"/>
            </w:tcBorders>
            <w:noWrap w:val="0"/>
            <w:vAlign w:val="center"/>
          </w:tcPr>
          <w:p w14:paraId="452DA80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i w:val="0"/>
                <w:color w:val="auto"/>
                <w:kern w:val="0"/>
                <w:sz w:val="24"/>
                <w:szCs w:val="24"/>
                <w:highlight w:val="none"/>
                <w:u w:val="none"/>
                <w:lang w:val="en-US" w:eastAsia="zh-CN" w:bidi="ar"/>
              </w:rPr>
            </w:pPr>
          </w:p>
        </w:tc>
        <w:tc>
          <w:tcPr>
            <w:tcW w:w="1133" w:type="dxa"/>
            <w:tcBorders>
              <w:tl2br w:val="nil"/>
              <w:tr2bl w:val="nil"/>
            </w:tcBorders>
            <w:noWrap w:val="0"/>
            <w:vAlign w:val="center"/>
          </w:tcPr>
          <w:p w14:paraId="282595D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69A0E20E">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spacing w:val="-6"/>
                <w:kern w:val="0"/>
                <w:sz w:val="24"/>
                <w:szCs w:val="24"/>
                <w:highlight w:val="none"/>
                <w:u w:val="none"/>
                <w:lang w:val="en-US" w:eastAsia="zh-CN" w:bidi="ar"/>
              </w:rPr>
              <w:t>拒不改正，且已经造成不良影响或者违法行为持续时间较长的。</w:t>
            </w:r>
          </w:p>
        </w:tc>
        <w:tc>
          <w:tcPr>
            <w:tcW w:w="3267" w:type="dxa"/>
            <w:tcBorders>
              <w:tl2br w:val="nil"/>
              <w:tr2bl w:val="nil"/>
            </w:tcBorders>
            <w:noWrap w:val="0"/>
            <w:vAlign w:val="center"/>
          </w:tcPr>
          <w:p w14:paraId="5277019E">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处2.</w:t>
            </w:r>
            <w:r>
              <w:rPr>
                <w:rFonts w:hint="eastAsia" w:ascii="宋体" w:hAnsi="宋体" w:cs="宋体"/>
                <w:i w:val="0"/>
                <w:color w:val="auto"/>
                <w:kern w:val="0"/>
                <w:sz w:val="24"/>
                <w:szCs w:val="24"/>
                <w:highlight w:val="none"/>
                <w:u w:val="none"/>
                <w:lang w:val="en-US" w:eastAsia="zh-CN" w:bidi="ar"/>
              </w:rPr>
              <w:t>25</w:t>
            </w:r>
            <w:r>
              <w:rPr>
                <w:rFonts w:hint="eastAsia" w:ascii="宋体" w:hAnsi="宋体" w:eastAsia="宋体" w:cs="宋体"/>
                <w:i w:val="0"/>
                <w:color w:val="auto"/>
                <w:kern w:val="0"/>
                <w:sz w:val="24"/>
                <w:szCs w:val="24"/>
                <w:highlight w:val="none"/>
                <w:u w:val="none"/>
                <w:lang w:val="en-US" w:eastAsia="zh-CN" w:bidi="ar"/>
              </w:rPr>
              <w:t>万元以上</w:t>
            </w: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万元以下罚款。</w:t>
            </w:r>
          </w:p>
        </w:tc>
      </w:tr>
      <w:tr w14:paraId="1FB2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787" w:type="dxa"/>
            <w:vMerge w:val="restart"/>
            <w:tcBorders>
              <w:tl2br w:val="nil"/>
              <w:tr2bl w:val="nil"/>
            </w:tcBorders>
            <w:noWrap w:val="0"/>
            <w:vAlign w:val="center"/>
          </w:tcPr>
          <w:p w14:paraId="1165F98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288</w:t>
            </w:r>
          </w:p>
        </w:tc>
        <w:tc>
          <w:tcPr>
            <w:tcW w:w="1718" w:type="dxa"/>
            <w:vMerge w:val="restart"/>
            <w:tcBorders>
              <w:tl2br w:val="nil"/>
              <w:tr2bl w:val="nil"/>
            </w:tcBorders>
            <w:noWrap w:val="0"/>
            <w:vAlign w:val="center"/>
          </w:tcPr>
          <w:p w14:paraId="04B52F66">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《食用农产品市场销售质量安全监督管理办法》</w:t>
            </w:r>
          </w:p>
        </w:tc>
        <w:tc>
          <w:tcPr>
            <w:tcW w:w="4132" w:type="dxa"/>
            <w:vMerge w:val="restart"/>
            <w:tcBorders>
              <w:tl2br w:val="nil"/>
              <w:tr2bl w:val="nil"/>
            </w:tcBorders>
            <w:noWrap w:val="0"/>
            <w:vAlign w:val="center"/>
          </w:tcPr>
          <w:p w14:paraId="5B82051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第四十六条第</w:t>
            </w:r>
            <w:r>
              <w:rPr>
                <w:rFonts w:hint="eastAsia" w:ascii="宋体" w:hAnsi="宋体" w:cs="宋体"/>
                <w:i w:val="0"/>
                <w:color w:val="auto"/>
                <w:kern w:val="0"/>
                <w:sz w:val="24"/>
                <w:szCs w:val="24"/>
                <w:highlight w:val="none"/>
                <w:u w:val="none"/>
                <w:lang w:val="en-US" w:eastAsia="zh-CN" w:bidi="ar"/>
              </w:rPr>
              <w:t>二</w:t>
            </w:r>
            <w:r>
              <w:rPr>
                <w:rFonts w:hint="eastAsia" w:ascii="宋体" w:hAnsi="宋体" w:eastAsia="宋体" w:cs="宋体"/>
                <w:i w:val="0"/>
                <w:color w:val="auto"/>
                <w:kern w:val="0"/>
                <w:sz w:val="24"/>
                <w:szCs w:val="24"/>
                <w:highlight w:val="none"/>
                <w:u w:val="none"/>
                <w:lang w:val="en-US" w:eastAsia="zh-CN" w:bidi="ar"/>
              </w:rPr>
              <w:t>款</w:t>
            </w:r>
            <w:r>
              <w:rPr>
                <w:rFonts w:hint="eastAsia" w:ascii="宋体" w:hAnsi="宋体" w:cs="宋体"/>
                <w:i w:val="0"/>
                <w:color w:val="auto"/>
                <w:kern w:val="0"/>
                <w:sz w:val="24"/>
                <w:szCs w:val="24"/>
                <w:highlight w:val="none"/>
                <w:u w:val="none"/>
                <w:lang w:val="en-US" w:eastAsia="zh-CN" w:bidi="ar"/>
              </w:rPr>
              <w:t xml:space="preserve"> </w:t>
            </w:r>
            <w:r>
              <w:rPr>
                <w:rFonts w:hint="eastAsia" w:ascii="宋体" w:hAnsi="宋体" w:eastAsia="宋体" w:cs="宋体"/>
                <w:i w:val="0"/>
                <w:iCs w:val="0"/>
                <w:caps w:val="0"/>
                <w:color w:val="auto"/>
                <w:spacing w:val="0"/>
                <w:kern w:val="0"/>
                <w:sz w:val="24"/>
                <w:szCs w:val="24"/>
                <w:highlight w:val="none"/>
                <w:shd w:val="clear" w:color="auto" w:fill="auto"/>
                <w:lang w:bidi="ar"/>
              </w:rPr>
              <w:t>集中交易市场开办者违反本办法第二十六条规定，未按要求公布食用农产品相关信息的，由县级以上市场监督管理部门责令改正；拒不改正的，处二千元以上一万元以下罚款。</w:t>
            </w:r>
          </w:p>
        </w:tc>
        <w:tc>
          <w:tcPr>
            <w:tcW w:w="1133" w:type="dxa"/>
            <w:tcBorders>
              <w:tl2br w:val="nil"/>
              <w:tr2bl w:val="nil"/>
            </w:tcBorders>
            <w:noWrap w:val="0"/>
            <w:vAlign w:val="center"/>
          </w:tcPr>
          <w:p w14:paraId="5A67BF8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07E97473">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责令改正期限已满整改未完成，但尚未造成不良影响的。</w:t>
            </w:r>
          </w:p>
        </w:tc>
        <w:tc>
          <w:tcPr>
            <w:tcW w:w="3267" w:type="dxa"/>
            <w:tcBorders>
              <w:tl2br w:val="nil"/>
              <w:tr2bl w:val="nil"/>
            </w:tcBorders>
            <w:noWrap w:val="0"/>
            <w:vAlign w:val="center"/>
          </w:tcPr>
          <w:p w14:paraId="53379C45">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w:t>
            </w:r>
            <w:r>
              <w:rPr>
                <w:rFonts w:hint="eastAsia" w:ascii="宋体" w:hAnsi="宋体" w:cs="宋体"/>
                <w:i w:val="0"/>
                <w:color w:val="auto"/>
                <w:kern w:val="0"/>
                <w:sz w:val="24"/>
                <w:szCs w:val="24"/>
                <w:highlight w:val="none"/>
                <w:u w:val="none"/>
                <w:lang w:val="en-US" w:eastAsia="zh-CN" w:bidi="ar"/>
              </w:rPr>
              <w:t>2000</w:t>
            </w:r>
            <w:r>
              <w:rPr>
                <w:rFonts w:hint="eastAsia" w:ascii="宋体" w:hAnsi="宋体" w:eastAsia="宋体" w:cs="宋体"/>
                <w:i w:val="0"/>
                <w:color w:val="auto"/>
                <w:kern w:val="0"/>
                <w:sz w:val="24"/>
                <w:szCs w:val="24"/>
                <w:highlight w:val="none"/>
                <w:u w:val="none"/>
                <w:lang w:val="en-US" w:eastAsia="zh-CN" w:bidi="ar"/>
              </w:rPr>
              <w:t>元</w:t>
            </w:r>
            <w:r>
              <w:rPr>
                <w:rFonts w:hint="eastAsia" w:ascii="宋体" w:hAnsi="宋体" w:cs="宋体"/>
                <w:i w:val="0"/>
                <w:color w:val="auto"/>
                <w:kern w:val="0"/>
                <w:sz w:val="24"/>
                <w:szCs w:val="24"/>
                <w:highlight w:val="none"/>
                <w:u w:val="none"/>
                <w:lang w:val="en-US" w:eastAsia="zh-CN" w:bidi="ar"/>
              </w:rPr>
              <w:t>以上4400元以下</w:t>
            </w:r>
            <w:r>
              <w:rPr>
                <w:rFonts w:hint="eastAsia" w:ascii="宋体" w:hAnsi="宋体" w:eastAsia="宋体" w:cs="宋体"/>
                <w:i w:val="0"/>
                <w:color w:val="auto"/>
                <w:kern w:val="0"/>
                <w:sz w:val="24"/>
                <w:szCs w:val="24"/>
                <w:highlight w:val="none"/>
                <w:u w:val="none"/>
                <w:lang w:val="en-US" w:eastAsia="zh-CN" w:bidi="ar"/>
              </w:rPr>
              <w:t>罚款。</w:t>
            </w:r>
          </w:p>
        </w:tc>
      </w:tr>
      <w:tr w14:paraId="64CE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787" w:type="dxa"/>
            <w:vMerge w:val="continue"/>
            <w:tcBorders>
              <w:tl2br w:val="nil"/>
              <w:tr2bl w:val="nil"/>
            </w:tcBorders>
            <w:noWrap w:val="0"/>
            <w:vAlign w:val="center"/>
          </w:tcPr>
          <w:p w14:paraId="6946EB8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7EFA03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i w:val="0"/>
                <w:color w:val="auto"/>
                <w:kern w:val="0"/>
                <w:sz w:val="24"/>
                <w:szCs w:val="24"/>
                <w:highlight w:val="none"/>
                <w:u w:val="none"/>
                <w:lang w:val="en-US" w:eastAsia="zh-CN" w:bidi="ar"/>
              </w:rPr>
            </w:pPr>
          </w:p>
        </w:tc>
        <w:tc>
          <w:tcPr>
            <w:tcW w:w="4132" w:type="dxa"/>
            <w:vMerge w:val="continue"/>
            <w:tcBorders>
              <w:tl2br w:val="nil"/>
              <w:tr2bl w:val="nil"/>
            </w:tcBorders>
            <w:noWrap w:val="0"/>
            <w:vAlign w:val="center"/>
          </w:tcPr>
          <w:p w14:paraId="2F90350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i w:val="0"/>
                <w:color w:val="auto"/>
                <w:kern w:val="0"/>
                <w:sz w:val="24"/>
                <w:szCs w:val="24"/>
                <w:highlight w:val="none"/>
                <w:u w:val="none"/>
                <w:lang w:val="en-US" w:eastAsia="zh-CN" w:bidi="ar"/>
              </w:rPr>
            </w:pPr>
          </w:p>
        </w:tc>
        <w:tc>
          <w:tcPr>
            <w:tcW w:w="1133" w:type="dxa"/>
            <w:tcBorders>
              <w:tl2br w:val="nil"/>
              <w:tr2bl w:val="nil"/>
            </w:tcBorders>
            <w:noWrap w:val="0"/>
            <w:vAlign w:val="center"/>
          </w:tcPr>
          <w:p w14:paraId="77D2C87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5DF291BA">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责令改正期限已满尚未开始进行整改的。</w:t>
            </w:r>
          </w:p>
        </w:tc>
        <w:tc>
          <w:tcPr>
            <w:tcW w:w="3267" w:type="dxa"/>
            <w:tcBorders>
              <w:tl2br w:val="nil"/>
              <w:tr2bl w:val="nil"/>
            </w:tcBorders>
            <w:noWrap w:val="0"/>
            <w:vAlign w:val="center"/>
          </w:tcPr>
          <w:p w14:paraId="751158E4">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w:t>
            </w:r>
            <w:r>
              <w:rPr>
                <w:rFonts w:hint="eastAsia" w:ascii="宋体" w:hAnsi="宋体" w:cs="宋体"/>
                <w:i w:val="0"/>
                <w:color w:val="auto"/>
                <w:kern w:val="0"/>
                <w:sz w:val="24"/>
                <w:szCs w:val="24"/>
                <w:highlight w:val="none"/>
                <w:u w:val="none"/>
                <w:lang w:val="en-US" w:eastAsia="zh-CN" w:bidi="ar"/>
              </w:rPr>
              <w:t>4400</w:t>
            </w:r>
            <w:r>
              <w:rPr>
                <w:rFonts w:hint="eastAsia" w:ascii="宋体" w:hAnsi="宋体" w:eastAsia="宋体" w:cs="宋体"/>
                <w:i w:val="0"/>
                <w:color w:val="auto"/>
                <w:kern w:val="0"/>
                <w:sz w:val="24"/>
                <w:szCs w:val="24"/>
                <w:highlight w:val="none"/>
                <w:u w:val="none"/>
                <w:lang w:val="en-US" w:eastAsia="zh-CN" w:bidi="ar"/>
              </w:rPr>
              <w:t>元以上</w:t>
            </w:r>
            <w:r>
              <w:rPr>
                <w:rFonts w:hint="eastAsia" w:ascii="宋体" w:hAnsi="宋体" w:cs="宋体"/>
                <w:i w:val="0"/>
                <w:color w:val="auto"/>
                <w:kern w:val="0"/>
                <w:sz w:val="24"/>
                <w:szCs w:val="24"/>
                <w:highlight w:val="none"/>
                <w:u w:val="none"/>
                <w:lang w:val="en-US" w:eastAsia="zh-CN" w:bidi="ar"/>
              </w:rPr>
              <w:t>7600</w:t>
            </w:r>
            <w:r>
              <w:rPr>
                <w:rFonts w:hint="eastAsia" w:ascii="宋体" w:hAnsi="宋体" w:eastAsia="宋体" w:cs="宋体"/>
                <w:i w:val="0"/>
                <w:color w:val="auto"/>
                <w:kern w:val="0"/>
                <w:sz w:val="24"/>
                <w:szCs w:val="24"/>
                <w:highlight w:val="none"/>
                <w:u w:val="none"/>
                <w:lang w:val="en-US" w:eastAsia="zh-CN" w:bidi="ar"/>
              </w:rPr>
              <w:t>元以下罚款。</w:t>
            </w:r>
          </w:p>
        </w:tc>
      </w:tr>
      <w:tr w14:paraId="191C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787" w:type="dxa"/>
            <w:vMerge w:val="continue"/>
            <w:tcBorders>
              <w:tl2br w:val="nil"/>
              <w:tr2bl w:val="nil"/>
            </w:tcBorders>
            <w:noWrap w:val="0"/>
            <w:vAlign w:val="center"/>
          </w:tcPr>
          <w:p w14:paraId="6D462B3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596269C">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i w:val="0"/>
                <w:color w:val="auto"/>
                <w:kern w:val="0"/>
                <w:sz w:val="24"/>
                <w:szCs w:val="24"/>
                <w:highlight w:val="none"/>
                <w:u w:val="none"/>
                <w:lang w:val="en-US" w:eastAsia="zh-CN" w:bidi="ar"/>
              </w:rPr>
            </w:pPr>
          </w:p>
        </w:tc>
        <w:tc>
          <w:tcPr>
            <w:tcW w:w="4132" w:type="dxa"/>
            <w:vMerge w:val="continue"/>
            <w:tcBorders>
              <w:tl2br w:val="nil"/>
              <w:tr2bl w:val="nil"/>
            </w:tcBorders>
            <w:noWrap w:val="0"/>
            <w:vAlign w:val="center"/>
          </w:tcPr>
          <w:p w14:paraId="4D8ABC0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i w:val="0"/>
                <w:color w:val="auto"/>
                <w:kern w:val="0"/>
                <w:sz w:val="24"/>
                <w:szCs w:val="24"/>
                <w:highlight w:val="none"/>
                <w:u w:val="none"/>
                <w:lang w:val="en-US" w:eastAsia="zh-CN" w:bidi="ar"/>
              </w:rPr>
            </w:pPr>
          </w:p>
        </w:tc>
        <w:tc>
          <w:tcPr>
            <w:tcW w:w="1133" w:type="dxa"/>
            <w:tcBorders>
              <w:tl2br w:val="nil"/>
              <w:tr2bl w:val="nil"/>
            </w:tcBorders>
            <w:noWrap w:val="0"/>
            <w:vAlign w:val="center"/>
          </w:tcPr>
          <w:p w14:paraId="3DBA243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3310994B">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拒不</w:t>
            </w:r>
            <w:r>
              <w:rPr>
                <w:rFonts w:hint="eastAsia" w:ascii="宋体" w:hAnsi="宋体" w:eastAsia="宋体" w:cs="宋体"/>
                <w:i w:val="0"/>
                <w:color w:val="auto"/>
                <w:spacing w:val="-6"/>
                <w:kern w:val="0"/>
                <w:sz w:val="24"/>
                <w:szCs w:val="24"/>
                <w:highlight w:val="none"/>
                <w:u w:val="none"/>
                <w:lang w:val="en-US" w:eastAsia="zh-CN" w:bidi="ar"/>
              </w:rPr>
              <w:t>改正，且已经造成不良影响或者违法行为持续时间较长的。</w:t>
            </w:r>
          </w:p>
        </w:tc>
        <w:tc>
          <w:tcPr>
            <w:tcW w:w="3267" w:type="dxa"/>
            <w:tcBorders>
              <w:tl2br w:val="nil"/>
              <w:tr2bl w:val="nil"/>
            </w:tcBorders>
            <w:noWrap w:val="0"/>
            <w:vAlign w:val="center"/>
          </w:tcPr>
          <w:p w14:paraId="0F9F9A09">
            <w:pPr>
              <w:keepNext w:val="0"/>
              <w:keepLines w:val="0"/>
              <w:widowControl/>
              <w:suppressLineNumbers w:val="0"/>
              <w:spacing w:line="400" w:lineRule="exact"/>
              <w:jc w:val="left"/>
              <w:textAlignment w:val="auto"/>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处</w:t>
            </w:r>
            <w:r>
              <w:rPr>
                <w:rFonts w:hint="eastAsia" w:ascii="宋体" w:hAnsi="宋体" w:cs="宋体"/>
                <w:i w:val="0"/>
                <w:color w:val="auto"/>
                <w:kern w:val="0"/>
                <w:sz w:val="24"/>
                <w:szCs w:val="24"/>
                <w:highlight w:val="none"/>
                <w:u w:val="none"/>
                <w:lang w:val="en-US" w:eastAsia="zh-CN" w:bidi="ar"/>
              </w:rPr>
              <w:t>7600</w:t>
            </w:r>
            <w:r>
              <w:rPr>
                <w:rFonts w:hint="eastAsia" w:ascii="宋体" w:hAnsi="宋体" w:eastAsia="宋体" w:cs="宋体"/>
                <w:i w:val="0"/>
                <w:color w:val="auto"/>
                <w:kern w:val="0"/>
                <w:sz w:val="24"/>
                <w:szCs w:val="24"/>
                <w:highlight w:val="none"/>
                <w:u w:val="none"/>
                <w:lang w:val="en-US" w:eastAsia="zh-CN" w:bidi="ar"/>
              </w:rPr>
              <w:t>元以上</w:t>
            </w:r>
            <w:r>
              <w:rPr>
                <w:rFonts w:hint="eastAsia" w:ascii="宋体" w:hAnsi="宋体" w:cs="宋体"/>
                <w:i w:val="0"/>
                <w:color w:val="auto"/>
                <w:kern w:val="0"/>
                <w:sz w:val="24"/>
                <w:szCs w:val="24"/>
                <w:highlight w:val="none"/>
                <w:u w:val="none"/>
                <w:lang w:val="en-US" w:eastAsia="zh-CN" w:bidi="ar"/>
              </w:rPr>
              <w:t>1</w:t>
            </w:r>
            <w:r>
              <w:rPr>
                <w:rFonts w:hint="eastAsia" w:ascii="宋体" w:hAnsi="宋体" w:eastAsia="宋体" w:cs="宋体"/>
                <w:i w:val="0"/>
                <w:color w:val="auto"/>
                <w:kern w:val="0"/>
                <w:sz w:val="24"/>
                <w:szCs w:val="24"/>
                <w:highlight w:val="none"/>
                <w:u w:val="none"/>
                <w:lang w:val="en-US" w:eastAsia="zh-CN" w:bidi="ar"/>
              </w:rPr>
              <w:t>万元以下罚款。</w:t>
            </w:r>
          </w:p>
        </w:tc>
      </w:tr>
      <w:tr w14:paraId="45BC8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787" w:type="dxa"/>
            <w:vMerge w:val="restart"/>
            <w:tcBorders>
              <w:tl2br w:val="nil"/>
              <w:tr2bl w:val="nil"/>
            </w:tcBorders>
            <w:noWrap w:val="0"/>
            <w:vAlign w:val="center"/>
          </w:tcPr>
          <w:p w14:paraId="6C4C0E6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289</w:t>
            </w:r>
          </w:p>
        </w:tc>
        <w:tc>
          <w:tcPr>
            <w:tcW w:w="1718" w:type="dxa"/>
            <w:vMerge w:val="restart"/>
            <w:tcBorders>
              <w:tl2br w:val="nil"/>
              <w:tr2bl w:val="nil"/>
            </w:tcBorders>
            <w:noWrap w:val="0"/>
            <w:vAlign w:val="center"/>
          </w:tcPr>
          <w:p w14:paraId="0DA07C80">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rPr>
              <w:t>《食用农产品市场销售质量安全监督管理办法》</w:t>
            </w:r>
          </w:p>
        </w:tc>
        <w:tc>
          <w:tcPr>
            <w:tcW w:w="4132" w:type="dxa"/>
            <w:vMerge w:val="restart"/>
            <w:tcBorders>
              <w:tl2br w:val="nil"/>
              <w:tr2bl w:val="nil"/>
            </w:tcBorders>
            <w:noWrap w:val="0"/>
            <w:vAlign w:val="center"/>
          </w:tcPr>
          <w:p w14:paraId="1D9A3AB8">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第四十七条</w:t>
            </w:r>
            <w:r>
              <w:rPr>
                <w:rFonts w:hint="eastAsia" w:ascii="宋体" w:hAnsi="宋体" w:eastAsia="宋体" w:cs="宋体"/>
                <w:color w:val="auto"/>
                <w:kern w:val="0"/>
                <w:sz w:val="24"/>
                <w:szCs w:val="24"/>
                <w:highlight w:val="none"/>
                <w:lang w:eastAsia="zh-CN"/>
              </w:rPr>
              <w:t>第二款</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批发市场开办者违反本办法第二十七条规定，未按要求向入场销售者提供统一格式的销售凭证或者指导入场销售者自行印制符合要求的销售凭证的，由县级以上市场监督管理部门责令改正；拒不改正的，处五千元以上三万元以下罚款。</w:t>
            </w:r>
          </w:p>
        </w:tc>
        <w:tc>
          <w:tcPr>
            <w:tcW w:w="1133" w:type="dxa"/>
            <w:tcBorders>
              <w:tl2br w:val="nil"/>
              <w:tr2bl w:val="nil"/>
            </w:tcBorders>
            <w:noWrap w:val="0"/>
            <w:vAlign w:val="center"/>
          </w:tcPr>
          <w:p w14:paraId="24AB1CE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6807302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2FF0B86D">
            <w:pPr>
              <w:keepNext w:val="0"/>
              <w:keepLines w:val="0"/>
              <w:widowControl/>
              <w:suppressLineNumbers w:val="0"/>
              <w:spacing w:line="400" w:lineRule="exact"/>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i w:val="0"/>
                <w:color w:val="auto"/>
                <w:kern w:val="0"/>
                <w:sz w:val="24"/>
                <w:szCs w:val="24"/>
                <w:highlight w:val="none"/>
                <w:u w:val="none"/>
                <w:lang w:val="en-US" w:eastAsia="zh-CN" w:bidi="ar"/>
              </w:rPr>
              <w:t>处</w:t>
            </w:r>
            <w:r>
              <w:rPr>
                <w:rFonts w:hint="eastAsia" w:ascii="宋体" w:hAnsi="宋体" w:cs="宋体"/>
                <w:i w:val="0"/>
                <w:color w:val="auto"/>
                <w:kern w:val="0"/>
                <w:sz w:val="24"/>
                <w:szCs w:val="24"/>
                <w:highlight w:val="none"/>
                <w:u w:val="none"/>
                <w:lang w:val="en-US" w:eastAsia="zh-CN" w:bidi="ar"/>
              </w:rPr>
              <w:t>5000</w:t>
            </w:r>
            <w:r>
              <w:rPr>
                <w:rFonts w:hint="eastAsia" w:ascii="宋体" w:hAnsi="宋体" w:eastAsia="宋体" w:cs="宋体"/>
                <w:i w:val="0"/>
                <w:color w:val="auto"/>
                <w:kern w:val="0"/>
                <w:sz w:val="24"/>
                <w:szCs w:val="24"/>
                <w:highlight w:val="none"/>
                <w:u w:val="none"/>
                <w:lang w:val="en-US" w:eastAsia="zh-CN" w:bidi="ar"/>
              </w:rPr>
              <w:t>元</w:t>
            </w:r>
            <w:r>
              <w:rPr>
                <w:rFonts w:hint="eastAsia" w:ascii="宋体" w:hAnsi="宋体" w:cs="宋体"/>
                <w:i w:val="0"/>
                <w:color w:val="auto"/>
                <w:kern w:val="0"/>
                <w:sz w:val="24"/>
                <w:szCs w:val="24"/>
                <w:highlight w:val="none"/>
                <w:u w:val="none"/>
                <w:lang w:val="en-US" w:eastAsia="zh-CN" w:bidi="ar"/>
              </w:rPr>
              <w:t>以上1.25万元以下</w:t>
            </w:r>
            <w:r>
              <w:rPr>
                <w:rFonts w:hint="eastAsia" w:ascii="宋体" w:hAnsi="宋体" w:eastAsia="宋体" w:cs="宋体"/>
                <w:i w:val="0"/>
                <w:color w:val="auto"/>
                <w:kern w:val="0"/>
                <w:sz w:val="24"/>
                <w:szCs w:val="24"/>
                <w:highlight w:val="none"/>
                <w:u w:val="none"/>
                <w:lang w:val="en-US" w:eastAsia="zh-CN" w:bidi="ar"/>
              </w:rPr>
              <w:t>罚款。</w:t>
            </w:r>
          </w:p>
        </w:tc>
      </w:tr>
      <w:tr w14:paraId="11DB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787" w:type="dxa"/>
            <w:vMerge w:val="continue"/>
            <w:tcBorders>
              <w:tl2br w:val="nil"/>
              <w:tr2bl w:val="nil"/>
            </w:tcBorders>
            <w:noWrap w:val="0"/>
            <w:vAlign w:val="center"/>
          </w:tcPr>
          <w:p w14:paraId="4B01DB9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B1A89D8">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i w:val="0"/>
                <w:color w:val="auto"/>
                <w:kern w:val="0"/>
                <w:sz w:val="24"/>
                <w:szCs w:val="24"/>
                <w:highlight w:val="none"/>
                <w:u w:val="none"/>
                <w:lang w:val="en-US" w:eastAsia="zh-CN" w:bidi="ar"/>
              </w:rPr>
            </w:pPr>
          </w:p>
        </w:tc>
        <w:tc>
          <w:tcPr>
            <w:tcW w:w="4132" w:type="dxa"/>
            <w:vMerge w:val="continue"/>
            <w:tcBorders>
              <w:tl2br w:val="nil"/>
              <w:tr2bl w:val="nil"/>
            </w:tcBorders>
            <w:noWrap w:val="0"/>
            <w:vAlign w:val="center"/>
          </w:tcPr>
          <w:p w14:paraId="4D8FFD2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i w:val="0"/>
                <w:color w:val="auto"/>
                <w:kern w:val="0"/>
                <w:sz w:val="24"/>
                <w:szCs w:val="24"/>
                <w:highlight w:val="none"/>
                <w:u w:val="none"/>
                <w:lang w:val="en-US" w:eastAsia="zh-CN" w:bidi="ar"/>
              </w:rPr>
            </w:pPr>
          </w:p>
        </w:tc>
        <w:tc>
          <w:tcPr>
            <w:tcW w:w="1133" w:type="dxa"/>
            <w:tcBorders>
              <w:tl2br w:val="nil"/>
              <w:tr2bl w:val="nil"/>
            </w:tcBorders>
            <w:noWrap w:val="0"/>
            <w:vAlign w:val="center"/>
          </w:tcPr>
          <w:p w14:paraId="2A0CA1A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3781BF6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5AE8650B">
            <w:pPr>
              <w:keepNext w:val="0"/>
              <w:keepLines w:val="0"/>
              <w:widowControl/>
              <w:suppressLineNumbers w:val="0"/>
              <w:spacing w:line="400" w:lineRule="exact"/>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i w:val="0"/>
                <w:color w:val="auto"/>
                <w:kern w:val="0"/>
                <w:sz w:val="24"/>
                <w:szCs w:val="24"/>
                <w:highlight w:val="none"/>
                <w:u w:val="none"/>
                <w:lang w:val="en-US" w:eastAsia="zh-CN" w:bidi="ar"/>
              </w:rPr>
              <w:t>处</w:t>
            </w:r>
            <w:r>
              <w:rPr>
                <w:rFonts w:hint="eastAsia" w:ascii="宋体" w:hAnsi="宋体" w:cs="宋体"/>
                <w:i w:val="0"/>
                <w:color w:val="auto"/>
                <w:kern w:val="0"/>
                <w:sz w:val="24"/>
                <w:szCs w:val="24"/>
                <w:highlight w:val="none"/>
                <w:u w:val="none"/>
                <w:lang w:val="en-US" w:eastAsia="zh-CN" w:bidi="ar"/>
              </w:rPr>
              <w:t>1.25万</w:t>
            </w:r>
            <w:r>
              <w:rPr>
                <w:rFonts w:hint="eastAsia" w:ascii="宋体" w:hAnsi="宋体" w:eastAsia="宋体" w:cs="宋体"/>
                <w:i w:val="0"/>
                <w:color w:val="auto"/>
                <w:kern w:val="0"/>
                <w:sz w:val="24"/>
                <w:szCs w:val="24"/>
                <w:highlight w:val="none"/>
                <w:u w:val="none"/>
                <w:lang w:val="en-US" w:eastAsia="zh-CN" w:bidi="ar"/>
              </w:rPr>
              <w:t>元以上2.</w:t>
            </w:r>
            <w:r>
              <w:rPr>
                <w:rFonts w:hint="eastAsia" w:ascii="宋体" w:hAnsi="宋体" w:cs="宋体"/>
                <w:i w:val="0"/>
                <w:color w:val="auto"/>
                <w:kern w:val="0"/>
                <w:sz w:val="24"/>
                <w:szCs w:val="24"/>
                <w:highlight w:val="none"/>
                <w:u w:val="none"/>
                <w:lang w:val="en-US" w:eastAsia="zh-CN" w:bidi="ar"/>
              </w:rPr>
              <w:t>25</w:t>
            </w:r>
            <w:r>
              <w:rPr>
                <w:rFonts w:hint="eastAsia" w:ascii="宋体" w:hAnsi="宋体" w:eastAsia="宋体" w:cs="宋体"/>
                <w:i w:val="0"/>
                <w:color w:val="auto"/>
                <w:kern w:val="0"/>
                <w:sz w:val="24"/>
                <w:szCs w:val="24"/>
                <w:highlight w:val="none"/>
                <w:u w:val="none"/>
                <w:lang w:val="en-US" w:eastAsia="zh-CN" w:bidi="ar"/>
              </w:rPr>
              <w:t>万元以下罚款。</w:t>
            </w:r>
          </w:p>
        </w:tc>
      </w:tr>
      <w:tr w14:paraId="3A1F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787" w:type="dxa"/>
            <w:vMerge w:val="continue"/>
            <w:tcBorders>
              <w:tl2br w:val="nil"/>
              <w:tr2bl w:val="nil"/>
            </w:tcBorders>
            <w:noWrap w:val="0"/>
            <w:vAlign w:val="center"/>
          </w:tcPr>
          <w:p w14:paraId="62A4F6A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58685A8">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i w:val="0"/>
                <w:color w:val="auto"/>
                <w:kern w:val="0"/>
                <w:sz w:val="24"/>
                <w:szCs w:val="24"/>
                <w:highlight w:val="none"/>
                <w:u w:val="none"/>
                <w:lang w:val="en-US" w:eastAsia="zh-CN" w:bidi="ar"/>
              </w:rPr>
            </w:pPr>
          </w:p>
        </w:tc>
        <w:tc>
          <w:tcPr>
            <w:tcW w:w="4132" w:type="dxa"/>
            <w:vMerge w:val="continue"/>
            <w:tcBorders>
              <w:tl2br w:val="nil"/>
              <w:tr2bl w:val="nil"/>
            </w:tcBorders>
            <w:noWrap w:val="0"/>
            <w:vAlign w:val="center"/>
          </w:tcPr>
          <w:p w14:paraId="57E7286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i w:val="0"/>
                <w:color w:val="auto"/>
                <w:kern w:val="0"/>
                <w:sz w:val="24"/>
                <w:szCs w:val="24"/>
                <w:highlight w:val="none"/>
                <w:u w:val="none"/>
                <w:lang w:val="en-US" w:eastAsia="zh-CN" w:bidi="ar"/>
              </w:rPr>
            </w:pPr>
          </w:p>
        </w:tc>
        <w:tc>
          <w:tcPr>
            <w:tcW w:w="1133" w:type="dxa"/>
            <w:tcBorders>
              <w:tl2br w:val="nil"/>
              <w:tr2bl w:val="nil"/>
            </w:tcBorders>
            <w:noWrap w:val="0"/>
            <w:vAlign w:val="center"/>
          </w:tcPr>
          <w:p w14:paraId="5FD2D5B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657B75D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拒不改正</w:t>
            </w:r>
            <w:r>
              <w:rPr>
                <w:rFonts w:hint="eastAsia" w:ascii="宋体" w:hAnsi="宋体" w:eastAsia="宋体" w:cs="宋体"/>
                <w:color w:val="auto"/>
                <w:kern w:val="0"/>
                <w:sz w:val="24"/>
                <w:szCs w:val="24"/>
                <w:highlight w:val="none"/>
                <w:lang w:eastAsia="zh-CN"/>
              </w:rPr>
              <w:t>，且</w:t>
            </w:r>
            <w:r>
              <w:rPr>
                <w:rFonts w:hint="eastAsia" w:ascii="宋体" w:hAnsi="宋体" w:eastAsia="宋体" w:cs="宋体"/>
                <w:color w:val="auto"/>
                <w:kern w:val="0"/>
                <w:sz w:val="24"/>
                <w:szCs w:val="24"/>
                <w:highlight w:val="none"/>
              </w:rPr>
              <w:t>已经造成不良影响或者违法行为持续时间较长的。</w:t>
            </w:r>
          </w:p>
        </w:tc>
        <w:tc>
          <w:tcPr>
            <w:tcW w:w="3267" w:type="dxa"/>
            <w:tcBorders>
              <w:tl2br w:val="nil"/>
              <w:tr2bl w:val="nil"/>
            </w:tcBorders>
            <w:noWrap w:val="0"/>
            <w:vAlign w:val="center"/>
          </w:tcPr>
          <w:p w14:paraId="180E96D8">
            <w:pPr>
              <w:keepNext w:val="0"/>
              <w:keepLines w:val="0"/>
              <w:widowControl/>
              <w:suppressLineNumbers w:val="0"/>
              <w:spacing w:line="400" w:lineRule="exact"/>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i w:val="0"/>
                <w:color w:val="auto"/>
                <w:kern w:val="0"/>
                <w:sz w:val="24"/>
                <w:szCs w:val="24"/>
                <w:highlight w:val="none"/>
                <w:u w:val="none"/>
                <w:lang w:val="en-US" w:eastAsia="zh-CN" w:bidi="ar"/>
              </w:rPr>
              <w:t>处2.</w:t>
            </w:r>
            <w:r>
              <w:rPr>
                <w:rFonts w:hint="eastAsia" w:ascii="宋体" w:hAnsi="宋体" w:cs="宋体"/>
                <w:i w:val="0"/>
                <w:color w:val="auto"/>
                <w:kern w:val="0"/>
                <w:sz w:val="24"/>
                <w:szCs w:val="24"/>
                <w:highlight w:val="none"/>
                <w:u w:val="none"/>
                <w:lang w:val="en-US" w:eastAsia="zh-CN" w:bidi="ar"/>
              </w:rPr>
              <w:t>25</w:t>
            </w:r>
            <w:r>
              <w:rPr>
                <w:rFonts w:hint="eastAsia" w:ascii="宋体" w:hAnsi="宋体" w:eastAsia="宋体" w:cs="宋体"/>
                <w:i w:val="0"/>
                <w:color w:val="auto"/>
                <w:kern w:val="0"/>
                <w:sz w:val="24"/>
                <w:szCs w:val="24"/>
                <w:highlight w:val="none"/>
                <w:u w:val="none"/>
                <w:lang w:val="en-US" w:eastAsia="zh-CN" w:bidi="ar"/>
              </w:rPr>
              <w:t>万元以上</w:t>
            </w:r>
            <w:r>
              <w:rPr>
                <w:rFonts w:hint="eastAsia" w:ascii="宋体" w:hAnsi="宋体" w:cs="宋体"/>
                <w:i w:val="0"/>
                <w:color w:val="auto"/>
                <w:kern w:val="0"/>
                <w:sz w:val="24"/>
                <w:szCs w:val="24"/>
                <w:highlight w:val="none"/>
                <w:u w:val="none"/>
                <w:lang w:val="en-US" w:eastAsia="zh-CN" w:bidi="ar"/>
              </w:rPr>
              <w:t>3</w:t>
            </w:r>
            <w:r>
              <w:rPr>
                <w:rFonts w:hint="eastAsia" w:ascii="宋体" w:hAnsi="宋体" w:eastAsia="宋体" w:cs="宋体"/>
                <w:i w:val="0"/>
                <w:color w:val="auto"/>
                <w:kern w:val="0"/>
                <w:sz w:val="24"/>
                <w:szCs w:val="24"/>
                <w:highlight w:val="none"/>
                <w:u w:val="none"/>
                <w:lang w:val="en-US" w:eastAsia="zh-CN" w:bidi="ar"/>
              </w:rPr>
              <w:t>万元以下罚款。</w:t>
            </w:r>
          </w:p>
        </w:tc>
      </w:tr>
      <w:tr w14:paraId="7629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1" w:hRule="atLeast"/>
          <w:jc w:val="center"/>
        </w:trPr>
        <w:tc>
          <w:tcPr>
            <w:tcW w:w="787" w:type="dxa"/>
            <w:vMerge w:val="restart"/>
            <w:tcBorders>
              <w:tl2br w:val="nil"/>
              <w:tr2bl w:val="nil"/>
            </w:tcBorders>
            <w:noWrap w:val="0"/>
            <w:vAlign w:val="center"/>
          </w:tcPr>
          <w:p w14:paraId="68842E9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90</w:t>
            </w:r>
          </w:p>
        </w:tc>
        <w:tc>
          <w:tcPr>
            <w:tcW w:w="1718" w:type="dxa"/>
            <w:vMerge w:val="restart"/>
            <w:tcBorders>
              <w:tl2br w:val="nil"/>
              <w:tr2bl w:val="nil"/>
            </w:tcBorders>
            <w:noWrap w:val="0"/>
            <w:vAlign w:val="center"/>
          </w:tcPr>
          <w:p w14:paraId="7C4130EA">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outlineLvl w:val="2"/>
              <w:rPr>
                <w:rFonts w:hint="eastAsia" w:ascii="宋体" w:hAnsi="宋体" w:eastAsia="宋体" w:cs="宋体"/>
                <w:color w:val="auto"/>
                <w:kern w:val="0"/>
                <w:sz w:val="24"/>
                <w:szCs w:val="24"/>
                <w:highlight w:val="none"/>
              </w:rPr>
            </w:pPr>
            <w:bookmarkStart w:id="330" w:name="_Toc16036"/>
            <w:bookmarkStart w:id="331" w:name="_Toc3077"/>
            <w:bookmarkStart w:id="332" w:name="_Toc22388"/>
            <w:bookmarkStart w:id="333" w:name="_Toc4363"/>
            <w:bookmarkStart w:id="334" w:name="_Toc4870"/>
            <w:r>
              <w:rPr>
                <w:rFonts w:hint="eastAsia" w:ascii="宋体" w:hAnsi="宋体" w:eastAsia="宋体" w:cs="宋体"/>
                <w:color w:val="auto"/>
                <w:kern w:val="0"/>
                <w:sz w:val="24"/>
                <w:szCs w:val="24"/>
                <w:highlight w:val="none"/>
              </w:rPr>
              <w:t>《食品生产经营监督检查管理办法》</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202</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val="en-US" w:eastAsia="zh-CN"/>
              </w:rPr>
              <w:t>年</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月</w:t>
            </w:r>
            <w:r>
              <w:rPr>
                <w:rFonts w:hint="eastAsia" w:ascii="宋体" w:hAnsi="宋体" w:cs="宋体"/>
                <w:color w:val="auto"/>
                <w:kern w:val="0"/>
                <w:sz w:val="24"/>
                <w:szCs w:val="24"/>
                <w:highlight w:val="none"/>
                <w:lang w:val="en-US" w:eastAsia="zh-CN"/>
              </w:rPr>
              <w:t>15</w:t>
            </w:r>
            <w:r>
              <w:rPr>
                <w:rFonts w:hint="eastAsia" w:ascii="宋体" w:hAnsi="宋体" w:eastAsia="宋体" w:cs="宋体"/>
                <w:color w:val="auto"/>
                <w:kern w:val="0"/>
                <w:sz w:val="24"/>
                <w:szCs w:val="24"/>
                <w:highlight w:val="none"/>
                <w:lang w:val="en-US" w:eastAsia="zh-CN"/>
              </w:rPr>
              <w:t>日</w:t>
            </w:r>
            <w:r>
              <w:rPr>
                <w:rFonts w:hint="eastAsia" w:ascii="宋体" w:hAnsi="宋体" w:cs="宋体"/>
                <w:color w:val="auto"/>
                <w:kern w:val="0"/>
                <w:sz w:val="24"/>
                <w:szCs w:val="24"/>
                <w:highlight w:val="none"/>
                <w:lang w:val="en-US" w:eastAsia="zh-CN"/>
              </w:rPr>
              <w:t>起施行</w:t>
            </w:r>
            <w:r>
              <w:rPr>
                <w:rFonts w:hint="eastAsia" w:ascii="宋体" w:hAnsi="宋体" w:eastAsia="宋体" w:cs="宋体"/>
                <w:color w:val="auto"/>
                <w:kern w:val="0"/>
                <w:sz w:val="24"/>
                <w:szCs w:val="24"/>
                <w:highlight w:val="none"/>
                <w:lang w:eastAsia="zh-CN"/>
              </w:rPr>
              <w:t>）</w:t>
            </w:r>
            <w:bookmarkEnd w:id="330"/>
            <w:bookmarkEnd w:id="331"/>
            <w:bookmarkEnd w:id="332"/>
            <w:bookmarkEnd w:id="333"/>
            <w:bookmarkEnd w:id="334"/>
          </w:p>
        </w:tc>
        <w:tc>
          <w:tcPr>
            <w:tcW w:w="4132" w:type="dxa"/>
            <w:vMerge w:val="restart"/>
            <w:tcBorders>
              <w:tl2br w:val="nil"/>
              <w:tr2bl w:val="nil"/>
            </w:tcBorders>
            <w:noWrap w:val="0"/>
            <w:vAlign w:val="center"/>
          </w:tcPr>
          <w:p w14:paraId="35D8CBF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第四十八条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食品生产经营者未按照规定在显著位置张贴或者公开展示相关监督检查结果记录表，撕毁、涂改监督检查结果记录表，或者未保持日常监督检查结果记录表至下次日常监督检查的，由县级以上地方市场监督管理部门责令改正；拒不改正的，给予警告，可以并处5000元以上5万元以下罚款。</w:t>
            </w:r>
          </w:p>
        </w:tc>
        <w:tc>
          <w:tcPr>
            <w:tcW w:w="1133" w:type="dxa"/>
            <w:tcBorders>
              <w:tl2br w:val="nil"/>
              <w:tr2bl w:val="nil"/>
            </w:tcBorders>
            <w:noWrap w:val="0"/>
            <w:vAlign w:val="center"/>
          </w:tcPr>
          <w:p w14:paraId="5DB5EDA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47E5AF9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30A8A67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w:t>
            </w:r>
            <w:r>
              <w:rPr>
                <w:rFonts w:hint="eastAsia" w:ascii="宋体" w:hAnsi="宋体" w:eastAsia="宋体" w:cs="宋体"/>
                <w:color w:val="auto"/>
                <w:kern w:val="0"/>
                <w:sz w:val="24"/>
                <w:szCs w:val="24"/>
                <w:highlight w:val="none"/>
                <w:lang w:eastAsia="zh-CN"/>
              </w:rPr>
              <w:t>可以</w:t>
            </w:r>
            <w:r>
              <w:rPr>
                <w:rFonts w:hint="eastAsia" w:ascii="宋体" w:hAnsi="宋体" w:eastAsia="宋体" w:cs="宋体"/>
                <w:color w:val="auto"/>
                <w:kern w:val="0"/>
                <w:sz w:val="24"/>
                <w:szCs w:val="24"/>
                <w:highlight w:val="none"/>
              </w:rPr>
              <w:t>并处</w:t>
            </w:r>
            <w:r>
              <w:rPr>
                <w:rFonts w:hint="eastAsia" w:ascii="宋体" w:hAnsi="宋体" w:cs="宋体"/>
                <w:color w:val="auto"/>
                <w:kern w:val="0"/>
                <w:sz w:val="24"/>
                <w:szCs w:val="24"/>
                <w:highlight w:val="none"/>
                <w:lang w:val="en-US" w:eastAsia="zh-CN"/>
              </w:rPr>
              <w:t>5000</w:t>
            </w:r>
            <w:r>
              <w:rPr>
                <w:rFonts w:hint="eastAsia" w:ascii="宋体" w:hAnsi="宋体" w:eastAsia="宋体" w:cs="宋体"/>
                <w:color w:val="auto"/>
                <w:kern w:val="0"/>
                <w:sz w:val="24"/>
                <w:szCs w:val="24"/>
                <w:highlight w:val="none"/>
              </w:rPr>
              <w:t>元以上1.85万元以下罚款。</w:t>
            </w:r>
          </w:p>
        </w:tc>
      </w:tr>
      <w:tr w14:paraId="7C4E8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787" w:type="dxa"/>
            <w:vMerge w:val="continue"/>
            <w:tcBorders>
              <w:tl2br w:val="nil"/>
              <w:tr2bl w:val="nil"/>
            </w:tcBorders>
            <w:noWrap w:val="0"/>
            <w:vAlign w:val="center"/>
          </w:tcPr>
          <w:p w14:paraId="022ED7E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34B0745">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color w:val="auto"/>
                <w:kern w:val="0"/>
                <w:sz w:val="24"/>
                <w:szCs w:val="24"/>
                <w:highlight w:val="none"/>
              </w:rPr>
            </w:pPr>
          </w:p>
        </w:tc>
        <w:tc>
          <w:tcPr>
            <w:tcW w:w="4132" w:type="dxa"/>
            <w:vMerge w:val="continue"/>
            <w:tcBorders>
              <w:tl2br w:val="nil"/>
              <w:tr2bl w:val="nil"/>
            </w:tcBorders>
            <w:noWrap w:val="0"/>
            <w:vAlign w:val="center"/>
          </w:tcPr>
          <w:p w14:paraId="1DC9D80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838477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26DCEDB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7A4DA3A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w:t>
            </w:r>
            <w:r>
              <w:rPr>
                <w:rFonts w:hint="eastAsia" w:ascii="宋体" w:hAnsi="宋体" w:eastAsia="宋体" w:cs="宋体"/>
                <w:color w:val="auto"/>
                <w:kern w:val="0"/>
                <w:sz w:val="24"/>
                <w:szCs w:val="24"/>
                <w:highlight w:val="none"/>
                <w:lang w:eastAsia="zh-CN"/>
              </w:rPr>
              <w:t>可以</w:t>
            </w:r>
            <w:r>
              <w:rPr>
                <w:rFonts w:hint="eastAsia" w:ascii="宋体" w:hAnsi="宋体" w:eastAsia="宋体" w:cs="宋体"/>
                <w:color w:val="auto"/>
                <w:kern w:val="0"/>
                <w:sz w:val="24"/>
                <w:szCs w:val="24"/>
                <w:highlight w:val="none"/>
              </w:rPr>
              <w:t>并处1.85万元以上3.65万元以下罚款。</w:t>
            </w:r>
          </w:p>
        </w:tc>
      </w:tr>
      <w:tr w14:paraId="0882F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787" w:type="dxa"/>
            <w:vMerge w:val="continue"/>
            <w:tcBorders>
              <w:tl2br w:val="nil"/>
              <w:tr2bl w:val="nil"/>
            </w:tcBorders>
            <w:noWrap w:val="0"/>
            <w:vAlign w:val="center"/>
          </w:tcPr>
          <w:p w14:paraId="38CEF86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3F07764">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color w:val="auto"/>
                <w:kern w:val="0"/>
                <w:sz w:val="24"/>
                <w:szCs w:val="24"/>
                <w:highlight w:val="none"/>
              </w:rPr>
            </w:pPr>
          </w:p>
        </w:tc>
        <w:tc>
          <w:tcPr>
            <w:tcW w:w="4132" w:type="dxa"/>
            <w:vMerge w:val="continue"/>
            <w:tcBorders>
              <w:tl2br w:val="nil"/>
              <w:tr2bl w:val="nil"/>
            </w:tcBorders>
            <w:noWrap w:val="0"/>
            <w:vAlign w:val="center"/>
          </w:tcPr>
          <w:p w14:paraId="3916414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6C567D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0A1555A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w:t>
            </w:r>
            <w:r>
              <w:rPr>
                <w:rFonts w:hint="eastAsia" w:ascii="宋体" w:hAnsi="宋体" w:eastAsia="宋体" w:cs="宋体"/>
                <w:color w:val="auto"/>
                <w:kern w:val="0"/>
                <w:sz w:val="24"/>
                <w:szCs w:val="24"/>
                <w:highlight w:val="none"/>
                <w:lang w:eastAsia="zh-CN"/>
              </w:rPr>
              <w:t>，且</w:t>
            </w:r>
            <w:r>
              <w:rPr>
                <w:rFonts w:hint="eastAsia" w:ascii="宋体" w:hAnsi="宋体" w:eastAsia="宋体" w:cs="宋体"/>
                <w:color w:val="auto"/>
                <w:kern w:val="0"/>
                <w:sz w:val="24"/>
                <w:szCs w:val="24"/>
                <w:highlight w:val="none"/>
              </w:rPr>
              <w:t>已经造成不良影响或者违法行为持续时间较长的。</w:t>
            </w:r>
          </w:p>
        </w:tc>
        <w:tc>
          <w:tcPr>
            <w:tcW w:w="3267" w:type="dxa"/>
            <w:tcBorders>
              <w:tl2br w:val="nil"/>
              <w:tr2bl w:val="nil"/>
            </w:tcBorders>
            <w:noWrap w:val="0"/>
            <w:vAlign w:val="center"/>
          </w:tcPr>
          <w:p w14:paraId="31828E3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给予警告，并处3.65万元以上5万元以下罚款。</w:t>
            </w:r>
          </w:p>
        </w:tc>
      </w:tr>
      <w:tr w14:paraId="4B81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787" w:type="dxa"/>
            <w:vMerge w:val="restart"/>
            <w:tcBorders>
              <w:tl2br w:val="nil"/>
              <w:tr2bl w:val="nil"/>
            </w:tcBorders>
            <w:noWrap w:val="0"/>
            <w:vAlign w:val="center"/>
          </w:tcPr>
          <w:p w14:paraId="37E0FE0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91</w:t>
            </w:r>
          </w:p>
        </w:tc>
        <w:tc>
          <w:tcPr>
            <w:tcW w:w="1718" w:type="dxa"/>
            <w:vMerge w:val="restart"/>
            <w:tcBorders>
              <w:tl2br w:val="nil"/>
              <w:tr2bl w:val="nil"/>
            </w:tcBorders>
            <w:noWrap w:val="0"/>
            <w:vAlign w:val="center"/>
          </w:tcPr>
          <w:p w14:paraId="3F6F4D76">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outlineLvl w:val="2"/>
              <w:rPr>
                <w:rFonts w:hint="eastAsia" w:ascii="宋体" w:hAnsi="宋体" w:eastAsia="宋体" w:cs="宋体"/>
                <w:b w:val="0"/>
                <w:bCs w:val="0"/>
                <w:color w:val="auto"/>
                <w:kern w:val="0"/>
                <w:sz w:val="24"/>
                <w:szCs w:val="24"/>
                <w:highlight w:val="none"/>
                <w:lang w:eastAsia="zh-CN"/>
              </w:rPr>
            </w:pPr>
            <w:bookmarkStart w:id="335" w:name="_Toc13148"/>
            <w:bookmarkStart w:id="336" w:name="_Toc732"/>
            <w:bookmarkStart w:id="337" w:name="_Toc6428"/>
            <w:bookmarkStart w:id="338" w:name="_Toc2225"/>
            <w:bookmarkStart w:id="339" w:name="_Toc21405"/>
            <w:r>
              <w:rPr>
                <w:rFonts w:hint="eastAsia" w:ascii="宋体" w:hAnsi="宋体" w:eastAsia="宋体" w:cs="宋体"/>
                <w:b w:val="0"/>
                <w:bCs w:val="0"/>
                <w:color w:val="auto"/>
                <w:kern w:val="0"/>
                <w:sz w:val="24"/>
                <w:szCs w:val="24"/>
                <w:highlight w:val="none"/>
              </w:rPr>
              <w:t>《网络食品安全违法行为查处办法》</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202</w:t>
            </w:r>
            <w:r>
              <w:rPr>
                <w:rFonts w:hint="eastAsia" w:ascii="宋体" w:hAnsi="宋体" w:cs="宋体"/>
                <w:b w:val="0"/>
                <w:bCs w:val="0"/>
                <w:color w:val="auto"/>
                <w:kern w:val="0"/>
                <w:sz w:val="24"/>
                <w:szCs w:val="24"/>
                <w:highlight w:val="none"/>
                <w:lang w:val="en-US" w:eastAsia="zh-CN"/>
              </w:rPr>
              <w:t>5</w:t>
            </w:r>
            <w:r>
              <w:rPr>
                <w:rFonts w:hint="eastAsia" w:ascii="宋体" w:hAnsi="宋体" w:eastAsia="宋体" w:cs="宋体"/>
                <w:b w:val="0"/>
                <w:bCs w:val="0"/>
                <w:color w:val="auto"/>
                <w:kern w:val="0"/>
                <w:sz w:val="24"/>
                <w:szCs w:val="24"/>
                <w:highlight w:val="none"/>
              </w:rPr>
              <w:t>年</w:t>
            </w:r>
            <w:r>
              <w:rPr>
                <w:rFonts w:hint="eastAsia" w:ascii="宋体" w:hAnsi="宋体" w:cs="宋体"/>
                <w:b w:val="0"/>
                <w:bCs w:val="0"/>
                <w:color w:val="auto"/>
                <w:kern w:val="0"/>
                <w:sz w:val="24"/>
                <w:szCs w:val="24"/>
                <w:highlight w:val="none"/>
                <w:lang w:val="en-US" w:eastAsia="zh-CN"/>
              </w:rPr>
              <w:t>5</w:t>
            </w:r>
            <w:r>
              <w:rPr>
                <w:rFonts w:hint="eastAsia" w:ascii="宋体" w:hAnsi="宋体" w:eastAsia="宋体" w:cs="宋体"/>
                <w:b w:val="0"/>
                <w:bCs w:val="0"/>
                <w:color w:val="auto"/>
                <w:kern w:val="0"/>
                <w:sz w:val="24"/>
                <w:szCs w:val="24"/>
                <w:highlight w:val="none"/>
              </w:rPr>
              <w:t>月</w:t>
            </w: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rPr>
              <w:t>日</w:t>
            </w:r>
            <w:r>
              <w:rPr>
                <w:rFonts w:hint="eastAsia" w:ascii="宋体" w:hAnsi="宋体" w:cs="宋体"/>
                <w:b w:val="0"/>
                <w:bCs w:val="0"/>
                <w:color w:val="auto"/>
                <w:kern w:val="0"/>
                <w:sz w:val="24"/>
                <w:szCs w:val="24"/>
                <w:highlight w:val="none"/>
                <w:lang w:val="en-US" w:eastAsia="zh-CN"/>
              </w:rPr>
              <w:t>起施行</w:t>
            </w:r>
            <w:r>
              <w:rPr>
                <w:rFonts w:hint="eastAsia" w:ascii="宋体" w:hAnsi="宋体" w:eastAsia="宋体" w:cs="宋体"/>
                <w:b w:val="0"/>
                <w:bCs w:val="0"/>
                <w:color w:val="auto"/>
                <w:kern w:val="0"/>
                <w:sz w:val="24"/>
                <w:szCs w:val="24"/>
                <w:highlight w:val="none"/>
                <w:lang w:eastAsia="zh-CN"/>
              </w:rPr>
              <w:t>）</w:t>
            </w:r>
            <w:bookmarkEnd w:id="335"/>
            <w:bookmarkEnd w:id="336"/>
            <w:bookmarkEnd w:id="337"/>
            <w:bookmarkEnd w:id="338"/>
            <w:bookmarkEnd w:id="339"/>
          </w:p>
        </w:tc>
        <w:tc>
          <w:tcPr>
            <w:tcW w:w="4132" w:type="dxa"/>
            <w:vMerge w:val="restart"/>
            <w:tcBorders>
              <w:tl2br w:val="nil"/>
              <w:tr2bl w:val="nil"/>
            </w:tcBorders>
            <w:noWrap w:val="0"/>
            <w:vAlign w:val="center"/>
          </w:tcPr>
          <w:p w14:paraId="151839F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 xml:space="preserve">第二十九条 </w:t>
            </w:r>
            <w:r>
              <w:rPr>
                <w:rFonts w:hint="eastAsia" w:ascii="宋体" w:hAnsi="宋体" w:cs="宋体"/>
                <w:color w:val="auto"/>
                <w:kern w:val="0"/>
                <w:sz w:val="24"/>
                <w:highlight w:val="none"/>
              </w:rPr>
              <w:t>违反本办法第八条规定，网络食品交易第三方平台提供者和通过自建网站交易的食品生产经营者未履行相应备案义务的，由县级以上地方市场监督管理部门责令改正，给予警告；拒不改正的，处5000元以上3万元以下罚款</w:t>
            </w:r>
            <w:r>
              <w:rPr>
                <w:rFonts w:hint="eastAsia" w:ascii="宋体" w:hAnsi="宋体" w:cs="宋体"/>
                <w:color w:val="auto"/>
                <w:kern w:val="0"/>
                <w:sz w:val="24"/>
                <w:highlight w:val="none"/>
                <w:lang w:eastAsia="zh-CN"/>
              </w:rPr>
              <w:t>。</w:t>
            </w:r>
          </w:p>
        </w:tc>
        <w:tc>
          <w:tcPr>
            <w:tcW w:w="1133" w:type="dxa"/>
            <w:tcBorders>
              <w:tl2br w:val="nil"/>
              <w:tr2bl w:val="nil"/>
            </w:tcBorders>
            <w:noWrap w:val="0"/>
            <w:vAlign w:val="center"/>
          </w:tcPr>
          <w:p w14:paraId="1614042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5969661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13CD770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处5000元以上1.25万元以下罚款。</w:t>
            </w:r>
          </w:p>
        </w:tc>
      </w:tr>
      <w:tr w14:paraId="77AA6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jc w:val="center"/>
        </w:trPr>
        <w:tc>
          <w:tcPr>
            <w:tcW w:w="787" w:type="dxa"/>
            <w:vMerge w:val="continue"/>
            <w:tcBorders>
              <w:tl2br w:val="nil"/>
              <w:tr2bl w:val="nil"/>
            </w:tcBorders>
            <w:noWrap w:val="0"/>
            <w:vAlign w:val="center"/>
          </w:tcPr>
          <w:p w14:paraId="06F0007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3274AE4">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3C32B39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7321941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65F34C4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6E1E910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处1.25万元以上2.25万元以下罚款。</w:t>
            </w:r>
          </w:p>
        </w:tc>
      </w:tr>
      <w:tr w14:paraId="1EF4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787" w:type="dxa"/>
            <w:vMerge w:val="continue"/>
            <w:tcBorders>
              <w:tl2br w:val="nil"/>
              <w:tr2bl w:val="nil"/>
            </w:tcBorders>
            <w:noWrap w:val="0"/>
            <w:vAlign w:val="center"/>
          </w:tcPr>
          <w:p w14:paraId="1613053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1587F5B">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2A867D5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1665415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06395B7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拒不改正，且已经造成不良影响或者违法行为持续时间较长的。</w:t>
            </w:r>
          </w:p>
        </w:tc>
        <w:tc>
          <w:tcPr>
            <w:tcW w:w="3267" w:type="dxa"/>
            <w:tcBorders>
              <w:tl2br w:val="nil"/>
              <w:tr2bl w:val="nil"/>
            </w:tcBorders>
            <w:noWrap w:val="0"/>
            <w:vAlign w:val="center"/>
          </w:tcPr>
          <w:p w14:paraId="325BB6B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处2.25万元以上3万元以下罚款。</w:t>
            </w:r>
          </w:p>
        </w:tc>
      </w:tr>
      <w:tr w14:paraId="2CB66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787" w:type="dxa"/>
            <w:vMerge w:val="restart"/>
            <w:tcBorders>
              <w:tl2br w:val="nil"/>
              <w:tr2bl w:val="nil"/>
            </w:tcBorders>
            <w:noWrap w:val="0"/>
            <w:vAlign w:val="center"/>
          </w:tcPr>
          <w:p w14:paraId="6991E2E4">
            <w:pPr>
              <w:keepNext w:val="0"/>
              <w:keepLines w:val="0"/>
              <w:pageBreakBefore w:val="0"/>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sz w:val="24"/>
                <w:szCs w:val="24"/>
                <w:highlight w:val="none"/>
              </w:rPr>
              <w:br w:type="page"/>
            </w: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92</w:t>
            </w:r>
          </w:p>
        </w:tc>
        <w:tc>
          <w:tcPr>
            <w:tcW w:w="1718" w:type="dxa"/>
            <w:vMerge w:val="restart"/>
            <w:tcBorders>
              <w:tl2br w:val="nil"/>
              <w:tr2bl w:val="nil"/>
            </w:tcBorders>
            <w:noWrap w:val="0"/>
            <w:vAlign w:val="center"/>
          </w:tcPr>
          <w:p w14:paraId="43D2C29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《网络食品安全违法行为查处办法》</w:t>
            </w:r>
          </w:p>
        </w:tc>
        <w:tc>
          <w:tcPr>
            <w:tcW w:w="4132" w:type="dxa"/>
            <w:vMerge w:val="restart"/>
            <w:tcBorders>
              <w:tl2br w:val="nil"/>
              <w:tr2bl w:val="nil"/>
            </w:tcBorders>
            <w:noWrap w:val="0"/>
            <w:vAlign w:val="center"/>
          </w:tcPr>
          <w:p w14:paraId="4B52E49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第三十一条 违反本办法第十条规定，网络食品交易第三方平台提供者未按要求建立入网食品生产经营者审查登记、食品安全自查、食品安全违法行为制止及报告、严重违法行为平台服务停止、食品安全投诉举报处理等制度的或者未公开以上制度的，由</w:t>
            </w:r>
            <w:r>
              <w:rPr>
                <w:rFonts w:hint="eastAsia" w:ascii="宋体" w:hAnsi="宋体" w:eastAsia="宋体" w:cs="宋体"/>
                <w:color w:val="auto"/>
                <w:sz w:val="24"/>
                <w:szCs w:val="24"/>
                <w:highlight w:val="none"/>
                <w:shd w:val="clear" w:color="auto" w:fill="FFFFFF"/>
              </w:rPr>
              <w:t>县级以上地方市场监督管理部门</w:t>
            </w:r>
            <w:r>
              <w:rPr>
                <w:rFonts w:hint="eastAsia" w:ascii="宋体" w:hAnsi="宋体" w:eastAsia="宋体" w:cs="宋体"/>
                <w:color w:val="auto"/>
                <w:kern w:val="0"/>
                <w:sz w:val="24"/>
                <w:szCs w:val="24"/>
                <w:highlight w:val="none"/>
              </w:rPr>
              <w:t>责令改正，给予警告；拒不改正的，处5000元以上3万元以下罚款。</w:t>
            </w:r>
          </w:p>
        </w:tc>
        <w:tc>
          <w:tcPr>
            <w:tcW w:w="1133" w:type="dxa"/>
            <w:tcBorders>
              <w:tl2br w:val="nil"/>
              <w:tr2bl w:val="nil"/>
            </w:tcBorders>
            <w:noWrap w:val="0"/>
            <w:vAlign w:val="center"/>
          </w:tcPr>
          <w:p w14:paraId="5B73A5D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56139BC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156984E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处5000元以上1.25万元以下罚款。</w:t>
            </w:r>
          </w:p>
        </w:tc>
      </w:tr>
      <w:tr w14:paraId="797F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787" w:type="dxa"/>
            <w:vMerge w:val="continue"/>
            <w:tcBorders>
              <w:tl2br w:val="nil"/>
              <w:tr2bl w:val="nil"/>
            </w:tcBorders>
            <w:noWrap w:val="0"/>
            <w:vAlign w:val="center"/>
          </w:tcPr>
          <w:p w14:paraId="706406F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C09762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3B6AFFA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3260BF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4BCBD63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65B2D8F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处1.25万元以上2.25万元以下罚款。</w:t>
            </w:r>
          </w:p>
        </w:tc>
      </w:tr>
      <w:tr w14:paraId="453E7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9" w:hRule="atLeast"/>
          <w:jc w:val="center"/>
        </w:trPr>
        <w:tc>
          <w:tcPr>
            <w:tcW w:w="787" w:type="dxa"/>
            <w:vMerge w:val="continue"/>
            <w:tcBorders>
              <w:tl2br w:val="nil"/>
              <w:tr2bl w:val="nil"/>
            </w:tcBorders>
            <w:noWrap w:val="0"/>
            <w:vAlign w:val="center"/>
          </w:tcPr>
          <w:p w14:paraId="0979DDE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3D5A1AD">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08C819B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0B487EF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11004A0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拒不改正，且已经造成不良影响或者违法行为持续时间较长的。</w:t>
            </w:r>
          </w:p>
        </w:tc>
        <w:tc>
          <w:tcPr>
            <w:tcW w:w="3267" w:type="dxa"/>
            <w:tcBorders>
              <w:tl2br w:val="nil"/>
              <w:tr2bl w:val="nil"/>
            </w:tcBorders>
            <w:noWrap w:val="0"/>
            <w:vAlign w:val="center"/>
          </w:tcPr>
          <w:p w14:paraId="25BC3A8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处2.25万元以上3万元以下罚款。</w:t>
            </w:r>
          </w:p>
        </w:tc>
      </w:tr>
      <w:tr w14:paraId="074E6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7" w:type="dxa"/>
            <w:vMerge w:val="restart"/>
            <w:tcBorders>
              <w:tl2br w:val="nil"/>
              <w:tr2bl w:val="nil"/>
            </w:tcBorders>
            <w:noWrap w:val="0"/>
            <w:vAlign w:val="center"/>
          </w:tcPr>
          <w:p w14:paraId="50E378D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93</w:t>
            </w:r>
          </w:p>
        </w:tc>
        <w:tc>
          <w:tcPr>
            <w:tcW w:w="1718" w:type="dxa"/>
            <w:vMerge w:val="restart"/>
            <w:tcBorders>
              <w:tl2br w:val="nil"/>
              <w:tr2bl w:val="nil"/>
            </w:tcBorders>
            <w:noWrap w:val="0"/>
            <w:vAlign w:val="center"/>
          </w:tcPr>
          <w:p w14:paraId="6C983CFD">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《网络食品安全违法行为查处办法》</w:t>
            </w:r>
          </w:p>
        </w:tc>
        <w:tc>
          <w:tcPr>
            <w:tcW w:w="4132" w:type="dxa"/>
            <w:vMerge w:val="restart"/>
            <w:tcBorders>
              <w:tl2br w:val="nil"/>
              <w:tr2bl w:val="nil"/>
            </w:tcBorders>
            <w:noWrap w:val="0"/>
            <w:vAlign w:val="center"/>
          </w:tcPr>
          <w:p w14:paraId="4C42B68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第三十三条 违反本办法第十二条规定，网络食品交易第三方平台提供者未建立入网食品生产经营者档案、记录入网食品生产经营者相关信息的，由</w:t>
            </w:r>
            <w:r>
              <w:rPr>
                <w:rFonts w:hint="eastAsia" w:ascii="宋体" w:hAnsi="宋体" w:eastAsia="宋体" w:cs="宋体"/>
                <w:color w:val="auto"/>
                <w:sz w:val="24"/>
                <w:szCs w:val="24"/>
                <w:highlight w:val="none"/>
                <w:shd w:val="clear" w:color="auto" w:fill="FFFFFF"/>
              </w:rPr>
              <w:t>县级以上地方市场监督管理部门</w:t>
            </w:r>
            <w:r>
              <w:rPr>
                <w:rFonts w:hint="eastAsia" w:ascii="宋体" w:hAnsi="宋体" w:eastAsia="宋体" w:cs="宋体"/>
                <w:color w:val="auto"/>
                <w:kern w:val="0"/>
                <w:sz w:val="24"/>
                <w:szCs w:val="24"/>
                <w:highlight w:val="none"/>
              </w:rPr>
              <w:t>责令改正，给予警告；拒不改正的，处5000元以上3万元以下罚款。</w:t>
            </w:r>
          </w:p>
        </w:tc>
        <w:tc>
          <w:tcPr>
            <w:tcW w:w="1133" w:type="dxa"/>
            <w:tcBorders>
              <w:tl2br w:val="nil"/>
              <w:tr2bl w:val="nil"/>
            </w:tcBorders>
            <w:noWrap w:val="0"/>
            <w:vAlign w:val="center"/>
          </w:tcPr>
          <w:p w14:paraId="604BB48F">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1A774F6F">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60CD5EE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处5000元以上1.25万元以下罚款。</w:t>
            </w:r>
          </w:p>
        </w:tc>
      </w:tr>
      <w:tr w14:paraId="4DB1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7" w:type="dxa"/>
            <w:vMerge w:val="continue"/>
            <w:tcBorders>
              <w:tl2br w:val="nil"/>
              <w:tr2bl w:val="nil"/>
            </w:tcBorders>
            <w:noWrap w:val="0"/>
            <w:vAlign w:val="center"/>
          </w:tcPr>
          <w:p w14:paraId="47CAFBD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9349741">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3231769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0C01F4C7">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3CFC424E">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6CD9C08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处1.25万元以上2.25万元以下罚款。</w:t>
            </w:r>
          </w:p>
        </w:tc>
      </w:tr>
      <w:tr w14:paraId="3858D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787" w:type="dxa"/>
            <w:vMerge w:val="continue"/>
            <w:tcBorders>
              <w:tl2br w:val="nil"/>
              <w:tr2bl w:val="nil"/>
            </w:tcBorders>
            <w:noWrap w:val="0"/>
            <w:vAlign w:val="center"/>
          </w:tcPr>
          <w:p w14:paraId="1C7239B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563ADC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6E667C5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77004A3E">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4B315FB9">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拒不改正，且已经造成不良影响或者违法行为持续时间较长的。</w:t>
            </w:r>
          </w:p>
        </w:tc>
        <w:tc>
          <w:tcPr>
            <w:tcW w:w="3267" w:type="dxa"/>
            <w:tcBorders>
              <w:tl2br w:val="nil"/>
              <w:tr2bl w:val="nil"/>
            </w:tcBorders>
            <w:noWrap w:val="0"/>
            <w:vAlign w:val="center"/>
          </w:tcPr>
          <w:p w14:paraId="261E926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处2.25万元以上3万元以下罚款。</w:t>
            </w:r>
          </w:p>
        </w:tc>
      </w:tr>
      <w:tr w14:paraId="50A7B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787" w:type="dxa"/>
            <w:vMerge w:val="restart"/>
            <w:tcBorders>
              <w:tl2br w:val="nil"/>
              <w:tr2bl w:val="nil"/>
            </w:tcBorders>
            <w:noWrap w:val="0"/>
            <w:vAlign w:val="center"/>
          </w:tcPr>
          <w:p w14:paraId="00DE283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94</w:t>
            </w:r>
          </w:p>
        </w:tc>
        <w:tc>
          <w:tcPr>
            <w:tcW w:w="1718" w:type="dxa"/>
            <w:vMerge w:val="restart"/>
            <w:tcBorders>
              <w:tl2br w:val="nil"/>
              <w:tr2bl w:val="nil"/>
            </w:tcBorders>
            <w:noWrap w:val="0"/>
            <w:vAlign w:val="center"/>
          </w:tcPr>
          <w:p w14:paraId="6B25D18A">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《网络食品安全违法行为查处办法》</w:t>
            </w:r>
          </w:p>
        </w:tc>
        <w:tc>
          <w:tcPr>
            <w:tcW w:w="4132" w:type="dxa"/>
            <w:vMerge w:val="restart"/>
            <w:tcBorders>
              <w:tl2br w:val="nil"/>
              <w:tr2bl w:val="nil"/>
            </w:tcBorders>
            <w:noWrap w:val="0"/>
            <w:vAlign w:val="center"/>
          </w:tcPr>
          <w:p w14:paraId="76E0C6E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第三十四条 违反本办法第十三条规定网络食品交易第三方平台提供者未按要求记录、保存食品交易信息的，由</w:t>
            </w:r>
            <w:r>
              <w:rPr>
                <w:rFonts w:hint="eastAsia" w:ascii="宋体" w:hAnsi="宋体" w:eastAsia="宋体" w:cs="宋体"/>
                <w:color w:val="auto"/>
                <w:sz w:val="24"/>
                <w:szCs w:val="24"/>
                <w:highlight w:val="none"/>
                <w:shd w:val="clear" w:color="auto" w:fill="FFFFFF"/>
              </w:rPr>
              <w:t>县级以上地方市场监督管理部门</w:t>
            </w:r>
            <w:r>
              <w:rPr>
                <w:rFonts w:hint="eastAsia" w:ascii="宋体" w:hAnsi="宋体" w:eastAsia="宋体" w:cs="宋体"/>
                <w:color w:val="auto"/>
                <w:kern w:val="0"/>
                <w:sz w:val="24"/>
                <w:szCs w:val="24"/>
                <w:highlight w:val="none"/>
              </w:rPr>
              <w:t>责令改正，给予警告；拒不改正的，处5000元以上3万元以下罚款。</w:t>
            </w:r>
          </w:p>
        </w:tc>
        <w:tc>
          <w:tcPr>
            <w:tcW w:w="1133" w:type="dxa"/>
            <w:tcBorders>
              <w:tl2br w:val="nil"/>
              <w:tr2bl w:val="nil"/>
            </w:tcBorders>
            <w:noWrap w:val="0"/>
            <w:vAlign w:val="center"/>
          </w:tcPr>
          <w:p w14:paraId="686DD0B9">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3133DFD4">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7AAFFBD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处5000元以上1.25万元以下罚款。</w:t>
            </w:r>
          </w:p>
        </w:tc>
      </w:tr>
      <w:tr w14:paraId="2AD2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787" w:type="dxa"/>
            <w:vMerge w:val="continue"/>
            <w:tcBorders>
              <w:tl2br w:val="nil"/>
              <w:tr2bl w:val="nil"/>
            </w:tcBorders>
            <w:noWrap w:val="0"/>
            <w:vAlign w:val="center"/>
          </w:tcPr>
          <w:p w14:paraId="516696E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700E1BC">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797554C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E762019">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24CC1EC3">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0F13DAE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处1.25万元以上2.25万元以下罚款。</w:t>
            </w:r>
          </w:p>
        </w:tc>
      </w:tr>
      <w:tr w14:paraId="0038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7" w:type="dxa"/>
            <w:vMerge w:val="continue"/>
            <w:tcBorders>
              <w:tl2br w:val="nil"/>
              <w:tr2bl w:val="nil"/>
            </w:tcBorders>
            <w:noWrap w:val="0"/>
            <w:vAlign w:val="center"/>
          </w:tcPr>
          <w:p w14:paraId="350C8D3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5C1751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0471DEC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71D630C7">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39C40DD8">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拒不改正，且已经造成不良影响或者违法行为持续时间较长的。</w:t>
            </w:r>
          </w:p>
        </w:tc>
        <w:tc>
          <w:tcPr>
            <w:tcW w:w="3267" w:type="dxa"/>
            <w:tcBorders>
              <w:tl2br w:val="nil"/>
              <w:tr2bl w:val="nil"/>
            </w:tcBorders>
            <w:noWrap w:val="0"/>
            <w:vAlign w:val="center"/>
          </w:tcPr>
          <w:p w14:paraId="4E222A6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处2.25万元以上3万元以下罚款。</w:t>
            </w:r>
          </w:p>
        </w:tc>
      </w:tr>
      <w:tr w14:paraId="1D4D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787" w:type="dxa"/>
            <w:vMerge w:val="restart"/>
            <w:tcBorders>
              <w:tl2br w:val="nil"/>
              <w:tr2bl w:val="nil"/>
            </w:tcBorders>
            <w:noWrap w:val="0"/>
            <w:vAlign w:val="center"/>
          </w:tcPr>
          <w:p w14:paraId="062A6D4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95</w:t>
            </w:r>
          </w:p>
        </w:tc>
        <w:tc>
          <w:tcPr>
            <w:tcW w:w="1718" w:type="dxa"/>
            <w:vMerge w:val="restart"/>
            <w:tcBorders>
              <w:tl2br w:val="nil"/>
              <w:tr2bl w:val="nil"/>
            </w:tcBorders>
            <w:noWrap w:val="0"/>
            <w:vAlign w:val="center"/>
          </w:tcPr>
          <w:p w14:paraId="520B1F00">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《网络食品安全违法行为查处办法》</w:t>
            </w:r>
          </w:p>
        </w:tc>
        <w:tc>
          <w:tcPr>
            <w:tcW w:w="4132" w:type="dxa"/>
            <w:vMerge w:val="restart"/>
            <w:tcBorders>
              <w:tl2br w:val="nil"/>
              <w:tr2bl w:val="nil"/>
            </w:tcBorders>
            <w:noWrap w:val="0"/>
            <w:vAlign w:val="center"/>
          </w:tcPr>
          <w:p w14:paraId="29558B5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第三十五条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违反本办法第十四条规定，网络食品交易第三方平台提供者未设置专门的网络食品安全管理机构或者指定专职食品安全管理人员对平台上的食品安全经营行为及信息进行检查的，由</w:t>
            </w:r>
            <w:r>
              <w:rPr>
                <w:rFonts w:hint="eastAsia" w:ascii="宋体" w:hAnsi="宋体" w:eastAsia="宋体" w:cs="宋体"/>
                <w:color w:val="auto"/>
                <w:sz w:val="24"/>
                <w:szCs w:val="24"/>
                <w:highlight w:val="none"/>
                <w:shd w:val="clear" w:color="auto" w:fill="FFFFFF"/>
              </w:rPr>
              <w:t>县级以上地方市场监督管理部门</w:t>
            </w:r>
            <w:r>
              <w:rPr>
                <w:rFonts w:hint="eastAsia" w:ascii="宋体" w:hAnsi="宋体" w:eastAsia="宋体" w:cs="宋体"/>
                <w:color w:val="auto"/>
                <w:kern w:val="0"/>
                <w:sz w:val="24"/>
                <w:szCs w:val="24"/>
                <w:highlight w:val="none"/>
              </w:rPr>
              <w:t>责令改正，给予警告；拒不改正的，处5000元以上3万元以下罚款。</w:t>
            </w:r>
          </w:p>
        </w:tc>
        <w:tc>
          <w:tcPr>
            <w:tcW w:w="1133" w:type="dxa"/>
            <w:tcBorders>
              <w:tl2br w:val="nil"/>
              <w:tr2bl w:val="nil"/>
            </w:tcBorders>
            <w:noWrap w:val="0"/>
            <w:vAlign w:val="center"/>
          </w:tcPr>
          <w:p w14:paraId="16B1B9F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5E2DDA39">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0DDEF72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处5000元以上1.25万元以下罚款。</w:t>
            </w:r>
          </w:p>
        </w:tc>
      </w:tr>
      <w:tr w14:paraId="1C8A3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787" w:type="dxa"/>
            <w:vMerge w:val="continue"/>
            <w:tcBorders>
              <w:tl2br w:val="nil"/>
              <w:tr2bl w:val="nil"/>
            </w:tcBorders>
            <w:noWrap w:val="0"/>
            <w:vAlign w:val="center"/>
          </w:tcPr>
          <w:p w14:paraId="5C82A84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9B35BDC">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67A17C6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682D6EF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308B97BA">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693DF0A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处1.25万元以上2.25万元以下罚款。</w:t>
            </w:r>
          </w:p>
        </w:tc>
      </w:tr>
      <w:tr w14:paraId="6FC2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jc w:val="center"/>
        </w:trPr>
        <w:tc>
          <w:tcPr>
            <w:tcW w:w="787" w:type="dxa"/>
            <w:vMerge w:val="continue"/>
            <w:tcBorders>
              <w:tl2br w:val="nil"/>
              <w:tr2bl w:val="nil"/>
            </w:tcBorders>
            <w:noWrap w:val="0"/>
            <w:vAlign w:val="center"/>
          </w:tcPr>
          <w:p w14:paraId="5BC4289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257FC51">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2820AFE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12ED938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142F9588">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拒不改正，且已经造成不良影响或者违法行为持续时间较长的。</w:t>
            </w:r>
          </w:p>
        </w:tc>
        <w:tc>
          <w:tcPr>
            <w:tcW w:w="3267" w:type="dxa"/>
            <w:tcBorders>
              <w:tl2br w:val="nil"/>
              <w:tr2bl w:val="nil"/>
            </w:tcBorders>
            <w:noWrap w:val="0"/>
            <w:vAlign w:val="center"/>
          </w:tcPr>
          <w:p w14:paraId="64EC219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处2.25万元以上3万元以下罚款。</w:t>
            </w:r>
          </w:p>
        </w:tc>
      </w:tr>
      <w:tr w14:paraId="275F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exact"/>
          <w:jc w:val="center"/>
        </w:trPr>
        <w:tc>
          <w:tcPr>
            <w:tcW w:w="787" w:type="dxa"/>
            <w:vMerge w:val="restart"/>
            <w:tcBorders>
              <w:tl2br w:val="nil"/>
              <w:tr2bl w:val="nil"/>
            </w:tcBorders>
            <w:noWrap w:val="0"/>
            <w:vAlign w:val="center"/>
          </w:tcPr>
          <w:p w14:paraId="6457B6E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96</w:t>
            </w:r>
          </w:p>
        </w:tc>
        <w:tc>
          <w:tcPr>
            <w:tcW w:w="1718" w:type="dxa"/>
            <w:vMerge w:val="restart"/>
            <w:tcBorders>
              <w:tl2br w:val="nil"/>
              <w:tr2bl w:val="nil"/>
            </w:tcBorders>
            <w:noWrap w:val="0"/>
            <w:vAlign w:val="center"/>
          </w:tcPr>
          <w:p w14:paraId="452FB72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《网络食品安全违法行为查处办法》</w:t>
            </w:r>
          </w:p>
        </w:tc>
        <w:tc>
          <w:tcPr>
            <w:tcW w:w="4132" w:type="dxa"/>
            <w:vMerge w:val="restart"/>
            <w:tcBorders>
              <w:tl2br w:val="nil"/>
              <w:tr2bl w:val="nil"/>
            </w:tcBorders>
            <w:noWrap w:val="0"/>
            <w:vAlign w:val="center"/>
          </w:tcPr>
          <w:p w14:paraId="66527BC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第三十九条 入网食品生产经营者违反本办法第十七条禁止性规定的，</w:t>
            </w:r>
            <w:r>
              <w:rPr>
                <w:rFonts w:hint="eastAsia" w:ascii="宋体" w:hAnsi="宋体" w:eastAsia="宋体" w:cs="宋体"/>
                <w:color w:val="auto"/>
                <w:sz w:val="24"/>
                <w:szCs w:val="24"/>
                <w:highlight w:val="none"/>
                <w:shd w:val="clear" w:color="auto" w:fill="FFFFFF"/>
              </w:rPr>
              <w:t>由县级以上地方市场监督管理部门</w:t>
            </w:r>
            <w:r>
              <w:rPr>
                <w:rFonts w:hint="eastAsia" w:ascii="宋体" w:hAnsi="宋体" w:eastAsia="宋体" w:cs="宋体"/>
                <w:color w:val="auto"/>
                <w:kern w:val="0"/>
                <w:sz w:val="24"/>
                <w:szCs w:val="24"/>
                <w:highlight w:val="none"/>
              </w:rPr>
              <w:t>责令改正，给予警告；拒不改正的，处5000元以上3万元以下罚款。</w:t>
            </w:r>
          </w:p>
        </w:tc>
        <w:tc>
          <w:tcPr>
            <w:tcW w:w="1133" w:type="dxa"/>
            <w:tcBorders>
              <w:tl2br w:val="nil"/>
              <w:tr2bl w:val="nil"/>
            </w:tcBorders>
            <w:noWrap w:val="0"/>
            <w:vAlign w:val="center"/>
          </w:tcPr>
          <w:p w14:paraId="135C1FA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5E20E1E7">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203342C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处5000元以上1.25万元以下罚款。</w:t>
            </w:r>
          </w:p>
        </w:tc>
      </w:tr>
      <w:tr w14:paraId="46597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exact"/>
          <w:jc w:val="center"/>
        </w:trPr>
        <w:tc>
          <w:tcPr>
            <w:tcW w:w="787" w:type="dxa"/>
            <w:vMerge w:val="continue"/>
            <w:tcBorders>
              <w:tl2br w:val="nil"/>
              <w:tr2bl w:val="nil"/>
            </w:tcBorders>
            <w:noWrap w:val="0"/>
            <w:vAlign w:val="center"/>
          </w:tcPr>
          <w:p w14:paraId="35626CE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4E82C0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6695807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05DDA23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430B960B">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740CEE8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处1.25万元以上2.25万元以下罚款。</w:t>
            </w:r>
          </w:p>
        </w:tc>
      </w:tr>
      <w:tr w14:paraId="1A59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9" w:hRule="exact"/>
          <w:jc w:val="center"/>
        </w:trPr>
        <w:tc>
          <w:tcPr>
            <w:tcW w:w="787" w:type="dxa"/>
            <w:vMerge w:val="continue"/>
            <w:tcBorders>
              <w:tl2br w:val="nil"/>
              <w:tr2bl w:val="nil"/>
            </w:tcBorders>
            <w:noWrap w:val="0"/>
            <w:vAlign w:val="center"/>
          </w:tcPr>
          <w:p w14:paraId="65D1FE9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C26349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34E1EA2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B67D98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47F7422B">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拒不改正，且已经造成不良影响或者违法行为持续时间较长的。</w:t>
            </w:r>
          </w:p>
        </w:tc>
        <w:tc>
          <w:tcPr>
            <w:tcW w:w="3267" w:type="dxa"/>
            <w:tcBorders>
              <w:tl2br w:val="nil"/>
              <w:tr2bl w:val="nil"/>
            </w:tcBorders>
            <w:noWrap w:val="0"/>
            <w:vAlign w:val="center"/>
          </w:tcPr>
          <w:p w14:paraId="55B758D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处2.25万元以上3万元以下罚款。</w:t>
            </w:r>
          </w:p>
        </w:tc>
      </w:tr>
      <w:tr w14:paraId="51C0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exact"/>
          <w:jc w:val="center"/>
        </w:trPr>
        <w:tc>
          <w:tcPr>
            <w:tcW w:w="787" w:type="dxa"/>
            <w:vMerge w:val="restart"/>
            <w:tcBorders>
              <w:tl2br w:val="nil"/>
              <w:tr2bl w:val="nil"/>
            </w:tcBorders>
            <w:noWrap w:val="0"/>
            <w:vAlign w:val="center"/>
          </w:tcPr>
          <w:p w14:paraId="5EC1723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97</w:t>
            </w:r>
          </w:p>
        </w:tc>
        <w:tc>
          <w:tcPr>
            <w:tcW w:w="1718" w:type="dxa"/>
            <w:vMerge w:val="restart"/>
            <w:tcBorders>
              <w:tl2br w:val="nil"/>
              <w:tr2bl w:val="nil"/>
            </w:tcBorders>
            <w:noWrap w:val="0"/>
            <w:vAlign w:val="center"/>
          </w:tcPr>
          <w:p w14:paraId="12F63AA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《网络食品安全违法行为查处办法》</w:t>
            </w:r>
          </w:p>
        </w:tc>
        <w:tc>
          <w:tcPr>
            <w:tcW w:w="4132" w:type="dxa"/>
            <w:vMerge w:val="restart"/>
            <w:tcBorders>
              <w:tl2br w:val="nil"/>
              <w:tr2bl w:val="nil"/>
            </w:tcBorders>
            <w:noWrap w:val="0"/>
            <w:vAlign w:val="center"/>
          </w:tcPr>
          <w:p w14:paraId="1DA169B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第四十一条第一款 违反本办法第十九条第一款规定，食品生产经营者未按要求公示特殊食品相关信息的，由</w:t>
            </w:r>
            <w:r>
              <w:rPr>
                <w:rFonts w:hint="eastAsia" w:ascii="宋体" w:hAnsi="宋体" w:eastAsia="宋体" w:cs="宋体"/>
                <w:color w:val="auto"/>
                <w:sz w:val="24"/>
                <w:szCs w:val="24"/>
                <w:highlight w:val="none"/>
                <w:shd w:val="clear" w:color="auto" w:fill="FFFFFF"/>
              </w:rPr>
              <w:t>县级以上地方市场监督管理部门</w:t>
            </w:r>
            <w:r>
              <w:rPr>
                <w:rFonts w:hint="eastAsia" w:ascii="宋体" w:hAnsi="宋体" w:eastAsia="宋体" w:cs="宋体"/>
                <w:color w:val="auto"/>
                <w:kern w:val="0"/>
                <w:sz w:val="24"/>
                <w:szCs w:val="24"/>
                <w:highlight w:val="none"/>
              </w:rPr>
              <w:t>责令改正，给予警告；拒不改正的，处5000元以上3万元以下罚款。</w:t>
            </w:r>
          </w:p>
        </w:tc>
        <w:tc>
          <w:tcPr>
            <w:tcW w:w="1133" w:type="dxa"/>
            <w:tcBorders>
              <w:tl2br w:val="nil"/>
              <w:tr2bl w:val="nil"/>
            </w:tcBorders>
            <w:noWrap w:val="0"/>
            <w:vAlign w:val="center"/>
          </w:tcPr>
          <w:p w14:paraId="532E032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6F6E27A1">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15E464E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处5000元以上1.25万元以下罚款。</w:t>
            </w:r>
          </w:p>
        </w:tc>
      </w:tr>
      <w:tr w14:paraId="45E4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exact"/>
          <w:jc w:val="center"/>
        </w:trPr>
        <w:tc>
          <w:tcPr>
            <w:tcW w:w="787" w:type="dxa"/>
            <w:vMerge w:val="continue"/>
            <w:tcBorders>
              <w:tl2br w:val="nil"/>
              <w:tr2bl w:val="nil"/>
            </w:tcBorders>
            <w:noWrap w:val="0"/>
            <w:vAlign w:val="center"/>
          </w:tcPr>
          <w:p w14:paraId="285C42C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9554995">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0E5585F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94854E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7CD58AAD">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03DAE25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处1.25万元以上2.25万元以下罚款。</w:t>
            </w:r>
          </w:p>
        </w:tc>
      </w:tr>
      <w:tr w14:paraId="47A06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exact"/>
          <w:jc w:val="center"/>
        </w:trPr>
        <w:tc>
          <w:tcPr>
            <w:tcW w:w="787" w:type="dxa"/>
            <w:vMerge w:val="continue"/>
            <w:tcBorders>
              <w:tl2br w:val="nil"/>
              <w:tr2bl w:val="nil"/>
            </w:tcBorders>
            <w:noWrap w:val="0"/>
            <w:vAlign w:val="center"/>
          </w:tcPr>
          <w:p w14:paraId="1590973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A841C4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3522825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6CD2D4A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1F15A6D5">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pacing w:val="-6"/>
                <w:kern w:val="0"/>
                <w:sz w:val="24"/>
                <w:szCs w:val="24"/>
                <w:highlight w:val="none"/>
              </w:rPr>
              <w:t>拒不改正，且已经造成不良影响或者违法行为持续时间较长的。</w:t>
            </w:r>
          </w:p>
        </w:tc>
        <w:tc>
          <w:tcPr>
            <w:tcW w:w="3267" w:type="dxa"/>
            <w:tcBorders>
              <w:tl2br w:val="nil"/>
              <w:tr2bl w:val="nil"/>
            </w:tcBorders>
            <w:noWrap w:val="0"/>
            <w:vAlign w:val="center"/>
          </w:tcPr>
          <w:p w14:paraId="4E781EA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处2.25万元以上3万元以下罚款。</w:t>
            </w:r>
          </w:p>
        </w:tc>
      </w:tr>
      <w:tr w14:paraId="6F84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restart"/>
            <w:tcBorders>
              <w:tl2br w:val="nil"/>
              <w:tr2bl w:val="nil"/>
            </w:tcBorders>
            <w:noWrap w:val="0"/>
            <w:vAlign w:val="center"/>
          </w:tcPr>
          <w:p w14:paraId="7664786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2</w:t>
            </w:r>
            <w:r>
              <w:rPr>
                <w:rFonts w:hint="eastAsia" w:ascii="宋体" w:hAnsi="宋体" w:cs="宋体"/>
                <w:b w:val="0"/>
                <w:bCs w:val="0"/>
                <w:color w:val="auto"/>
                <w:kern w:val="0"/>
                <w:sz w:val="24"/>
                <w:szCs w:val="24"/>
                <w:highlight w:val="none"/>
                <w:lang w:val="en-US" w:eastAsia="zh-CN"/>
              </w:rPr>
              <w:t>98</w:t>
            </w:r>
          </w:p>
        </w:tc>
        <w:tc>
          <w:tcPr>
            <w:tcW w:w="1718" w:type="dxa"/>
            <w:vMerge w:val="restart"/>
            <w:tcBorders>
              <w:tl2br w:val="nil"/>
              <w:tr2bl w:val="nil"/>
            </w:tcBorders>
            <w:noWrap w:val="0"/>
            <w:vAlign w:val="center"/>
          </w:tcPr>
          <w:p w14:paraId="68FD73BD">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《网络食品安全违法行为查处办法》</w:t>
            </w:r>
          </w:p>
        </w:tc>
        <w:tc>
          <w:tcPr>
            <w:tcW w:w="4132" w:type="dxa"/>
            <w:vMerge w:val="restart"/>
            <w:tcBorders>
              <w:tl2br w:val="nil"/>
              <w:tr2bl w:val="nil"/>
            </w:tcBorders>
            <w:noWrap w:val="0"/>
            <w:vAlign w:val="center"/>
          </w:tcPr>
          <w:p w14:paraId="4819CFF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第四十三条 违反本办法规定，网络食品交易第三方平台提供者、入网食品生产经营者提供虚假信息的，</w:t>
            </w:r>
            <w:r>
              <w:rPr>
                <w:rFonts w:hint="eastAsia" w:ascii="宋体" w:hAnsi="宋体" w:eastAsia="宋体" w:cs="宋体"/>
                <w:color w:val="auto"/>
                <w:sz w:val="24"/>
                <w:szCs w:val="24"/>
                <w:highlight w:val="none"/>
                <w:shd w:val="clear" w:color="auto" w:fill="FFFFFF"/>
              </w:rPr>
              <w:t>由县级以上地方市场监督管理部门</w:t>
            </w:r>
            <w:r>
              <w:rPr>
                <w:rFonts w:hint="eastAsia" w:ascii="宋体" w:hAnsi="宋体" w:eastAsia="宋体" w:cs="宋体"/>
                <w:color w:val="auto"/>
                <w:kern w:val="0"/>
                <w:sz w:val="24"/>
                <w:szCs w:val="24"/>
                <w:highlight w:val="none"/>
              </w:rPr>
              <w:t>责令改正，处1万元以上3万元以下罚款。</w:t>
            </w:r>
          </w:p>
        </w:tc>
        <w:tc>
          <w:tcPr>
            <w:tcW w:w="1133" w:type="dxa"/>
            <w:tcBorders>
              <w:tl2br w:val="nil"/>
              <w:tr2bl w:val="nil"/>
            </w:tcBorders>
            <w:noWrap w:val="0"/>
            <w:vAlign w:val="center"/>
          </w:tcPr>
          <w:p w14:paraId="0E4A302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60622D89">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入网经营的食品符合法律、法规或者食品安全标准的；违法所得5000元以下或者货值金额2万元以下的。</w:t>
            </w:r>
          </w:p>
        </w:tc>
        <w:tc>
          <w:tcPr>
            <w:tcW w:w="3267" w:type="dxa"/>
            <w:tcBorders>
              <w:tl2br w:val="nil"/>
              <w:tr2bl w:val="nil"/>
            </w:tcBorders>
            <w:noWrap w:val="0"/>
            <w:vAlign w:val="center"/>
          </w:tcPr>
          <w:p w14:paraId="4D0D3018">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责令改正，处1万元以上1.6万元以下罚款。</w:t>
            </w:r>
          </w:p>
        </w:tc>
      </w:tr>
      <w:tr w14:paraId="3B92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jc w:val="center"/>
        </w:trPr>
        <w:tc>
          <w:tcPr>
            <w:tcW w:w="787" w:type="dxa"/>
            <w:vMerge w:val="continue"/>
            <w:tcBorders>
              <w:tl2br w:val="nil"/>
              <w:tr2bl w:val="nil"/>
            </w:tcBorders>
            <w:noWrap w:val="0"/>
            <w:vAlign w:val="center"/>
          </w:tcPr>
          <w:p w14:paraId="2E1597F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DAABF3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72F761F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CBA39A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08D2F99E">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pacing w:val="-6"/>
                <w:kern w:val="0"/>
                <w:sz w:val="24"/>
                <w:szCs w:val="24"/>
                <w:highlight w:val="none"/>
              </w:rPr>
              <w:t>入网经营的食品符合法律、法规或者食品安全标准的；违法所得5</w:t>
            </w:r>
            <w:r>
              <w:rPr>
                <w:rFonts w:hint="eastAsia" w:ascii="宋体" w:hAnsi="宋体" w:eastAsia="宋体" w:cs="宋体"/>
                <w:color w:val="auto"/>
                <w:spacing w:val="-11"/>
                <w:kern w:val="0"/>
                <w:sz w:val="24"/>
                <w:szCs w:val="24"/>
                <w:highlight w:val="none"/>
              </w:rPr>
              <w:t>000元以上2万元以下的或者货值金额2万元以上5万元以下的。</w:t>
            </w:r>
          </w:p>
        </w:tc>
        <w:tc>
          <w:tcPr>
            <w:tcW w:w="3267" w:type="dxa"/>
            <w:tcBorders>
              <w:tl2br w:val="nil"/>
              <w:tr2bl w:val="nil"/>
            </w:tcBorders>
            <w:noWrap w:val="0"/>
            <w:vAlign w:val="center"/>
          </w:tcPr>
          <w:p w14:paraId="389DFF3C">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责令改正，处1.6万元以上2.4万元以下罚款。</w:t>
            </w:r>
          </w:p>
        </w:tc>
      </w:tr>
      <w:tr w14:paraId="71F79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7" w:hRule="atLeast"/>
          <w:jc w:val="center"/>
        </w:trPr>
        <w:tc>
          <w:tcPr>
            <w:tcW w:w="787" w:type="dxa"/>
            <w:vMerge w:val="continue"/>
            <w:tcBorders>
              <w:tl2br w:val="nil"/>
              <w:tr2bl w:val="nil"/>
            </w:tcBorders>
            <w:noWrap w:val="0"/>
            <w:vAlign w:val="center"/>
          </w:tcPr>
          <w:p w14:paraId="63716DC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5CEC9C7">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67296E3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7315441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56F1FC05">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入网经营的食品不符合法律、法规或者食品安全标准的；违法所得2万元以上或者货值金额5万元以上的；入网经营的食品无法追溯的；导致食品安全事故的。</w:t>
            </w:r>
          </w:p>
        </w:tc>
        <w:tc>
          <w:tcPr>
            <w:tcW w:w="3267" w:type="dxa"/>
            <w:tcBorders>
              <w:tl2br w:val="nil"/>
              <w:tr2bl w:val="nil"/>
            </w:tcBorders>
            <w:noWrap w:val="0"/>
            <w:vAlign w:val="center"/>
          </w:tcPr>
          <w:p w14:paraId="53FAF301">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责令改正，处2.4万元以上3万元以下罚款。</w:t>
            </w:r>
          </w:p>
        </w:tc>
      </w:tr>
      <w:tr w14:paraId="3CBF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787" w:type="dxa"/>
            <w:vMerge w:val="restart"/>
            <w:tcBorders>
              <w:tl2br w:val="nil"/>
              <w:tr2bl w:val="nil"/>
            </w:tcBorders>
            <w:noWrap w:val="0"/>
            <w:vAlign w:val="center"/>
          </w:tcPr>
          <w:p w14:paraId="02CF449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w:t>
            </w:r>
            <w:r>
              <w:rPr>
                <w:rFonts w:hint="eastAsia" w:ascii="宋体" w:hAnsi="宋体" w:cs="宋体"/>
                <w:b w:val="0"/>
                <w:bCs w:val="0"/>
                <w:color w:val="auto"/>
                <w:kern w:val="0"/>
                <w:sz w:val="24"/>
                <w:szCs w:val="24"/>
                <w:highlight w:val="none"/>
                <w:lang w:val="en-US" w:eastAsia="zh-CN"/>
              </w:rPr>
              <w:t>99</w:t>
            </w:r>
          </w:p>
        </w:tc>
        <w:tc>
          <w:tcPr>
            <w:tcW w:w="1718" w:type="dxa"/>
            <w:vMerge w:val="restart"/>
            <w:tcBorders>
              <w:tl2br w:val="nil"/>
              <w:tr2bl w:val="nil"/>
            </w:tcBorders>
            <w:noWrap w:val="0"/>
            <w:vAlign w:val="center"/>
          </w:tcPr>
          <w:p w14:paraId="66F8FFC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outlineLvl w:val="2"/>
              <w:rPr>
                <w:rFonts w:hint="eastAsia" w:ascii="宋体" w:hAnsi="宋体" w:eastAsia="宋体" w:cs="宋体"/>
                <w:b w:val="0"/>
                <w:bCs w:val="0"/>
                <w:color w:val="auto"/>
                <w:kern w:val="0"/>
                <w:sz w:val="24"/>
                <w:szCs w:val="24"/>
                <w:highlight w:val="none"/>
                <w:lang w:eastAsia="zh-CN"/>
              </w:rPr>
            </w:pPr>
            <w:bookmarkStart w:id="340" w:name="_Toc21150"/>
            <w:bookmarkStart w:id="341" w:name="_Toc19307"/>
            <w:bookmarkStart w:id="342" w:name="_Toc27641"/>
            <w:bookmarkStart w:id="343" w:name="_Toc21832"/>
            <w:bookmarkStart w:id="344" w:name="_Toc5662"/>
            <w:r>
              <w:rPr>
                <w:rFonts w:hint="eastAsia" w:ascii="宋体" w:hAnsi="宋体" w:eastAsia="宋体" w:cs="宋体"/>
                <w:b w:val="0"/>
                <w:bCs w:val="0"/>
                <w:color w:val="auto"/>
                <w:kern w:val="0"/>
                <w:sz w:val="24"/>
                <w:szCs w:val="24"/>
                <w:highlight w:val="none"/>
              </w:rPr>
              <w:t>《学校食品安全与营养健康管理规定》</w:t>
            </w:r>
            <w:r>
              <w:rPr>
                <w:rFonts w:hint="eastAsia" w:ascii="宋体" w:hAnsi="宋体" w:eastAsia="宋体" w:cs="宋体"/>
                <w:b w:val="0"/>
                <w:bCs w:val="0"/>
                <w:color w:val="auto"/>
                <w:kern w:val="0"/>
                <w:sz w:val="24"/>
                <w:szCs w:val="24"/>
                <w:highlight w:val="none"/>
                <w:lang w:eastAsia="zh-CN"/>
              </w:rPr>
              <w:t>（</w:t>
            </w:r>
            <w:r>
              <w:rPr>
                <w:rFonts w:hint="eastAsia" w:ascii="宋体" w:hAnsi="宋体" w:cs="宋体"/>
                <w:color w:val="auto"/>
                <w:kern w:val="0"/>
                <w:sz w:val="24"/>
                <w:highlight w:val="none"/>
              </w:rPr>
              <w:t>2019年4月1日起施行</w:t>
            </w:r>
            <w:r>
              <w:rPr>
                <w:rFonts w:hint="eastAsia" w:ascii="宋体" w:hAnsi="宋体" w:eastAsia="宋体" w:cs="宋体"/>
                <w:b w:val="0"/>
                <w:bCs w:val="0"/>
                <w:color w:val="auto"/>
                <w:kern w:val="0"/>
                <w:sz w:val="24"/>
                <w:szCs w:val="24"/>
                <w:highlight w:val="none"/>
                <w:lang w:eastAsia="zh-CN"/>
              </w:rPr>
              <w:t>）</w:t>
            </w:r>
            <w:bookmarkEnd w:id="340"/>
            <w:bookmarkEnd w:id="341"/>
            <w:bookmarkEnd w:id="342"/>
            <w:bookmarkEnd w:id="343"/>
            <w:bookmarkEnd w:id="344"/>
          </w:p>
        </w:tc>
        <w:tc>
          <w:tcPr>
            <w:tcW w:w="4132" w:type="dxa"/>
            <w:vMerge w:val="restart"/>
            <w:tcBorders>
              <w:tl2br w:val="nil"/>
              <w:tr2bl w:val="nil"/>
            </w:tcBorders>
            <w:noWrap w:val="0"/>
            <w:vAlign w:val="top"/>
          </w:tcPr>
          <w:p w14:paraId="757BB859">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pacing w:val="-6"/>
                <w:kern w:val="0"/>
                <w:sz w:val="24"/>
                <w:szCs w:val="24"/>
                <w:highlight w:val="none"/>
              </w:rPr>
              <w:t>第</w:t>
            </w:r>
            <w:r>
              <w:rPr>
                <w:rFonts w:hint="eastAsia" w:ascii="宋体" w:hAnsi="宋体" w:eastAsia="宋体" w:cs="宋体"/>
                <w:color w:val="auto"/>
                <w:spacing w:val="0"/>
                <w:kern w:val="0"/>
                <w:sz w:val="24"/>
                <w:szCs w:val="24"/>
                <w:highlight w:val="none"/>
              </w:rPr>
              <w:t>五十四条第二款</w:t>
            </w:r>
            <w:r>
              <w:rPr>
                <w:rFonts w:hint="eastAsia" w:ascii="宋体" w:hAnsi="宋体" w:cs="宋体"/>
                <w:color w:val="auto"/>
                <w:spacing w:val="0"/>
                <w:kern w:val="0"/>
                <w:sz w:val="24"/>
                <w:szCs w:val="24"/>
                <w:highlight w:val="none"/>
                <w:lang w:val="en-US" w:eastAsia="zh-CN"/>
              </w:rPr>
              <w:t xml:space="preserve"> </w:t>
            </w:r>
            <w:r>
              <w:rPr>
                <w:rFonts w:hint="eastAsia" w:ascii="宋体" w:hAnsi="宋体" w:eastAsia="宋体" w:cs="宋体"/>
                <w:color w:val="auto"/>
                <w:spacing w:val="0"/>
                <w:kern w:val="0"/>
                <w:sz w:val="24"/>
                <w:szCs w:val="24"/>
                <w:highlight w:val="none"/>
              </w:rPr>
              <w:t>违反本规定第三十四条第（三）项、第（四）项，学校食堂（或者供餐单位）未查验或者留存食用农产品生产者、集中交易市场开办者或者经营者的社会信用序号或者身份证复印件或者购货凭证、合格证明文件的，由</w:t>
            </w:r>
            <w:r>
              <w:rPr>
                <w:rFonts w:hint="eastAsia" w:ascii="宋体" w:hAnsi="宋体" w:eastAsia="宋体" w:cs="宋体"/>
                <w:color w:val="auto"/>
                <w:spacing w:val="0"/>
                <w:sz w:val="24"/>
                <w:szCs w:val="24"/>
                <w:highlight w:val="none"/>
                <w:shd w:val="clear" w:color="auto" w:fill="FFFFFF"/>
              </w:rPr>
              <w:t>由县级以上人民政府食品安全监督管理部门</w:t>
            </w:r>
            <w:r>
              <w:rPr>
                <w:rFonts w:hint="eastAsia" w:ascii="宋体" w:hAnsi="宋体" w:eastAsia="宋体" w:cs="宋体"/>
                <w:color w:val="auto"/>
                <w:spacing w:val="0"/>
                <w:kern w:val="0"/>
                <w:sz w:val="24"/>
                <w:szCs w:val="24"/>
                <w:highlight w:val="none"/>
              </w:rPr>
              <w:t>责令改正；拒不改正的，给予警告，并处5000元以上3万元以下罚款。</w:t>
            </w:r>
          </w:p>
        </w:tc>
        <w:tc>
          <w:tcPr>
            <w:tcW w:w="1133" w:type="dxa"/>
            <w:tcBorders>
              <w:tl2br w:val="nil"/>
              <w:tr2bl w:val="nil"/>
            </w:tcBorders>
            <w:noWrap w:val="0"/>
            <w:vAlign w:val="center"/>
          </w:tcPr>
          <w:p w14:paraId="18B97B1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4B802085">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0A9AA8C4">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w:t>
            </w:r>
            <w:r>
              <w:rPr>
                <w:rFonts w:hint="eastAsia" w:ascii="宋体" w:hAnsi="宋体" w:cs="宋体"/>
                <w:color w:val="auto"/>
                <w:kern w:val="0"/>
                <w:sz w:val="24"/>
                <w:szCs w:val="24"/>
                <w:highlight w:val="none"/>
                <w:lang w:val="en-US" w:eastAsia="zh-CN"/>
              </w:rPr>
              <w:t>5000</w:t>
            </w:r>
            <w:r>
              <w:rPr>
                <w:rFonts w:hint="eastAsia" w:ascii="宋体" w:hAnsi="宋体" w:eastAsia="宋体" w:cs="宋体"/>
                <w:color w:val="auto"/>
                <w:kern w:val="0"/>
                <w:sz w:val="24"/>
                <w:szCs w:val="24"/>
                <w:highlight w:val="none"/>
              </w:rPr>
              <w:t>元以上1.25万元以下罚款。</w:t>
            </w:r>
          </w:p>
        </w:tc>
      </w:tr>
      <w:tr w14:paraId="379D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787" w:type="dxa"/>
            <w:vMerge w:val="continue"/>
            <w:tcBorders>
              <w:tl2br w:val="nil"/>
              <w:tr2bl w:val="nil"/>
            </w:tcBorders>
            <w:noWrap w:val="0"/>
            <w:vAlign w:val="center"/>
          </w:tcPr>
          <w:p w14:paraId="77DE67B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15A5DE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55140B6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C362E7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241EC784">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673707C2">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给予警告，并处1.25万元以上2.25万元以下罚款。</w:t>
            </w:r>
          </w:p>
        </w:tc>
      </w:tr>
      <w:tr w14:paraId="697D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jc w:val="center"/>
        </w:trPr>
        <w:tc>
          <w:tcPr>
            <w:tcW w:w="787" w:type="dxa"/>
            <w:vMerge w:val="continue"/>
            <w:tcBorders>
              <w:tl2br w:val="nil"/>
              <w:tr2bl w:val="nil"/>
            </w:tcBorders>
            <w:noWrap w:val="0"/>
            <w:vAlign w:val="center"/>
          </w:tcPr>
          <w:p w14:paraId="4F895FF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4CC8846">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1449817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823C0B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7AFE9C22">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拒不改正，且已经造成不良影响或者违法行为持续时间较长的。</w:t>
            </w:r>
          </w:p>
        </w:tc>
        <w:tc>
          <w:tcPr>
            <w:tcW w:w="3267" w:type="dxa"/>
            <w:tcBorders>
              <w:tl2br w:val="nil"/>
              <w:tr2bl w:val="nil"/>
            </w:tcBorders>
            <w:noWrap w:val="0"/>
            <w:vAlign w:val="center"/>
          </w:tcPr>
          <w:p w14:paraId="0D43AD33">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给予警告，并处2.25万元以上3万元以下罚款。</w:t>
            </w:r>
          </w:p>
        </w:tc>
      </w:tr>
      <w:tr w14:paraId="25096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787" w:type="dxa"/>
            <w:vMerge w:val="restart"/>
            <w:tcBorders>
              <w:tl2br w:val="nil"/>
              <w:tr2bl w:val="nil"/>
            </w:tcBorders>
            <w:noWrap w:val="0"/>
            <w:vAlign w:val="center"/>
          </w:tcPr>
          <w:p w14:paraId="730B183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300</w:t>
            </w:r>
          </w:p>
        </w:tc>
        <w:tc>
          <w:tcPr>
            <w:tcW w:w="1718" w:type="dxa"/>
            <w:vMerge w:val="restart"/>
            <w:tcBorders>
              <w:tl2br w:val="nil"/>
              <w:tr2bl w:val="nil"/>
            </w:tcBorders>
            <w:noWrap w:val="0"/>
            <w:vAlign w:val="center"/>
          </w:tcPr>
          <w:p w14:paraId="516429ED">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《学校食品安全与营养健康管理规定》</w:t>
            </w:r>
          </w:p>
        </w:tc>
        <w:tc>
          <w:tcPr>
            <w:tcW w:w="4132" w:type="dxa"/>
            <w:vMerge w:val="restart"/>
            <w:tcBorders>
              <w:tl2br w:val="nil"/>
              <w:tr2bl w:val="nil"/>
            </w:tcBorders>
            <w:noWrap w:val="0"/>
            <w:vAlign w:val="center"/>
          </w:tcPr>
          <w:p w14:paraId="0DD37D6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第五十五条第一款</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违反本规定第三十六条第二款，学校食堂（或者供餐单位）采购、贮存亚硝酸盐（包括亚硝酸钠、亚硝酸钾）的,由</w:t>
            </w:r>
            <w:r>
              <w:rPr>
                <w:rFonts w:hint="eastAsia" w:ascii="宋体" w:hAnsi="宋体" w:eastAsia="宋体" w:cs="宋体"/>
                <w:color w:val="auto"/>
                <w:sz w:val="24"/>
                <w:szCs w:val="24"/>
                <w:highlight w:val="none"/>
                <w:shd w:val="clear" w:color="auto" w:fill="FFFFFF"/>
              </w:rPr>
              <w:t>县级以上人民政府食品安全监督管理部门</w:t>
            </w:r>
            <w:r>
              <w:rPr>
                <w:rFonts w:hint="eastAsia" w:ascii="宋体" w:hAnsi="宋体" w:eastAsia="宋体" w:cs="宋体"/>
                <w:color w:val="auto"/>
                <w:kern w:val="0"/>
                <w:sz w:val="24"/>
                <w:szCs w:val="24"/>
                <w:highlight w:val="none"/>
              </w:rPr>
              <w:t>责令改正，给予警告，并处5000元以上3万元以下罚款。</w:t>
            </w:r>
          </w:p>
        </w:tc>
        <w:tc>
          <w:tcPr>
            <w:tcW w:w="1133" w:type="dxa"/>
            <w:tcBorders>
              <w:tl2br w:val="nil"/>
              <w:tr2bl w:val="nil"/>
            </w:tcBorders>
            <w:noWrap w:val="0"/>
            <w:vAlign w:val="center"/>
          </w:tcPr>
          <w:p w14:paraId="4E7FDF9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0A144910">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采购、贮存亚硝酸盐10克以下的。</w:t>
            </w:r>
          </w:p>
        </w:tc>
        <w:tc>
          <w:tcPr>
            <w:tcW w:w="3267" w:type="dxa"/>
            <w:tcBorders>
              <w:tl2br w:val="nil"/>
              <w:tr2bl w:val="nil"/>
            </w:tcBorders>
            <w:noWrap w:val="0"/>
            <w:vAlign w:val="center"/>
          </w:tcPr>
          <w:p w14:paraId="38F1E22B">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责令改正，给予警告，并处</w:t>
            </w:r>
            <w:r>
              <w:rPr>
                <w:rFonts w:hint="eastAsia" w:ascii="宋体" w:hAnsi="宋体" w:cs="宋体"/>
                <w:color w:val="auto"/>
                <w:kern w:val="0"/>
                <w:sz w:val="24"/>
                <w:szCs w:val="24"/>
                <w:highlight w:val="none"/>
                <w:lang w:val="en-US" w:eastAsia="zh-CN"/>
              </w:rPr>
              <w:t>5000</w:t>
            </w:r>
            <w:r>
              <w:rPr>
                <w:rFonts w:hint="eastAsia" w:ascii="宋体" w:hAnsi="宋体" w:eastAsia="宋体" w:cs="宋体"/>
                <w:color w:val="auto"/>
                <w:kern w:val="0"/>
                <w:sz w:val="24"/>
                <w:szCs w:val="24"/>
                <w:highlight w:val="none"/>
              </w:rPr>
              <w:t>元以上1.25万元以下罚款。</w:t>
            </w:r>
          </w:p>
        </w:tc>
      </w:tr>
      <w:tr w14:paraId="514E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787" w:type="dxa"/>
            <w:vMerge w:val="continue"/>
            <w:tcBorders>
              <w:tl2br w:val="nil"/>
              <w:tr2bl w:val="nil"/>
            </w:tcBorders>
            <w:noWrap w:val="0"/>
            <w:vAlign w:val="center"/>
          </w:tcPr>
          <w:p w14:paraId="1997723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5DAFBE4">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3CF0E2B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AC3517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56E6B48B">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采购、贮存亚硝酸盐10克以上30克以下的。</w:t>
            </w:r>
          </w:p>
        </w:tc>
        <w:tc>
          <w:tcPr>
            <w:tcW w:w="3267" w:type="dxa"/>
            <w:tcBorders>
              <w:tl2br w:val="nil"/>
              <w:tr2bl w:val="nil"/>
            </w:tcBorders>
            <w:noWrap w:val="0"/>
            <w:vAlign w:val="center"/>
          </w:tcPr>
          <w:p w14:paraId="6E8C9262">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责令改正，给予警告，并处1.25万元以上2.25万元以下罚款。</w:t>
            </w:r>
          </w:p>
        </w:tc>
      </w:tr>
      <w:tr w14:paraId="02BA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jc w:val="center"/>
        </w:trPr>
        <w:tc>
          <w:tcPr>
            <w:tcW w:w="787" w:type="dxa"/>
            <w:vMerge w:val="continue"/>
            <w:tcBorders>
              <w:tl2br w:val="nil"/>
              <w:tr2bl w:val="nil"/>
            </w:tcBorders>
            <w:noWrap w:val="0"/>
            <w:vAlign w:val="center"/>
          </w:tcPr>
          <w:p w14:paraId="7A79849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201D3CC">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454200F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7642D0E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06032D8F">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采购、贮存亚硝酸盐30克以上的。</w:t>
            </w:r>
          </w:p>
        </w:tc>
        <w:tc>
          <w:tcPr>
            <w:tcW w:w="3267" w:type="dxa"/>
            <w:tcBorders>
              <w:tl2br w:val="nil"/>
              <w:tr2bl w:val="nil"/>
            </w:tcBorders>
            <w:noWrap w:val="0"/>
            <w:vAlign w:val="center"/>
          </w:tcPr>
          <w:p w14:paraId="3CF74DD6">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责令改正，给予警告，并处2.25万元以上3万元以下罚款。</w:t>
            </w:r>
          </w:p>
        </w:tc>
      </w:tr>
      <w:tr w14:paraId="1707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87" w:type="dxa"/>
            <w:vMerge w:val="restart"/>
            <w:tcBorders>
              <w:tl2br w:val="nil"/>
              <w:tr2bl w:val="nil"/>
            </w:tcBorders>
            <w:noWrap w:val="0"/>
            <w:vAlign w:val="center"/>
          </w:tcPr>
          <w:p w14:paraId="53A7040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301</w:t>
            </w:r>
          </w:p>
        </w:tc>
        <w:tc>
          <w:tcPr>
            <w:tcW w:w="1718" w:type="dxa"/>
            <w:vMerge w:val="restart"/>
            <w:tcBorders>
              <w:tl2br w:val="nil"/>
              <w:tr2bl w:val="nil"/>
            </w:tcBorders>
            <w:noWrap w:val="0"/>
            <w:vAlign w:val="center"/>
          </w:tcPr>
          <w:p w14:paraId="39B42E1A">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《学校食品安全与营养健康管理规定》</w:t>
            </w:r>
          </w:p>
        </w:tc>
        <w:tc>
          <w:tcPr>
            <w:tcW w:w="4132" w:type="dxa"/>
            <w:vMerge w:val="restart"/>
            <w:tcBorders>
              <w:tl2br w:val="nil"/>
              <w:tr2bl w:val="nil"/>
            </w:tcBorders>
            <w:noWrap w:val="0"/>
            <w:vAlign w:val="center"/>
          </w:tcPr>
          <w:p w14:paraId="16F3E70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第五十五条第二款</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规定第三十六条第三款，中小学、幼儿园食堂（或者供餐单位）制售冷荤类食品、生食类食品、裱花蛋糕，或者加工制作四季豆、鲜黄花菜、野生蘑菇、发芽土豆等高风险食品的，由县级以上人民政府食品安全监督管理部门责令改正；拒不改正的，给予警告，并处5000元以上3万元以下罚款。</w:t>
            </w:r>
          </w:p>
        </w:tc>
        <w:tc>
          <w:tcPr>
            <w:tcW w:w="1133" w:type="dxa"/>
            <w:tcBorders>
              <w:tl2br w:val="nil"/>
              <w:tr2bl w:val="nil"/>
            </w:tcBorders>
            <w:noWrap w:val="0"/>
            <w:vAlign w:val="center"/>
          </w:tcPr>
          <w:p w14:paraId="19DA2E3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7FC86CF4">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spacing w:val="0"/>
                <w:kern w:val="0"/>
                <w:sz w:val="24"/>
                <w:szCs w:val="24"/>
                <w:highlight w:val="none"/>
              </w:rPr>
            </w:pPr>
            <w:r>
              <w:rPr>
                <w:rFonts w:hint="eastAsia" w:ascii="宋体" w:hAnsi="宋体" w:eastAsia="宋体" w:cs="宋体"/>
                <w:color w:val="auto"/>
                <w:spacing w:val="0"/>
                <w:kern w:val="0"/>
                <w:sz w:val="24"/>
                <w:szCs w:val="24"/>
                <w:highlight w:val="none"/>
              </w:rPr>
              <w:t>制售或加工制作冷荤类食品、生食类食品、裱花蛋糕</w:t>
            </w:r>
            <w:r>
              <w:rPr>
                <w:rFonts w:hint="eastAsia" w:ascii="宋体" w:hAnsi="宋体" w:cs="宋体"/>
                <w:color w:val="auto"/>
                <w:spacing w:val="0"/>
                <w:kern w:val="0"/>
                <w:sz w:val="24"/>
                <w:szCs w:val="24"/>
                <w:highlight w:val="none"/>
                <w:lang w:val="en-US" w:eastAsia="zh-CN"/>
              </w:rPr>
              <w:t>3</w:t>
            </w:r>
            <w:r>
              <w:rPr>
                <w:rFonts w:hint="eastAsia" w:ascii="宋体" w:hAnsi="宋体" w:eastAsia="宋体" w:cs="宋体"/>
                <w:color w:val="auto"/>
                <w:spacing w:val="0"/>
                <w:kern w:val="0"/>
                <w:sz w:val="24"/>
                <w:szCs w:val="24"/>
                <w:highlight w:val="none"/>
              </w:rPr>
              <w:t>种以下的。</w:t>
            </w:r>
          </w:p>
        </w:tc>
        <w:tc>
          <w:tcPr>
            <w:tcW w:w="3267" w:type="dxa"/>
            <w:tcBorders>
              <w:tl2br w:val="nil"/>
              <w:tr2bl w:val="nil"/>
            </w:tcBorders>
            <w:noWrap w:val="0"/>
            <w:vAlign w:val="center"/>
          </w:tcPr>
          <w:p w14:paraId="69F3784F">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w:t>
            </w:r>
            <w:r>
              <w:rPr>
                <w:rFonts w:hint="eastAsia" w:ascii="宋体" w:hAnsi="宋体" w:cs="宋体"/>
                <w:color w:val="auto"/>
                <w:kern w:val="0"/>
                <w:sz w:val="24"/>
                <w:szCs w:val="24"/>
                <w:highlight w:val="none"/>
                <w:lang w:val="en-US" w:eastAsia="zh-CN"/>
              </w:rPr>
              <w:t>5000</w:t>
            </w:r>
            <w:r>
              <w:rPr>
                <w:rFonts w:hint="eastAsia" w:ascii="宋体" w:hAnsi="宋体" w:eastAsia="宋体" w:cs="宋体"/>
                <w:color w:val="auto"/>
                <w:kern w:val="0"/>
                <w:sz w:val="24"/>
                <w:szCs w:val="24"/>
                <w:highlight w:val="none"/>
              </w:rPr>
              <w:t>元以上1.25万元以下罚款。</w:t>
            </w:r>
          </w:p>
        </w:tc>
      </w:tr>
      <w:tr w14:paraId="3499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87" w:type="dxa"/>
            <w:vMerge w:val="continue"/>
            <w:tcBorders>
              <w:tl2br w:val="nil"/>
              <w:tr2bl w:val="nil"/>
            </w:tcBorders>
            <w:noWrap w:val="0"/>
            <w:vAlign w:val="center"/>
          </w:tcPr>
          <w:p w14:paraId="7EFFEFD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E31E04F">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5DA8C05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694F8FC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41792214">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spacing w:val="0"/>
                <w:kern w:val="0"/>
                <w:sz w:val="24"/>
                <w:szCs w:val="24"/>
                <w:highlight w:val="none"/>
                <w:lang w:eastAsia="zh-CN"/>
              </w:rPr>
            </w:pPr>
            <w:r>
              <w:rPr>
                <w:rFonts w:hint="eastAsia" w:ascii="宋体" w:hAnsi="宋体" w:eastAsia="宋体" w:cs="宋体"/>
                <w:color w:val="auto"/>
                <w:spacing w:val="0"/>
                <w:kern w:val="0"/>
                <w:sz w:val="24"/>
                <w:szCs w:val="24"/>
                <w:highlight w:val="none"/>
              </w:rPr>
              <w:t>有下列情形之一的</w:t>
            </w:r>
            <w:r>
              <w:rPr>
                <w:rFonts w:hint="eastAsia" w:ascii="宋体" w:hAnsi="宋体" w:cs="宋体"/>
                <w:color w:val="auto"/>
                <w:spacing w:val="0"/>
                <w:kern w:val="0"/>
                <w:sz w:val="24"/>
                <w:szCs w:val="24"/>
                <w:highlight w:val="none"/>
                <w:lang w:eastAsia="zh-CN"/>
              </w:rPr>
              <w:t>：</w:t>
            </w:r>
          </w:p>
          <w:p w14:paraId="1079B31A">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spacing w:val="0"/>
                <w:kern w:val="0"/>
                <w:sz w:val="24"/>
                <w:szCs w:val="24"/>
                <w:highlight w:val="none"/>
                <w:lang w:eastAsia="zh-CN"/>
              </w:rPr>
            </w:pPr>
            <w:r>
              <w:rPr>
                <w:rFonts w:hint="eastAsia" w:ascii="宋体" w:hAnsi="宋体" w:cs="宋体"/>
                <w:color w:val="auto"/>
                <w:spacing w:val="0"/>
                <w:kern w:val="0"/>
                <w:sz w:val="24"/>
                <w:szCs w:val="24"/>
                <w:highlight w:val="none"/>
                <w:lang w:val="en-US" w:eastAsia="zh-CN"/>
              </w:rPr>
              <w:t>(1)</w:t>
            </w:r>
            <w:r>
              <w:rPr>
                <w:rFonts w:hint="eastAsia" w:ascii="宋体" w:hAnsi="宋体" w:eastAsia="宋体" w:cs="宋体"/>
                <w:color w:val="auto"/>
                <w:spacing w:val="0"/>
                <w:kern w:val="0"/>
                <w:sz w:val="24"/>
                <w:szCs w:val="24"/>
                <w:highlight w:val="none"/>
              </w:rPr>
              <w:t>制售冷荤类食品、生食类食品、裱花蛋糕</w:t>
            </w:r>
            <w:r>
              <w:rPr>
                <w:rFonts w:hint="default" w:ascii="宋体" w:hAnsi="宋体" w:cs="宋体"/>
                <w:color w:val="auto"/>
                <w:spacing w:val="0"/>
                <w:kern w:val="0"/>
                <w:sz w:val="24"/>
                <w:szCs w:val="24"/>
                <w:highlight w:val="none"/>
                <w:lang w:val="en"/>
              </w:rPr>
              <w:t>3</w:t>
            </w:r>
            <w:r>
              <w:rPr>
                <w:rFonts w:hint="eastAsia" w:ascii="宋体" w:hAnsi="宋体" w:eastAsia="宋体" w:cs="宋体"/>
                <w:color w:val="auto"/>
                <w:spacing w:val="0"/>
                <w:kern w:val="0"/>
                <w:sz w:val="24"/>
                <w:szCs w:val="24"/>
                <w:highlight w:val="none"/>
              </w:rPr>
              <w:t>种以上</w:t>
            </w:r>
            <w:r>
              <w:rPr>
                <w:rFonts w:hint="default" w:ascii="宋体" w:hAnsi="宋体" w:cs="宋体"/>
                <w:color w:val="auto"/>
                <w:spacing w:val="0"/>
                <w:kern w:val="0"/>
                <w:sz w:val="24"/>
                <w:szCs w:val="24"/>
                <w:highlight w:val="none"/>
                <w:lang w:val="en"/>
              </w:rPr>
              <w:t>5</w:t>
            </w:r>
            <w:r>
              <w:rPr>
                <w:rFonts w:hint="eastAsia" w:ascii="宋体" w:hAnsi="宋体" w:eastAsia="宋体" w:cs="宋体"/>
                <w:color w:val="auto"/>
                <w:spacing w:val="0"/>
                <w:kern w:val="0"/>
                <w:sz w:val="24"/>
                <w:szCs w:val="24"/>
                <w:highlight w:val="none"/>
              </w:rPr>
              <w:t>种以下；</w:t>
            </w:r>
          </w:p>
          <w:p w14:paraId="53083A20">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spacing w:val="0"/>
                <w:kern w:val="0"/>
                <w:sz w:val="24"/>
                <w:szCs w:val="24"/>
                <w:highlight w:val="none"/>
              </w:rPr>
            </w:pPr>
            <w:r>
              <w:rPr>
                <w:rFonts w:hint="eastAsia" w:ascii="宋体" w:hAnsi="宋体" w:cs="宋体"/>
                <w:color w:val="auto"/>
                <w:spacing w:val="-11"/>
                <w:kern w:val="0"/>
                <w:sz w:val="24"/>
                <w:szCs w:val="24"/>
                <w:highlight w:val="none"/>
                <w:lang w:val="en-US" w:eastAsia="zh-CN"/>
              </w:rPr>
              <w:t>(2)</w:t>
            </w:r>
            <w:r>
              <w:rPr>
                <w:rFonts w:hint="eastAsia" w:ascii="宋体" w:hAnsi="宋体" w:eastAsia="宋体" w:cs="宋体"/>
                <w:color w:val="auto"/>
                <w:spacing w:val="-11"/>
                <w:kern w:val="0"/>
                <w:sz w:val="24"/>
                <w:szCs w:val="24"/>
                <w:highlight w:val="none"/>
              </w:rPr>
              <w:t>加工制作一种高风险食品的。</w:t>
            </w:r>
          </w:p>
        </w:tc>
        <w:tc>
          <w:tcPr>
            <w:tcW w:w="3267" w:type="dxa"/>
            <w:tcBorders>
              <w:tl2br w:val="nil"/>
              <w:tr2bl w:val="nil"/>
            </w:tcBorders>
            <w:noWrap w:val="0"/>
            <w:vAlign w:val="center"/>
          </w:tcPr>
          <w:p w14:paraId="08F7FE12">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给予警告，并处1.25万元以上2.25万元以下罚款。</w:t>
            </w:r>
          </w:p>
        </w:tc>
      </w:tr>
      <w:tr w14:paraId="75DA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87" w:type="dxa"/>
            <w:vMerge w:val="continue"/>
            <w:tcBorders>
              <w:tl2br w:val="nil"/>
              <w:tr2bl w:val="nil"/>
            </w:tcBorders>
            <w:noWrap w:val="0"/>
            <w:vAlign w:val="center"/>
          </w:tcPr>
          <w:p w14:paraId="0587906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963699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5FC4CB2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D10E35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35D54438">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spacing w:val="0"/>
                <w:kern w:val="0"/>
                <w:sz w:val="24"/>
                <w:szCs w:val="24"/>
                <w:highlight w:val="none"/>
                <w:lang w:eastAsia="zh-CN"/>
              </w:rPr>
            </w:pPr>
            <w:r>
              <w:rPr>
                <w:rFonts w:hint="eastAsia" w:ascii="宋体" w:hAnsi="宋体" w:eastAsia="宋体" w:cs="宋体"/>
                <w:color w:val="auto"/>
                <w:spacing w:val="0"/>
                <w:kern w:val="0"/>
                <w:sz w:val="24"/>
                <w:szCs w:val="24"/>
                <w:highlight w:val="none"/>
              </w:rPr>
              <w:t>有下列情形之一的</w:t>
            </w:r>
            <w:r>
              <w:rPr>
                <w:rFonts w:hint="eastAsia" w:ascii="宋体" w:hAnsi="宋体" w:cs="宋体"/>
                <w:color w:val="auto"/>
                <w:spacing w:val="0"/>
                <w:kern w:val="0"/>
                <w:sz w:val="24"/>
                <w:szCs w:val="24"/>
                <w:highlight w:val="none"/>
                <w:lang w:eastAsia="zh-CN"/>
              </w:rPr>
              <w:t>：</w:t>
            </w:r>
          </w:p>
          <w:p w14:paraId="494F285A">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spacing w:val="0"/>
                <w:kern w:val="0"/>
                <w:sz w:val="24"/>
                <w:szCs w:val="24"/>
                <w:highlight w:val="none"/>
                <w:lang w:eastAsia="zh-CN"/>
              </w:rPr>
            </w:pPr>
            <w:r>
              <w:rPr>
                <w:rFonts w:hint="eastAsia" w:ascii="宋体" w:hAnsi="宋体" w:cs="宋体"/>
                <w:color w:val="auto"/>
                <w:spacing w:val="0"/>
                <w:kern w:val="0"/>
                <w:sz w:val="24"/>
                <w:szCs w:val="24"/>
                <w:highlight w:val="none"/>
                <w:lang w:val="en-US" w:eastAsia="zh-CN"/>
              </w:rPr>
              <w:t>(1)</w:t>
            </w:r>
            <w:r>
              <w:rPr>
                <w:rFonts w:hint="eastAsia" w:ascii="宋体" w:hAnsi="宋体" w:eastAsia="宋体" w:cs="宋体"/>
                <w:color w:val="auto"/>
                <w:spacing w:val="0"/>
                <w:kern w:val="0"/>
                <w:sz w:val="24"/>
                <w:szCs w:val="24"/>
                <w:highlight w:val="none"/>
              </w:rPr>
              <w:t>制售冷荤类食品、生食类食品、裱花蛋糕</w:t>
            </w:r>
            <w:r>
              <w:rPr>
                <w:rFonts w:hint="default" w:ascii="宋体" w:hAnsi="宋体" w:cs="宋体"/>
                <w:color w:val="auto"/>
                <w:spacing w:val="0"/>
                <w:kern w:val="0"/>
                <w:sz w:val="24"/>
                <w:szCs w:val="24"/>
                <w:highlight w:val="none"/>
                <w:lang w:val="en"/>
              </w:rPr>
              <w:t>5</w:t>
            </w:r>
            <w:r>
              <w:rPr>
                <w:rFonts w:hint="eastAsia" w:ascii="宋体" w:hAnsi="宋体" w:eastAsia="宋体" w:cs="宋体"/>
                <w:color w:val="auto"/>
                <w:spacing w:val="0"/>
                <w:kern w:val="0"/>
                <w:sz w:val="24"/>
                <w:szCs w:val="24"/>
                <w:highlight w:val="none"/>
              </w:rPr>
              <w:t>种以上；</w:t>
            </w:r>
          </w:p>
          <w:p w14:paraId="6A0DFF01">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spacing w:val="0"/>
                <w:kern w:val="0"/>
                <w:sz w:val="24"/>
                <w:szCs w:val="24"/>
                <w:highlight w:val="none"/>
                <w:lang w:eastAsia="zh-CN"/>
              </w:rPr>
            </w:pPr>
            <w:r>
              <w:rPr>
                <w:rFonts w:hint="eastAsia" w:ascii="宋体" w:hAnsi="宋体" w:cs="宋体"/>
                <w:color w:val="auto"/>
                <w:spacing w:val="0"/>
                <w:kern w:val="0"/>
                <w:sz w:val="24"/>
                <w:szCs w:val="24"/>
                <w:highlight w:val="none"/>
                <w:lang w:val="en-US" w:eastAsia="zh-CN"/>
              </w:rPr>
              <w:t>(2)</w:t>
            </w:r>
            <w:r>
              <w:rPr>
                <w:rFonts w:hint="eastAsia" w:ascii="宋体" w:hAnsi="宋体" w:eastAsia="宋体" w:cs="宋体"/>
                <w:color w:val="auto"/>
                <w:spacing w:val="0"/>
                <w:kern w:val="0"/>
                <w:sz w:val="24"/>
                <w:szCs w:val="24"/>
                <w:highlight w:val="none"/>
              </w:rPr>
              <w:t>加工制作</w:t>
            </w:r>
            <w:r>
              <w:rPr>
                <w:rFonts w:hint="default" w:ascii="宋体" w:hAnsi="宋体" w:cs="宋体"/>
                <w:color w:val="auto"/>
                <w:spacing w:val="0"/>
                <w:kern w:val="0"/>
                <w:sz w:val="24"/>
                <w:szCs w:val="24"/>
                <w:highlight w:val="none"/>
                <w:lang w:val="en"/>
              </w:rPr>
              <w:t>2</w:t>
            </w:r>
            <w:r>
              <w:rPr>
                <w:rFonts w:hint="eastAsia" w:ascii="宋体" w:hAnsi="宋体" w:eastAsia="宋体" w:cs="宋体"/>
                <w:color w:val="auto"/>
                <w:spacing w:val="0"/>
                <w:kern w:val="0"/>
                <w:sz w:val="24"/>
                <w:szCs w:val="24"/>
                <w:highlight w:val="none"/>
              </w:rPr>
              <w:t>种（含</w:t>
            </w:r>
            <w:r>
              <w:rPr>
                <w:rFonts w:hint="default" w:ascii="宋体" w:hAnsi="宋体" w:cs="宋体"/>
                <w:color w:val="auto"/>
                <w:spacing w:val="0"/>
                <w:kern w:val="0"/>
                <w:sz w:val="24"/>
                <w:szCs w:val="24"/>
                <w:highlight w:val="none"/>
                <w:lang w:val="en"/>
              </w:rPr>
              <w:t>2</w:t>
            </w:r>
            <w:r>
              <w:rPr>
                <w:rFonts w:hint="eastAsia" w:ascii="宋体" w:hAnsi="宋体" w:eastAsia="宋体" w:cs="宋体"/>
                <w:color w:val="auto"/>
                <w:spacing w:val="0"/>
                <w:kern w:val="0"/>
                <w:sz w:val="24"/>
                <w:szCs w:val="24"/>
                <w:highlight w:val="none"/>
              </w:rPr>
              <w:t>种）以上高风险食品的；</w:t>
            </w:r>
          </w:p>
          <w:p w14:paraId="1CCFAF5F">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spacing w:val="0"/>
                <w:kern w:val="0"/>
                <w:sz w:val="24"/>
                <w:szCs w:val="24"/>
                <w:highlight w:val="none"/>
              </w:rPr>
            </w:pPr>
            <w:r>
              <w:rPr>
                <w:rFonts w:hint="eastAsia" w:ascii="宋体" w:hAnsi="宋体" w:cs="宋体"/>
                <w:color w:val="auto"/>
                <w:spacing w:val="0"/>
                <w:kern w:val="0"/>
                <w:sz w:val="24"/>
                <w:szCs w:val="24"/>
                <w:highlight w:val="none"/>
                <w:lang w:val="en-US" w:eastAsia="zh-CN"/>
              </w:rPr>
              <w:t>(3)</w:t>
            </w:r>
            <w:r>
              <w:rPr>
                <w:rFonts w:hint="eastAsia" w:ascii="宋体" w:hAnsi="宋体" w:eastAsia="宋体" w:cs="宋体"/>
                <w:color w:val="auto"/>
                <w:spacing w:val="0"/>
                <w:kern w:val="0"/>
                <w:sz w:val="24"/>
                <w:szCs w:val="24"/>
                <w:highlight w:val="none"/>
              </w:rPr>
              <w:t>造成严重后果的。</w:t>
            </w:r>
          </w:p>
        </w:tc>
        <w:tc>
          <w:tcPr>
            <w:tcW w:w="3267" w:type="dxa"/>
            <w:tcBorders>
              <w:tl2br w:val="nil"/>
              <w:tr2bl w:val="nil"/>
            </w:tcBorders>
            <w:noWrap w:val="0"/>
            <w:vAlign w:val="center"/>
          </w:tcPr>
          <w:p w14:paraId="29559D59">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给予警告，并处2.25万元以上3万元以下罚款。</w:t>
            </w:r>
          </w:p>
        </w:tc>
      </w:tr>
      <w:tr w14:paraId="2F40C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7" w:type="dxa"/>
            <w:vMerge w:val="restart"/>
            <w:tcBorders>
              <w:tl2br w:val="nil"/>
              <w:tr2bl w:val="nil"/>
            </w:tcBorders>
            <w:noWrap w:val="0"/>
            <w:vAlign w:val="center"/>
          </w:tcPr>
          <w:p w14:paraId="5983889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302</w:t>
            </w:r>
          </w:p>
        </w:tc>
        <w:tc>
          <w:tcPr>
            <w:tcW w:w="1718" w:type="dxa"/>
            <w:vMerge w:val="restart"/>
            <w:tcBorders>
              <w:tl2br w:val="nil"/>
              <w:tr2bl w:val="nil"/>
            </w:tcBorders>
            <w:noWrap w:val="0"/>
            <w:vAlign w:val="center"/>
          </w:tcPr>
          <w:p w14:paraId="0D6A4728">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《学校食品安全与营养健康管理规定》</w:t>
            </w:r>
          </w:p>
        </w:tc>
        <w:tc>
          <w:tcPr>
            <w:tcW w:w="4132" w:type="dxa"/>
            <w:vMerge w:val="restart"/>
            <w:tcBorders>
              <w:tl2br w:val="nil"/>
              <w:tr2bl w:val="nil"/>
            </w:tcBorders>
            <w:noWrap w:val="0"/>
            <w:vAlign w:val="center"/>
          </w:tcPr>
          <w:p w14:paraId="5FB5E00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第五十六条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违反本规定第四十条，学校食堂（或者供餐单位）未按要求留样的,由县级以上人民政府食品安全监督管理部门责令改正，给予警告；拒不改正的，处5000元以上3万元以下罚款。</w:t>
            </w:r>
          </w:p>
        </w:tc>
        <w:tc>
          <w:tcPr>
            <w:tcW w:w="1133" w:type="dxa"/>
            <w:tcBorders>
              <w:tl2br w:val="nil"/>
              <w:tr2bl w:val="nil"/>
            </w:tcBorders>
            <w:noWrap w:val="0"/>
            <w:vAlign w:val="center"/>
          </w:tcPr>
          <w:p w14:paraId="466411B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642E5FD2">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spacing w:val="0"/>
                <w:kern w:val="0"/>
                <w:sz w:val="24"/>
                <w:szCs w:val="24"/>
                <w:highlight w:val="none"/>
              </w:rPr>
            </w:pPr>
            <w:r>
              <w:rPr>
                <w:rFonts w:hint="eastAsia" w:ascii="宋体" w:hAnsi="宋体" w:eastAsia="宋体" w:cs="宋体"/>
                <w:color w:val="auto"/>
                <w:spacing w:val="0"/>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32AF65FF">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处5</w:t>
            </w:r>
            <w:r>
              <w:rPr>
                <w:rFonts w:hint="eastAsia" w:ascii="宋体" w:hAnsi="宋体" w:cs="宋体"/>
                <w:color w:val="auto"/>
                <w:kern w:val="0"/>
                <w:sz w:val="24"/>
                <w:szCs w:val="24"/>
                <w:highlight w:val="none"/>
                <w:lang w:val="en-US" w:eastAsia="zh-CN"/>
              </w:rPr>
              <w:t>000</w:t>
            </w:r>
            <w:r>
              <w:rPr>
                <w:rFonts w:hint="eastAsia" w:ascii="宋体" w:hAnsi="宋体" w:eastAsia="宋体" w:cs="宋体"/>
                <w:color w:val="auto"/>
                <w:kern w:val="0"/>
                <w:sz w:val="24"/>
                <w:szCs w:val="24"/>
                <w:highlight w:val="none"/>
              </w:rPr>
              <w:t>元以上1.25万元以下罚款。</w:t>
            </w:r>
          </w:p>
        </w:tc>
      </w:tr>
      <w:tr w14:paraId="3BB7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7" w:type="dxa"/>
            <w:vMerge w:val="continue"/>
            <w:tcBorders>
              <w:tl2br w:val="nil"/>
              <w:tr2bl w:val="nil"/>
            </w:tcBorders>
            <w:noWrap w:val="0"/>
            <w:vAlign w:val="center"/>
          </w:tcPr>
          <w:p w14:paraId="1516EE4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8894641">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03429F4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9F9690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02609555">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spacing w:val="0"/>
                <w:kern w:val="0"/>
                <w:sz w:val="24"/>
                <w:szCs w:val="24"/>
                <w:highlight w:val="none"/>
              </w:rPr>
            </w:pPr>
            <w:r>
              <w:rPr>
                <w:rFonts w:hint="eastAsia" w:ascii="宋体" w:hAnsi="宋体" w:eastAsia="宋体" w:cs="宋体"/>
                <w:color w:val="auto"/>
                <w:spacing w:val="0"/>
                <w:kern w:val="0"/>
                <w:sz w:val="24"/>
                <w:szCs w:val="24"/>
                <w:highlight w:val="none"/>
              </w:rPr>
              <w:t>责令改正期限已满尚未开始进行整改的。</w:t>
            </w:r>
          </w:p>
        </w:tc>
        <w:tc>
          <w:tcPr>
            <w:tcW w:w="3267" w:type="dxa"/>
            <w:tcBorders>
              <w:tl2br w:val="nil"/>
              <w:tr2bl w:val="nil"/>
            </w:tcBorders>
            <w:noWrap w:val="0"/>
            <w:vAlign w:val="center"/>
          </w:tcPr>
          <w:p w14:paraId="06CFF0C9">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处1.25万元以上2.25万元以下罚款。</w:t>
            </w:r>
          </w:p>
        </w:tc>
      </w:tr>
      <w:tr w14:paraId="7D2C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7" w:type="dxa"/>
            <w:vMerge w:val="continue"/>
            <w:tcBorders>
              <w:tl2br w:val="nil"/>
              <w:tr2bl w:val="nil"/>
            </w:tcBorders>
            <w:noWrap w:val="0"/>
            <w:vAlign w:val="center"/>
          </w:tcPr>
          <w:p w14:paraId="2983E77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3490030">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6FE24D3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041E8EE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3CF945A7">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拒不改正，且已经造成不良影响或者违法行为持续时间较长的。</w:t>
            </w:r>
          </w:p>
        </w:tc>
        <w:tc>
          <w:tcPr>
            <w:tcW w:w="3267" w:type="dxa"/>
            <w:tcBorders>
              <w:tl2br w:val="nil"/>
              <w:tr2bl w:val="nil"/>
            </w:tcBorders>
            <w:noWrap w:val="0"/>
            <w:vAlign w:val="center"/>
          </w:tcPr>
          <w:p w14:paraId="5886C5AA">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处2.25万元以上3万元以下罚款。</w:t>
            </w:r>
          </w:p>
        </w:tc>
      </w:tr>
      <w:tr w14:paraId="2CE2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4" w:hRule="atLeast"/>
          <w:jc w:val="center"/>
        </w:trPr>
        <w:tc>
          <w:tcPr>
            <w:tcW w:w="787" w:type="dxa"/>
            <w:vMerge w:val="restart"/>
            <w:tcBorders>
              <w:tl2br w:val="nil"/>
              <w:tr2bl w:val="nil"/>
            </w:tcBorders>
            <w:noWrap w:val="0"/>
            <w:vAlign w:val="center"/>
          </w:tcPr>
          <w:p w14:paraId="7ECAB23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303</w:t>
            </w:r>
          </w:p>
        </w:tc>
        <w:tc>
          <w:tcPr>
            <w:tcW w:w="1718" w:type="dxa"/>
            <w:vMerge w:val="restart"/>
            <w:tcBorders>
              <w:tl2br w:val="nil"/>
              <w:tr2bl w:val="nil"/>
            </w:tcBorders>
            <w:noWrap w:val="0"/>
            <w:vAlign w:val="center"/>
          </w:tcPr>
          <w:p w14:paraId="69FC0461">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outlineLvl w:val="2"/>
              <w:rPr>
                <w:rFonts w:hint="default" w:ascii="宋体" w:hAnsi="宋体" w:eastAsia="宋体" w:cs="宋体"/>
                <w:b w:val="0"/>
                <w:bCs w:val="0"/>
                <w:color w:val="auto"/>
                <w:kern w:val="0"/>
                <w:sz w:val="24"/>
                <w:szCs w:val="24"/>
                <w:highlight w:val="none"/>
                <w:lang w:val="en-US" w:eastAsia="zh-CN"/>
              </w:rPr>
            </w:pPr>
            <w:bookmarkStart w:id="345" w:name="_Toc24652"/>
            <w:bookmarkStart w:id="346" w:name="_Toc21113"/>
            <w:bookmarkStart w:id="347" w:name="_Toc24072"/>
            <w:bookmarkStart w:id="348" w:name="_Toc27502"/>
            <w:bookmarkStart w:id="349" w:name="_Toc12163"/>
            <w:r>
              <w:rPr>
                <w:rFonts w:hint="eastAsia" w:ascii="宋体" w:hAnsi="宋体" w:eastAsia="宋体" w:cs="宋体"/>
                <w:b w:val="0"/>
                <w:bCs w:val="0"/>
                <w:color w:val="auto"/>
                <w:kern w:val="0"/>
                <w:sz w:val="24"/>
                <w:szCs w:val="24"/>
                <w:highlight w:val="none"/>
              </w:rPr>
              <w:t>《吉林省畜禽屠宰管理条例》</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202</w:t>
            </w:r>
            <w:r>
              <w:rPr>
                <w:rFonts w:hint="eastAsia" w:ascii="宋体" w:hAnsi="宋体" w:cs="宋体"/>
                <w:b w:val="0"/>
                <w:bCs w:val="0"/>
                <w:color w:val="auto"/>
                <w:kern w:val="0"/>
                <w:sz w:val="24"/>
                <w:szCs w:val="24"/>
                <w:highlight w:val="none"/>
                <w:lang w:eastAsia="zh-CN"/>
              </w:rPr>
              <w:t>4</w:t>
            </w:r>
            <w:r>
              <w:rPr>
                <w:rFonts w:hint="eastAsia" w:ascii="宋体" w:hAnsi="宋体" w:eastAsia="宋体" w:cs="宋体"/>
                <w:b w:val="0"/>
                <w:bCs w:val="0"/>
                <w:color w:val="auto"/>
                <w:kern w:val="0"/>
                <w:sz w:val="24"/>
                <w:szCs w:val="24"/>
                <w:highlight w:val="none"/>
              </w:rPr>
              <w:t>年</w:t>
            </w:r>
            <w:r>
              <w:rPr>
                <w:rFonts w:hint="eastAsia" w:ascii="宋体" w:hAnsi="宋体" w:cs="宋体"/>
                <w:b w:val="0"/>
                <w:bCs w:val="0"/>
                <w:color w:val="auto"/>
                <w:kern w:val="0"/>
                <w:sz w:val="24"/>
                <w:szCs w:val="24"/>
                <w:highlight w:val="none"/>
                <w:lang w:eastAsia="zh-CN"/>
              </w:rPr>
              <w:t>9</w:t>
            </w:r>
            <w:r>
              <w:rPr>
                <w:rFonts w:hint="eastAsia" w:ascii="宋体" w:hAnsi="宋体" w:eastAsia="宋体" w:cs="宋体"/>
                <w:b w:val="0"/>
                <w:bCs w:val="0"/>
                <w:color w:val="auto"/>
                <w:kern w:val="0"/>
                <w:sz w:val="24"/>
                <w:szCs w:val="24"/>
                <w:highlight w:val="none"/>
              </w:rPr>
              <w:t>月</w:t>
            </w:r>
            <w:r>
              <w:rPr>
                <w:rFonts w:hint="eastAsia" w:ascii="宋体" w:hAnsi="宋体" w:cs="宋体"/>
                <w:b w:val="0"/>
                <w:bCs w:val="0"/>
                <w:color w:val="auto"/>
                <w:kern w:val="0"/>
                <w:sz w:val="24"/>
                <w:szCs w:val="24"/>
                <w:highlight w:val="none"/>
                <w:lang w:eastAsia="zh-CN"/>
              </w:rPr>
              <w:t>3</w:t>
            </w:r>
            <w:r>
              <w:rPr>
                <w:rFonts w:hint="eastAsia" w:ascii="宋体" w:hAnsi="宋体" w:cs="宋体"/>
                <w:b w:val="0"/>
                <w:bCs w:val="0"/>
                <w:color w:val="auto"/>
                <w:kern w:val="0"/>
                <w:sz w:val="24"/>
                <w:szCs w:val="24"/>
                <w:highlight w:val="none"/>
                <w:lang w:val="en-US" w:eastAsia="zh-CN"/>
              </w:rPr>
              <w:t>0</w:t>
            </w:r>
            <w:r>
              <w:rPr>
                <w:rFonts w:hint="eastAsia" w:ascii="宋体" w:hAnsi="宋体" w:eastAsia="宋体" w:cs="宋体"/>
                <w:b w:val="0"/>
                <w:bCs w:val="0"/>
                <w:color w:val="auto"/>
                <w:kern w:val="0"/>
                <w:sz w:val="24"/>
                <w:szCs w:val="24"/>
                <w:highlight w:val="none"/>
              </w:rPr>
              <w:t>日</w:t>
            </w:r>
            <w:r>
              <w:rPr>
                <w:rFonts w:hint="eastAsia" w:ascii="宋体" w:hAnsi="宋体" w:cs="宋体"/>
                <w:b w:val="0"/>
                <w:bCs w:val="0"/>
                <w:color w:val="auto"/>
                <w:kern w:val="0"/>
                <w:sz w:val="24"/>
                <w:szCs w:val="24"/>
                <w:highlight w:val="none"/>
                <w:lang w:val="en-US" w:eastAsia="zh-CN"/>
              </w:rPr>
              <w:t>起施行</w:t>
            </w:r>
            <w:r>
              <w:rPr>
                <w:rFonts w:hint="eastAsia" w:ascii="宋体" w:hAnsi="宋体" w:eastAsia="宋体" w:cs="宋体"/>
                <w:b w:val="0"/>
                <w:bCs w:val="0"/>
                <w:color w:val="auto"/>
                <w:kern w:val="0"/>
                <w:sz w:val="24"/>
                <w:szCs w:val="24"/>
                <w:highlight w:val="none"/>
                <w:lang w:eastAsia="zh-CN"/>
              </w:rPr>
              <w:t>）</w:t>
            </w:r>
            <w:bookmarkEnd w:id="345"/>
            <w:bookmarkEnd w:id="346"/>
            <w:bookmarkEnd w:id="347"/>
            <w:bookmarkEnd w:id="348"/>
            <w:bookmarkEnd w:id="349"/>
          </w:p>
        </w:tc>
        <w:tc>
          <w:tcPr>
            <w:tcW w:w="4132" w:type="dxa"/>
            <w:vMerge w:val="restart"/>
            <w:tcBorders>
              <w:tl2br w:val="nil"/>
              <w:tr2bl w:val="nil"/>
            </w:tcBorders>
            <w:noWrap w:val="0"/>
            <w:vAlign w:val="center"/>
          </w:tcPr>
          <w:p w14:paraId="292D347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第三十八条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条例规定，在有活禽交易的市场内市场开办者未按有关规定履行检查、报告义务的，由县级以上人民政府市场监督管理部门责令改正，没收违法所得，并处以五万元以上二十万元以下的罚款；造成严重后果的，责令停业，直至原发证机关依法吊销相关许可证。经营业主违反动物防疫、卫生、活禽宰杀等有关规定的，由市场监督管理部门按照有关规定进行处罚。</w:t>
            </w:r>
          </w:p>
        </w:tc>
        <w:tc>
          <w:tcPr>
            <w:tcW w:w="1133" w:type="dxa"/>
            <w:tcBorders>
              <w:tl2br w:val="nil"/>
              <w:tr2bl w:val="nil"/>
            </w:tcBorders>
            <w:noWrap w:val="0"/>
            <w:vAlign w:val="center"/>
          </w:tcPr>
          <w:p w14:paraId="5A42ED5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097FE845">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市场开办者允许个别未依法取得许可的食品经营者进入市场销售食品，或者履行检查、报告等义务不及时、检查或者报告的</w:t>
            </w:r>
            <w:r>
              <w:rPr>
                <w:rFonts w:hint="eastAsia" w:ascii="宋体" w:hAnsi="宋体" w:eastAsia="宋体" w:cs="宋体"/>
                <w:color w:val="auto"/>
                <w:spacing w:val="-6"/>
                <w:kern w:val="0"/>
                <w:sz w:val="24"/>
                <w:szCs w:val="24"/>
                <w:highlight w:val="none"/>
              </w:rPr>
              <w:t>内容有缺失但未造成不良影响的。</w:t>
            </w:r>
          </w:p>
        </w:tc>
        <w:tc>
          <w:tcPr>
            <w:tcW w:w="3267" w:type="dxa"/>
            <w:tcBorders>
              <w:tl2br w:val="nil"/>
              <w:tr2bl w:val="nil"/>
            </w:tcBorders>
            <w:noWrap w:val="0"/>
            <w:vAlign w:val="center"/>
          </w:tcPr>
          <w:p w14:paraId="47415422">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责令改正，没收违法所得，并处以5万元以上9.5万元以下罚款。</w:t>
            </w:r>
          </w:p>
        </w:tc>
      </w:tr>
      <w:tr w14:paraId="6F094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3" w:hRule="atLeast"/>
          <w:jc w:val="center"/>
        </w:trPr>
        <w:tc>
          <w:tcPr>
            <w:tcW w:w="787" w:type="dxa"/>
            <w:vMerge w:val="continue"/>
            <w:tcBorders>
              <w:tl2br w:val="nil"/>
              <w:tr2bl w:val="nil"/>
            </w:tcBorders>
            <w:noWrap w:val="0"/>
            <w:vAlign w:val="center"/>
          </w:tcPr>
          <w:p w14:paraId="1A33165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988D6E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0FFCF2A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10C5336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73711FEA">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允许多个未依法取得许可的食品经营者进入市场销售食品，或者长期不履行检查、报告等义务的。</w:t>
            </w:r>
          </w:p>
        </w:tc>
        <w:tc>
          <w:tcPr>
            <w:tcW w:w="3267" w:type="dxa"/>
            <w:tcBorders>
              <w:tl2br w:val="nil"/>
              <w:tr2bl w:val="nil"/>
            </w:tcBorders>
            <w:noWrap w:val="0"/>
            <w:vAlign w:val="center"/>
          </w:tcPr>
          <w:p w14:paraId="685CE4EF">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责令改正，没收违法所得，并处以9.5万元以上15.5万元以下罚款。</w:t>
            </w:r>
          </w:p>
        </w:tc>
      </w:tr>
      <w:tr w14:paraId="7B49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jc w:val="center"/>
        </w:trPr>
        <w:tc>
          <w:tcPr>
            <w:tcW w:w="787" w:type="dxa"/>
            <w:vMerge w:val="continue"/>
            <w:tcBorders>
              <w:tl2br w:val="nil"/>
              <w:tr2bl w:val="nil"/>
            </w:tcBorders>
            <w:noWrap w:val="0"/>
            <w:vAlign w:val="center"/>
          </w:tcPr>
          <w:p w14:paraId="43A5811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367AD6C">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0AAEBBE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65C3A98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6C61CC32">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允许多个未依法取得许可的食品经营者进入市场销售食品，或者长期不履行检查、报告等义务的，造成后果的。</w:t>
            </w:r>
          </w:p>
        </w:tc>
        <w:tc>
          <w:tcPr>
            <w:tcW w:w="3267" w:type="dxa"/>
            <w:tcBorders>
              <w:tl2br w:val="nil"/>
              <w:tr2bl w:val="nil"/>
            </w:tcBorders>
            <w:noWrap w:val="0"/>
            <w:vAlign w:val="center"/>
          </w:tcPr>
          <w:p w14:paraId="0F2ED4FB">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责令改正，没收违法所得，并处以15.5万元以上20万元以下罚款。</w:t>
            </w:r>
          </w:p>
        </w:tc>
      </w:tr>
      <w:tr w14:paraId="5C4A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jc w:val="center"/>
        </w:trPr>
        <w:tc>
          <w:tcPr>
            <w:tcW w:w="787" w:type="dxa"/>
            <w:vMerge w:val="continue"/>
            <w:tcBorders>
              <w:tl2br w:val="nil"/>
              <w:tr2bl w:val="nil"/>
            </w:tcBorders>
            <w:noWrap w:val="0"/>
            <w:vAlign w:val="center"/>
          </w:tcPr>
          <w:p w14:paraId="4B7650C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541E70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0FCA555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742CEF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严重</w:t>
            </w:r>
          </w:p>
        </w:tc>
        <w:tc>
          <w:tcPr>
            <w:tcW w:w="3316" w:type="dxa"/>
            <w:tcBorders>
              <w:tl2br w:val="nil"/>
              <w:tr2bl w:val="nil"/>
            </w:tcBorders>
            <w:noWrap w:val="0"/>
            <w:vAlign w:val="center"/>
          </w:tcPr>
          <w:p w14:paraId="062E957F">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造成人身损害或者重大社会影响的。</w:t>
            </w:r>
          </w:p>
        </w:tc>
        <w:tc>
          <w:tcPr>
            <w:tcW w:w="3267" w:type="dxa"/>
            <w:tcBorders>
              <w:tl2br w:val="nil"/>
              <w:tr2bl w:val="nil"/>
            </w:tcBorders>
            <w:noWrap w:val="0"/>
            <w:vAlign w:val="center"/>
          </w:tcPr>
          <w:p w14:paraId="534EE940">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责令停业，直至原发证机关依法吊销相关许可证。</w:t>
            </w:r>
          </w:p>
        </w:tc>
      </w:tr>
      <w:tr w14:paraId="533F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787" w:type="dxa"/>
            <w:vMerge w:val="restart"/>
            <w:tcBorders>
              <w:tl2br w:val="nil"/>
              <w:tr2bl w:val="nil"/>
            </w:tcBorders>
            <w:noWrap w:val="0"/>
            <w:vAlign w:val="center"/>
          </w:tcPr>
          <w:p w14:paraId="5B6A489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304</w:t>
            </w:r>
          </w:p>
        </w:tc>
        <w:tc>
          <w:tcPr>
            <w:tcW w:w="1718" w:type="dxa"/>
            <w:vMerge w:val="restart"/>
            <w:tcBorders>
              <w:tl2br w:val="nil"/>
              <w:tr2bl w:val="nil"/>
            </w:tcBorders>
            <w:noWrap w:val="0"/>
            <w:vAlign w:val="center"/>
          </w:tcPr>
          <w:p w14:paraId="0C5770B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《吉林省畜禽屠宰管理条例》</w:t>
            </w:r>
          </w:p>
        </w:tc>
        <w:tc>
          <w:tcPr>
            <w:tcW w:w="4132" w:type="dxa"/>
            <w:vMerge w:val="restart"/>
            <w:tcBorders>
              <w:tl2br w:val="nil"/>
              <w:tr2bl w:val="nil"/>
            </w:tcBorders>
            <w:noWrap w:val="0"/>
            <w:vAlign w:val="center"/>
          </w:tcPr>
          <w:p w14:paraId="74A9BA4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第三十九条 第一款违反本条例规定，到限定范围以外区域销售小型畜禽屠宰厂（场）屠宰的畜禽产品的，由县级以上食品药品监督管理部门没收其违法所得，并处以五千元以上一万元以下的罚款。</w:t>
            </w:r>
          </w:p>
        </w:tc>
        <w:tc>
          <w:tcPr>
            <w:tcW w:w="1133" w:type="dxa"/>
            <w:tcBorders>
              <w:tl2br w:val="nil"/>
              <w:tr2bl w:val="nil"/>
            </w:tcBorders>
            <w:noWrap w:val="0"/>
            <w:vAlign w:val="center"/>
          </w:tcPr>
          <w:p w14:paraId="6D66CA7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11E0AA70">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违法经营的货值金额在5000元以下的。</w:t>
            </w:r>
          </w:p>
        </w:tc>
        <w:tc>
          <w:tcPr>
            <w:tcW w:w="3267" w:type="dxa"/>
            <w:tcBorders>
              <w:tl2br w:val="nil"/>
              <w:tr2bl w:val="nil"/>
            </w:tcBorders>
            <w:noWrap w:val="0"/>
            <w:vAlign w:val="center"/>
          </w:tcPr>
          <w:p w14:paraId="27802CB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没收违法所得，并处以</w:t>
            </w:r>
            <w:r>
              <w:rPr>
                <w:rFonts w:hint="eastAsia" w:ascii="宋体" w:hAnsi="宋体" w:cs="宋体"/>
                <w:color w:val="auto"/>
                <w:kern w:val="0"/>
                <w:sz w:val="24"/>
                <w:szCs w:val="24"/>
                <w:highlight w:val="none"/>
                <w:lang w:val="en-US" w:eastAsia="zh-CN"/>
              </w:rPr>
              <w:t>5000</w:t>
            </w:r>
            <w:r>
              <w:rPr>
                <w:rFonts w:hint="eastAsia" w:ascii="宋体" w:hAnsi="宋体" w:eastAsia="宋体" w:cs="宋体"/>
                <w:color w:val="auto"/>
                <w:kern w:val="0"/>
                <w:sz w:val="24"/>
                <w:szCs w:val="24"/>
                <w:highlight w:val="none"/>
              </w:rPr>
              <w:t>元以上</w:t>
            </w:r>
            <w:r>
              <w:rPr>
                <w:rFonts w:hint="eastAsia" w:ascii="宋体" w:hAnsi="宋体" w:cs="宋体"/>
                <w:color w:val="auto"/>
                <w:kern w:val="0"/>
                <w:sz w:val="24"/>
                <w:szCs w:val="24"/>
                <w:highlight w:val="none"/>
                <w:lang w:val="en-US" w:eastAsia="zh-CN"/>
              </w:rPr>
              <w:t>6500</w:t>
            </w:r>
            <w:r>
              <w:rPr>
                <w:rFonts w:hint="eastAsia" w:ascii="宋体" w:hAnsi="宋体" w:eastAsia="宋体" w:cs="宋体"/>
                <w:color w:val="auto"/>
                <w:kern w:val="0"/>
                <w:sz w:val="24"/>
                <w:szCs w:val="24"/>
                <w:highlight w:val="none"/>
              </w:rPr>
              <w:t>万元以下罚款。</w:t>
            </w:r>
          </w:p>
        </w:tc>
      </w:tr>
      <w:tr w14:paraId="3769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787" w:type="dxa"/>
            <w:vMerge w:val="continue"/>
            <w:tcBorders>
              <w:tl2br w:val="nil"/>
              <w:tr2bl w:val="nil"/>
            </w:tcBorders>
            <w:noWrap w:val="0"/>
            <w:vAlign w:val="center"/>
          </w:tcPr>
          <w:p w14:paraId="7A38205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158429F">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2918BA1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ED974C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4E8C6AB8">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违法经营的货值金额在5000元以上至2万以下的。</w:t>
            </w:r>
          </w:p>
        </w:tc>
        <w:tc>
          <w:tcPr>
            <w:tcW w:w="3267" w:type="dxa"/>
            <w:tcBorders>
              <w:tl2br w:val="nil"/>
              <w:tr2bl w:val="nil"/>
            </w:tcBorders>
            <w:noWrap w:val="0"/>
            <w:vAlign w:val="center"/>
          </w:tcPr>
          <w:p w14:paraId="1D2A09D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没收违法所得，并处以</w:t>
            </w:r>
            <w:r>
              <w:rPr>
                <w:rFonts w:hint="eastAsia" w:ascii="宋体" w:hAnsi="宋体" w:cs="宋体"/>
                <w:color w:val="auto"/>
                <w:kern w:val="0"/>
                <w:sz w:val="24"/>
                <w:szCs w:val="24"/>
                <w:highlight w:val="none"/>
                <w:lang w:val="en-US" w:eastAsia="zh-CN"/>
              </w:rPr>
              <w:t>6500</w:t>
            </w:r>
            <w:r>
              <w:rPr>
                <w:rFonts w:hint="eastAsia" w:ascii="宋体" w:hAnsi="宋体" w:eastAsia="宋体" w:cs="宋体"/>
                <w:color w:val="auto"/>
                <w:kern w:val="0"/>
                <w:sz w:val="24"/>
                <w:szCs w:val="24"/>
                <w:highlight w:val="none"/>
              </w:rPr>
              <w:t>万元以上</w:t>
            </w:r>
            <w:r>
              <w:rPr>
                <w:rFonts w:hint="eastAsia" w:ascii="宋体" w:hAnsi="宋体" w:cs="宋体"/>
                <w:color w:val="auto"/>
                <w:kern w:val="0"/>
                <w:sz w:val="24"/>
                <w:szCs w:val="24"/>
                <w:highlight w:val="none"/>
                <w:lang w:val="en-US" w:eastAsia="zh-CN"/>
              </w:rPr>
              <w:t>8500</w:t>
            </w:r>
            <w:r>
              <w:rPr>
                <w:rFonts w:hint="eastAsia" w:ascii="宋体" w:hAnsi="宋体" w:eastAsia="宋体" w:cs="宋体"/>
                <w:color w:val="auto"/>
                <w:kern w:val="0"/>
                <w:sz w:val="24"/>
                <w:szCs w:val="24"/>
                <w:highlight w:val="none"/>
              </w:rPr>
              <w:t>元以下罚款。</w:t>
            </w:r>
          </w:p>
        </w:tc>
      </w:tr>
      <w:tr w14:paraId="5EB5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787" w:type="dxa"/>
            <w:vMerge w:val="continue"/>
            <w:tcBorders>
              <w:tl2br w:val="nil"/>
              <w:tr2bl w:val="nil"/>
            </w:tcBorders>
            <w:noWrap w:val="0"/>
            <w:vAlign w:val="center"/>
          </w:tcPr>
          <w:p w14:paraId="29697CC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3AB867A">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6AEBF33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1A1FA89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029EDA6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违法经营的货值金额在2万以上的，或者造成严重后果的。</w:t>
            </w:r>
          </w:p>
        </w:tc>
        <w:tc>
          <w:tcPr>
            <w:tcW w:w="3267" w:type="dxa"/>
            <w:tcBorders>
              <w:tl2br w:val="nil"/>
              <w:tr2bl w:val="nil"/>
            </w:tcBorders>
            <w:noWrap w:val="0"/>
            <w:vAlign w:val="center"/>
          </w:tcPr>
          <w:p w14:paraId="1C22022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没收违法所得，并处以</w:t>
            </w:r>
            <w:r>
              <w:rPr>
                <w:rFonts w:hint="eastAsia" w:ascii="宋体" w:hAnsi="宋体" w:cs="宋体"/>
                <w:color w:val="auto"/>
                <w:kern w:val="0"/>
                <w:sz w:val="24"/>
                <w:szCs w:val="24"/>
                <w:highlight w:val="none"/>
                <w:lang w:val="en-US" w:eastAsia="zh-CN"/>
              </w:rPr>
              <w:t>8500</w:t>
            </w:r>
            <w:r>
              <w:rPr>
                <w:rFonts w:hint="eastAsia" w:ascii="宋体" w:hAnsi="宋体" w:eastAsia="宋体" w:cs="宋体"/>
                <w:color w:val="auto"/>
                <w:kern w:val="0"/>
                <w:sz w:val="24"/>
                <w:szCs w:val="24"/>
                <w:highlight w:val="none"/>
                <w:lang w:eastAsia="zh-CN"/>
              </w:rPr>
              <w:t>万</w:t>
            </w:r>
            <w:r>
              <w:rPr>
                <w:rFonts w:hint="eastAsia" w:ascii="宋体" w:hAnsi="宋体" w:eastAsia="宋体" w:cs="宋体"/>
                <w:color w:val="auto"/>
                <w:kern w:val="0"/>
                <w:sz w:val="24"/>
                <w:szCs w:val="24"/>
                <w:highlight w:val="none"/>
              </w:rPr>
              <w:t>元以上1万元以下罚款。</w:t>
            </w:r>
          </w:p>
        </w:tc>
      </w:tr>
      <w:tr w14:paraId="3BBC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787" w:type="dxa"/>
            <w:vMerge w:val="restart"/>
            <w:tcBorders>
              <w:tl2br w:val="nil"/>
              <w:tr2bl w:val="nil"/>
            </w:tcBorders>
            <w:noWrap w:val="0"/>
            <w:vAlign w:val="center"/>
          </w:tcPr>
          <w:p w14:paraId="3C5A723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305</w:t>
            </w:r>
          </w:p>
        </w:tc>
        <w:tc>
          <w:tcPr>
            <w:tcW w:w="1718" w:type="dxa"/>
            <w:vMerge w:val="restart"/>
            <w:tcBorders>
              <w:tl2br w:val="nil"/>
              <w:tr2bl w:val="nil"/>
            </w:tcBorders>
            <w:noWrap w:val="0"/>
            <w:vAlign w:val="center"/>
          </w:tcPr>
          <w:p w14:paraId="71597D7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outlineLvl w:val="2"/>
              <w:rPr>
                <w:rFonts w:hint="eastAsia" w:ascii="宋体" w:hAnsi="宋体" w:eastAsia="宋体" w:cs="宋体"/>
                <w:b w:val="0"/>
                <w:bCs w:val="0"/>
                <w:color w:val="auto"/>
                <w:kern w:val="0"/>
                <w:sz w:val="24"/>
                <w:szCs w:val="24"/>
                <w:highlight w:val="none"/>
                <w:lang w:eastAsia="zh-CN"/>
              </w:rPr>
            </w:pPr>
            <w:bookmarkStart w:id="350" w:name="_Toc23791"/>
            <w:bookmarkStart w:id="351" w:name="_Toc30677"/>
            <w:bookmarkStart w:id="352" w:name="_Toc24244"/>
            <w:bookmarkStart w:id="353" w:name="_Toc13181"/>
            <w:bookmarkStart w:id="354" w:name="_Toc4501"/>
            <w:r>
              <w:rPr>
                <w:rFonts w:hint="eastAsia" w:ascii="宋体" w:hAnsi="宋体" w:eastAsia="宋体" w:cs="宋体"/>
                <w:b w:val="0"/>
                <w:bCs w:val="0"/>
                <w:color w:val="auto"/>
                <w:kern w:val="0"/>
                <w:sz w:val="24"/>
                <w:szCs w:val="24"/>
                <w:highlight w:val="none"/>
              </w:rPr>
              <w:t>《保健食品注册与备案管理办法》</w:t>
            </w:r>
            <w:r>
              <w:rPr>
                <w:rFonts w:hint="eastAsia" w:ascii="宋体" w:hAnsi="宋体" w:eastAsia="宋体" w:cs="宋体"/>
                <w:b w:val="0"/>
                <w:bCs w:val="0"/>
                <w:color w:val="auto"/>
                <w:kern w:val="0"/>
                <w:sz w:val="24"/>
                <w:szCs w:val="24"/>
                <w:highlight w:val="none"/>
                <w:lang w:eastAsia="zh-CN"/>
              </w:rPr>
              <w:t>（</w:t>
            </w:r>
            <w:r>
              <w:rPr>
                <w:rFonts w:hint="eastAsia" w:ascii="宋体" w:hAnsi="宋体" w:cs="宋体"/>
                <w:b w:val="0"/>
                <w:bCs w:val="0"/>
                <w:color w:val="auto"/>
                <w:kern w:val="0"/>
                <w:sz w:val="24"/>
                <w:szCs w:val="24"/>
                <w:highlight w:val="none"/>
                <w:lang w:val="en-US" w:eastAsia="zh-CN"/>
              </w:rPr>
              <w:t>2020年10月23日起施行</w:t>
            </w:r>
            <w:r>
              <w:rPr>
                <w:rFonts w:hint="eastAsia" w:ascii="宋体" w:hAnsi="宋体" w:eastAsia="宋体" w:cs="宋体"/>
                <w:b w:val="0"/>
                <w:bCs w:val="0"/>
                <w:color w:val="auto"/>
                <w:kern w:val="0"/>
                <w:sz w:val="24"/>
                <w:szCs w:val="24"/>
                <w:highlight w:val="none"/>
                <w:lang w:eastAsia="zh-CN"/>
              </w:rPr>
              <w:t>）</w:t>
            </w:r>
            <w:bookmarkEnd w:id="350"/>
            <w:bookmarkEnd w:id="351"/>
            <w:bookmarkEnd w:id="352"/>
            <w:bookmarkEnd w:id="353"/>
            <w:bookmarkEnd w:id="354"/>
          </w:p>
        </w:tc>
        <w:tc>
          <w:tcPr>
            <w:tcW w:w="4132" w:type="dxa"/>
            <w:vMerge w:val="restart"/>
            <w:tcBorders>
              <w:tl2br w:val="nil"/>
              <w:tr2bl w:val="nil"/>
            </w:tcBorders>
            <w:noWrap w:val="0"/>
            <w:vAlign w:val="center"/>
          </w:tcPr>
          <w:p w14:paraId="6281C91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第七十二条 有下列情形之一的，由县级以上市场监督管理部门处以1万元以上3万元以下罚款；构成犯罪的，依法追究刑事责任。</w:t>
            </w:r>
          </w:p>
        </w:tc>
        <w:tc>
          <w:tcPr>
            <w:tcW w:w="1133" w:type="dxa"/>
            <w:tcBorders>
              <w:tl2br w:val="nil"/>
              <w:tr2bl w:val="nil"/>
            </w:tcBorders>
            <w:noWrap w:val="0"/>
            <w:vAlign w:val="center"/>
          </w:tcPr>
          <w:p w14:paraId="4ADEBD3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389BF32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转让、伪造、涂改、倒卖、出租、出借保健食品注册证书，尚未进行生产经营的。</w:t>
            </w:r>
          </w:p>
        </w:tc>
        <w:tc>
          <w:tcPr>
            <w:tcW w:w="3267" w:type="dxa"/>
            <w:tcBorders>
              <w:tl2br w:val="nil"/>
              <w:tr2bl w:val="nil"/>
            </w:tcBorders>
            <w:noWrap w:val="0"/>
            <w:vAlign w:val="center"/>
          </w:tcPr>
          <w:p w14:paraId="77560F1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处以1万元以上1.6万元以下罚款。</w:t>
            </w:r>
          </w:p>
        </w:tc>
      </w:tr>
      <w:tr w14:paraId="1397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787" w:type="dxa"/>
            <w:vMerge w:val="continue"/>
            <w:tcBorders>
              <w:tl2br w:val="nil"/>
              <w:tr2bl w:val="nil"/>
            </w:tcBorders>
            <w:noWrap w:val="0"/>
            <w:vAlign w:val="center"/>
          </w:tcPr>
          <w:p w14:paraId="30FAB91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1E37CFB">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1C6B5F2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78D917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4F95EF4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转让、伪造、涂改、倒卖、出租、出借保健食品注册证书，已经进行生产经营或者生产经营货值金额5万元以下的。</w:t>
            </w:r>
          </w:p>
        </w:tc>
        <w:tc>
          <w:tcPr>
            <w:tcW w:w="3267" w:type="dxa"/>
            <w:tcBorders>
              <w:tl2br w:val="nil"/>
              <w:tr2bl w:val="nil"/>
            </w:tcBorders>
            <w:noWrap w:val="0"/>
            <w:vAlign w:val="center"/>
          </w:tcPr>
          <w:p w14:paraId="328A174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处以1.6万元以上2.4万元以下罚款。</w:t>
            </w:r>
          </w:p>
        </w:tc>
      </w:tr>
      <w:tr w14:paraId="661DB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787" w:type="dxa"/>
            <w:vMerge w:val="continue"/>
            <w:tcBorders>
              <w:tl2br w:val="nil"/>
              <w:tr2bl w:val="nil"/>
            </w:tcBorders>
            <w:noWrap w:val="0"/>
            <w:vAlign w:val="center"/>
          </w:tcPr>
          <w:p w14:paraId="66B21F8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1BC2D6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AA2BCF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D78ED2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1FB4F6F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转让、伪造、涂改、倒卖、出租、出借保健食品注册证书，经营的保健食品货值金额5万元以上的。</w:t>
            </w:r>
          </w:p>
        </w:tc>
        <w:tc>
          <w:tcPr>
            <w:tcW w:w="3267" w:type="dxa"/>
            <w:tcBorders>
              <w:tl2br w:val="nil"/>
              <w:tr2bl w:val="nil"/>
            </w:tcBorders>
            <w:noWrap w:val="0"/>
            <w:vAlign w:val="center"/>
          </w:tcPr>
          <w:p w14:paraId="5754028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处以2.4万元以上3万元以下罚款。</w:t>
            </w:r>
          </w:p>
        </w:tc>
      </w:tr>
      <w:tr w14:paraId="0ABE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exact"/>
          <w:jc w:val="center"/>
        </w:trPr>
        <w:tc>
          <w:tcPr>
            <w:tcW w:w="787" w:type="dxa"/>
            <w:vMerge w:val="restart"/>
            <w:tcBorders>
              <w:tl2br w:val="nil"/>
              <w:tr2bl w:val="nil"/>
            </w:tcBorders>
            <w:noWrap w:val="0"/>
            <w:vAlign w:val="center"/>
          </w:tcPr>
          <w:p w14:paraId="52FF9E9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306</w:t>
            </w:r>
          </w:p>
        </w:tc>
        <w:tc>
          <w:tcPr>
            <w:tcW w:w="1718" w:type="dxa"/>
            <w:vMerge w:val="restart"/>
            <w:tcBorders>
              <w:tl2br w:val="nil"/>
              <w:tr2bl w:val="nil"/>
            </w:tcBorders>
            <w:noWrap w:val="0"/>
            <w:vAlign w:val="center"/>
          </w:tcPr>
          <w:p w14:paraId="686DDD6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outlineLvl w:val="2"/>
              <w:rPr>
                <w:rFonts w:hint="eastAsia" w:ascii="宋体" w:hAnsi="宋体" w:eastAsia="宋体" w:cs="宋体"/>
                <w:b w:val="0"/>
                <w:bCs w:val="0"/>
                <w:color w:val="auto"/>
                <w:kern w:val="0"/>
                <w:sz w:val="24"/>
                <w:szCs w:val="24"/>
                <w:highlight w:val="none"/>
                <w:lang w:eastAsia="zh-CN"/>
              </w:rPr>
            </w:pPr>
            <w:bookmarkStart w:id="355" w:name="_Toc4153"/>
            <w:bookmarkStart w:id="356" w:name="_Toc2348"/>
            <w:bookmarkStart w:id="357" w:name="_Toc26766"/>
            <w:bookmarkStart w:id="358" w:name="_Toc16687"/>
            <w:bookmarkStart w:id="359" w:name="_Toc25081"/>
            <w:r>
              <w:rPr>
                <w:rFonts w:hint="eastAsia" w:ascii="宋体" w:hAnsi="宋体" w:eastAsia="宋体" w:cs="宋体"/>
                <w:b w:val="0"/>
                <w:bCs w:val="0"/>
                <w:color w:val="auto"/>
                <w:kern w:val="0"/>
                <w:sz w:val="24"/>
                <w:szCs w:val="24"/>
                <w:highlight w:val="none"/>
              </w:rPr>
              <w:t>《婴幼儿配方乳粉产品配方注册管理办法》</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20</w:t>
            </w:r>
            <w:r>
              <w:rPr>
                <w:rFonts w:hint="eastAsia" w:ascii="宋体" w:hAnsi="宋体" w:cs="宋体"/>
                <w:b w:val="0"/>
                <w:bCs w:val="0"/>
                <w:color w:val="auto"/>
                <w:kern w:val="0"/>
                <w:sz w:val="24"/>
                <w:szCs w:val="24"/>
                <w:highlight w:val="none"/>
                <w:lang w:val="en-US" w:eastAsia="zh-CN"/>
              </w:rPr>
              <w:t>23</w:t>
            </w:r>
            <w:r>
              <w:rPr>
                <w:rFonts w:hint="eastAsia" w:ascii="宋体" w:hAnsi="宋体" w:eastAsia="宋体" w:cs="宋体"/>
                <w:b w:val="0"/>
                <w:bCs w:val="0"/>
                <w:color w:val="auto"/>
                <w:kern w:val="0"/>
                <w:sz w:val="24"/>
                <w:szCs w:val="24"/>
                <w:highlight w:val="none"/>
              </w:rPr>
              <w:t>年</w:t>
            </w:r>
            <w:r>
              <w:rPr>
                <w:rFonts w:hint="eastAsia" w:ascii="宋体" w:hAnsi="宋体" w:cs="宋体"/>
                <w:b w:val="0"/>
                <w:bCs w:val="0"/>
                <w:color w:val="auto"/>
                <w:kern w:val="0"/>
                <w:sz w:val="24"/>
                <w:szCs w:val="24"/>
                <w:highlight w:val="none"/>
                <w:lang w:val="en-US" w:eastAsia="zh-CN"/>
              </w:rPr>
              <w:t>10</w:t>
            </w:r>
            <w:r>
              <w:rPr>
                <w:rFonts w:hint="eastAsia" w:ascii="宋体" w:hAnsi="宋体" w:eastAsia="宋体" w:cs="宋体"/>
                <w:b w:val="0"/>
                <w:bCs w:val="0"/>
                <w:color w:val="auto"/>
                <w:kern w:val="0"/>
                <w:sz w:val="24"/>
                <w:szCs w:val="24"/>
                <w:highlight w:val="none"/>
              </w:rPr>
              <w:t>月</w:t>
            </w: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rPr>
              <w:t>日</w:t>
            </w:r>
            <w:r>
              <w:rPr>
                <w:rFonts w:hint="eastAsia" w:ascii="宋体" w:hAnsi="宋体" w:cs="宋体"/>
                <w:b w:val="0"/>
                <w:bCs w:val="0"/>
                <w:color w:val="auto"/>
                <w:kern w:val="0"/>
                <w:sz w:val="24"/>
                <w:szCs w:val="24"/>
                <w:highlight w:val="none"/>
                <w:lang w:val="en-US" w:eastAsia="zh-CN"/>
              </w:rPr>
              <w:t>起施行</w:t>
            </w:r>
            <w:r>
              <w:rPr>
                <w:rFonts w:hint="eastAsia" w:ascii="宋体" w:hAnsi="宋体" w:eastAsia="宋体" w:cs="宋体"/>
                <w:b w:val="0"/>
                <w:bCs w:val="0"/>
                <w:color w:val="auto"/>
                <w:kern w:val="0"/>
                <w:sz w:val="24"/>
                <w:szCs w:val="24"/>
                <w:highlight w:val="none"/>
                <w:lang w:eastAsia="zh-CN"/>
              </w:rPr>
              <w:t>）</w:t>
            </w:r>
            <w:bookmarkEnd w:id="355"/>
            <w:bookmarkEnd w:id="356"/>
            <w:bookmarkEnd w:id="357"/>
            <w:bookmarkEnd w:id="358"/>
            <w:bookmarkEnd w:id="359"/>
          </w:p>
        </w:tc>
        <w:tc>
          <w:tcPr>
            <w:tcW w:w="4132" w:type="dxa"/>
            <w:vMerge w:val="restart"/>
            <w:tcBorders>
              <w:tl2br w:val="nil"/>
              <w:tr2bl w:val="nil"/>
            </w:tcBorders>
            <w:noWrap w:val="0"/>
            <w:vAlign w:val="center"/>
          </w:tcPr>
          <w:p w14:paraId="61E1C940">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第四十</w:t>
            </w:r>
            <w:r>
              <w:rPr>
                <w:rFonts w:hint="eastAsia" w:ascii="宋体" w:hAnsi="宋体" w:eastAsia="宋体" w:cs="宋体"/>
                <w:color w:val="auto"/>
                <w:kern w:val="0"/>
                <w:sz w:val="24"/>
                <w:szCs w:val="24"/>
                <w:highlight w:val="none"/>
                <w:lang w:eastAsia="zh-CN"/>
              </w:rPr>
              <w:t>七</w:t>
            </w:r>
            <w:r>
              <w:rPr>
                <w:rFonts w:hint="eastAsia" w:ascii="宋体" w:hAnsi="宋体" w:eastAsia="宋体" w:cs="宋体"/>
                <w:color w:val="auto"/>
                <w:kern w:val="0"/>
                <w:sz w:val="24"/>
                <w:szCs w:val="24"/>
                <w:highlight w:val="none"/>
              </w:rPr>
              <w:t>条第一款</w:t>
            </w:r>
            <w:r>
              <w:rPr>
                <w:rFonts w:hint="eastAsia" w:ascii="宋体" w:hAnsi="宋体" w:cs="宋体"/>
                <w:color w:val="auto"/>
                <w:kern w:val="0"/>
                <w:sz w:val="24"/>
                <w:szCs w:val="24"/>
                <w:highlight w:val="none"/>
                <w:lang w:eastAsia="zh-CN"/>
              </w:rPr>
              <w:t xml:space="preserve"> </w:t>
            </w:r>
            <w:r>
              <w:rPr>
                <w:rFonts w:hint="eastAsia" w:ascii="宋体" w:hAnsi="宋体" w:eastAsia="宋体" w:cs="宋体"/>
                <w:color w:val="auto"/>
                <w:kern w:val="0"/>
                <w:sz w:val="24"/>
                <w:szCs w:val="24"/>
                <w:highlight w:val="none"/>
              </w:rPr>
              <w:t>申请人变更不影响产品配方科学性、安全性的事项，未依法申请变更的，由县级以上市场监督管理部门责令限期改正；逾期不改的，处一千元以上一万元以下罚款。</w:t>
            </w:r>
          </w:p>
        </w:tc>
        <w:tc>
          <w:tcPr>
            <w:tcW w:w="1133" w:type="dxa"/>
            <w:tcBorders>
              <w:tl2br w:val="nil"/>
              <w:tr2bl w:val="nil"/>
            </w:tcBorders>
            <w:noWrap w:val="0"/>
            <w:vAlign w:val="center"/>
          </w:tcPr>
          <w:p w14:paraId="197D56B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1BD1DB2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涉及</w:t>
            </w:r>
            <w:r>
              <w:rPr>
                <w:rFonts w:hint="default" w:ascii="宋体" w:hAnsi="宋体" w:eastAsia="宋体" w:cs="宋体"/>
                <w:color w:val="auto"/>
                <w:kern w:val="0"/>
                <w:sz w:val="24"/>
                <w:szCs w:val="24"/>
                <w:highlight w:val="none"/>
                <w:lang w:val="en"/>
              </w:rPr>
              <w:t>1</w:t>
            </w:r>
            <w:r>
              <w:rPr>
                <w:rFonts w:hint="eastAsia" w:ascii="宋体" w:hAnsi="宋体" w:eastAsia="宋体" w:cs="宋体"/>
                <w:color w:val="auto"/>
                <w:kern w:val="0"/>
                <w:sz w:val="24"/>
                <w:szCs w:val="24"/>
                <w:highlight w:val="none"/>
              </w:rPr>
              <w:t>项不影响产品配方科学性、安全性的变更事项的。</w:t>
            </w:r>
          </w:p>
        </w:tc>
        <w:tc>
          <w:tcPr>
            <w:tcW w:w="3267" w:type="dxa"/>
            <w:tcBorders>
              <w:tl2br w:val="nil"/>
              <w:tr2bl w:val="nil"/>
            </w:tcBorders>
            <w:noWrap w:val="0"/>
            <w:vAlign w:val="center"/>
          </w:tcPr>
          <w:p w14:paraId="389B0BF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w:t>
            </w:r>
            <w:r>
              <w:rPr>
                <w:rFonts w:hint="eastAsia" w:ascii="宋体" w:hAnsi="宋体" w:eastAsia="宋体" w:cs="宋体"/>
                <w:color w:val="auto"/>
                <w:kern w:val="0"/>
                <w:sz w:val="24"/>
                <w:szCs w:val="24"/>
                <w:highlight w:val="none"/>
                <w:lang w:val="en-US" w:eastAsia="zh-CN"/>
              </w:rPr>
              <w:t>000元</w:t>
            </w:r>
            <w:r>
              <w:rPr>
                <w:rFonts w:hint="eastAsia" w:ascii="宋体" w:hAnsi="宋体" w:eastAsia="宋体" w:cs="宋体"/>
                <w:color w:val="auto"/>
                <w:kern w:val="0"/>
                <w:sz w:val="24"/>
                <w:szCs w:val="24"/>
                <w:highlight w:val="none"/>
              </w:rPr>
              <w:t>以上</w:t>
            </w:r>
            <w:r>
              <w:rPr>
                <w:rFonts w:hint="eastAsia" w:ascii="宋体" w:hAnsi="宋体" w:eastAsia="宋体" w:cs="宋体"/>
                <w:color w:val="auto"/>
                <w:kern w:val="0"/>
                <w:sz w:val="24"/>
                <w:szCs w:val="24"/>
                <w:highlight w:val="none"/>
                <w:lang w:val="en-US" w:eastAsia="zh-CN"/>
              </w:rPr>
              <w:t>3</w:t>
            </w:r>
            <w:r>
              <w:rPr>
                <w:rFonts w:hint="eastAsia" w:ascii="宋体" w:hAnsi="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lang w:val="en-US" w:eastAsia="zh-CN"/>
              </w:rPr>
              <w:t>00元</w:t>
            </w:r>
            <w:r>
              <w:rPr>
                <w:rFonts w:hint="eastAsia" w:ascii="宋体" w:hAnsi="宋体" w:eastAsia="宋体" w:cs="宋体"/>
                <w:color w:val="auto"/>
                <w:kern w:val="0"/>
                <w:sz w:val="24"/>
                <w:szCs w:val="24"/>
                <w:highlight w:val="none"/>
              </w:rPr>
              <w:t>以下罚款。</w:t>
            </w:r>
          </w:p>
        </w:tc>
      </w:tr>
      <w:tr w14:paraId="1089E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exact"/>
          <w:jc w:val="center"/>
        </w:trPr>
        <w:tc>
          <w:tcPr>
            <w:tcW w:w="787" w:type="dxa"/>
            <w:vMerge w:val="continue"/>
            <w:tcBorders>
              <w:tl2br w:val="nil"/>
              <w:tr2bl w:val="nil"/>
            </w:tcBorders>
            <w:noWrap w:val="0"/>
            <w:vAlign w:val="center"/>
          </w:tcPr>
          <w:p w14:paraId="77EE130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A639DF7">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651F83BC">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B45968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4974B4B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pacing w:val="-6"/>
                <w:kern w:val="0"/>
                <w:sz w:val="24"/>
                <w:szCs w:val="24"/>
                <w:highlight w:val="none"/>
              </w:rPr>
              <w:t>涉及</w:t>
            </w:r>
            <w:r>
              <w:rPr>
                <w:rFonts w:hint="default" w:ascii="宋体" w:hAnsi="宋体" w:eastAsia="宋体" w:cs="宋体"/>
                <w:color w:val="auto"/>
                <w:spacing w:val="-6"/>
                <w:kern w:val="0"/>
                <w:sz w:val="24"/>
                <w:szCs w:val="24"/>
                <w:highlight w:val="none"/>
                <w:lang w:val="en"/>
              </w:rPr>
              <w:t>2</w:t>
            </w:r>
            <w:r>
              <w:rPr>
                <w:rFonts w:hint="eastAsia" w:ascii="宋体" w:hAnsi="宋体" w:eastAsia="宋体" w:cs="宋体"/>
                <w:color w:val="auto"/>
                <w:spacing w:val="-6"/>
                <w:kern w:val="0"/>
                <w:sz w:val="24"/>
                <w:szCs w:val="24"/>
                <w:highlight w:val="none"/>
              </w:rPr>
              <w:t>项或</w:t>
            </w:r>
            <w:r>
              <w:rPr>
                <w:rFonts w:hint="default" w:ascii="宋体" w:hAnsi="宋体" w:eastAsia="宋体" w:cs="宋体"/>
                <w:color w:val="auto"/>
                <w:spacing w:val="-6"/>
                <w:kern w:val="0"/>
                <w:sz w:val="24"/>
                <w:szCs w:val="24"/>
                <w:highlight w:val="none"/>
                <w:lang w:val="en"/>
              </w:rPr>
              <w:t>3</w:t>
            </w:r>
            <w:r>
              <w:rPr>
                <w:rFonts w:hint="eastAsia" w:ascii="宋体" w:hAnsi="宋体" w:eastAsia="宋体" w:cs="宋体"/>
                <w:color w:val="auto"/>
                <w:spacing w:val="-6"/>
                <w:kern w:val="0"/>
                <w:sz w:val="24"/>
                <w:szCs w:val="24"/>
                <w:highlight w:val="none"/>
              </w:rPr>
              <w:t>项不影响产品配方科学性、安全性的变更事项的</w:t>
            </w:r>
            <w:r>
              <w:rPr>
                <w:rFonts w:hint="eastAsia" w:ascii="宋体" w:hAnsi="宋体" w:eastAsia="宋体" w:cs="宋体"/>
                <w:color w:val="auto"/>
                <w:kern w:val="0"/>
                <w:sz w:val="24"/>
                <w:szCs w:val="24"/>
                <w:highlight w:val="none"/>
              </w:rPr>
              <w:t>。</w:t>
            </w:r>
          </w:p>
        </w:tc>
        <w:tc>
          <w:tcPr>
            <w:tcW w:w="3267" w:type="dxa"/>
            <w:tcBorders>
              <w:tl2br w:val="nil"/>
              <w:tr2bl w:val="nil"/>
            </w:tcBorders>
            <w:noWrap w:val="0"/>
            <w:vAlign w:val="center"/>
          </w:tcPr>
          <w:p w14:paraId="4982BEF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w:t>
            </w:r>
            <w:r>
              <w:rPr>
                <w:rFonts w:hint="eastAsia" w:ascii="宋体" w:hAnsi="宋体" w:eastAsia="宋体" w:cs="宋体"/>
                <w:color w:val="auto"/>
                <w:kern w:val="0"/>
                <w:sz w:val="24"/>
                <w:szCs w:val="24"/>
                <w:highlight w:val="none"/>
                <w:lang w:val="en-US" w:eastAsia="zh-CN"/>
              </w:rPr>
              <w:t>3</w:t>
            </w:r>
            <w:r>
              <w:rPr>
                <w:rFonts w:hint="eastAsia" w:ascii="宋体" w:hAnsi="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元以上</w:t>
            </w:r>
            <w:r>
              <w:rPr>
                <w:rFonts w:hint="eastAsia" w:ascii="宋体" w:hAnsi="宋体" w:eastAsia="宋体" w:cs="宋体"/>
                <w:color w:val="auto"/>
                <w:kern w:val="0"/>
                <w:sz w:val="24"/>
                <w:szCs w:val="24"/>
                <w:highlight w:val="none"/>
                <w:lang w:val="en-US" w:eastAsia="zh-CN"/>
              </w:rPr>
              <w:t>7</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元以下罚款。</w:t>
            </w:r>
          </w:p>
        </w:tc>
      </w:tr>
      <w:tr w14:paraId="42A86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jc w:val="center"/>
        </w:trPr>
        <w:tc>
          <w:tcPr>
            <w:tcW w:w="787" w:type="dxa"/>
            <w:vMerge w:val="continue"/>
            <w:tcBorders>
              <w:tl2br w:val="nil"/>
              <w:tr2bl w:val="nil"/>
            </w:tcBorders>
            <w:noWrap w:val="0"/>
            <w:vAlign w:val="center"/>
          </w:tcPr>
          <w:p w14:paraId="4126420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774CBC7">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7B2E05CA">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23198E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1FFB4D3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涉及</w:t>
            </w:r>
            <w:r>
              <w:rPr>
                <w:rFonts w:hint="default" w:ascii="宋体" w:hAnsi="宋体" w:eastAsia="宋体" w:cs="宋体"/>
                <w:color w:val="auto"/>
                <w:kern w:val="0"/>
                <w:sz w:val="24"/>
                <w:szCs w:val="24"/>
                <w:highlight w:val="none"/>
                <w:lang w:val="en"/>
              </w:rPr>
              <w:t>4</w:t>
            </w:r>
            <w:r>
              <w:rPr>
                <w:rFonts w:hint="eastAsia" w:ascii="宋体" w:hAnsi="宋体" w:eastAsia="宋体" w:cs="宋体"/>
                <w:color w:val="auto"/>
                <w:kern w:val="0"/>
                <w:sz w:val="24"/>
                <w:szCs w:val="24"/>
                <w:highlight w:val="none"/>
              </w:rPr>
              <w:t>项以上不影响产品配方科学性、安全性的变更事项的。</w:t>
            </w:r>
          </w:p>
        </w:tc>
        <w:tc>
          <w:tcPr>
            <w:tcW w:w="3267" w:type="dxa"/>
            <w:tcBorders>
              <w:tl2br w:val="nil"/>
              <w:tr2bl w:val="nil"/>
            </w:tcBorders>
            <w:noWrap w:val="0"/>
            <w:vAlign w:val="center"/>
          </w:tcPr>
          <w:p w14:paraId="1C90252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w:t>
            </w:r>
            <w:r>
              <w:rPr>
                <w:rFonts w:hint="eastAsia" w:ascii="宋体" w:hAnsi="宋体" w:eastAsia="宋体" w:cs="宋体"/>
                <w:color w:val="auto"/>
                <w:kern w:val="0"/>
                <w:sz w:val="24"/>
                <w:szCs w:val="24"/>
                <w:highlight w:val="none"/>
                <w:lang w:val="en-US" w:eastAsia="zh-CN"/>
              </w:rPr>
              <w:t>7</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元以上</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万元以下罚款。</w:t>
            </w:r>
          </w:p>
        </w:tc>
      </w:tr>
      <w:tr w14:paraId="0064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787" w:type="dxa"/>
            <w:vMerge w:val="restart"/>
            <w:tcBorders>
              <w:tl2br w:val="nil"/>
              <w:tr2bl w:val="nil"/>
            </w:tcBorders>
            <w:noWrap w:val="0"/>
            <w:vAlign w:val="center"/>
          </w:tcPr>
          <w:p w14:paraId="72F3FEB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307</w:t>
            </w:r>
          </w:p>
        </w:tc>
        <w:tc>
          <w:tcPr>
            <w:tcW w:w="1718" w:type="dxa"/>
            <w:vMerge w:val="restart"/>
            <w:tcBorders>
              <w:tl2br w:val="nil"/>
              <w:tr2bl w:val="nil"/>
            </w:tcBorders>
            <w:noWrap w:val="0"/>
            <w:vAlign w:val="center"/>
          </w:tcPr>
          <w:p w14:paraId="3F47878F">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《婴幼儿配方乳粉产品配方注册管理办法》</w:t>
            </w:r>
          </w:p>
        </w:tc>
        <w:tc>
          <w:tcPr>
            <w:tcW w:w="4132" w:type="dxa"/>
            <w:vMerge w:val="restart"/>
            <w:tcBorders>
              <w:tl2br w:val="nil"/>
              <w:tr2bl w:val="nil"/>
            </w:tcBorders>
            <w:noWrap w:val="0"/>
            <w:vAlign w:val="center"/>
          </w:tcPr>
          <w:p w14:paraId="47AF033B">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第四十</w:t>
            </w:r>
            <w:r>
              <w:rPr>
                <w:rFonts w:hint="eastAsia" w:ascii="宋体" w:hAnsi="宋体" w:eastAsia="宋体" w:cs="宋体"/>
                <w:color w:val="auto"/>
                <w:kern w:val="0"/>
                <w:sz w:val="24"/>
                <w:szCs w:val="24"/>
                <w:highlight w:val="none"/>
                <w:lang w:eastAsia="zh-CN"/>
              </w:rPr>
              <w:t>八</w:t>
            </w:r>
            <w:r>
              <w:rPr>
                <w:rFonts w:hint="eastAsia" w:ascii="宋体" w:hAnsi="宋体" w:eastAsia="宋体" w:cs="宋体"/>
                <w:color w:val="auto"/>
                <w:kern w:val="0"/>
                <w:sz w:val="24"/>
                <w:szCs w:val="24"/>
                <w:highlight w:val="none"/>
              </w:rPr>
              <w:t xml:space="preserve">条 </w:t>
            </w:r>
            <w:r>
              <w:rPr>
                <w:rFonts w:hint="eastAsia" w:ascii="宋体" w:hAnsi="宋体" w:eastAsia="宋体" w:cs="宋体"/>
                <w:b w:val="0"/>
                <w:bCs w:val="0"/>
                <w:color w:val="auto"/>
                <w:kern w:val="0"/>
                <w:sz w:val="24"/>
                <w:szCs w:val="24"/>
                <w:highlight w:val="none"/>
              </w:rPr>
              <w:t>伪造、涂改、倒卖、出租、出借、转让婴幼儿配方乳粉产品配方注册证书的，由县级以上市场监督管理部门处三万元以上十万元以下罚款；造成危害后果的，处十万元以上二十万元以下罚款；涉嫌犯罪的，依法移送公安机关，追究刑事责任</w:t>
            </w:r>
            <w:r>
              <w:rPr>
                <w:rFonts w:hint="eastAsia" w:ascii="仿宋" w:hAnsi="仿宋" w:eastAsia="仿宋" w:cs="仿宋"/>
                <w:i w:val="0"/>
                <w:iCs w:val="0"/>
                <w:caps w:val="0"/>
                <w:color w:val="auto"/>
                <w:spacing w:val="0"/>
                <w:sz w:val="32"/>
                <w:szCs w:val="32"/>
                <w:highlight w:val="none"/>
                <w:shd w:val="clear" w:color="auto" w:fill="FFFFFF"/>
              </w:rPr>
              <w:t>。</w:t>
            </w:r>
          </w:p>
        </w:tc>
        <w:tc>
          <w:tcPr>
            <w:tcW w:w="1133" w:type="dxa"/>
            <w:tcBorders>
              <w:tl2br w:val="nil"/>
              <w:tr2bl w:val="nil"/>
            </w:tcBorders>
            <w:noWrap w:val="0"/>
            <w:vAlign w:val="center"/>
          </w:tcPr>
          <w:p w14:paraId="3CC887D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317ED38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pacing w:val="-6"/>
                <w:kern w:val="0"/>
                <w:sz w:val="24"/>
                <w:szCs w:val="24"/>
                <w:highlight w:val="none"/>
              </w:rPr>
              <w:t>尚未进行生产经营的。</w:t>
            </w:r>
          </w:p>
        </w:tc>
        <w:tc>
          <w:tcPr>
            <w:tcW w:w="3267" w:type="dxa"/>
            <w:tcBorders>
              <w:tl2br w:val="nil"/>
              <w:tr2bl w:val="nil"/>
            </w:tcBorders>
            <w:noWrap w:val="0"/>
            <w:vAlign w:val="center"/>
          </w:tcPr>
          <w:p w14:paraId="615F8C3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w:t>
            </w:r>
            <w:r>
              <w:rPr>
                <w:rFonts w:hint="eastAsia" w:ascii="宋体" w:hAnsi="宋体" w:eastAsia="宋体" w:cs="宋体"/>
                <w:color w:val="auto"/>
                <w:kern w:val="0"/>
                <w:sz w:val="24"/>
                <w:szCs w:val="24"/>
                <w:highlight w:val="none"/>
                <w:lang w:val="en-US" w:eastAsia="zh-CN"/>
              </w:rPr>
              <w:t>3万</w:t>
            </w:r>
            <w:r>
              <w:rPr>
                <w:rFonts w:hint="eastAsia" w:ascii="宋体" w:hAnsi="宋体" w:eastAsia="宋体" w:cs="宋体"/>
                <w:color w:val="auto"/>
                <w:kern w:val="0"/>
                <w:sz w:val="24"/>
                <w:szCs w:val="24"/>
                <w:highlight w:val="none"/>
              </w:rPr>
              <w:t>元</w:t>
            </w:r>
            <w:r>
              <w:rPr>
                <w:rFonts w:hint="eastAsia" w:ascii="宋体" w:hAnsi="宋体" w:cs="宋体"/>
                <w:color w:val="auto"/>
                <w:kern w:val="0"/>
                <w:sz w:val="24"/>
                <w:szCs w:val="24"/>
                <w:highlight w:val="none"/>
                <w:lang w:val="en-US" w:eastAsia="zh-CN"/>
              </w:rPr>
              <w:t>以上5.1万元以下</w:t>
            </w:r>
            <w:r>
              <w:rPr>
                <w:rFonts w:hint="eastAsia" w:ascii="宋体" w:hAnsi="宋体" w:eastAsia="宋体" w:cs="宋体"/>
                <w:color w:val="auto"/>
                <w:kern w:val="0"/>
                <w:sz w:val="24"/>
                <w:szCs w:val="24"/>
                <w:highlight w:val="none"/>
              </w:rPr>
              <w:t>罚款。</w:t>
            </w:r>
          </w:p>
        </w:tc>
      </w:tr>
      <w:tr w14:paraId="3043B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787" w:type="dxa"/>
            <w:vMerge w:val="continue"/>
            <w:tcBorders>
              <w:tl2br w:val="nil"/>
              <w:tr2bl w:val="nil"/>
            </w:tcBorders>
            <w:noWrap w:val="0"/>
            <w:vAlign w:val="center"/>
          </w:tcPr>
          <w:p w14:paraId="00C7ECA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lang w:val="en-US" w:eastAsia="zh-CN"/>
              </w:rPr>
            </w:pPr>
          </w:p>
        </w:tc>
        <w:tc>
          <w:tcPr>
            <w:tcW w:w="1718" w:type="dxa"/>
            <w:vMerge w:val="continue"/>
            <w:tcBorders>
              <w:tl2br w:val="nil"/>
              <w:tr2bl w:val="nil"/>
            </w:tcBorders>
            <w:noWrap w:val="0"/>
            <w:vAlign w:val="center"/>
          </w:tcPr>
          <w:p w14:paraId="5FD1B14B">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677F971B">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C36677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085E547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生产经营的婴幼儿配方乳粉符合产品配方要求</w:t>
            </w:r>
            <w:r>
              <w:rPr>
                <w:rFonts w:hint="eastAsia" w:ascii="宋体" w:hAnsi="宋体" w:eastAsia="宋体" w:cs="宋体"/>
                <w:color w:val="auto"/>
                <w:kern w:val="0"/>
                <w:sz w:val="24"/>
                <w:szCs w:val="24"/>
                <w:highlight w:val="none"/>
                <w:lang w:eastAsia="zh-CN"/>
              </w:rPr>
              <w:t>的</w:t>
            </w:r>
            <w:r>
              <w:rPr>
                <w:rFonts w:hint="eastAsia" w:ascii="宋体" w:hAnsi="宋体" w:eastAsia="宋体" w:cs="宋体"/>
                <w:color w:val="auto"/>
                <w:kern w:val="0"/>
                <w:sz w:val="24"/>
                <w:szCs w:val="24"/>
                <w:highlight w:val="none"/>
              </w:rPr>
              <w:t>。</w:t>
            </w:r>
          </w:p>
        </w:tc>
        <w:tc>
          <w:tcPr>
            <w:tcW w:w="3267" w:type="dxa"/>
            <w:tcBorders>
              <w:tl2br w:val="nil"/>
              <w:tr2bl w:val="nil"/>
            </w:tcBorders>
            <w:noWrap w:val="0"/>
            <w:vAlign w:val="center"/>
          </w:tcPr>
          <w:p w14:paraId="7921F1E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w:t>
            </w:r>
            <w:r>
              <w:rPr>
                <w:rFonts w:hint="eastAsia" w:ascii="宋体" w:hAnsi="宋体" w:cs="宋体"/>
                <w:color w:val="auto"/>
                <w:kern w:val="0"/>
                <w:sz w:val="24"/>
                <w:szCs w:val="24"/>
                <w:highlight w:val="none"/>
                <w:lang w:val="en-US" w:eastAsia="zh-CN"/>
              </w:rPr>
              <w:t>5.1</w:t>
            </w:r>
            <w:r>
              <w:rPr>
                <w:rFonts w:hint="eastAsia" w:ascii="宋体" w:hAnsi="宋体" w:eastAsia="宋体" w:cs="宋体"/>
                <w:color w:val="auto"/>
                <w:kern w:val="0"/>
                <w:sz w:val="24"/>
                <w:szCs w:val="24"/>
                <w:highlight w:val="none"/>
                <w:lang w:val="en-US" w:eastAsia="zh-CN"/>
              </w:rPr>
              <w:t>万</w:t>
            </w:r>
            <w:r>
              <w:rPr>
                <w:rFonts w:hint="eastAsia" w:ascii="宋体" w:hAnsi="宋体" w:eastAsia="宋体" w:cs="宋体"/>
                <w:color w:val="auto"/>
                <w:kern w:val="0"/>
                <w:sz w:val="24"/>
                <w:szCs w:val="24"/>
                <w:highlight w:val="none"/>
              </w:rPr>
              <w:t>元以上1</w:t>
            </w:r>
            <w:r>
              <w:rPr>
                <w:rFonts w:hint="eastAsia" w:ascii="宋体" w:hAnsi="宋体" w:eastAsia="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万元以下罚款。</w:t>
            </w:r>
          </w:p>
        </w:tc>
      </w:tr>
      <w:tr w14:paraId="7433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787" w:type="dxa"/>
            <w:vMerge w:val="continue"/>
            <w:tcBorders>
              <w:tl2br w:val="nil"/>
              <w:tr2bl w:val="nil"/>
            </w:tcBorders>
            <w:noWrap w:val="0"/>
            <w:vAlign w:val="center"/>
          </w:tcPr>
          <w:p w14:paraId="687DA06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57DB65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5D681293">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B81A27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2F1C61E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生产经营的婴幼儿配方乳粉</w:t>
            </w:r>
            <w:r>
              <w:rPr>
                <w:rFonts w:hint="eastAsia" w:ascii="宋体" w:hAnsi="宋体" w:eastAsia="宋体" w:cs="宋体"/>
                <w:color w:val="auto"/>
                <w:kern w:val="0"/>
                <w:sz w:val="24"/>
                <w:szCs w:val="24"/>
                <w:highlight w:val="none"/>
                <w:lang w:eastAsia="zh-CN"/>
              </w:rPr>
              <w:t>不</w:t>
            </w:r>
            <w:r>
              <w:rPr>
                <w:rFonts w:hint="eastAsia" w:ascii="宋体" w:hAnsi="宋体" w:eastAsia="宋体" w:cs="宋体"/>
                <w:color w:val="auto"/>
                <w:kern w:val="0"/>
                <w:sz w:val="24"/>
                <w:szCs w:val="24"/>
                <w:highlight w:val="none"/>
              </w:rPr>
              <w:t>符合产品配方要求,</w:t>
            </w:r>
            <w:r>
              <w:rPr>
                <w:rFonts w:hint="eastAsia" w:ascii="宋体" w:hAnsi="宋体" w:eastAsia="宋体" w:cs="宋体"/>
                <w:color w:val="auto"/>
                <w:kern w:val="0"/>
                <w:sz w:val="24"/>
                <w:szCs w:val="24"/>
                <w:highlight w:val="none"/>
                <w:lang w:eastAsia="zh-CN"/>
              </w:rPr>
              <w:t>但没有影响婴幼儿健康的</w:t>
            </w:r>
            <w:r>
              <w:rPr>
                <w:rFonts w:hint="eastAsia" w:ascii="宋体" w:hAnsi="宋体" w:eastAsia="宋体" w:cs="宋体"/>
                <w:color w:val="auto"/>
                <w:kern w:val="0"/>
                <w:sz w:val="24"/>
                <w:szCs w:val="24"/>
                <w:highlight w:val="none"/>
              </w:rPr>
              <w:t>。</w:t>
            </w:r>
          </w:p>
        </w:tc>
        <w:tc>
          <w:tcPr>
            <w:tcW w:w="3267" w:type="dxa"/>
            <w:tcBorders>
              <w:tl2br w:val="nil"/>
              <w:tr2bl w:val="nil"/>
            </w:tcBorders>
            <w:noWrap w:val="0"/>
            <w:vAlign w:val="center"/>
          </w:tcPr>
          <w:p w14:paraId="1F00EB0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w:t>
            </w:r>
            <w:r>
              <w:rPr>
                <w:rFonts w:hint="eastAsia" w:ascii="宋体" w:hAnsi="宋体" w:eastAsia="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万元以上</w:t>
            </w:r>
            <w:r>
              <w:rPr>
                <w:rFonts w:hint="eastAsia" w:ascii="宋体" w:hAnsi="宋体" w:eastAsia="宋体" w:cs="宋体"/>
                <w:color w:val="auto"/>
                <w:kern w:val="0"/>
                <w:sz w:val="24"/>
                <w:szCs w:val="24"/>
                <w:highlight w:val="none"/>
                <w:lang w:val="en-US" w:eastAsia="zh-CN"/>
              </w:rPr>
              <w:t>1</w:t>
            </w: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万元以下罚款。</w:t>
            </w:r>
          </w:p>
        </w:tc>
      </w:tr>
      <w:tr w14:paraId="20916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jc w:val="center"/>
        </w:trPr>
        <w:tc>
          <w:tcPr>
            <w:tcW w:w="787" w:type="dxa"/>
            <w:vMerge w:val="continue"/>
            <w:tcBorders>
              <w:tl2br w:val="nil"/>
              <w:tr2bl w:val="nil"/>
            </w:tcBorders>
            <w:noWrap w:val="0"/>
            <w:vAlign w:val="center"/>
          </w:tcPr>
          <w:p w14:paraId="1E99D4A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22EA39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CF3D5D7">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140790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严重</w:t>
            </w:r>
          </w:p>
        </w:tc>
        <w:tc>
          <w:tcPr>
            <w:tcW w:w="3316" w:type="dxa"/>
            <w:tcBorders>
              <w:tl2br w:val="nil"/>
              <w:tr2bl w:val="nil"/>
            </w:tcBorders>
            <w:noWrap w:val="0"/>
            <w:vAlign w:val="center"/>
          </w:tcPr>
          <w:p w14:paraId="688C96A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生产经营的婴幼儿配方乳粉不符合产品配方要求</w:t>
            </w:r>
            <w:r>
              <w:rPr>
                <w:rFonts w:hint="eastAsia" w:ascii="宋体" w:hAnsi="宋体" w:eastAsia="宋体" w:cs="宋体"/>
                <w:color w:val="auto"/>
                <w:kern w:val="0"/>
                <w:sz w:val="24"/>
                <w:szCs w:val="24"/>
                <w:highlight w:val="none"/>
                <w:lang w:eastAsia="zh-CN"/>
              </w:rPr>
              <w:t>影响婴幼儿健康或</w:t>
            </w:r>
            <w:r>
              <w:rPr>
                <w:rFonts w:hint="eastAsia" w:ascii="宋体" w:hAnsi="宋体" w:eastAsia="宋体" w:cs="宋体"/>
                <w:color w:val="auto"/>
                <w:kern w:val="0"/>
                <w:sz w:val="24"/>
                <w:szCs w:val="24"/>
                <w:highlight w:val="none"/>
              </w:rPr>
              <w:t>重大社会影响的。</w:t>
            </w:r>
          </w:p>
        </w:tc>
        <w:tc>
          <w:tcPr>
            <w:tcW w:w="3267" w:type="dxa"/>
            <w:tcBorders>
              <w:tl2br w:val="nil"/>
              <w:tr2bl w:val="nil"/>
            </w:tcBorders>
            <w:noWrap w:val="0"/>
            <w:vAlign w:val="center"/>
          </w:tcPr>
          <w:p w14:paraId="1AC87E3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w:t>
            </w:r>
            <w:r>
              <w:rPr>
                <w:rFonts w:hint="eastAsia" w:ascii="宋体" w:hAnsi="宋体" w:eastAsia="宋体" w:cs="宋体"/>
                <w:color w:val="auto"/>
                <w:kern w:val="0"/>
                <w:sz w:val="24"/>
                <w:szCs w:val="24"/>
                <w:highlight w:val="none"/>
                <w:lang w:val="en-US" w:eastAsia="zh-CN"/>
              </w:rPr>
              <w:t>1</w:t>
            </w: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万元以上</w:t>
            </w:r>
            <w:r>
              <w:rPr>
                <w:rFonts w:hint="eastAsia" w:ascii="宋体" w:hAnsi="宋体" w:eastAsia="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万元以下罚款。</w:t>
            </w:r>
          </w:p>
        </w:tc>
      </w:tr>
      <w:tr w14:paraId="4F5AA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exact"/>
          <w:jc w:val="center"/>
        </w:trPr>
        <w:tc>
          <w:tcPr>
            <w:tcW w:w="787" w:type="dxa"/>
            <w:vMerge w:val="restart"/>
            <w:tcBorders>
              <w:tl2br w:val="nil"/>
              <w:tr2bl w:val="nil"/>
            </w:tcBorders>
            <w:noWrap w:val="0"/>
            <w:vAlign w:val="center"/>
          </w:tcPr>
          <w:p w14:paraId="14A0007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308</w:t>
            </w:r>
          </w:p>
        </w:tc>
        <w:tc>
          <w:tcPr>
            <w:tcW w:w="1718" w:type="dxa"/>
            <w:vMerge w:val="restart"/>
            <w:tcBorders>
              <w:tl2br w:val="nil"/>
              <w:tr2bl w:val="nil"/>
            </w:tcBorders>
            <w:noWrap w:val="0"/>
            <w:vAlign w:val="center"/>
          </w:tcPr>
          <w:p w14:paraId="26E5A310">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《婴幼儿配方乳粉产品配方注册管理办法》</w:t>
            </w:r>
          </w:p>
        </w:tc>
        <w:tc>
          <w:tcPr>
            <w:tcW w:w="4132" w:type="dxa"/>
            <w:vMerge w:val="restart"/>
            <w:tcBorders>
              <w:tl2br w:val="nil"/>
              <w:tr2bl w:val="nil"/>
            </w:tcBorders>
            <w:noWrap w:val="0"/>
            <w:vAlign w:val="center"/>
          </w:tcPr>
          <w:p w14:paraId="34D67D33">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第四十</w:t>
            </w:r>
            <w:r>
              <w:rPr>
                <w:rFonts w:hint="eastAsia" w:ascii="宋体" w:hAnsi="宋体" w:eastAsia="宋体" w:cs="宋体"/>
                <w:color w:val="auto"/>
                <w:kern w:val="0"/>
                <w:sz w:val="24"/>
                <w:szCs w:val="24"/>
                <w:highlight w:val="none"/>
                <w:lang w:eastAsia="zh-CN"/>
              </w:rPr>
              <w:t>九</w:t>
            </w:r>
            <w:r>
              <w:rPr>
                <w:rFonts w:hint="eastAsia" w:ascii="宋体" w:hAnsi="宋体" w:eastAsia="宋体" w:cs="宋体"/>
                <w:color w:val="auto"/>
                <w:kern w:val="0"/>
                <w:sz w:val="24"/>
                <w:szCs w:val="24"/>
                <w:highlight w:val="none"/>
              </w:rPr>
              <w:t>条</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b w:val="0"/>
                <w:bCs w:val="0"/>
                <w:color w:val="auto"/>
                <w:kern w:val="0"/>
                <w:sz w:val="24"/>
                <w:szCs w:val="24"/>
                <w:highlight w:val="none"/>
              </w:rPr>
              <w:t xml:space="preserve">婴幼儿配方乳粉生产销售者违反本办法第三十三条至第三十七条规定，由县级以上地方市场监督管理部门责令限期改正，处一万元以上三万元以下罚款；情节严重的，处三万元以上十万元以下罚款；造成危害后果的，处十万元以上二十万元以下罚款。 </w:t>
            </w:r>
          </w:p>
        </w:tc>
        <w:tc>
          <w:tcPr>
            <w:tcW w:w="1133" w:type="dxa"/>
            <w:tcBorders>
              <w:tl2br w:val="nil"/>
              <w:tr2bl w:val="nil"/>
            </w:tcBorders>
            <w:noWrap w:val="0"/>
            <w:vAlign w:val="center"/>
          </w:tcPr>
          <w:p w14:paraId="39F94FD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b w:val="0"/>
                <w:bCs w:val="0"/>
                <w:color w:val="auto"/>
                <w:kern w:val="0"/>
                <w:sz w:val="24"/>
                <w:szCs w:val="24"/>
                <w:highlight w:val="none"/>
              </w:rPr>
              <w:t>较轻</w:t>
            </w:r>
          </w:p>
        </w:tc>
        <w:tc>
          <w:tcPr>
            <w:tcW w:w="3316" w:type="dxa"/>
            <w:tcBorders>
              <w:tl2br w:val="nil"/>
              <w:tr2bl w:val="nil"/>
            </w:tcBorders>
            <w:noWrap w:val="0"/>
            <w:vAlign w:val="center"/>
          </w:tcPr>
          <w:p w14:paraId="5FC505D2">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r>
              <w:rPr>
                <w:rFonts w:hint="eastAsia" w:ascii="宋体" w:hAnsi="宋体" w:cs="宋体"/>
                <w:b w:val="0"/>
                <w:bCs w:val="0"/>
                <w:color w:val="auto"/>
                <w:kern w:val="0"/>
                <w:sz w:val="24"/>
                <w:szCs w:val="24"/>
                <w:highlight w:val="none"/>
                <w:lang w:val="en-US" w:eastAsia="zh-CN"/>
              </w:rPr>
              <w:t>未造成危害后果的。</w:t>
            </w:r>
          </w:p>
        </w:tc>
        <w:tc>
          <w:tcPr>
            <w:tcW w:w="3267" w:type="dxa"/>
            <w:tcBorders>
              <w:tl2br w:val="nil"/>
              <w:tr2bl w:val="nil"/>
            </w:tcBorders>
            <w:noWrap w:val="0"/>
            <w:vAlign w:val="center"/>
          </w:tcPr>
          <w:p w14:paraId="60DFF7BF">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b w:val="0"/>
                <w:bCs w:val="0"/>
                <w:color w:val="auto"/>
                <w:spacing w:val="-6"/>
                <w:kern w:val="0"/>
                <w:sz w:val="24"/>
                <w:szCs w:val="24"/>
                <w:highlight w:val="none"/>
              </w:rPr>
              <w:t>处1万元以上</w:t>
            </w:r>
            <w:r>
              <w:rPr>
                <w:rFonts w:hint="eastAsia" w:ascii="宋体" w:hAnsi="宋体" w:eastAsia="宋体" w:cs="宋体"/>
                <w:b w:val="0"/>
                <w:bCs w:val="0"/>
                <w:color w:val="auto"/>
                <w:spacing w:val="-6"/>
                <w:kern w:val="0"/>
                <w:sz w:val="24"/>
                <w:szCs w:val="24"/>
                <w:highlight w:val="none"/>
                <w:lang w:val="en-US" w:eastAsia="zh-CN"/>
              </w:rPr>
              <w:t>3</w:t>
            </w:r>
            <w:r>
              <w:rPr>
                <w:rFonts w:hint="eastAsia" w:ascii="宋体" w:hAnsi="宋体" w:eastAsia="宋体" w:cs="宋体"/>
                <w:b w:val="0"/>
                <w:bCs w:val="0"/>
                <w:color w:val="auto"/>
                <w:spacing w:val="-6"/>
                <w:kern w:val="0"/>
                <w:sz w:val="24"/>
                <w:szCs w:val="24"/>
                <w:highlight w:val="none"/>
              </w:rPr>
              <w:t>万元以下罚款。</w:t>
            </w:r>
          </w:p>
        </w:tc>
      </w:tr>
      <w:tr w14:paraId="47BB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exact"/>
          <w:jc w:val="center"/>
        </w:trPr>
        <w:tc>
          <w:tcPr>
            <w:tcW w:w="787" w:type="dxa"/>
            <w:vMerge w:val="continue"/>
            <w:tcBorders>
              <w:tl2br w:val="nil"/>
              <w:tr2bl w:val="nil"/>
            </w:tcBorders>
            <w:noWrap w:val="0"/>
            <w:vAlign w:val="center"/>
          </w:tcPr>
          <w:p w14:paraId="2DC91B6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B04C6C1">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7B2EB036">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0032808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52D1E1C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cs="宋体"/>
                <w:b w:val="0"/>
                <w:bCs w:val="0"/>
                <w:color w:val="auto"/>
                <w:kern w:val="0"/>
                <w:sz w:val="24"/>
                <w:szCs w:val="24"/>
                <w:highlight w:val="none"/>
                <w:lang w:val="en-US" w:eastAsia="zh-CN"/>
              </w:rPr>
              <w:t>情节严重的。</w:t>
            </w:r>
          </w:p>
        </w:tc>
        <w:tc>
          <w:tcPr>
            <w:tcW w:w="3267" w:type="dxa"/>
            <w:tcBorders>
              <w:tl2br w:val="nil"/>
              <w:tr2bl w:val="nil"/>
            </w:tcBorders>
            <w:noWrap w:val="0"/>
            <w:vAlign w:val="center"/>
          </w:tcPr>
          <w:p w14:paraId="78BCE18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处</w:t>
            </w:r>
            <w:r>
              <w:rPr>
                <w:rFonts w:hint="eastAsia" w:ascii="宋体" w:hAnsi="宋体" w:eastAsia="宋体" w:cs="宋体"/>
                <w:color w:val="auto"/>
                <w:spacing w:val="-6"/>
                <w:kern w:val="0"/>
                <w:sz w:val="24"/>
                <w:szCs w:val="24"/>
                <w:highlight w:val="none"/>
                <w:lang w:val="en-US" w:eastAsia="zh-CN"/>
              </w:rPr>
              <w:t>3</w:t>
            </w:r>
            <w:r>
              <w:rPr>
                <w:rFonts w:hint="eastAsia" w:ascii="宋体" w:hAnsi="宋体" w:eastAsia="宋体" w:cs="宋体"/>
                <w:color w:val="auto"/>
                <w:spacing w:val="-6"/>
                <w:kern w:val="0"/>
                <w:sz w:val="24"/>
                <w:szCs w:val="24"/>
                <w:highlight w:val="none"/>
              </w:rPr>
              <w:t>万元以上</w:t>
            </w:r>
            <w:r>
              <w:rPr>
                <w:rFonts w:hint="eastAsia" w:ascii="宋体" w:hAnsi="宋体" w:eastAsia="宋体" w:cs="宋体"/>
                <w:color w:val="auto"/>
                <w:spacing w:val="-6"/>
                <w:kern w:val="0"/>
                <w:sz w:val="24"/>
                <w:szCs w:val="24"/>
                <w:highlight w:val="none"/>
                <w:lang w:val="en-US" w:eastAsia="zh-CN"/>
              </w:rPr>
              <w:t>10</w:t>
            </w:r>
            <w:r>
              <w:rPr>
                <w:rFonts w:hint="eastAsia" w:ascii="宋体" w:hAnsi="宋体" w:eastAsia="宋体" w:cs="宋体"/>
                <w:color w:val="auto"/>
                <w:spacing w:val="-6"/>
                <w:kern w:val="0"/>
                <w:sz w:val="24"/>
                <w:szCs w:val="24"/>
                <w:highlight w:val="none"/>
              </w:rPr>
              <w:t>万元以下罚款。</w:t>
            </w:r>
          </w:p>
        </w:tc>
      </w:tr>
      <w:tr w14:paraId="70F7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exact"/>
          <w:jc w:val="center"/>
        </w:trPr>
        <w:tc>
          <w:tcPr>
            <w:tcW w:w="787" w:type="dxa"/>
            <w:vMerge w:val="continue"/>
            <w:tcBorders>
              <w:tl2br w:val="nil"/>
              <w:tr2bl w:val="nil"/>
            </w:tcBorders>
            <w:noWrap w:val="0"/>
            <w:vAlign w:val="center"/>
          </w:tcPr>
          <w:p w14:paraId="33FE870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AFDFB2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2ACA65F3">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1615825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376D85F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造成危害后果的。</w:t>
            </w:r>
          </w:p>
        </w:tc>
        <w:tc>
          <w:tcPr>
            <w:tcW w:w="3267" w:type="dxa"/>
            <w:tcBorders>
              <w:tl2br w:val="nil"/>
              <w:tr2bl w:val="nil"/>
            </w:tcBorders>
            <w:noWrap w:val="0"/>
            <w:vAlign w:val="center"/>
          </w:tcPr>
          <w:p w14:paraId="407C3A0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处</w:t>
            </w:r>
            <w:r>
              <w:rPr>
                <w:rFonts w:hint="eastAsia" w:ascii="宋体" w:hAnsi="宋体" w:eastAsia="宋体" w:cs="宋体"/>
                <w:color w:val="auto"/>
                <w:spacing w:val="-6"/>
                <w:kern w:val="0"/>
                <w:sz w:val="24"/>
                <w:szCs w:val="24"/>
                <w:highlight w:val="none"/>
                <w:lang w:val="en-US" w:eastAsia="zh-CN"/>
              </w:rPr>
              <w:t>10</w:t>
            </w:r>
            <w:r>
              <w:rPr>
                <w:rFonts w:hint="eastAsia" w:ascii="宋体" w:hAnsi="宋体" w:eastAsia="宋体" w:cs="宋体"/>
                <w:color w:val="auto"/>
                <w:spacing w:val="-6"/>
                <w:kern w:val="0"/>
                <w:sz w:val="24"/>
                <w:szCs w:val="24"/>
                <w:highlight w:val="none"/>
              </w:rPr>
              <w:t>万元以上</w:t>
            </w:r>
            <w:r>
              <w:rPr>
                <w:rFonts w:hint="eastAsia" w:ascii="宋体" w:hAnsi="宋体" w:eastAsia="宋体" w:cs="宋体"/>
                <w:color w:val="auto"/>
                <w:spacing w:val="-6"/>
                <w:kern w:val="0"/>
                <w:sz w:val="24"/>
                <w:szCs w:val="24"/>
                <w:highlight w:val="none"/>
                <w:lang w:val="en-US" w:eastAsia="zh-CN"/>
              </w:rPr>
              <w:t>20</w:t>
            </w:r>
            <w:r>
              <w:rPr>
                <w:rFonts w:hint="eastAsia" w:ascii="宋体" w:hAnsi="宋体" w:eastAsia="宋体" w:cs="宋体"/>
                <w:color w:val="auto"/>
                <w:spacing w:val="-6"/>
                <w:kern w:val="0"/>
                <w:sz w:val="24"/>
                <w:szCs w:val="24"/>
                <w:highlight w:val="none"/>
              </w:rPr>
              <w:t>万元以下罚款。</w:t>
            </w:r>
          </w:p>
        </w:tc>
      </w:tr>
      <w:tr w14:paraId="5BC3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exact"/>
          <w:jc w:val="center"/>
        </w:trPr>
        <w:tc>
          <w:tcPr>
            <w:tcW w:w="787" w:type="dxa"/>
            <w:vMerge w:val="restart"/>
            <w:tcBorders>
              <w:tl2br w:val="nil"/>
              <w:tr2bl w:val="nil"/>
            </w:tcBorders>
            <w:noWrap w:val="0"/>
            <w:vAlign w:val="center"/>
          </w:tcPr>
          <w:p w14:paraId="076C0B7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309</w:t>
            </w:r>
          </w:p>
        </w:tc>
        <w:tc>
          <w:tcPr>
            <w:tcW w:w="1718" w:type="dxa"/>
            <w:vMerge w:val="restart"/>
            <w:tcBorders>
              <w:tl2br w:val="nil"/>
              <w:tr2bl w:val="nil"/>
            </w:tcBorders>
            <w:noWrap w:val="0"/>
            <w:vAlign w:val="center"/>
          </w:tcPr>
          <w:p w14:paraId="42DA4B0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outlineLvl w:val="2"/>
              <w:rPr>
                <w:rFonts w:hint="eastAsia" w:ascii="宋体" w:hAnsi="宋体" w:eastAsia="宋体" w:cs="宋体"/>
                <w:b w:val="0"/>
                <w:bCs w:val="0"/>
                <w:color w:val="auto"/>
                <w:kern w:val="0"/>
                <w:sz w:val="24"/>
                <w:szCs w:val="24"/>
                <w:highlight w:val="none"/>
                <w:lang w:eastAsia="zh-CN"/>
              </w:rPr>
            </w:pPr>
            <w:bookmarkStart w:id="360" w:name="_Toc31886"/>
            <w:bookmarkStart w:id="361" w:name="_Toc25843"/>
            <w:bookmarkStart w:id="362" w:name="_Toc2113"/>
            <w:bookmarkStart w:id="363" w:name="_Toc2443"/>
            <w:bookmarkStart w:id="364" w:name="_Toc27302"/>
            <w:r>
              <w:rPr>
                <w:rFonts w:hint="eastAsia" w:ascii="宋体" w:hAnsi="宋体" w:eastAsia="宋体" w:cs="宋体"/>
                <w:b w:val="0"/>
                <w:bCs w:val="0"/>
                <w:color w:val="auto"/>
                <w:kern w:val="0"/>
                <w:sz w:val="24"/>
                <w:szCs w:val="24"/>
                <w:highlight w:val="none"/>
              </w:rPr>
              <w:t>《网络餐饮服务食品安全监督管理办法》</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20</w:t>
            </w:r>
            <w:r>
              <w:rPr>
                <w:rFonts w:hint="eastAsia" w:ascii="宋体" w:hAnsi="宋体" w:cs="宋体"/>
                <w:b w:val="0"/>
                <w:bCs w:val="0"/>
                <w:color w:val="auto"/>
                <w:kern w:val="0"/>
                <w:sz w:val="24"/>
                <w:szCs w:val="24"/>
                <w:highlight w:val="none"/>
                <w:lang w:val="en-US" w:eastAsia="zh-CN"/>
              </w:rPr>
              <w:t>20</w:t>
            </w:r>
            <w:r>
              <w:rPr>
                <w:rFonts w:hint="eastAsia" w:ascii="宋体" w:hAnsi="宋体" w:eastAsia="宋体" w:cs="宋体"/>
                <w:b w:val="0"/>
                <w:bCs w:val="0"/>
                <w:color w:val="auto"/>
                <w:kern w:val="0"/>
                <w:sz w:val="24"/>
                <w:szCs w:val="24"/>
                <w:highlight w:val="none"/>
              </w:rPr>
              <w:t>年</w:t>
            </w:r>
            <w:r>
              <w:rPr>
                <w:rFonts w:hint="eastAsia" w:ascii="宋体" w:hAnsi="宋体" w:cs="宋体"/>
                <w:b w:val="0"/>
                <w:bCs w:val="0"/>
                <w:color w:val="auto"/>
                <w:kern w:val="0"/>
                <w:sz w:val="24"/>
                <w:szCs w:val="24"/>
                <w:highlight w:val="none"/>
                <w:lang w:val="en-US" w:eastAsia="zh-CN"/>
              </w:rPr>
              <w:t>10</w:t>
            </w:r>
            <w:r>
              <w:rPr>
                <w:rFonts w:hint="eastAsia" w:ascii="宋体" w:hAnsi="宋体" w:eastAsia="宋体" w:cs="宋体"/>
                <w:b w:val="0"/>
                <w:bCs w:val="0"/>
                <w:color w:val="auto"/>
                <w:kern w:val="0"/>
                <w:sz w:val="24"/>
                <w:szCs w:val="24"/>
                <w:highlight w:val="none"/>
              </w:rPr>
              <w:t>月</w:t>
            </w:r>
            <w:r>
              <w:rPr>
                <w:rFonts w:hint="eastAsia" w:ascii="宋体" w:hAnsi="宋体" w:cs="宋体"/>
                <w:b w:val="0"/>
                <w:bCs w:val="0"/>
                <w:color w:val="auto"/>
                <w:kern w:val="0"/>
                <w:sz w:val="24"/>
                <w:szCs w:val="24"/>
                <w:highlight w:val="none"/>
                <w:lang w:val="en-US" w:eastAsia="zh-CN"/>
              </w:rPr>
              <w:t>23</w:t>
            </w:r>
            <w:r>
              <w:rPr>
                <w:rFonts w:hint="eastAsia" w:ascii="宋体" w:hAnsi="宋体" w:eastAsia="宋体" w:cs="宋体"/>
                <w:b w:val="0"/>
                <w:bCs w:val="0"/>
                <w:color w:val="auto"/>
                <w:kern w:val="0"/>
                <w:sz w:val="24"/>
                <w:szCs w:val="24"/>
                <w:highlight w:val="none"/>
              </w:rPr>
              <w:t>日</w:t>
            </w:r>
            <w:r>
              <w:rPr>
                <w:rFonts w:hint="eastAsia" w:ascii="宋体" w:hAnsi="宋体" w:cs="宋体"/>
                <w:b w:val="0"/>
                <w:bCs w:val="0"/>
                <w:color w:val="auto"/>
                <w:kern w:val="0"/>
                <w:sz w:val="24"/>
                <w:szCs w:val="24"/>
                <w:highlight w:val="none"/>
                <w:lang w:val="en-US" w:eastAsia="zh-CN"/>
              </w:rPr>
              <w:t>起施行</w:t>
            </w:r>
            <w:r>
              <w:rPr>
                <w:rFonts w:hint="eastAsia" w:ascii="宋体" w:hAnsi="宋体" w:eastAsia="宋体" w:cs="宋体"/>
                <w:b w:val="0"/>
                <w:bCs w:val="0"/>
                <w:color w:val="auto"/>
                <w:kern w:val="0"/>
                <w:sz w:val="24"/>
                <w:szCs w:val="24"/>
                <w:highlight w:val="none"/>
                <w:lang w:eastAsia="zh-CN"/>
              </w:rPr>
              <w:t>）</w:t>
            </w:r>
            <w:bookmarkEnd w:id="360"/>
            <w:bookmarkEnd w:id="361"/>
            <w:bookmarkEnd w:id="362"/>
            <w:bookmarkEnd w:id="363"/>
            <w:bookmarkEnd w:id="364"/>
          </w:p>
        </w:tc>
        <w:tc>
          <w:tcPr>
            <w:tcW w:w="4132" w:type="dxa"/>
            <w:vMerge w:val="restart"/>
            <w:tcBorders>
              <w:tl2br w:val="nil"/>
              <w:tr2bl w:val="nil"/>
            </w:tcBorders>
            <w:noWrap w:val="0"/>
            <w:vAlign w:val="center"/>
          </w:tcPr>
          <w:p w14:paraId="54DD44F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第二十八条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办法第五条规定，网络餐饮服务第三方平台提供者以及分支机构或者自建网站餐饮服务提供者未履行相应备案义务的，由县级以上地方市场监督管理部门责令改正，给予警告；拒不改正的，处5000元以上3万元以下罚款</w:t>
            </w:r>
            <w:r>
              <w:rPr>
                <w:rFonts w:hint="eastAsia" w:ascii="宋体" w:hAnsi="宋体" w:eastAsia="宋体" w:cs="宋体"/>
                <w:color w:val="auto"/>
                <w:kern w:val="0"/>
                <w:sz w:val="24"/>
                <w:szCs w:val="24"/>
                <w:highlight w:val="none"/>
                <w:lang w:eastAsia="zh-CN"/>
              </w:rPr>
              <w:t>。</w:t>
            </w:r>
          </w:p>
        </w:tc>
        <w:tc>
          <w:tcPr>
            <w:tcW w:w="1133" w:type="dxa"/>
            <w:tcBorders>
              <w:tl2br w:val="nil"/>
              <w:tr2bl w:val="nil"/>
            </w:tcBorders>
            <w:noWrap w:val="0"/>
            <w:vAlign w:val="center"/>
          </w:tcPr>
          <w:p w14:paraId="09DE7B9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0B4F4A6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3D9088CB">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w:t>
            </w:r>
            <w:r>
              <w:rPr>
                <w:rFonts w:hint="eastAsia" w:ascii="宋体" w:hAnsi="宋体" w:cs="宋体"/>
                <w:color w:val="auto"/>
                <w:kern w:val="0"/>
                <w:sz w:val="24"/>
                <w:szCs w:val="24"/>
                <w:highlight w:val="none"/>
                <w:lang w:val="en-US" w:eastAsia="zh-CN"/>
              </w:rPr>
              <w:t>5000</w:t>
            </w:r>
            <w:r>
              <w:rPr>
                <w:rFonts w:hint="eastAsia" w:ascii="宋体" w:hAnsi="宋体" w:eastAsia="宋体" w:cs="宋体"/>
                <w:color w:val="auto"/>
                <w:kern w:val="0"/>
                <w:sz w:val="24"/>
                <w:szCs w:val="24"/>
                <w:highlight w:val="none"/>
              </w:rPr>
              <w:t>元以上1.25万元以下罚款。</w:t>
            </w:r>
          </w:p>
        </w:tc>
      </w:tr>
      <w:tr w14:paraId="7087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exact"/>
          <w:jc w:val="center"/>
        </w:trPr>
        <w:tc>
          <w:tcPr>
            <w:tcW w:w="787" w:type="dxa"/>
            <w:vMerge w:val="continue"/>
            <w:tcBorders>
              <w:tl2br w:val="nil"/>
              <w:tr2bl w:val="nil"/>
            </w:tcBorders>
            <w:noWrap w:val="0"/>
            <w:vAlign w:val="center"/>
          </w:tcPr>
          <w:p w14:paraId="1DE28E8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37BB89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2EB2773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08211C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15A45C6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6D645F35">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处1.25万元以上2.25万元以下罚款。</w:t>
            </w:r>
          </w:p>
        </w:tc>
      </w:tr>
      <w:tr w14:paraId="3377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exact"/>
          <w:jc w:val="center"/>
        </w:trPr>
        <w:tc>
          <w:tcPr>
            <w:tcW w:w="787" w:type="dxa"/>
            <w:vMerge w:val="continue"/>
            <w:tcBorders>
              <w:tl2br w:val="nil"/>
              <w:tr2bl w:val="nil"/>
            </w:tcBorders>
            <w:noWrap w:val="0"/>
            <w:vAlign w:val="center"/>
          </w:tcPr>
          <w:p w14:paraId="47643C2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C6030CD">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6F9273F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BBC4FD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18721F2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拒不改正，且已经造成不良影响或者违法行为持续时间较长的。</w:t>
            </w:r>
          </w:p>
        </w:tc>
        <w:tc>
          <w:tcPr>
            <w:tcW w:w="3267" w:type="dxa"/>
            <w:tcBorders>
              <w:tl2br w:val="nil"/>
              <w:tr2bl w:val="nil"/>
            </w:tcBorders>
            <w:noWrap w:val="0"/>
            <w:vAlign w:val="center"/>
          </w:tcPr>
          <w:p w14:paraId="2B8D8709">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处2.25万元以上3万元以下罚款。</w:t>
            </w:r>
          </w:p>
        </w:tc>
      </w:tr>
      <w:tr w14:paraId="50E4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787" w:type="dxa"/>
            <w:vMerge w:val="restart"/>
            <w:tcBorders>
              <w:tl2br w:val="nil"/>
              <w:tr2bl w:val="nil"/>
            </w:tcBorders>
            <w:noWrap w:val="0"/>
            <w:vAlign w:val="center"/>
          </w:tcPr>
          <w:p w14:paraId="1E19CFD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310</w:t>
            </w:r>
          </w:p>
        </w:tc>
        <w:tc>
          <w:tcPr>
            <w:tcW w:w="1718" w:type="dxa"/>
            <w:vMerge w:val="restart"/>
            <w:tcBorders>
              <w:tl2br w:val="nil"/>
              <w:tr2bl w:val="nil"/>
            </w:tcBorders>
            <w:noWrap w:val="0"/>
            <w:vAlign w:val="center"/>
          </w:tcPr>
          <w:p w14:paraId="130A3F0B">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《网络餐饮服务食品安全监督管理办法》</w:t>
            </w:r>
          </w:p>
        </w:tc>
        <w:tc>
          <w:tcPr>
            <w:tcW w:w="4132" w:type="dxa"/>
            <w:vMerge w:val="restart"/>
            <w:tcBorders>
              <w:tl2br w:val="nil"/>
              <w:tr2bl w:val="nil"/>
            </w:tcBorders>
            <w:noWrap w:val="0"/>
            <w:vAlign w:val="center"/>
          </w:tcPr>
          <w:p w14:paraId="0DA7482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第二十九条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违反本办法第六条规定，网络餐饮服务第三方平台提供者未按要求建立、执行并公开相关制度的，由县级以上地方市场监督管理部门责令改正，给予警告；拒不改正的，处5000元以上3万元以下罚款。</w:t>
            </w:r>
          </w:p>
        </w:tc>
        <w:tc>
          <w:tcPr>
            <w:tcW w:w="1133" w:type="dxa"/>
            <w:tcBorders>
              <w:tl2br w:val="nil"/>
              <w:tr2bl w:val="nil"/>
            </w:tcBorders>
            <w:noWrap w:val="0"/>
            <w:vAlign w:val="center"/>
          </w:tcPr>
          <w:p w14:paraId="3A32B20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3BC8A78D">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44FA423A">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w:t>
            </w:r>
            <w:r>
              <w:rPr>
                <w:rFonts w:hint="eastAsia" w:ascii="宋体" w:hAnsi="宋体" w:cs="宋体"/>
                <w:color w:val="auto"/>
                <w:kern w:val="0"/>
                <w:sz w:val="24"/>
                <w:szCs w:val="24"/>
                <w:highlight w:val="none"/>
                <w:lang w:val="en-US" w:eastAsia="zh-CN"/>
              </w:rPr>
              <w:t>5000</w:t>
            </w:r>
            <w:r>
              <w:rPr>
                <w:rFonts w:hint="eastAsia" w:ascii="宋体" w:hAnsi="宋体" w:eastAsia="宋体" w:cs="宋体"/>
                <w:color w:val="auto"/>
                <w:kern w:val="0"/>
                <w:sz w:val="24"/>
                <w:szCs w:val="24"/>
                <w:highlight w:val="none"/>
              </w:rPr>
              <w:t>元以上1.25万元以下罚款。</w:t>
            </w:r>
          </w:p>
        </w:tc>
      </w:tr>
      <w:tr w14:paraId="023F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787" w:type="dxa"/>
            <w:vMerge w:val="continue"/>
            <w:tcBorders>
              <w:tl2br w:val="nil"/>
              <w:tr2bl w:val="nil"/>
            </w:tcBorders>
            <w:noWrap w:val="0"/>
            <w:vAlign w:val="center"/>
          </w:tcPr>
          <w:p w14:paraId="7E47879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769F294">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742A9FD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F66108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7E1D6A99">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522B87A1">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处1.25万元以上2.25万元以下罚款。</w:t>
            </w:r>
          </w:p>
        </w:tc>
      </w:tr>
      <w:tr w14:paraId="5678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787" w:type="dxa"/>
            <w:vMerge w:val="continue"/>
            <w:tcBorders>
              <w:tl2br w:val="nil"/>
              <w:tr2bl w:val="nil"/>
            </w:tcBorders>
            <w:noWrap w:val="0"/>
            <w:vAlign w:val="center"/>
          </w:tcPr>
          <w:p w14:paraId="59C221E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A769FD5">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27A0F5A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D3EBE7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1592544D">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拒不改正，且已经造成不良影响或者违法行为持续时间较长的。</w:t>
            </w:r>
          </w:p>
        </w:tc>
        <w:tc>
          <w:tcPr>
            <w:tcW w:w="3267" w:type="dxa"/>
            <w:tcBorders>
              <w:tl2br w:val="nil"/>
              <w:tr2bl w:val="nil"/>
            </w:tcBorders>
            <w:noWrap w:val="0"/>
            <w:vAlign w:val="center"/>
          </w:tcPr>
          <w:p w14:paraId="3BFB4BFE">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处2.25万元以上3万元以下罚款。</w:t>
            </w:r>
          </w:p>
        </w:tc>
      </w:tr>
      <w:tr w14:paraId="4F73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jc w:val="center"/>
        </w:trPr>
        <w:tc>
          <w:tcPr>
            <w:tcW w:w="787" w:type="dxa"/>
            <w:vMerge w:val="restart"/>
            <w:tcBorders>
              <w:tl2br w:val="nil"/>
              <w:tr2bl w:val="nil"/>
            </w:tcBorders>
            <w:noWrap w:val="0"/>
            <w:vAlign w:val="center"/>
          </w:tcPr>
          <w:p w14:paraId="0164B9B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311</w:t>
            </w:r>
          </w:p>
        </w:tc>
        <w:tc>
          <w:tcPr>
            <w:tcW w:w="1718" w:type="dxa"/>
            <w:vMerge w:val="restart"/>
            <w:tcBorders>
              <w:tl2br w:val="nil"/>
              <w:tr2bl w:val="nil"/>
            </w:tcBorders>
            <w:noWrap w:val="0"/>
            <w:vAlign w:val="center"/>
          </w:tcPr>
          <w:p w14:paraId="4451A341">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《网络餐饮服务食品安全监督管理办法》</w:t>
            </w:r>
          </w:p>
        </w:tc>
        <w:tc>
          <w:tcPr>
            <w:tcW w:w="4132" w:type="dxa"/>
            <w:vMerge w:val="restart"/>
            <w:tcBorders>
              <w:tl2br w:val="nil"/>
              <w:tr2bl w:val="nil"/>
            </w:tcBorders>
            <w:noWrap w:val="0"/>
            <w:vAlign w:val="center"/>
          </w:tcPr>
          <w:p w14:paraId="610E8AE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第三十条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办法第七条规定，网络餐饮服务第三方平台提供者未设置专门的食品安全管理机构，配备专职食品安全管理人员，或者未按要求对食品安全管理人员进行培训、考核并保存记录的，由县级以上地方市场监督管理部门责令改正，给予警告；拒不改正的，处5000元以上3万元以下罚款。</w:t>
            </w:r>
          </w:p>
        </w:tc>
        <w:tc>
          <w:tcPr>
            <w:tcW w:w="1133" w:type="dxa"/>
            <w:tcBorders>
              <w:tl2br w:val="nil"/>
              <w:tr2bl w:val="nil"/>
            </w:tcBorders>
            <w:noWrap w:val="0"/>
            <w:vAlign w:val="center"/>
          </w:tcPr>
          <w:p w14:paraId="354870A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6B7061CE">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责令改正期限已满整改未完成，但尚未造成不良影响的</w:t>
            </w:r>
            <w:r>
              <w:rPr>
                <w:rFonts w:hint="eastAsia" w:ascii="宋体" w:hAnsi="宋体" w:cs="宋体"/>
                <w:color w:val="auto"/>
                <w:kern w:val="0"/>
                <w:sz w:val="24"/>
                <w:szCs w:val="24"/>
                <w:highlight w:val="none"/>
                <w:lang w:val="en-US" w:eastAsia="zh-CN"/>
              </w:rPr>
              <w:t>。</w:t>
            </w:r>
          </w:p>
        </w:tc>
        <w:tc>
          <w:tcPr>
            <w:tcW w:w="3267" w:type="dxa"/>
            <w:tcBorders>
              <w:tl2br w:val="nil"/>
              <w:tr2bl w:val="nil"/>
            </w:tcBorders>
            <w:noWrap w:val="0"/>
            <w:vAlign w:val="center"/>
          </w:tcPr>
          <w:p w14:paraId="70A02359">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w:t>
            </w:r>
            <w:r>
              <w:rPr>
                <w:rFonts w:hint="eastAsia" w:ascii="宋体" w:hAnsi="宋体" w:cs="宋体"/>
                <w:color w:val="auto"/>
                <w:kern w:val="0"/>
                <w:sz w:val="24"/>
                <w:szCs w:val="24"/>
                <w:highlight w:val="none"/>
                <w:lang w:val="en-US" w:eastAsia="zh-CN"/>
              </w:rPr>
              <w:t>5000</w:t>
            </w:r>
            <w:r>
              <w:rPr>
                <w:rFonts w:hint="eastAsia" w:ascii="宋体" w:hAnsi="宋体" w:eastAsia="宋体" w:cs="宋体"/>
                <w:color w:val="auto"/>
                <w:kern w:val="0"/>
                <w:sz w:val="24"/>
                <w:szCs w:val="24"/>
                <w:highlight w:val="none"/>
              </w:rPr>
              <w:t>元以上1.25万元以下罚款。</w:t>
            </w:r>
          </w:p>
        </w:tc>
      </w:tr>
      <w:tr w14:paraId="6F3D5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787" w:type="dxa"/>
            <w:vMerge w:val="continue"/>
            <w:tcBorders>
              <w:tl2br w:val="nil"/>
              <w:tr2bl w:val="nil"/>
            </w:tcBorders>
            <w:noWrap w:val="0"/>
            <w:vAlign w:val="center"/>
          </w:tcPr>
          <w:p w14:paraId="4C96464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B67939B">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27DE154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A154F9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22946A68">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3305D417">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处1.25万元以上2.25万元以下罚款。</w:t>
            </w:r>
          </w:p>
        </w:tc>
      </w:tr>
      <w:tr w14:paraId="6E72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787" w:type="dxa"/>
            <w:vMerge w:val="continue"/>
            <w:tcBorders>
              <w:tl2br w:val="nil"/>
              <w:tr2bl w:val="nil"/>
            </w:tcBorders>
            <w:noWrap w:val="0"/>
            <w:vAlign w:val="center"/>
          </w:tcPr>
          <w:p w14:paraId="5CC06DA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2E3B0F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5019086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25AC4A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6522B031">
            <w:pPr>
              <w:keepNext w:val="0"/>
              <w:keepLines w:val="0"/>
              <w:pageBreakBefore w:val="0"/>
              <w:widowControl/>
              <w:kinsoku/>
              <w:wordWrap/>
              <w:overflowPunct/>
              <w:topLinePunct w:val="0"/>
              <w:autoSpaceDE/>
              <w:autoSpaceDN/>
              <w:bidi w:val="0"/>
              <w:adjustRightInd/>
              <w:snapToGrid/>
              <w:spacing w:before="176" w:beforeLines="30" w:beforeAutospacing="0" w:after="176" w:afterLines="3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拒不改正，且已经造成不良影响或者违法行为持续时间较长的。</w:t>
            </w:r>
          </w:p>
        </w:tc>
        <w:tc>
          <w:tcPr>
            <w:tcW w:w="3267" w:type="dxa"/>
            <w:tcBorders>
              <w:tl2br w:val="nil"/>
              <w:tr2bl w:val="nil"/>
            </w:tcBorders>
            <w:noWrap w:val="0"/>
            <w:vAlign w:val="center"/>
          </w:tcPr>
          <w:p w14:paraId="62CB7CAB">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处2.25万元以上3万元以下罚款。</w:t>
            </w:r>
          </w:p>
        </w:tc>
      </w:tr>
      <w:tr w14:paraId="1592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787" w:type="dxa"/>
            <w:vMerge w:val="restart"/>
            <w:tcBorders>
              <w:tl2br w:val="nil"/>
              <w:tr2bl w:val="nil"/>
            </w:tcBorders>
            <w:noWrap w:val="0"/>
            <w:vAlign w:val="center"/>
          </w:tcPr>
          <w:p w14:paraId="41E0792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312</w:t>
            </w:r>
          </w:p>
        </w:tc>
        <w:tc>
          <w:tcPr>
            <w:tcW w:w="1718" w:type="dxa"/>
            <w:vMerge w:val="restart"/>
            <w:tcBorders>
              <w:tl2br w:val="nil"/>
              <w:tr2bl w:val="nil"/>
            </w:tcBorders>
            <w:noWrap w:val="0"/>
            <w:vAlign w:val="center"/>
          </w:tcPr>
          <w:p w14:paraId="35DDC3FF">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《网络餐饮服务食品安全监督管理办法》</w:t>
            </w:r>
          </w:p>
        </w:tc>
        <w:tc>
          <w:tcPr>
            <w:tcW w:w="4132" w:type="dxa"/>
            <w:vMerge w:val="restart"/>
            <w:tcBorders>
              <w:tl2br w:val="nil"/>
              <w:tr2bl w:val="nil"/>
            </w:tcBorders>
            <w:noWrap w:val="0"/>
            <w:vAlign w:val="center"/>
          </w:tcPr>
          <w:p w14:paraId="7553ED6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第三十一条第二款</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违反本办法第八条第二款规定，网络餐饮服务第三方平台提供者未与入网餐饮服务提供者签订食品安全协议的，由县级以上地方市场监督管理部门责令改正，给予警告；拒不改正的，处5000元以上3万元以下罚款。</w:t>
            </w:r>
          </w:p>
        </w:tc>
        <w:tc>
          <w:tcPr>
            <w:tcW w:w="1133" w:type="dxa"/>
            <w:tcBorders>
              <w:tl2br w:val="nil"/>
              <w:tr2bl w:val="nil"/>
            </w:tcBorders>
            <w:noWrap w:val="0"/>
            <w:vAlign w:val="center"/>
          </w:tcPr>
          <w:p w14:paraId="41DAFC7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28743293">
            <w:pPr>
              <w:keepNext w:val="0"/>
              <w:keepLines w:val="0"/>
              <w:pageBreakBefore w:val="0"/>
              <w:widowControl/>
              <w:kinsoku/>
              <w:wordWrap/>
              <w:overflowPunct/>
              <w:topLinePunct w:val="0"/>
              <w:autoSpaceDE/>
              <w:autoSpaceDN/>
              <w:bidi w:val="0"/>
              <w:adjustRightInd/>
              <w:snapToGrid/>
              <w:spacing w:before="234" w:beforeLines="40" w:beforeAutospacing="0" w:after="234" w:afterLines="4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2F5A4F41">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w:t>
            </w:r>
            <w:r>
              <w:rPr>
                <w:rFonts w:hint="eastAsia" w:ascii="宋体" w:hAnsi="宋体" w:cs="宋体"/>
                <w:color w:val="auto"/>
                <w:kern w:val="0"/>
                <w:sz w:val="24"/>
                <w:szCs w:val="24"/>
                <w:highlight w:val="none"/>
                <w:lang w:val="en-US" w:eastAsia="zh-CN"/>
              </w:rPr>
              <w:t>5000</w:t>
            </w:r>
            <w:r>
              <w:rPr>
                <w:rFonts w:hint="eastAsia" w:ascii="宋体" w:hAnsi="宋体" w:eastAsia="宋体" w:cs="宋体"/>
                <w:color w:val="auto"/>
                <w:kern w:val="0"/>
                <w:sz w:val="24"/>
                <w:szCs w:val="24"/>
                <w:highlight w:val="none"/>
              </w:rPr>
              <w:t>元以上1.25万元以下罚款。</w:t>
            </w:r>
          </w:p>
        </w:tc>
      </w:tr>
      <w:tr w14:paraId="73A54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787" w:type="dxa"/>
            <w:vMerge w:val="continue"/>
            <w:tcBorders>
              <w:tl2br w:val="nil"/>
              <w:tr2bl w:val="nil"/>
            </w:tcBorders>
            <w:noWrap w:val="0"/>
            <w:vAlign w:val="center"/>
          </w:tcPr>
          <w:p w14:paraId="6E31111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82B1A4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21A04EB2">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D0091F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4E458BFD">
            <w:pPr>
              <w:keepNext w:val="0"/>
              <w:keepLines w:val="0"/>
              <w:pageBreakBefore w:val="0"/>
              <w:widowControl/>
              <w:kinsoku/>
              <w:wordWrap/>
              <w:overflowPunct/>
              <w:topLinePunct w:val="0"/>
              <w:autoSpaceDE/>
              <w:autoSpaceDN/>
              <w:bidi w:val="0"/>
              <w:adjustRightInd/>
              <w:snapToGrid/>
              <w:spacing w:before="234" w:beforeLines="40" w:beforeAutospacing="0" w:after="234" w:afterLines="4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2F99F2B0">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处1.25万元以上2.25万元以下罚款。</w:t>
            </w:r>
          </w:p>
        </w:tc>
      </w:tr>
      <w:tr w14:paraId="792C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continue"/>
            <w:tcBorders>
              <w:tl2br w:val="nil"/>
              <w:tr2bl w:val="nil"/>
            </w:tcBorders>
            <w:noWrap w:val="0"/>
            <w:vAlign w:val="center"/>
          </w:tcPr>
          <w:p w14:paraId="4850249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F1E8C0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1BCF04F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1C62E6C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1B47F293">
            <w:pPr>
              <w:keepNext w:val="0"/>
              <w:keepLines w:val="0"/>
              <w:pageBreakBefore w:val="0"/>
              <w:widowControl/>
              <w:kinsoku/>
              <w:wordWrap/>
              <w:overflowPunct/>
              <w:topLinePunct w:val="0"/>
              <w:autoSpaceDE/>
              <w:autoSpaceDN/>
              <w:bidi w:val="0"/>
              <w:adjustRightInd/>
              <w:snapToGrid/>
              <w:spacing w:before="234" w:beforeLines="40" w:beforeAutospacing="0" w:after="234" w:afterLines="4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拒不改正，且已经造成不良影响或者违法行为持续时间较长的。</w:t>
            </w:r>
          </w:p>
        </w:tc>
        <w:tc>
          <w:tcPr>
            <w:tcW w:w="3267" w:type="dxa"/>
            <w:tcBorders>
              <w:tl2br w:val="nil"/>
              <w:tr2bl w:val="nil"/>
            </w:tcBorders>
            <w:noWrap w:val="0"/>
            <w:vAlign w:val="center"/>
          </w:tcPr>
          <w:p w14:paraId="036D1EF0">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处2.25万元以上3万元以下罚款。</w:t>
            </w:r>
          </w:p>
        </w:tc>
      </w:tr>
      <w:tr w14:paraId="2551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87" w:type="dxa"/>
            <w:vMerge w:val="restart"/>
            <w:tcBorders>
              <w:tl2br w:val="nil"/>
              <w:tr2bl w:val="nil"/>
            </w:tcBorders>
            <w:noWrap w:val="0"/>
            <w:vAlign w:val="center"/>
          </w:tcPr>
          <w:p w14:paraId="083FA63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313</w:t>
            </w:r>
          </w:p>
        </w:tc>
        <w:tc>
          <w:tcPr>
            <w:tcW w:w="1718" w:type="dxa"/>
            <w:vMerge w:val="restart"/>
            <w:tcBorders>
              <w:tl2br w:val="nil"/>
              <w:tr2bl w:val="nil"/>
            </w:tcBorders>
            <w:noWrap w:val="0"/>
            <w:vAlign w:val="center"/>
          </w:tcPr>
          <w:p w14:paraId="47C9C3E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《网络餐饮服务食品安全监督管理办法》</w:t>
            </w:r>
          </w:p>
        </w:tc>
        <w:tc>
          <w:tcPr>
            <w:tcW w:w="4132" w:type="dxa"/>
            <w:vMerge w:val="restart"/>
            <w:tcBorders>
              <w:tl2br w:val="nil"/>
              <w:tr2bl w:val="nil"/>
            </w:tcBorders>
            <w:noWrap w:val="0"/>
            <w:vAlign w:val="center"/>
          </w:tcPr>
          <w:p w14:paraId="3DD122B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第三十二条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办法第九条、第十条、第十一条规定，网络餐饮服务第三方平台提供者和入网餐饮服务提供者未按要求进行信息公示和更新的，由县级以上地方市场监督管理部门责令改正，给予警告；拒不改正的，处5000元以上3万元以下罚款。</w:t>
            </w:r>
          </w:p>
        </w:tc>
        <w:tc>
          <w:tcPr>
            <w:tcW w:w="1133" w:type="dxa"/>
            <w:tcBorders>
              <w:tl2br w:val="nil"/>
              <w:tr2bl w:val="nil"/>
            </w:tcBorders>
            <w:noWrap w:val="0"/>
            <w:vAlign w:val="center"/>
          </w:tcPr>
          <w:p w14:paraId="121F8F4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6B9F435C">
            <w:pPr>
              <w:keepNext w:val="0"/>
              <w:keepLines w:val="0"/>
              <w:pageBreakBefore w:val="0"/>
              <w:widowControl/>
              <w:kinsoku/>
              <w:wordWrap/>
              <w:overflowPunct/>
              <w:topLinePunct w:val="0"/>
              <w:autoSpaceDE/>
              <w:autoSpaceDN/>
              <w:bidi w:val="0"/>
              <w:adjustRightInd/>
              <w:snapToGrid/>
              <w:spacing w:before="234" w:beforeLines="40" w:beforeAutospacing="0" w:after="234" w:afterLines="4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2EEFE230">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w:t>
            </w:r>
            <w:r>
              <w:rPr>
                <w:rFonts w:hint="eastAsia" w:ascii="宋体" w:hAnsi="宋体" w:cs="宋体"/>
                <w:color w:val="auto"/>
                <w:kern w:val="0"/>
                <w:sz w:val="24"/>
                <w:szCs w:val="24"/>
                <w:highlight w:val="none"/>
                <w:lang w:val="en-US" w:eastAsia="zh-CN"/>
              </w:rPr>
              <w:t>5000</w:t>
            </w:r>
            <w:r>
              <w:rPr>
                <w:rFonts w:hint="eastAsia" w:ascii="宋体" w:hAnsi="宋体" w:eastAsia="宋体" w:cs="宋体"/>
                <w:color w:val="auto"/>
                <w:kern w:val="0"/>
                <w:sz w:val="24"/>
                <w:szCs w:val="24"/>
                <w:highlight w:val="none"/>
              </w:rPr>
              <w:t>元以上1.25万元以下罚款。</w:t>
            </w:r>
          </w:p>
        </w:tc>
      </w:tr>
      <w:tr w14:paraId="3F24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continue"/>
            <w:tcBorders>
              <w:tl2br w:val="nil"/>
              <w:tr2bl w:val="nil"/>
            </w:tcBorders>
            <w:noWrap w:val="0"/>
            <w:vAlign w:val="center"/>
          </w:tcPr>
          <w:p w14:paraId="0D2BD75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B779F4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5E08A33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099501E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3C4796AE">
            <w:pPr>
              <w:keepNext w:val="0"/>
              <w:keepLines w:val="0"/>
              <w:pageBreakBefore w:val="0"/>
              <w:widowControl/>
              <w:kinsoku/>
              <w:wordWrap/>
              <w:overflowPunct/>
              <w:topLinePunct w:val="0"/>
              <w:autoSpaceDE/>
              <w:autoSpaceDN/>
              <w:bidi w:val="0"/>
              <w:adjustRightInd/>
              <w:snapToGrid/>
              <w:spacing w:before="234" w:beforeLines="40" w:beforeAutospacing="0" w:after="234" w:afterLines="4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375C81EA">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处1.25万元以上2.25万元以下罚款。</w:t>
            </w:r>
          </w:p>
        </w:tc>
      </w:tr>
      <w:tr w14:paraId="2560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87" w:type="dxa"/>
            <w:vMerge w:val="continue"/>
            <w:tcBorders>
              <w:tl2br w:val="nil"/>
              <w:tr2bl w:val="nil"/>
            </w:tcBorders>
            <w:noWrap w:val="0"/>
            <w:vAlign w:val="center"/>
          </w:tcPr>
          <w:p w14:paraId="6D36EA0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3824BAB">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62D5D53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D522B7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1A692332">
            <w:pPr>
              <w:keepNext w:val="0"/>
              <w:keepLines w:val="0"/>
              <w:pageBreakBefore w:val="0"/>
              <w:widowControl/>
              <w:kinsoku/>
              <w:wordWrap/>
              <w:overflowPunct/>
              <w:topLinePunct w:val="0"/>
              <w:autoSpaceDE/>
              <w:autoSpaceDN/>
              <w:bidi w:val="0"/>
              <w:adjustRightInd/>
              <w:snapToGrid/>
              <w:spacing w:before="234" w:beforeLines="40" w:beforeAutospacing="0" w:after="234" w:afterLines="4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拒不改正，且已经造成不良影响或者违法行为持续时间较长的。</w:t>
            </w:r>
          </w:p>
        </w:tc>
        <w:tc>
          <w:tcPr>
            <w:tcW w:w="3267" w:type="dxa"/>
            <w:tcBorders>
              <w:tl2br w:val="nil"/>
              <w:tr2bl w:val="nil"/>
            </w:tcBorders>
            <w:noWrap w:val="0"/>
            <w:vAlign w:val="center"/>
          </w:tcPr>
          <w:p w14:paraId="302119AE">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处2.25万元以上3万元以下罚款。</w:t>
            </w:r>
          </w:p>
        </w:tc>
      </w:tr>
      <w:tr w14:paraId="3822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787" w:type="dxa"/>
            <w:vMerge w:val="restart"/>
            <w:tcBorders>
              <w:tl2br w:val="nil"/>
              <w:tr2bl w:val="nil"/>
            </w:tcBorders>
            <w:noWrap w:val="0"/>
            <w:vAlign w:val="center"/>
          </w:tcPr>
          <w:p w14:paraId="782676D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314</w:t>
            </w:r>
          </w:p>
        </w:tc>
        <w:tc>
          <w:tcPr>
            <w:tcW w:w="1718" w:type="dxa"/>
            <w:vMerge w:val="restart"/>
            <w:tcBorders>
              <w:tl2br w:val="nil"/>
              <w:tr2bl w:val="nil"/>
            </w:tcBorders>
            <w:noWrap w:val="0"/>
            <w:vAlign w:val="center"/>
          </w:tcPr>
          <w:p w14:paraId="4C4AC353">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《网络餐饮服务食品安全监督管理办法》</w:t>
            </w:r>
          </w:p>
        </w:tc>
        <w:tc>
          <w:tcPr>
            <w:tcW w:w="4132" w:type="dxa"/>
            <w:vMerge w:val="restart"/>
            <w:tcBorders>
              <w:tl2br w:val="nil"/>
              <w:tr2bl w:val="nil"/>
            </w:tcBorders>
            <w:noWrap w:val="0"/>
            <w:vAlign w:val="center"/>
          </w:tcPr>
          <w:p w14:paraId="41D42FF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第三十四条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办法第十三条规定，网络餐饮服务第三方平台提供者和入网餐饮服务提供者未对送餐人员进行食品安全培训和管理，或者送餐单位未对送餐人员进行食品安全培训和管理，或者未按要求保存培训记录的，由县级以上地方市场监督管理部门责令改正，给予警告；拒不改正的，处5000元以上3万元以下罚款。</w:t>
            </w:r>
          </w:p>
        </w:tc>
        <w:tc>
          <w:tcPr>
            <w:tcW w:w="1133" w:type="dxa"/>
            <w:tcBorders>
              <w:tl2br w:val="nil"/>
              <w:tr2bl w:val="nil"/>
            </w:tcBorders>
            <w:noWrap w:val="0"/>
            <w:vAlign w:val="center"/>
          </w:tcPr>
          <w:p w14:paraId="37FDAAE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682CBFC7">
            <w:pPr>
              <w:keepNext w:val="0"/>
              <w:keepLines w:val="0"/>
              <w:pageBreakBefore w:val="0"/>
              <w:widowControl/>
              <w:kinsoku/>
              <w:wordWrap/>
              <w:overflowPunct/>
              <w:topLinePunct w:val="0"/>
              <w:autoSpaceDE/>
              <w:autoSpaceDN/>
              <w:bidi w:val="0"/>
              <w:adjustRightInd/>
              <w:snapToGrid/>
              <w:spacing w:before="234" w:beforeLines="40" w:beforeAutospacing="0" w:after="234" w:afterLines="4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2115A9A4">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w:t>
            </w:r>
            <w:r>
              <w:rPr>
                <w:rFonts w:hint="eastAsia" w:ascii="宋体" w:hAnsi="宋体" w:cs="宋体"/>
                <w:color w:val="auto"/>
                <w:kern w:val="0"/>
                <w:sz w:val="24"/>
                <w:szCs w:val="24"/>
                <w:highlight w:val="none"/>
                <w:lang w:val="en-US" w:eastAsia="zh-CN"/>
              </w:rPr>
              <w:t>5000</w:t>
            </w:r>
            <w:r>
              <w:rPr>
                <w:rFonts w:hint="eastAsia" w:ascii="宋体" w:hAnsi="宋体" w:eastAsia="宋体" w:cs="宋体"/>
                <w:color w:val="auto"/>
                <w:kern w:val="0"/>
                <w:sz w:val="24"/>
                <w:szCs w:val="24"/>
                <w:highlight w:val="none"/>
              </w:rPr>
              <w:t>元以上1.25万元以下罚款。</w:t>
            </w:r>
          </w:p>
        </w:tc>
      </w:tr>
      <w:tr w14:paraId="47FA6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787" w:type="dxa"/>
            <w:vMerge w:val="continue"/>
            <w:tcBorders>
              <w:tl2br w:val="nil"/>
              <w:tr2bl w:val="nil"/>
            </w:tcBorders>
            <w:noWrap w:val="0"/>
            <w:vAlign w:val="center"/>
          </w:tcPr>
          <w:p w14:paraId="6B02AB1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55EAFD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69C6E30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91705B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15245014">
            <w:pPr>
              <w:keepNext w:val="0"/>
              <w:keepLines w:val="0"/>
              <w:pageBreakBefore w:val="0"/>
              <w:widowControl/>
              <w:kinsoku/>
              <w:wordWrap/>
              <w:overflowPunct/>
              <w:topLinePunct w:val="0"/>
              <w:autoSpaceDE/>
              <w:autoSpaceDN/>
              <w:bidi w:val="0"/>
              <w:adjustRightInd/>
              <w:snapToGrid/>
              <w:spacing w:before="234" w:beforeLines="40" w:beforeAutospacing="0" w:after="234" w:afterLines="4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17299FD6">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处1.25万元以上2.25万元以下罚款。</w:t>
            </w:r>
          </w:p>
        </w:tc>
      </w:tr>
      <w:tr w14:paraId="1F0B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787" w:type="dxa"/>
            <w:vMerge w:val="continue"/>
            <w:tcBorders>
              <w:tl2br w:val="nil"/>
              <w:tr2bl w:val="nil"/>
            </w:tcBorders>
            <w:noWrap w:val="0"/>
            <w:vAlign w:val="center"/>
          </w:tcPr>
          <w:p w14:paraId="51B2AA8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DF3E83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35BA004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131F04C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5A40B35D">
            <w:pPr>
              <w:keepNext w:val="0"/>
              <w:keepLines w:val="0"/>
              <w:pageBreakBefore w:val="0"/>
              <w:widowControl/>
              <w:kinsoku/>
              <w:wordWrap/>
              <w:overflowPunct/>
              <w:topLinePunct w:val="0"/>
              <w:autoSpaceDE/>
              <w:autoSpaceDN/>
              <w:bidi w:val="0"/>
              <w:adjustRightInd/>
              <w:snapToGrid/>
              <w:spacing w:before="234" w:beforeLines="40" w:beforeAutospacing="0" w:after="234" w:afterLines="4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拒不改正，且已经造成不良影响或者违法行为持续时间较长的。</w:t>
            </w:r>
          </w:p>
        </w:tc>
        <w:tc>
          <w:tcPr>
            <w:tcW w:w="3267" w:type="dxa"/>
            <w:tcBorders>
              <w:tl2br w:val="nil"/>
              <w:tr2bl w:val="nil"/>
            </w:tcBorders>
            <w:noWrap w:val="0"/>
            <w:vAlign w:val="center"/>
          </w:tcPr>
          <w:p w14:paraId="6C6697AF">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处2.25万元以上3万元以下罚款。</w:t>
            </w:r>
          </w:p>
        </w:tc>
      </w:tr>
      <w:tr w14:paraId="6867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787" w:type="dxa"/>
            <w:vMerge w:val="restart"/>
            <w:tcBorders>
              <w:tl2br w:val="nil"/>
              <w:tr2bl w:val="nil"/>
            </w:tcBorders>
            <w:noWrap w:val="0"/>
            <w:vAlign w:val="center"/>
          </w:tcPr>
          <w:p w14:paraId="03CEDE0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315</w:t>
            </w:r>
          </w:p>
        </w:tc>
        <w:tc>
          <w:tcPr>
            <w:tcW w:w="1718" w:type="dxa"/>
            <w:vMerge w:val="restart"/>
            <w:tcBorders>
              <w:tl2br w:val="nil"/>
              <w:tr2bl w:val="nil"/>
            </w:tcBorders>
            <w:noWrap w:val="0"/>
            <w:vAlign w:val="center"/>
          </w:tcPr>
          <w:p w14:paraId="16C8774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《网络餐饮服务食品安全监督管理办法》</w:t>
            </w:r>
          </w:p>
        </w:tc>
        <w:tc>
          <w:tcPr>
            <w:tcW w:w="4132" w:type="dxa"/>
            <w:vMerge w:val="restart"/>
            <w:tcBorders>
              <w:tl2br w:val="nil"/>
              <w:tr2bl w:val="nil"/>
            </w:tcBorders>
            <w:noWrap w:val="0"/>
            <w:vAlign w:val="center"/>
          </w:tcPr>
          <w:p w14:paraId="000AEA0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第三十六条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办法第十五条规定，网络餐饮服务第三方平台提供者和自建网站餐饮服务提供者未按要求记录、保存网络订餐信息的，由县级以上地方市场监督管理部门责令改正，给予警告；拒不改正的，处5000元以上3万元以下罚款。</w:t>
            </w:r>
          </w:p>
        </w:tc>
        <w:tc>
          <w:tcPr>
            <w:tcW w:w="1133" w:type="dxa"/>
            <w:tcBorders>
              <w:tl2br w:val="nil"/>
              <w:tr2bl w:val="nil"/>
            </w:tcBorders>
            <w:noWrap w:val="0"/>
            <w:vAlign w:val="center"/>
          </w:tcPr>
          <w:p w14:paraId="7DC885D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2696DFC5">
            <w:pPr>
              <w:keepNext w:val="0"/>
              <w:keepLines w:val="0"/>
              <w:pageBreakBefore w:val="0"/>
              <w:widowControl/>
              <w:kinsoku/>
              <w:wordWrap/>
              <w:overflowPunct/>
              <w:topLinePunct w:val="0"/>
              <w:autoSpaceDE/>
              <w:autoSpaceDN/>
              <w:bidi w:val="0"/>
              <w:adjustRightInd/>
              <w:snapToGrid/>
              <w:spacing w:before="234" w:beforeLines="40" w:beforeAutospacing="0" w:after="234" w:afterLines="4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4E0D5B6D">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w:t>
            </w:r>
            <w:r>
              <w:rPr>
                <w:rFonts w:hint="eastAsia" w:ascii="宋体" w:hAnsi="宋体" w:cs="宋体"/>
                <w:color w:val="auto"/>
                <w:kern w:val="0"/>
                <w:sz w:val="24"/>
                <w:szCs w:val="24"/>
                <w:highlight w:val="none"/>
                <w:lang w:val="en-US" w:eastAsia="zh-CN"/>
              </w:rPr>
              <w:t>5000</w:t>
            </w:r>
            <w:r>
              <w:rPr>
                <w:rFonts w:hint="eastAsia" w:ascii="宋体" w:hAnsi="宋体" w:eastAsia="宋体" w:cs="宋体"/>
                <w:color w:val="auto"/>
                <w:kern w:val="0"/>
                <w:sz w:val="24"/>
                <w:szCs w:val="24"/>
                <w:highlight w:val="none"/>
              </w:rPr>
              <w:t>元以上1.25万元以下罚款。</w:t>
            </w:r>
          </w:p>
        </w:tc>
      </w:tr>
      <w:tr w14:paraId="33C5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787" w:type="dxa"/>
            <w:vMerge w:val="continue"/>
            <w:tcBorders>
              <w:tl2br w:val="nil"/>
              <w:tr2bl w:val="nil"/>
            </w:tcBorders>
            <w:noWrap w:val="0"/>
            <w:vAlign w:val="center"/>
          </w:tcPr>
          <w:p w14:paraId="1D4EF72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54C61D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41ECC44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66C8E5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1C8F1641">
            <w:pPr>
              <w:keepNext w:val="0"/>
              <w:keepLines w:val="0"/>
              <w:pageBreakBefore w:val="0"/>
              <w:widowControl/>
              <w:kinsoku/>
              <w:wordWrap/>
              <w:overflowPunct/>
              <w:topLinePunct w:val="0"/>
              <w:autoSpaceDE/>
              <w:autoSpaceDN/>
              <w:bidi w:val="0"/>
              <w:adjustRightInd/>
              <w:snapToGrid/>
              <w:spacing w:before="234" w:beforeLines="40" w:beforeAutospacing="0" w:after="234" w:afterLines="4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10389BFA">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处1.25万元以上2.25万元以下罚款。</w:t>
            </w:r>
          </w:p>
        </w:tc>
      </w:tr>
      <w:tr w14:paraId="08D8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787" w:type="dxa"/>
            <w:vMerge w:val="continue"/>
            <w:tcBorders>
              <w:tl2br w:val="nil"/>
              <w:tr2bl w:val="nil"/>
            </w:tcBorders>
            <w:noWrap w:val="0"/>
            <w:vAlign w:val="center"/>
          </w:tcPr>
          <w:p w14:paraId="68A2272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913DEB0">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531510C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6E9AC8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6EA136E6">
            <w:pPr>
              <w:keepNext w:val="0"/>
              <w:keepLines w:val="0"/>
              <w:pageBreakBefore w:val="0"/>
              <w:widowControl/>
              <w:kinsoku/>
              <w:wordWrap/>
              <w:overflowPunct/>
              <w:topLinePunct w:val="0"/>
              <w:autoSpaceDE/>
              <w:autoSpaceDN/>
              <w:bidi w:val="0"/>
              <w:adjustRightInd/>
              <w:snapToGrid/>
              <w:spacing w:before="234" w:beforeLines="40" w:beforeAutospacing="0" w:after="234" w:afterLines="4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拒不改正，且已经造成不良影响或者违法行为持续时间较长的。</w:t>
            </w:r>
          </w:p>
        </w:tc>
        <w:tc>
          <w:tcPr>
            <w:tcW w:w="3267" w:type="dxa"/>
            <w:tcBorders>
              <w:tl2br w:val="nil"/>
              <w:tr2bl w:val="nil"/>
            </w:tcBorders>
            <w:noWrap w:val="0"/>
            <w:vAlign w:val="center"/>
          </w:tcPr>
          <w:p w14:paraId="216032F3">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处2.25万元以上3万元以下罚款。</w:t>
            </w:r>
          </w:p>
        </w:tc>
      </w:tr>
      <w:tr w14:paraId="4C16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787" w:type="dxa"/>
            <w:vMerge w:val="restart"/>
            <w:tcBorders>
              <w:tl2br w:val="nil"/>
              <w:tr2bl w:val="nil"/>
            </w:tcBorders>
            <w:noWrap w:val="0"/>
            <w:vAlign w:val="center"/>
          </w:tcPr>
          <w:p w14:paraId="3D3ABF3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316</w:t>
            </w:r>
          </w:p>
        </w:tc>
        <w:tc>
          <w:tcPr>
            <w:tcW w:w="1718" w:type="dxa"/>
            <w:vMerge w:val="restart"/>
            <w:tcBorders>
              <w:tl2br w:val="nil"/>
              <w:tr2bl w:val="nil"/>
            </w:tcBorders>
            <w:noWrap w:val="0"/>
            <w:vAlign w:val="center"/>
          </w:tcPr>
          <w:p w14:paraId="3BE30725">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《网络餐饮服务食品安全监督管理办法》</w:t>
            </w:r>
          </w:p>
        </w:tc>
        <w:tc>
          <w:tcPr>
            <w:tcW w:w="4132" w:type="dxa"/>
            <w:vMerge w:val="restart"/>
            <w:tcBorders>
              <w:tl2br w:val="nil"/>
              <w:tr2bl w:val="nil"/>
            </w:tcBorders>
            <w:noWrap w:val="0"/>
            <w:vAlign w:val="center"/>
          </w:tcPr>
          <w:p w14:paraId="744B0C8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第三十七条第一款</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办法第十六条第一款规定，网络餐饮服务第三方平台提供者未对入网餐饮服务提供者的经营行为进行抽查和监测的，由县级以上地方市场监督管理部门责令改正，给予警告；拒不改正的，处5000元以上3万元以下罚款。</w:t>
            </w:r>
          </w:p>
        </w:tc>
        <w:tc>
          <w:tcPr>
            <w:tcW w:w="1133" w:type="dxa"/>
            <w:tcBorders>
              <w:tl2br w:val="nil"/>
              <w:tr2bl w:val="nil"/>
            </w:tcBorders>
            <w:noWrap w:val="0"/>
            <w:vAlign w:val="center"/>
          </w:tcPr>
          <w:p w14:paraId="2C5AA5C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3E81B69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705612D9">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w:t>
            </w:r>
            <w:r>
              <w:rPr>
                <w:rFonts w:hint="eastAsia" w:ascii="宋体" w:hAnsi="宋体" w:cs="宋体"/>
                <w:color w:val="auto"/>
                <w:kern w:val="0"/>
                <w:sz w:val="24"/>
                <w:szCs w:val="24"/>
                <w:highlight w:val="none"/>
                <w:lang w:val="en-US" w:eastAsia="zh-CN"/>
              </w:rPr>
              <w:t>5000</w:t>
            </w:r>
            <w:r>
              <w:rPr>
                <w:rFonts w:hint="eastAsia" w:ascii="宋体" w:hAnsi="宋体" w:eastAsia="宋体" w:cs="宋体"/>
                <w:color w:val="auto"/>
                <w:kern w:val="0"/>
                <w:sz w:val="24"/>
                <w:szCs w:val="24"/>
                <w:highlight w:val="none"/>
              </w:rPr>
              <w:t>元以上1.25万元以下罚款。</w:t>
            </w:r>
          </w:p>
        </w:tc>
      </w:tr>
      <w:tr w14:paraId="5D71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787" w:type="dxa"/>
            <w:vMerge w:val="continue"/>
            <w:tcBorders>
              <w:tl2br w:val="nil"/>
              <w:tr2bl w:val="nil"/>
            </w:tcBorders>
            <w:noWrap w:val="0"/>
            <w:vAlign w:val="center"/>
          </w:tcPr>
          <w:p w14:paraId="14B9104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9BDBE0B">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55A2D7D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A77A3B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7A23CFE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34A3F720">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处1.25万元以上2.25万元以下罚款。</w:t>
            </w:r>
          </w:p>
        </w:tc>
      </w:tr>
      <w:tr w14:paraId="3B6F7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787" w:type="dxa"/>
            <w:vMerge w:val="continue"/>
            <w:tcBorders>
              <w:tl2br w:val="nil"/>
              <w:tr2bl w:val="nil"/>
            </w:tcBorders>
            <w:noWrap w:val="0"/>
            <w:vAlign w:val="center"/>
          </w:tcPr>
          <w:p w14:paraId="5AA9377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D71384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18ABA7B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3E94800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7B2D3A2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拒不改正，且已经造成不良影响或者违法行为持续时间较长的。</w:t>
            </w:r>
          </w:p>
        </w:tc>
        <w:tc>
          <w:tcPr>
            <w:tcW w:w="3267" w:type="dxa"/>
            <w:tcBorders>
              <w:tl2br w:val="nil"/>
              <w:tr2bl w:val="nil"/>
            </w:tcBorders>
            <w:noWrap w:val="0"/>
            <w:vAlign w:val="center"/>
          </w:tcPr>
          <w:p w14:paraId="11F77A64">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处2.25万元以上3万元以下罚款。</w:t>
            </w:r>
          </w:p>
        </w:tc>
      </w:tr>
      <w:tr w14:paraId="10D4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787" w:type="dxa"/>
            <w:vMerge w:val="restart"/>
            <w:tcBorders>
              <w:tl2br w:val="nil"/>
              <w:tr2bl w:val="nil"/>
            </w:tcBorders>
            <w:noWrap w:val="0"/>
            <w:vAlign w:val="center"/>
          </w:tcPr>
          <w:p w14:paraId="0551723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317</w:t>
            </w:r>
          </w:p>
        </w:tc>
        <w:tc>
          <w:tcPr>
            <w:tcW w:w="1718" w:type="dxa"/>
            <w:vMerge w:val="restart"/>
            <w:tcBorders>
              <w:tl2br w:val="nil"/>
              <w:tr2bl w:val="nil"/>
            </w:tcBorders>
            <w:noWrap w:val="0"/>
            <w:vAlign w:val="center"/>
          </w:tcPr>
          <w:p w14:paraId="5465425F">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《网络餐饮服务食品安全监督管理办法》</w:t>
            </w:r>
          </w:p>
        </w:tc>
        <w:tc>
          <w:tcPr>
            <w:tcW w:w="4132" w:type="dxa"/>
            <w:vMerge w:val="restart"/>
            <w:tcBorders>
              <w:tl2br w:val="nil"/>
              <w:tr2bl w:val="nil"/>
            </w:tcBorders>
            <w:noWrap w:val="0"/>
            <w:vAlign w:val="center"/>
          </w:tcPr>
          <w:p w14:paraId="56FA3DE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第三十八条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办法第十七条规定，网络餐饮服务第三方平台提供者未按要求建立消费者投诉举报处理制度，公开投诉举报方式，或者未对涉及消费者食品安全的投诉举报及时进行处理的，由县级以上地方市场监督管理部门责令改正，给予警告；拒不改正的，处5000元以上3万元以下罚款</w:t>
            </w:r>
            <w:r>
              <w:rPr>
                <w:rFonts w:hint="eastAsia" w:ascii="宋体" w:hAnsi="宋体" w:cs="宋体"/>
                <w:color w:val="auto"/>
                <w:kern w:val="0"/>
                <w:sz w:val="24"/>
                <w:szCs w:val="24"/>
                <w:highlight w:val="none"/>
                <w:lang w:eastAsia="zh-CN"/>
              </w:rPr>
              <w:t>。</w:t>
            </w:r>
          </w:p>
        </w:tc>
        <w:tc>
          <w:tcPr>
            <w:tcW w:w="1133" w:type="dxa"/>
            <w:tcBorders>
              <w:tl2br w:val="nil"/>
              <w:tr2bl w:val="nil"/>
            </w:tcBorders>
            <w:noWrap w:val="0"/>
            <w:vAlign w:val="center"/>
          </w:tcPr>
          <w:p w14:paraId="006CCE5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33A8E0B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086A0294">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w:t>
            </w:r>
            <w:r>
              <w:rPr>
                <w:rFonts w:hint="eastAsia" w:ascii="宋体" w:hAnsi="宋体" w:cs="宋体"/>
                <w:color w:val="auto"/>
                <w:kern w:val="0"/>
                <w:sz w:val="24"/>
                <w:szCs w:val="24"/>
                <w:highlight w:val="none"/>
                <w:lang w:val="en-US" w:eastAsia="zh-CN"/>
              </w:rPr>
              <w:t>5000</w:t>
            </w:r>
            <w:r>
              <w:rPr>
                <w:rFonts w:hint="eastAsia" w:ascii="宋体" w:hAnsi="宋体" w:eastAsia="宋体" w:cs="宋体"/>
                <w:color w:val="auto"/>
                <w:kern w:val="0"/>
                <w:sz w:val="24"/>
                <w:szCs w:val="24"/>
                <w:highlight w:val="none"/>
              </w:rPr>
              <w:t>元以上1.25万元以下罚款。</w:t>
            </w:r>
          </w:p>
        </w:tc>
      </w:tr>
      <w:tr w14:paraId="32DA2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787" w:type="dxa"/>
            <w:vMerge w:val="continue"/>
            <w:tcBorders>
              <w:tl2br w:val="nil"/>
              <w:tr2bl w:val="nil"/>
            </w:tcBorders>
            <w:noWrap w:val="0"/>
            <w:vAlign w:val="center"/>
          </w:tcPr>
          <w:p w14:paraId="3D44642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F2C08D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68FB937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626BA6D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58C67E4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责令改正期限已满尚未开始进行整改的。</w:t>
            </w:r>
          </w:p>
        </w:tc>
        <w:tc>
          <w:tcPr>
            <w:tcW w:w="3267" w:type="dxa"/>
            <w:tcBorders>
              <w:tl2br w:val="nil"/>
              <w:tr2bl w:val="nil"/>
            </w:tcBorders>
            <w:noWrap w:val="0"/>
            <w:vAlign w:val="center"/>
          </w:tcPr>
          <w:p w14:paraId="530B3A2A">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处1.25万元以上2.25万元以下罚款。</w:t>
            </w:r>
          </w:p>
        </w:tc>
      </w:tr>
      <w:tr w14:paraId="6DA5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1" w:hRule="atLeast"/>
          <w:jc w:val="center"/>
        </w:trPr>
        <w:tc>
          <w:tcPr>
            <w:tcW w:w="787" w:type="dxa"/>
            <w:vMerge w:val="continue"/>
            <w:tcBorders>
              <w:tl2br w:val="nil"/>
              <w:tr2bl w:val="nil"/>
            </w:tcBorders>
            <w:noWrap w:val="0"/>
            <w:vAlign w:val="center"/>
          </w:tcPr>
          <w:p w14:paraId="6C20D9E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1811D5A">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A712A0F">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210AF1B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5464C7C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拒不改正，且已经造成不良影响或者违法行为持续时间较长的。</w:t>
            </w:r>
          </w:p>
        </w:tc>
        <w:tc>
          <w:tcPr>
            <w:tcW w:w="3267" w:type="dxa"/>
            <w:tcBorders>
              <w:tl2br w:val="nil"/>
              <w:tr2bl w:val="nil"/>
            </w:tcBorders>
            <w:noWrap w:val="0"/>
            <w:vAlign w:val="center"/>
          </w:tcPr>
          <w:p w14:paraId="308AAD33">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处2.25万元以上3万元以下罚款。</w:t>
            </w:r>
          </w:p>
        </w:tc>
      </w:tr>
      <w:tr w14:paraId="20E3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jc w:val="center"/>
        </w:trPr>
        <w:tc>
          <w:tcPr>
            <w:tcW w:w="787" w:type="dxa"/>
            <w:vMerge w:val="restart"/>
            <w:tcBorders>
              <w:tl2br w:val="nil"/>
              <w:tr2bl w:val="nil"/>
            </w:tcBorders>
            <w:noWrap w:val="0"/>
            <w:vAlign w:val="center"/>
          </w:tcPr>
          <w:p w14:paraId="1690DE5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3</w:t>
            </w:r>
            <w:r>
              <w:rPr>
                <w:rFonts w:hint="eastAsia" w:ascii="宋体" w:hAnsi="宋体" w:cs="宋体"/>
                <w:b w:val="0"/>
                <w:bCs w:val="0"/>
                <w:color w:val="auto"/>
                <w:kern w:val="0"/>
                <w:sz w:val="24"/>
                <w:szCs w:val="24"/>
                <w:highlight w:val="none"/>
                <w:lang w:val="en-US" w:eastAsia="zh-CN"/>
              </w:rPr>
              <w:t>18</w:t>
            </w:r>
          </w:p>
        </w:tc>
        <w:tc>
          <w:tcPr>
            <w:tcW w:w="1718" w:type="dxa"/>
            <w:vMerge w:val="restart"/>
            <w:tcBorders>
              <w:tl2br w:val="nil"/>
              <w:tr2bl w:val="nil"/>
            </w:tcBorders>
            <w:noWrap w:val="0"/>
            <w:vAlign w:val="center"/>
          </w:tcPr>
          <w:p w14:paraId="7BDB98D8">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《网络餐饮服务食品安全监督管理办法》</w:t>
            </w:r>
          </w:p>
        </w:tc>
        <w:tc>
          <w:tcPr>
            <w:tcW w:w="4132" w:type="dxa"/>
            <w:vMerge w:val="restart"/>
            <w:tcBorders>
              <w:tl2br w:val="nil"/>
              <w:tr2bl w:val="nil"/>
            </w:tcBorders>
            <w:noWrap w:val="0"/>
            <w:vAlign w:val="center"/>
          </w:tcPr>
          <w:p w14:paraId="5E95D79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第三十九条第四款</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违反本办法第十八条第（四）项、第（五）项规定，入网餐饮服务提供者将订单委托其他食品经营者加工制作，或者网络销售的餐饮食品未与实体店销售的餐饮食品质量安全保持一致的，由县级以上地方市场监督管理部门责令改正，给予警告；拒不改正的，处5000元以上3万元以下罚款。</w:t>
            </w:r>
          </w:p>
        </w:tc>
        <w:tc>
          <w:tcPr>
            <w:tcW w:w="1133" w:type="dxa"/>
            <w:tcBorders>
              <w:tl2br w:val="nil"/>
              <w:tr2bl w:val="nil"/>
            </w:tcBorders>
            <w:noWrap w:val="0"/>
            <w:vAlign w:val="center"/>
          </w:tcPr>
          <w:p w14:paraId="510765B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3873AC3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5EBF233B">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处</w:t>
            </w:r>
            <w:r>
              <w:rPr>
                <w:rFonts w:hint="eastAsia" w:ascii="宋体" w:hAnsi="宋体" w:cs="宋体"/>
                <w:color w:val="auto"/>
                <w:spacing w:val="6"/>
                <w:kern w:val="0"/>
                <w:sz w:val="24"/>
                <w:szCs w:val="24"/>
                <w:highlight w:val="none"/>
                <w:lang w:val="en-US" w:eastAsia="zh-CN"/>
              </w:rPr>
              <w:t>5000</w:t>
            </w:r>
            <w:r>
              <w:rPr>
                <w:rFonts w:hint="eastAsia" w:ascii="宋体" w:hAnsi="宋体" w:eastAsia="宋体" w:cs="宋体"/>
                <w:color w:val="auto"/>
                <w:spacing w:val="6"/>
                <w:kern w:val="0"/>
                <w:sz w:val="24"/>
                <w:szCs w:val="24"/>
                <w:highlight w:val="none"/>
              </w:rPr>
              <w:t>元以上1.25万元以下罚款。</w:t>
            </w:r>
          </w:p>
        </w:tc>
      </w:tr>
      <w:tr w14:paraId="4E35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787" w:type="dxa"/>
            <w:vMerge w:val="continue"/>
            <w:tcBorders>
              <w:tl2br w:val="nil"/>
              <w:tr2bl w:val="nil"/>
            </w:tcBorders>
            <w:noWrap w:val="0"/>
            <w:vAlign w:val="center"/>
          </w:tcPr>
          <w:p w14:paraId="6246DEF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E3FFA76">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3F95770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7834C7E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42861F5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责令改正期限已满尚未开始进行整改的。</w:t>
            </w:r>
          </w:p>
        </w:tc>
        <w:tc>
          <w:tcPr>
            <w:tcW w:w="3267" w:type="dxa"/>
            <w:tcBorders>
              <w:tl2br w:val="nil"/>
              <w:tr2bl w:val="nil"/>
            </w:tcBorders>
            <w:noWrap w:val="0"/>
            <w:vAlign w:val="center"/>
          </w:tcPr>
          <w:p w14:paraId="3DE3E926">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处1.25万元以上2.25万元以下罚款。</w:t>
            </w:r>
          </w:p>
        </w:tc>
      </w:tr>
      <w:tr w14:paraId="0A723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jc w:val="center"/>
        </w:trPr>
        <w:tc>
          <w:tcPr>
            <w:tcW w:w="787" w:type="dxa"/>
            <w:vMerge w:val="continue"/>
            <w:tcBorders>
              <w:tl2br w:val="nil"/>
              <w:tr2bl w:val="nil"/>
            </w:tcBorders>
            <w:noWrap w:val="0"/>
            <w:vAlign w:val="center"/>
          </w:tcPr>
          <w:p w14:paraId="225817A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33BD514">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06CE650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648BEDA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5AC48DF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拒不改正，且已经造成不良影响或者违法行为持续时间较长的。</w:t>
            </w:r>
          </w:p>
        </w:tc>
        <w:tc>
          <w:tcPr>
            <w:tcW w:w="3267" w:type="dxa"/>
            <w:tcBorders>
              <w:tl2br w:val="nil"/>
              <w:tr2bl w:val="nil"/>
            </w:tcBorders>
            <w:noWrap w:val="0"/>
            <w:vAlign w:val="center"/>
          </w:tcPr>
          <w:p w14:paraId="150D6318">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处2.25万元以上3万元以下罚款。</w:t>
            </w:r>
          </w:p>
        </w:tc>
      </w:tr>
      <w:tr w14:paraId="4F044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jc w:val="center"/>
        </w:trPr>
        <w:tc>
          <w:tcPr>
            <w:tcW w:w="787" w:type="dxa"/>
            <w:vMerge w:val="restart"/>
            <w:tcBorders>
              <w:tl2br w:val="nil"/>
              <w:tr2bl w:val="nil"/>
            </w:tcBorders>
            <w:noWrap w:val="0"/>
            <w:vAlign w:val="center"/>
          </w:tcPr>
          <w:p w14:paraId="195B2C7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319</w:t>
            </w:r>
          </w:p>
        </w:tc>
        <w:tc>
          <w:tcPr>
            <w:tcW w:w="1718" w:type="dxa"/>
            <w:vMerge w:val="restart"/>
            <w:tcBorders>
              <w:tl2br w:val="nil"/>
              <w:tr2bl w:val="nil"/>
            </w:tcBorders>
            <w:noWrap w:val="0"/>
            <w:vAlign w:val="center"/>
          </w:tcPr>
          <w:p w14:paraId="35CD1A71">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《网络餐饮服务食品安全监督管理办法》</w:t>
            </w:r>
          </w:p>
        </w:tc>
        <w:tc>
          <w:tcPr>
            <w:tcW w:w="4132" w:type="dxa"/>
            <w:vMerge w:val="restart"/>
            <w:tcBorders>
              <w:tl2br w:val="nil"/>
              <w:tr2bl w:val="nil"/>
            </w:tcBorders>
            <w:noWrap w:val="0"/>
            <w:vAlign w:val="center"/>
          </w:tcPr>
          <w:p w14:paraId="01F6246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cs="宋体"/>
                <w:color w:val="auto"/>
                <w:kern w:val="0"/>
                <w:sz w:val="24"/>
                <w:highlight w:val="none"/>
              </w:rPr>
              <w:t>第四十条</w:t>
            </w:r>
            <w:r>
              <w:rPr>
                <w:rFonts w:hint="eastAsia" w:ascii="宋体" w:hAnsi="宋体" w:cs="宋体"/>
                <w:color w:val="auto"/>
                <w:kern w:val="0"/>
                <w:sz w:val="24"/>
                <w:highlight w:val="none"/>
                <w:lang w:eastAsia="zh-CN"/>
              </w:rPr>
              <w:t xml:space="preserve"> </w:t>
            </w:r>
            <w:r>
              <w:rPr>
                <w:rFonts w:hint="eastAsia" w:ascii="宋体" w:hAnsi="宋体" w:cs="宋体"/>
                <w:color w:val="auto"/>
                <w:kern w:val="0"/>
                <w:sz w:val="24"/>
                <w:highlight w:val="none"/>
              </w:rPr>
              <w:t>违反本办法第十九条规定，入网餐饮服务提供者未履行相应的包装义务的，由县级以上地方市场监督管理部门责令改正，给予警告；拒不改正的，处5000元以上3万元以下罚款。</w:t>
            </w:r>
          </w:p>
        </w:tc>
        <w:tc>
          <w:tcPr>
            <w:tcW w:w="1133" w:type="dxa"/>
            <w:tcBorders>
              <w:tl2br w:val="nil"/>
              <w:tr2bl w:val="nil"/>
            </w:tcBorders>
            <w:noWrap w:val="0"/>
            <w:vAlign w:val="center"/>
          </w:tcPr>
          <w:p w14:paraId="57CA22E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697D711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责令改正期限已满整改未完成，但尚未造成不良影响的。</w:t>
            </w:r>
          </w:p>
        </w:tc>
        <w:tc>
          <w:tcPr>
            <w:tcW w:w="3267" w:type="dxa"/>
            <w:tcBorders>
              <w:tl2br w:val="nil"/>
              <w:tr2bl w:val="nil"/>
            </w:tcBorders>
            <w:noWrap w:val="0"/>
            <w:vAlign w:val="center"/>
          </w:tcPr>
          <w:p w14:paraId="17EA30B2">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处</w:t>
            </w:r>
            <w:r>
              <w:rPr>
                <w:rFonts w:hint="eastAsia" w:ascii="宋体" w:hAnsi="宋体" w:cs="宋体"/>
                <w:color w:val="auto"/>
                <w:spacing w:val="6"/>
                <w:kern w:val="0"/>
                <w:sz w:val="24"/>
                <w:szCs w:val="24"/>
                <w:highlight w:val="none"/>
                <w:lang w:val="en-US" w:eastAsia="zh-CN"/>
              </w:rPr>
              <w:t>5000</w:t>
            </w:r>
            <w:r>
              <w:rPr>
                <w:rFonts w:hint="eastAsia" w:ascii="宋体" w:hAnsi="宋体" w:eastAsia="宋体" w:cs="宋体"/>
                <w:color w:val="auto"/>
                <w:spacing w:val="6"/>
                <w:kern w:val="0"/>
                <w:sz w:val="24"/>
                <w:szCs w:val="24"/>
                <w:highlight w:val="none"/>
              </w:rPr>
              <w:t>元以上1.25万元以下罚款。</w:t>
            </w:r>
          </w:p>
        </w:tc>
      </w:tr>
      <w:tr w14:paraId="48B0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787" w:type="dxa"/>
            <w:vMerge w:val="continue"/>
            <w:tcBorders>
              <w:tl2br w:val="nil"/>
              <w:tr2bl w:val="nil"/>
            </w:tcBorders>
            <w:noWrap w:val="0"/>
            <w:vAlign w:val="center"/>
          </w:tcPr>
          <w:p w14:paraId="42EE338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ED08D4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76D10FB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cs="宋体"/>
                <w:color w:val="auto"/>
                <w:kern w:val="0"/>
                <w:sz w:val="24"/>
                <w:highlight w:val="none"/>
              </w:rPr>
            </w:pPr>
          </w:p>
        </w:tc>
        <w:tc>
          <w:tcPr>
            <w:tcW w:w="1133" w:type="dxa"/>
            <w:tcBorders>
              <w:tl2br w:val="nil"/>
              <w:tr2bl w:val="nil"/>
            </w:tcBorders>
            <w:noWrap w:val="0"/>
            <w:vAlign w:val="center"/>
          </w:tcPr>
          <w:p w14:paraId="22F4B98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6CE1F9A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责令改正期限已满尚未开始进行整改的。</w:t>
            </w:r>
          </w:p>
        </w:tc>
        <w:tc>
          <w:tcPr>
            <w:tcW w:w="3267" w:type="dxa"/>
            <w:tcBorders>
              <w:tl2br w:val="nil"/>
              <w:tr2bl w:val="nil"/>
            </w:tcBorders>
            <w:noWrap w:val="0"/>
            <w:vAlign w:val="center"/>
          </w:tcPr>
          <w:p w14:paraId="111E3403">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处1.25万元以上2.25万元以下罚款。</w:t>
            </w:r>
          </w:p>
        </w:tc>
      </w:tr>
      <w:tr w14:paraId="30D0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jc w:val="center"/>
        </w:trPr>
        <w:tc>
          <w:tcPr>
            <w:tcW w:w="787" w:type="dxa"/>
            <w:vMerge w:val="continue"/>
            <w:tcBorders>
              <w:tl2br w:val="nil"/>
              <w:tr2bl w:val="nil"/>
            </w:tcBorders>
            <w:noWrap w:val="0"/>
            <w:vAlign w:val="center"/>
          </w:tcPr>
          <w:p w14:paraId="68E1B29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E693F25">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162C8E2A">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cs="宋体"/>
                <w:color w:val="auto"/>
                <w:kern w:val="0"/>
                <w:sz w:val="24"/>
                <w:highlight w:val="none"/>
              </w:rPr>
            </w:pPr>
          </w:p>
        </w:tc>
        <w:tc>
          <w:tcPr>
            <w:tcW w:w="1133" w:type="dxa"/>
            <w:tcBorders>
              <w:tl2br w:val="nil"/>
              <w:tr2bl w:val="nil"/>
            </w:tcBorders>
            <w:noWrap w:val="0"/>
            <w:vAlign w:val="center"/>
          </w:tcPr>
          <w:p w14:paraId="7ABC174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43B2215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拒不改正，且已经造成不良影响或者违法行为持续时间较长的。</w:t>
            </w:r>
          </w:p>
        </w:tc>
        <w:tc>
          <w:tcPr>
            <w:tcW w:w="3267" w:type="dxa"/>
            <w:tcBorders>
              <w:tl2br w:val="nil"/>
              <w:tr2bl w:val="nil"/>
            </w:tcBorders>
            <w:noWrap w:val="0"/>
            <w:vAlign w:val="center"/>
          </w:tcPr>
          <w:p w14:paraId="74519E88">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处2.25万元以上3万元以下罚款。</w:t>
            </w:r>
          </w:p>
        </w:tc>
      </w:tr>
      <w:tr w14:paraId="5368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jc w:val="center"/>
        </w:trPr>
        <w:tc>
          <w:tcPr>
            <w:tcW w:w="787" w:type="dxa"/>
            <w:vMerge w:val="restart"/>
            <w:tcBorders>
              <w:tl2br w:val="nil"/>
              <w:tr2bl w:val="nil"/>
            </w:tcBorders>
            <w:noWrap w:val="0"/>
            <w:vAlign w:val="center"/>
          </w:tcPr>
          <w:p w14:paraId="57C0A5D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3</w:t>
            </w:r>
            <w:r>
              <w:rPr>
                <w:rFonts w:hint="eastAsia" w:ascii="宋体" w:hAnsi="宋体" w:cs="宋体"/>
                <w:b w:val="0"/>
                <w:bCs w:val="0"/>
                <w:color w:val="auto"/>
                <w:kern w:val="0"/>
                <w:sz w:val="24"/>
                <w:szCs w:val="24"/>
                <w:highlight w:val="none"/>
                <w:lang w:val="en-US" w:eastAsia="zh-CN"/>
              </w:rPr>
              <w:t>20</w:t>
            </w:r>
          </w:p>
        </w:tc>
        <w:tc>
          <w:tcPr>
            <w:tcW w:w="1718" w:type="dxa"/>
            <w:vMerge w:val="restart"/>
            <w:tcBorders>
              <w:tl2br w:val="nil"/>
              <w:tr2bl w:val="nil"/>
            </w:tcBorders>
            <w:noWrap w:val="0"/>
            <w:vAlign w:val="center"/>
          </w:tcPr>
          <w:p w14:paraId="03D5C0F8">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outlineLvl w:val="2"/>
              <w:rPr>
                <w:rFonts w:hint="eastAsia" w:ascii="宋体" w:hAnsi="宋体" w:eastAsia="宋体" w:cs="宋体"/>
                <w:b w:val="0"/>
                <w:bCs w:val="0"/>
                <w:color w:val="auto"/>
                <w:kern w:val="0"/>
                <w:sz w:val="24"/>
                <w:szCs w:val="24"/>
                <w:highlight w:val="none"/>
                <w:lang w:eastAsia="zh-CN"/>
              </w:rPr>
            </w:pPr>
            <w:bookmarkStart w:id="365" w:name="_Toc25317"/>
            <w:bookmarkStart w:id="366" w:name="_Toc18688"/>
            <w:bookmarkStart w:id="367" w:name="_Toc19559"/>
            <w:bookmarkStart w:id="368" w:name="_Toc22604"/>
            <w:bookmarkStart w:id="369" w:name="_Toc228"/>
            <w:r>
              <w:rPr>
                <w:rFonts w:hint="eastAsia" w:ascii="宋体" w:hAnsi="宋体" w:eastAsia="宋体" w:cs="宋体"/>
                <w:b w:val="0"/>
                <w:bCs w:val="0"/>
                <w:color w:val="auto"/>
                <w:kern w:val="0"/>
                <w:sz w:val="24"/>
                <w:szCs w:val="24"/>
                <w:highlight w:val="none"/>
              </w:rPr>
              <w:t>《</w:t>
            </w:r>
            <w:r>
              <w:rPr>
                <w:rFonts w:hint="eastAsia" w:ascii="宋体" w:hAnsi="宋体" w:eastAsia="宋体" w:cs="宋体"/>
                <w:b w:val="0"/>
                <w:bCs w:val="0"/>
                <w:color w:val="auto"/>
                <w:kern w:val="0"/>
                <w:sz w:val="24"/>
                <w:szCs w:val="24"/>
                <w:highlight w:val="none"/>
                <w:shd w:val="clear" w:color="auto" w:fill="FFFFFF"/>
                <w:lang w:bidi="ar"/>
              </w:rPr>
              <w:t>吉林省食品小作坊小餐饮店小食杂店和食品摊贩管理条例</w:t>
            </w:r>
            <w:r>
              <w:rPr>
                <w:rFonts w:hint="eastAsia" w:ascii="宋体" w:hAnsi="宋体" w:eastAsia="宋体" w:cs="宋体"/>
                <w:b w:val="0"/>
                <w:bCs w:val="0"/>
                <w:color w:val="auto"/>
                <w:kern w:val="0"/>
                <w:sz w:val="24"/>
                <w:szCs w:val="24"/>
                <w:highlight w:val="none"/>
              </w:rPr>
              <w:t>》</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202</w:t>
            </w: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rPr>
              <w:t>年</w:t>
            </w:r>
            <w:r>
              <w:rPr>
                <w:rFonts w:hint="eastAsia" w:ascii="宋体" w:hAnsi="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rPr>
              <w:t>月</w:t>
            </w: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rPr>
              <w:t>5日</w:t>
            </w:r>
            <w:r>
              <w:rPr>
                <w:rFonts w:hint="eastAsia" w:ascii="宋体" w:hAnsi="宋体" w:cs="宋体"/>
                <w:b w:val="0"/>
                <w:bCs w:val="0"/>
                <w:color w:val="auto"/>
                <w:kern w:val="0"/>
                <w:sz w:val="24"/>
                <w:szCs w:val="24"/>
                <w:highlight w:val="none"/>
                <w:lang w:val="en-US" w:eastAsia="zh-CN"/>
              </w:rPr>
              <w:t>起施行</w:t>
            </w:r>
            <w:r>
              <w:rPr>
                <w:rFonts w:hint="eastAsia" w:ascii="宋体" w:hAnsi="宋体" w:eastAsia="宋体" w:cs="宋体"/>
                <w:b w:val="0"/>
                <w:bCs w:val="0"/>
                <w:color w:val="auto"/>
                <w:kern w:val="0"/>
                <w:sz w:val="24"/>
                <w:szCs w:val="24"/>
                <w:highlight w:val="none"/>
                <w:lang w:eastAsia="zh-CN"/>
              </w:rPr>
              <w:t>）</w:t>
            </w:r>
            <w:bookmarkEnd w:id="365"/>
            <w:bookmarkEnd w:id="366"/>
            <w:bookmarkEnd w:id="367"/>
            <w:bookmarkEnd w:id="368"/>
            <w:bookmarkEnd w:id="369"/>
          </w:p>
        </w:tc>
        <w:tc>
          <w:tcPr>
            <w:tcW w:w="4132" w:type="dxa"/>
            <w:vMerge w:val="restart"/>
            <w:tcBorders>
              <w:tl2br w:val="nil"/>
              <w:tr2bl w:val="nil"/>
            </w:tcBorders>
            <w:noWrap w:val="0"/>
            <w:vAlign w:val="center"/>
          </w:tcPr>
          <w:p w14:paraId="7C84D8D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第四十一条第一款</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食品小作坊、小餐饮店、小食杂店违反本条例第十条、第十一条规定，未按照生产经营目录或者未经登记擅自从事生产经营活动的，由市场监督管理部门责令改正，可以处五百元以上二千元以下罚款；拒不改正的，没收违法所得和违法生产经营的食品，以及用于违法生产经营的工具、设备、原料等物品，可以处二千元以上一万元以下罚款。</w:t>
            </w:r>
          </w:p>
        </w:tc>
        <w:tc>
          <w:tcPr>
            <w:tcW w:w="1133" w:type="dxa"/>
            <w:tcBorders>
              <w:tl2br w:val="nil"/>
              <w:tr2bl w:val="nil"/>
            </w:tcBorders>
            <w:noWrap w:val="0"/>
            <w:vAlign w:val="center"/>
          </w:tcPr>
          <w:p w14:paraId="1645431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1D5742B8">
            <w:pPr>
              <w:pStyle w:val="17"/>
              <w:keepNext w:val="0"/>
              <w:keepLines w:val="0"/>
              <w:pageBreakBefore w:val="0"/>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sz w:val="24"/>
                <w:szCs w:val="24"/>
                <w:highlight w:val="none"/>
                <w:lang w:val="en-US"/>
              </w:rPr>
              <w:t>在限期内改正违法行为的</w:t>
            </w:r>
            <w:r>
              <w:rPr>
                <w:rFonts w:hint="eastAsia" w:cs="宋体"/>
                <w:color w:val="auto"/>
                <w:spacing w:val="6"/>
                <w:sz w:val="24"/>
                <w:szCs w:val="24"/>
                <w:highlight w:val="none"/>
                <w:lang w:val="en-US" w:eastAsia="zh-CN"/>
              </w:rPr>
              <w:t>。</w:t>
            </w:r>
          </w:p>
        </w:tc>
        <w:tc>
          <w:tcPr>
            <w:tcW w:w="3267" w:type="dxa"/>
            <w:tcBorders>
              <w:tl2br w:val="nil"/>
              <w:tr2bl w:val="nil"/>
            </w:tcBorders>
            <w:noWrap w:val="0"/>
            <w:vAlign w:val="center"/>
          </w:tcPr>
          <w:p w14:paraId="694FB67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可以处</w:t>
            </w:r>
            <w:r>
              <w:rPr>
                <w:rFonts w:hint="eastAsia" w:ascii="宋体" w:hAnsi="宋体" w:cs="宋体"/>
                <w:color w:val="auto"/>
                <w:spacing w:val="6"/>
                <w:kern w:val="0"/>
                <w:sz w:val="24"/>
                <w:szCs w:val="24"/>
                <w:highlight w:val="none"/>
                <w:lang w:val="en-US" w:eastAsia="zh-CN"/>
              </w:rPr>
              <w:t>500元</w:t>
            </w:r>
            <w:r>
              <w:rPr>
                <w:rFonts w:hint="eastAsia" w:ascii="宋体" w:hAnsi="宋体" w:eastAsia="宋体" w:cs="宋体"/>
                <w:color w:val="auto"/>
                <w:spacing w:val="6"/>
                <w:kern w:val="0"/>
                <w:sz w:val="24"/>
                <w:szCs w:val="24"/>
                <w:highlight w:val="none"/>
              </w:rPr>
              <w:t>以上</w:t>
            </w:r>
            <w:r>
              <w:rPr>
                <w:rFonts w:hint="eastAsia" w:ascii="宋体" w:hAnsi="宋体" w:cs="宋体"/>
                <w:color w:val="auto"/>
                <w:spacing w:val="6"/>
                <w:kern w:val="0"/>
                <w:sz w:val="24"/>
                <w:szCs w:val="24"/>
                <w:highlight w:val="none"/>
                <w:lang w:val="en-US" w:eastAsia="zh-CN"/>
              </w:rPr>
              <w:t>2000</w:t>
            </w:r>
            <w:r>
              <w:rPr>
                <w:rFonts w:hint="eastAsia" w:ascii="宋体" w:hAnsi="宋体" w:eastAsia="宋体" w:cs="宋体"/>
                <w:color w:val="auto"/>
                <w:spacing w:val="6"/>
                <w:kern w:val="0"/>
                <w:sz w:val="24"/>
                <w:szCs w:val="24"/>
                <w:highlight w:val="none"/>
              </w:rPr>
              <w:t>元以下罚款。</w:t>
            </w:r>
          </w:p>
        </w:tc>
      </w:tr>
      <w:tr w14:paraId="3A5C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3" w:hRule="atLeast"/>
          <w:jc w:val="center"/>
        </w:trPr>
        <w:tc>
          <w:tcPr>
            <w:tcW w:w="787" w:type="dxa"/>
            <w:vMerge w:val="continue"/>
            <w:tcBorders>
              <w:tl2br w:val="nil"/>
              <w:tr2bl w:val="nil"/>
            </w:tcBorders>
            <w:noWrap w:val="0"/>
            <w:vAlign w:val="center"/>
          </w:tcPr>
          <w:p w14:paraId="1BD3937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0AE66B8">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0CDE10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6BEA30D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6A6A6521">
            <w:pPr>
              <w:pStyle w:val="17"/>
              <w:keepNext w:val="0"/>
              <w:keepLines w:val="0"/>
              <w:pageBreakBefore w:val="0"/>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spacing w:val="6"/>
                <w:kern w:val="0"/>
                <w:sz w:val="24"/>
                <w:szCs w:val="24"/>
                <w:highlight w:val="none"/>
                <w:lang w:eastAsia="zh-CN"/>
              </w:rPr>
            </w:pPr>
            <w:r>
              <w:rPr>
                <w:rFonts w:hint="eastAsia" w:ascii="宋体" w:hAnsi="宋体" w:eastAsia="宋体" w:cs="宋体"/>
                <w:color w:val="auto"/>
                <w:spacing w:val="6"/>
                <w:sz w:val="24"/>
                <w:szCs w:val="24"/>
                <w:highlight w:val="none"/>
                <w:lang w:val="en-US"/>
              </w:rPr>
              <w:t>拒不改正且违法行为持续时间</w:t>
            </w:r>
            <w:r>
              <w:rPr>
                <w:rFonts w:hint="eastAsia" w:ascii="宋体" w:hAnsi="宋体" w:eastAsia="宋体" w:cs="宋体"/>
                <w:color w:val="auto"/>
                <w:spacing w:val="6"/>
                <w:sz w:val="24"/>
                <w:szCs w:val="24"/>
                <w:highlight w:val="none"/>
              </w:rPr>
              <w:t>在3个月以</w:t>
            </w:r>
            <w:r>
              <w:rPr>
                <w:rFonts w:hint="eastAsia" w:cs="宋体"/>
                <w:color w:val="auto"/>
                <w:spacing w:val="6"/>
                <w:sz w:val="24"/>
                <w:szCs w:val="24"/>
                <w:highlight w:val="none"/>
                <w:lang w:val="en-US" w:eastAsia="zh-CN"/>
              </w:rPr>
              <w:t>下</w:t>
            </w:r>
            <w:r>
              <w:rPr>
                <w:rFonts w:hint="eastAsia" w:ascii="宋体" w:hAnsi="宋体" w:eastAsia="宋体" w:cs="宋体"/>
                <w:color w:val="auto"/>
                <w:spacing w:val="6"/>
                <w:sz w:val="24"/>
                <w:szCs w:val="24"/>
                <w:highlight w:val="none"/>
              </w:rPr>
              <w:t>的</w:t>
            </w:r>
            <w:r>
              <w:rPr>
                <w:rFonts w:hint="eastAsia" w:cs="宋体"/>
                <w:color w:val="auto"/>
                <w:spacing w:val="6"/>
                <w:sz w:val="24"/>
                <w:szCs w:val="24"/>
                <w:highlight w:val="none"/>
                <w:lang w:eastAsia="zh-CN"/>
              </w:rPr>
              <w:t>。</w:t>
            </w:r>
          </w:p>
        </w:tc>
        <w:tc>
          <w:tcPr>
            <w:tcW w:w="3267" w:type="dxa"/>
            <w:tcBorders>
              <w:tl2br w:val="nil"/>
              <w:tr2bl w:val="nil"/>
            </w:tcBorders>
            <w:noWrap w:val="0"/>
            <w:vAlign w:val="center"/>
          </w:tcPr>
          <w:p w14:paraId="5490C4F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没收违法所得和违法生产经营的食品，以及用于违法生产经营的工具、设备、原料等物品，可以处</w:t>
            </w:r>
            <w:r>
              <w:rPr>
                <w:rFonts w:hint="eastAsia" w:ascii="宋体" w:hAnsi="宋体" w:cs="宋体"/>
                <w:color w:val="auto"/>
                <w:spacing w:val="6"/>
                <w:kern w:val="0"/>
                <w:sz w:val="24"/>
                <w:szCs w:val="24"/>
                <w:highlight w:val="none"/>
                <w:lang w:val="en-US" w:eastAsia="zh-CN"/>
              </w:rPr>
              <w:t>2000</w:t>
            </w:r>
            <w:r>
              <w:rPr>
                <w:rFonts w:hint="eastAsia" w:ascii="宋体" w:hAnsi="宋体" w:eastAsia="宋体" w:cs="宋体"/>
                <w:color w:val="auto"/>
                <w:spacing w:val="6"/>
                <w:kern w:val="0"/>
                <w:sz w:val="24"/>
                <w:szCs w:val="24"/>
                <w:highlight w:val="none"/>
              </w:rPr>
              <w:t>元以上</w:t>
            </w:r>
            <w:r>
              <w:rPr>
                <w:rFonts w:hint="eastAsia" w:ascii="宋体" w:hAnsi="宋体" w:cs="宋体"/>
                <w:color w:val="auto"/>
                <w:spacing w:val="6"/>
                <w:kern w:val="0"/>
                <w:sz w:val="24"/>
                <w:szCs w:val="24"/>
                <w:highlight w:val="none"/>
                <w:lang w:val="en-US" w:eastAsia="zh-CN"/>
              </w:rPr>
              <w:t>5000</w:t>
            </w:r>
            <w:r>
              <w:rPr>
                <w:rFonts w:hint="eastAsia" w:ascii="宋体" w:hAnsi="宋体" w:eastAsia="宋体" w:cs="宋体"/>
                <w:color w:val="auto"/>
                <w:spacing w:val="6"/>
                <w:kern w:val="0"/>
                <w:sz w:val="24"/>
                <w:szCs w:val="24"/>
                <w:highlight w:val="none"/>
              </w:rPr>
              <w:t>元以下罚款。</w:t>
            </w:r>
          </w:p>
        </w:tc>
      </w:tr>
      <w:tr w14:paraId="1C1C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4" w:hRule="atLeast"/>
          <w:jc w:val="center"/>
        </w:trPr>
        <w:tc>
          <w:tcPr>
            <w:tcW w:w="787" w:type="dxa"/>
            <w:vMerge w:val="continue"/>
            <w:tcBorders>
              <w:tl2br w:val="nil"/>
              <w:tr2bl w:val="nil"/>
            </w:tcBorders>
            <w:noWrap w:val="0"/>
            <w:vAlign w:val="center"/>
          </w:tcPr>
          <w:p w14:paraId="4C2E100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93AD2B4">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AE8147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72EE32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209B9900">
            <w:pPr>
              <w:pStyle w:val="17"/>
              <w:keepNext w:val="0"/>
              <w:keepLines w:val="0"/>
              <w:pageBreakBefore w:val="0"/>
              <w:kinsoku/>
              <w:wordWrap/>
              <w:overflowPunct/>
              <w:topLinePunct w:val="0"/>
              <w:autoSpaceDE/>
              <w:autoSpaceDN/>
              <w:bidi w:val="0"/>
              <w:adjustRightInd/>
              <w:snapToGrid/>
              <w:spacing w:beforeAutospacing="0" w:afterAutospacing="0" w:line="400" w:lineRule="exact"/>
              <w:ind w:right="90"/>
              <w:textAlignment w:val="auto"/>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lang w:val="en-US"/>
              </w:rPr>
              <w:t>拒不改正且违法行为持续时间</w:t>
            </w:r>
            <w:r>
              <w:rPr>
                <w:rFonts w:hint="eastAsia" w:ascii="宋体" w:hAnsi="宋体" w:eastAsia="宋体" w:cs="宋体"/>
                <w:color w:val="auto"/>
                <w:spacing w:val="6"/>
                <w:sz w:val="24"/>
                <w:szCs w:val="24"/>
                <w:highlight w:val="none"/>
              </w:rPr>
              <w:t>在3个月以</w:t>
            </w:r>
            <w:r>
              <w:rPr>
                <w:rFonts w:hint="eastAsia" w:ascii="宋体" w:hAnsi="宋体" w:eastAsia="宋体" w:cs="宋体"/>
                <w:color w:val="auto"/>
                <w:spacing w:val="6"/>
                <w:sz w:val="24"/>
                <w:szCs w:val="24"/>
                <w:highlight w:val="none"/>
                <w:lang w:val="en-US"/>
              </w:rPr>
              <w:t>上</w:t>
            </w:r>
            <w:r>
              <w:rPr>
                <w:rFonts w:hint="eastAsia" w:ascii="宋体" w:hAnsi="宋体" w:eastAsia="宋体" w:cs="宋体"/>
                <w:color w:val="auto"/>
                <w:spacing w:val="6"/>
                <w:sz w:val="24"/>
                <w:szCs w:val="24"/>
                <w:highlight w:val="none"/>
              </w:rPr>
              <w:t>的</w:t>
            </w:r>
            <w:r>
              <w:rPr>
                <w:rFonts w:hint="eastAsia" w:cs="宋体"/>
                <w:color w:val="auto"/>
                <w:spacing w:val="6"/>
                <w:sz w:val="24"/>
                <w:szCs w:val="24"/>
                <w:highlight w:val="none"/>
                <w:lang w:eastAsia="zh-CN"/>
              </w:rPr>
              <w:t>。</w:t>
            </w:r>
          </w:p>
          <w:p w14:paraId="1890AA9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spacing w:val="6"/>
                <w:kern w:val="0"/>
                <w:sz w:val="24"/>
                <w:szCs w:val="24"/>
                <w:highlight w:val="none"/>
              </w:rPr>
            </w:pPr>
          </w:p>
        </w:tc>
        <w:tc>
          <w:tcPr>
            <w:tcW w:w="3267" w:type="dxa"/>
            <w:tcBorders>
              <w:tl2br w:val="nil"/>
              <w:tr2bl w:val="nil"/>
            </w:tcBorders>
            <w:noWrap w:val="0"/>
            <w:vAlign w:val="center"/>
          </w:tcPr>
          <w:p w14:paraId="3B0F1BE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spacing w:val="6"/>
                <w:kern w:val="0"/>
                <w:sz w:val="24"/>
                <w:szCs w:val="24"/>
                <w:highlight w:val="none"/>
                <w:shd w:val="clear" w:color="auto" w:fill="FFFFFF"/>
                <w:lang w:bidi="ar"/>
              </w:rPr>
            </w:pPr>
            <w:r>
              <w:rPr>
                <w:rFonts w:hint="eastAsia" w:ascii="宋体" w:hAnsi="宋体" w:eastAsia="宋体" w:cs="宋体"/>
                <w:color w:val="auto"/>
                <w:spacing w:val="6"/>
                <w:kern w:val="0"/>
                <w:sz w:val="24"/>
                <w:szCs w:val="24"/>
                <w:highlight w:val="none"/>
                <w:shd w:val="clear" w:color="auto" w:fill="FFFFFF"/>
                <w:lang w:bidi="ar"/>
              </w:rPr>
              <w:t>没收违法所得和违法生产经营的食品，以及用于违法生产经营的工具、设备、原料等物品，可以</w:t>
            </w:r>
            <w:r>
              <w:rPr>
                <w:rFonts w:hint="eastAsia" w:ascii="宋体" w:hAnsi="宋体" w:eastAsia="宋体" w:cs="宋体"/>
                <w:color w:val="auto"/>
                <w:spacing w:val="6"/>
                <w:kern w:val="0"/>
                <w:sz w:val="24"/>
                <w:szCs w:val="24"/>
                <w:highlight w:val="none"/>
              </w:rPr>
              <w:t>处</w:t>
            </w:r>
            <w:r>
              <w:rPr>
                <w:rFonts w:hint="eastAsia" w:ascii="宋体" w:hAnsi="宋体" w:cs="宋体"/>
                <w:color w:val="auto"/>
                <w:spacing w:val="6"/>
                <w:kern w:val="0"/>
                <w:sz w:val="24"/>
                <w:szCs w:val="24"/>
                <w:highlight w:val="none"/>
                <w:lang w:val="en-US" w:eastAsia="zh-CN"/>
              </w:rPr>
              <w:t>5000</w:t>
            </w:r>
            <w:r>
              <w:rPr>
                <w:rFonts w:hint="eastAsia" w:ascii="宋体" w:hAnsi="宋体" w:eastAsia="宋体" w:cs="宋体"/>
                <w:color w:val="auto"/>
                <w:spacing w:val="6"/>
                <w:kern w:val="0"/>
                <w:sz w:val="24"/>
                <w:szCs w:val="24"/>
                <w:highlight w:val="none"/>
              </w:rPr>
              <w:t>元以上</w:t>
            </w:r>
            <w:r>
              <w:rPr>
                <w:rFonts w:hint="eastAsia" w:ascii="宋体" w:hAnsi="宋体" w:cs="宋体"/>
                <w:color w:val="auto"/>
                <w:spacing w:val="6"/>
                <w:kern w:val="0"/>
                <w:sz w:val="24"/>
                <w:szCs w:val="24"/>
                <w:highlight w:val="none"/>
                <w:lang w:val="en-US" w:eastAsia="zh-CN"/>
              </w:rPr>
              <w:t>1万</w:t>
            </w:r>
            <w:r>
              <w:rPr>
                <w:rFonts w:hint="eastAsia" w:ascii="宋体" w:hAnsi="宋体" w:eastAsia="宋体" w:cs="宋体"/>
                <w:color w:val="auto"/>
                <w:spacing w:val="6"/>
                <w:kern w:val="0"/>
                <w:sz w:val="24"/>
                <w:szCs w:val="24"/>
                <w:highlight w:val="none"/>
              </w:rPr>
              <w:t>元以下罚款。</w:t>
            </w:r>
          </w:p>
        </w:tc>
      </w:tr>
      <w:tr w14:paraId="79B8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87" w:type="dxa"/>
            <w:vMerge w:val="restart"/>
            <w:tcBorders>
              <w:tl2br w:val="nil"/>
              <w:tr2bl w:val="nil"/>
            </w:tcBorders>
            <w:noWrap w:val="0"/>
            <w:vAlign w:val="center"/>
          </w:tcPr>
          <w:p w14:paraId="405A58A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3</w:t>
            </w:r>
            <w:r>
              <w:rPr>
                <w:rFonts w:hint="eastAsia" w:ascii="宋体" w:hAnsi="宋体" w:cs="宋体"/>
                <w:b w:val="0"/>
                <w:bCs w:val="0"/>
                <w:color w:val="auto"/>
                <w:kern w:val="0"/>
                <w:sz w:val="24"/>
                <w:szCs w:val="24"/>
                <w:highlight w:val="none"/>
                <w:lang w:val="en-US" w:eastAsia="zh-CN"/>
              </w:rPr>
              <w:t>21</w:t>
            </w:r>
          </w:p>
        </w:tc>
        <w:tc>
          <w:tcPr>
            <w:tcW w:w="1718" w:type="dxa"/>
            <w:vMerge w:val="restart"/>
            <w:tcBorders>
              <w:tl2br w:val="nil"/>
              <w:tr2bl w:val="nil"/>
            </w:tcBorders>
            <w:noWrap w:val="0"/>
            <w:vAlign w:val="center"/>
          </w:tcPr>
          <w:p w14:paraId="18D247C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w:t>
            </w:r>
            <w:r>
              <w:rPr>
                <w:rFonts w:hint="eastAsia" w:ascii="宋体" w:hAnsi="宋体" w:eastAsia="宋体" w:cs="宋体"/>
                <w:b w:val="0"/>
                <w:bCs w:val="0"/>
                <w:color w:val="auto"/>
                <w:kern w:val="0"/>
                <w:sz w:val="24"/>
                <w:szCs w:val="24"/>
                <w:highlight w:val="none"/>
                <w:shd w:val="clear" w:color="auto" w:fill="FFFFFF"/>
                <w:lang w:bidi="ar"/>
              </w:rPr>
              <w:t>吉林省食品小作坊小餐饮店小食杂店和食品摊贩管理条例</w:t>
            </w:r>
            <w:r>
              <w:rPr>
                <w:rFonts w:hint="eastAsia" w:ascii="宋体" w:hAnsi="宋体" w:eastAsia="宋体" w:cs="宋体"/>
                <w:b w:val="0"/>
                <w:bCs w:val="0"/>
                <w:color w:val="auto"/>
                <w:kern w:val="0"/>
                <w:sz w:val="24"/>
                <w:szCs w:val="24"/>
                <w:highlight w:val="none"/>
              </w:rPr>
              <w:t>》</w:t>
            </w:r>
          </w:p>
        </w:tc>
        <w:tc>
          <w:tcPr>
            <w:tcW w:w="4132" w:type="dxa"/>
            <w:vMerge w:val="restart"/>
            <w:tcBorders>
              <w:tl2br w:val="nil"/>
              <w:tr2bl w:val="nil"/>
            </w:tcBorders>
            <w:noWrap w:val="0"/>
            <w:vAlign w:val="center"/>
          </w:tcPr>
          <w:p w14:paraId="1D59F64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第四十二条</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食品小作坊、小餐饮店、小食杂店和食品摊贩违反本条例第十六条规定，由市场监督管理部门对食品小作坊、小餐饮店、小食杂店处二千元以上二万元以下罚款，对食品摊贩处五百元以上二千元以下罚款，并由原登记、备案部门撤销登记证、备案卡，当事人三年内不得再次申请登记、备案。</w:t>
            </w:r>
          </w:p>
        </w:tc>
        <w:tc>
          <w:tcPr>
            <w:tcW w:w="1133" w:type="dxa"/>
            <w:vMerge w:val="restart"/>
            <w:tcBorders>
              <w:tl2br w:val="nil"/>
              <w:tr2bl w:val="nil"/>
            </w:tcBorders>
            <w:noWrap w:val="0"/>
            <w:vAlign w:val="center"/>
          </w:tcPr>
          <w:p w14:paraId="402A961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vMerge w:val="restart"/>
            <w:tcBorders>
              <w:tl2br w:val="nil"/>
              <w:tr2bl w:val="nil"/>
            </w:tcBorders>
            <w:noWrap w:val="0"/>
            <w:vAlign w:val="center"/>
          </w:tcPr>
          <w:p w14:paraId="41AAB14C">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spacing w:val="0"/>
                <w:kern w:val="0"/>
                <w:sz w:val="24"/>
                <w:szCs w:val="24"/>
                <w:highlight w:val="none"/>
                <w:lang w:eastAsia="zh-CN"/>
              </w:rPr>
            </w:pPr>
            <w:r>
              <w:rPr>
                <w:rFonts w:hint="eastAsia" w:ascii="宋体" w:hAnsi="宋体" w:eastAsia="宋体" w:cs="宋体"/>
                <w:color w:val="auto"/>
                <w:spacing w:val="0"/>
                <w:sz w:val="24"/>
                <w:szCs w:val="24"/>
                <w:highlight w:val="none"/>
              </w:rPr>
              <w:t>违法行为持续时间在3个月以</w:t>
            </w:r>
            <w:r>
              <w:rPr>
                <w:rFonts w:hint="eastAsia" w:ascii="宋体" w:hAnsi="宋体" w:cs="宋体"/>
                <w:color w:val="auto"/>
                <w:spacing w:val="0"/>
                <w:sz w:val="24"/>
                <w:szCs w:val="24"/>
                <w:highlight w:val="none"/>
                <w:lang w:val="en-US" w:eastAsia="zh-CN"/>
              </w:rPr>
              <w:t>下</w:t>
            </w:r>
            <w:r>
              <w:rPr>
                <w:rFonts w:hint="eastAsia" w:ascii="宋体" w:hAnsi="宋体" w:eastAsia="宋体" w:cs="宋体"/>
                <w:color w:val="auto"/>
                <w:spacing w:val="0"/>
                <w:sz w:val="24"/>
                <w:szCs w:val="24"/>
                <w:highlight w:val="none"/>
              </w:rPr>
              <w:t>的</w:t>
            </w:r>
            <w:r>
              <w:rPr>
                <w:rFonts w:hint="eastAsia" w:ascii="宋体" w:hAnsi="宋体" w:cs="宋体"/>
                <w:color w:val="auto"/>
                <w:spacing w:val="0"/>
                <w:sz w:val="24"/>
                <w:szCs w:val="24"/>
                <w:highlight w:val="none"/>
                <w:lang w:eastAsia="zh-CN"/>
              </w:rPr>
              <w:t>。</w:t>
            </w:r>
          </w:p>
        </w:tc>
        <w:tc>
          <w:tcPr>
            <w:tcW w:w="3267" w:type="dxa"/>
            <w:vMerge w:val="restart"/>
            <w:tcBorders>
              <w:tl2br w:val="nil"/>
              <w:tr2bl w:val="nil"/>
            </w:tcBorders>
            <w:noWrap w:val="0"/>
            <w:vAlign w:val="center"/>
          </w:tcPr>
          <w:p w14:paraId="796A1B00">
            <w:pPr>
              <w:keepNext w:val="0"/>
              <w:keepLines w:val="0"/>
              <w:pageBreakBefore w:val="0"/>
              <w:widowControl/>
              <w:kinsoku/>
              <w:wordWrap/>
              <w:overflowPunct/>
              <w:topLinePunct w:val="0"/>
              <w:autoSpaceDE/>
              <w:autoSpaceDN/>
              <w:bidi w:val="0"/>
              <w:adjustRightInd/>
              <w:snapToGrid/>
              <w:spacing w:beforeAutospacing="0" w:afterAutospacing="0" w:line="380" w:lineRule="exact"/>
              <w:jc w:val="left"/>
              <w:textAlignment w:val="auto"/>
              <w:rPr>
                <w:rFonts w:hint="eastAsia" w:ascii="宋体" w:hAnsi="宋体" w:eastAsia="宋体" w:cs="宋体"/>
                <w:color w:val="auto"/>
                <w:spacing w:val="0"/>
                <w:kern w:val="0"/>
                <w:sz w:val="24"/>
                <w:szCs w:val="24"/>
                <w:highlight w:val="none"/>
              </w:rPr>
            </w:pPr>
            <w:r>
              <w:rPr>
                <w:rFonts w:hint="eastAsia" w:ascii="宋体" w:hAnsi="宋体" w:eastAsia="宋体" w:cs="宋体"/>
                <w:color w:val="auto"/>
                <w:spacing w:val="0"/>
                <w:kern w:val="0"/>
                <w:sz w:val="24"/>
                <w:szCs w:val="24"/>
                <w:highlight w:val="none"/>
              </w:rPr>
              <w:t>对</w:t>
            </w:r>
            <w:r>
              <w:rPr>
                <w:rFonts w:hint="eastAsia" w:ascii="宋体" w:hAnsi="宋体" w:eastAsia="宋体" w:cs="宋体"/>
                <w:color w:val="auto"/>
                <w:spacing w:val="0"/>
                <w:kern w:val="0"/>
                <w:sz w:val="24"/>
                <w:szCs w:val="24"/>
                <w:highlight w:val="none"/>
                <w:shd w:val="clear" w:color="auto" w:fill="FFFFFF"/>
                <w:lang w:bidi="ar"/>
              </w:rPr>
              <w:t>食品小作坊、小餐饮店、小食杂店</w:t>
            </w:r>
            <w:r>
              <w:rPr>
                <w:rFonts w:hint="eastAsia" w:ascii="宋体" w:hAnsi="宋体" w:eastAsia="宋体" w:cs="宋体"/>
                <w:color w:val="auto"/>
                <w:spacing w:val="0"/>
                <w:kern w:val="0"/>
                <w:sz w:val="24"/>
                <w:szCs w:val="24"/>
                <w:highlight w:val="none"/>
              </w:rPr>
              <w:t>处</w:t>
            </w:r>
            <w:r>
              <w:rPr>
                <w:rFonts w:hint="eastAsia" w:ascii="宋体" w:hAnsi="宋体" w:cs="宋体"/>
                <w:color w:val="auto"/>
                <w:spacing w:val="0"/>
                <w:kern w:val="0"/>
                <w:sz w:val="24"/>
                <w:szCs w:val="24"/>
                <w:highlight w:val="none"/>
                <w:lang w:val="en-US" w:eastAsia="zh-CN"/>
              </w:rPr>
              <w:t>2000</w:t>
            </w:r>
            <w:r>
              <w:rPr>
                <w:rFonts w:hint="eastAsia" w:ascii="宋体" w:hAnsi="宋体" w:eastAsia="宋体" w:cs="宋体"/>
                <w:color w:val="auto"/>
                <w:spacing w:val="0"/>
                <w:kern w:val="0"/>
                <w:sz w:val="24"/>
                <w:szCs w:val="24"/>
                <w:highlight w:val="none"/>
              </w:rPr>
              <w:t>元以上74</w:t>
            </w:r>
            <w:r>
              <w:rPr>
                <w:rFonts w:hint="eastAsia" w:ascii="宋体" w:hAnsi="宋体" w:cs="宋体"/>
                <w:color w:val="auto"/>
                <w:spacing w:val="0"/>
                <w:kern w:val="0"/>
                <w:sz w:val="24"/>
                <w:szCs w:val="24"/>
                <w:highlight w:val="none"/>
                <w:lang w:val="en-US" w:eastAsia="zh-CN"/>
              </w:rPr>
              <w:t>00</w:t>
            </w:r>
            <w:r>
              <w:rPr>
                <w:rFonts w:hint="eastAsia" w:ascii="宋体" w:hAnsi="宋体" w:eastAsia="宋体" w:cs="宋体"/>
                <w:color w:val="auto"/>
                <w:spacing w:val="0"/>
                <w:kern w:val="0"/>
                <w:sz w:val="24"/>
                <w:szCs w:val="24"/>
                <w:highlight w:val="none"/>
              </w:rPr>
              <w:t>元以下罚款；对</w:t>
            </w:r>
            <w:r>
              <w:rPr>
                <w:rFonts w:hint="eastAsia" w:ascii="宋体" w:hAnsi="宋体" w:eastAsia="宋体" w:cs="宋体"/>
                <w:color w:val="auto"/>
                <w:spacing w:val="0"/>
                <w:kern w:val="0"/>
                <w:sz w:val="24"/>
                <w:szCs w:val="24"/>
                <w:highlight w:val="none"/>
                <w:shd w:val="clear" w:color="auto" w:fill="FFFFFF"/>
                <w:lang w:bidi="ar"/>
              </w:rPr>
              <w:t>食品</w:t>
            </w:r>
            <w:r>
              <w:rPr>
                <w:rFonts w:hint="eastAsia" w:ascii="宋体" w:hAnsi="宋体" w:eastAsia="宋体" w:cs="宋体"/>
                <w:color w:val="auto"/>
                <w:spacing w:val="0"/>
                <w:kern w:val="0"/>
                <w:sz w:val="24"/>
                <w:szCs w:val="24"/>
                <w:highlight w:val="none"/>
              </w:rPr>
              <w:t>摊贩处</w:t>
            </w:r>
            <w:r>
              <w:rPr>
                <w:rFonts w:hint="eastAsia" w:ascii="宋体" w:hAnsi="宋体" w:eastAsia="宋体" w:cs="宋体"/>
                <w:color w:val="auto"/>
                <w:spacing w:val="0"/>
                <w:kern w:val="0"/>
                <w:sz w:val="24"/>
                <w:szCs w:val="24"/>
                <w:highlight w:val="none"/>
                <w:lang w:val="en-US" w:eastAsia="zh-CN"/>
              </w:rPr>
              <w:t>500</w:t>
            </w:r>
            <w:r>
              <w:rPr>
                <w:rFonts w:hint="eastAsia" w:ascii="宋体" w:hAnsi="宋体" w:eastAsia="宋体" w:cs="宋体"/>
                <w:color w:val="auto"/>
                <w:spacing w:val="0"/>
                <w:kern w:val="0"/>
                <w:sz w:val="24"/>
                <w:szCs w:val="24"/>
                <w:highlight w:val="none"/>
              </w:rPr>
              <w:t>元以上</w:t>
            </w:r>
            <w:r>
              <w:rPr>
                <w:rFonts w:hint="eastAsia" w:ascii="宋体" w:hAnsi="宋体" w:eastAsia="宋体" w:cs="宋体"/>
                <w:color w:val="auto"/>
                <w:spacing w:val="0"/>
                <w:kern w:val="0"/>
                <w:sz w:val="24"/>
                <w:szCs w:val="24"/>
                <w:highlight w:val="none"/>
                <w:lang w:val="en-US" w:eastAsia="zh-CN"/>
              </w:rPr>
              <w:t>950</w:t>
            </w:r>
            <w:r>
              <w:rPr>
                <w:rFonts w:hint="eastAsia" w:ascii="宋体" w:hAnsi="宋体" w:eastAsia="宋体" w:cs="宋体"/>
                <w:color w:val="auto"/>
                <w:spacing w:val="0"/>
                <w:kern w:val="0"/>
                <w:sz w:val="24"/>
                <w:szCs w:val="24"/>
                <w:highlight w:val="none"/>
              </w:rPr>
              <w:t>元以下罚款；</w:t>
            </w:r>
            <w:r>
              <w:rPr>
                <w:rFonts w:hint="eastAsia" w:ascii="宋体" w:hAnsi="宋体" w:eastAsia="宋体" w:cs="宋体"/>
                <w:color w:val="auto"/>
                <w:spacing w:val="0"/>
                <w:kern w:val="0"/>
                <w:sz w:val="24"/>
                <w:szCs w:val="24"/>
                <w:highlight w:val="none"/>
                <w:shd w:val="clear" w:color="auto" w:fill="FFFFFF"/>
                <w:lang w:bidi="ar"/>
              </w:rPr>
              <w:t>并由原登记、备案部门撤销登记证、备案卡，当事人三年内不得再次申请登记、备案。</w:t>
            </w:r>
          </w:p>
        </w:tc>
      </w:tr>
      <w:tr w14:paraId="1641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6" w:hRule="atLeast"/>
          <w:jc w:val="center"/>
        </w:trPr>
        <w:tc>
          <w:tcPr>
            <w:tcW w:w="787" w:type="dxa"/>
            <w:vMerge w:val="continue"/>
            <w:tcBorders>
              <w:tl2br w:val="nil"/>
              <w:tr2bl w:val="nil"/>
            </w:tcBorders>
            <w:noWrap w:val="0"/>
            <w:vAlign w:val="center"/>
          </w:tcPr>
          <w:p w14:paraId="208C852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29D833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33E3EB1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vMerge w:val="continue"/>
            <w:tcBorders>
              <w:tl2br w:val="nil"/>
              <w:tr2bl w:val="nil"/>
            </w:tcBorders>
            <w:noWrap w:val="0"/>
            <w:vAlign w:val="center"/>
          </w:tcPr>
          <w:p w14:paraId="1B36B5A6">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p>
        </w:tc>
        <w:tc>
          <w:tcPr>
            <w:tcW w:w="3316" w:type="dxa"/>
            <w:vMerge w:val="continue"/>
            <w:tcBorders>
              <w:tl2br w:val="nil"/>
              <w:tr2bl w:val="nil"/>
            </w:tcBorders>
            <w:noWrap w:val="0"/>
            <w:vAlign w:val="center"/>
          </w:tcPr>
          <w:p w14:paraId="432259DA">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spacing w:val="0"/>
                <w:kern w:val="0"/>
                <w:sz w:val="24"/>
                <w:szCs w:val="24"/>
                <w:highlight w:val="none"/>
              </w:rPr>
            </w:pPr>
          </w:p>
        </w:tc>
        <w:tc>
          <w:tcPr>
            <w:tcW w:w="3267" w:type="dxa"/>
            <w:vMerge w:val="continue"/>
            <w:tcBorders>
              <w:tl2br w:val="nil"/>
              <w:tr2bl w:val="nil"/>
            </w:tcBorders>
            <w:noWrap w:val="0"/>
            <w:vAlign w:val="center"/>
          </w:tcPr>
          <w:p w14:paraId="000666F2">
            <w:pPr>
              <w:keepNext w:val="0"/>
              <w:keepLines w:val="0"/>
              <w:pageBreakBefore w:val="0"/>
              <w:widowControl/>
              <w:kinsoku/>
              <w:wordWrap/>
              <w:overflowPunct/>
              <w:topLinePunct w:val="0"/>
              <w:autoSpaceDE/>
              <w:autoSpaceDN/>
              <w:bidi w:val="0"/>
              <w:adjustRightInd/>
              <w:snapToGrid/>
              <w:spacing w:beforeAutospacing="0" w:afterAutospacing="0" w:line="380" w:lineRule="exact"/>
              <w:jc w:val="left"/>
              <w:textAlignment w:val="auto"/>
              <w:rPr>
                <w:rFonts w:hint="eastAsia" w:ascii="宋体" w:hAnsi="宋体" w:eastAsia="宋体" w:cs="宋体"/>
                <w:color w:val="auto"/>
                <w:spacing w:val="0"/>
                <w:kern w:val="0"/>
                <w:sz w:val="24"/>
                <w:szCs w:val="24"/>
                <w:highlight w:val="none"/>
              </w:rPr>
            </w:pPr>
          </w:p>
        </w:tc>
      </w:tr>
      <w:tr w14:paraId="544A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jc w:val="center"/>
        </w:trPr>
        <w:tc>
          <w:tcPr>
            <w:tcW w:w="787" w:type="dxa"/>
            <w:vMerge w:val="continue"/>
            <w:tcBorders>
              <w:tl2br w:val="nil"/>
              <w:tr2bl w:val="nil"/>
            </w:tcBorders>
            <w:noWrap w:val="0"/>
            <w:vAlign w:val="center"/>
          </w:tcPr>
          <w:p w14:paraId="4E6F7DE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09593E8">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792AB74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70C073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1085127F">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spacing w:val="0"/>
                <w:kern w:val="0"/>
                <w:sz w:val="24"/>
                <w:szCs w:val="24"/>
                <w:highlight w:val="none"/>
                <w:lang w:eastAsia="zh-CN"/>
              </w:rPr>
            </w:pPr>
            <w:r>
              <w:rPr>
                <w:rFonts w:hint="eastAsia" w:ascii="宋体" w:hAnsi="宋体" w:eastAsia="宋体" w:cs="宋体"/>
                <w:color w:val="auto"/>
                <w:spacing w:val="0"/>
                <w:sz w:val="24"/>
                <w:szCs w:val="24"/>
                <w:highlight w:val="none"/>
              </w:rPr>
              <w:t>违法行为持续时间在3个月以上6个月以下的</w:t>
            </w:r>
            <w:r>
              <w:rPr>
                <w:rFonts w:hint="eastAsia" w:ascii="宋体" w:hAnsi="宋体" w:cs="宋体"/>
                <w:color w:val="auto"/>
                <w:spacing w:val="0"/>
                <w:sz w:val="24"/>
                <w:szCs w:val="24"/>
                <w:highlight w:val="none"/>
                <w:lang w:eastAsia="zh-CN"/>
              </w:rPr>
              <w:t>。</w:t>
            </w:r>
          </w:p>
        </w:tc>
        <w:tc>
          <w:tcPr>
            <w:tcW w:w="3267" w:type="dxa"/>
            <w:tcBorders>
              <w:tl2br w:val="nil"/>
              <w:tr2bl w:val="nil"/>
            </w:tcBorders>
            <w:noWrap w:val="0"/>
            <w:vAlign w:val="center"/>
          </w:tcPr>
          <w:p w14:paraId="217E7C92">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color w:val="auto"/>
                <w:spacing w:val="0"/>
                <w:kern w:val="0"/>
                <w:sz w:val="24"/>
                <w:szCs w:val="24"/>
                <w:highlight w:val="none"/>
              </w:rPr>
            </w:pPr>
            <w:r>
              <w:rPr>
                <w:rFonts w:hint="eastAsia" w:ascii="宋体" w:hAnsi="宋体" w:eastAsia="宋体" w:cs="宋体"/>
                <w:color w:val="auto"/>
                <w:spacing w:val="0"/>
                <w:kern w:val="0"/>
                <w:sz w:val="24"/>
                <w:szCs w:val="24"/>
                <w:highlight w:val="none"/>
              </w:rPr>
              <w:t>对</w:t>
            </w:r>
            <w:r>
              <w:rPr>
                <w:rFonts w:hint="eastAsia" w:ascii="宋体" w:hAnsi="宋体" w:eastAsia="宋体" w:cs="宋体"/>
                <w:color w:val="auto"/>
                <w:spacing w:val="0"/>
                <w:kern w:val="0"/>
                <w:sz w:val="24"/>
                <w:szCs w:val="24"/>
                <w:highlight w:val="none"/>
                <w:shd w:val="clear" w:color="auto" w:fill="FFFFFF"/>
                <w:lang w:bidi="ar"/>
              </w:rPr>
              <w:t>食品小作坊、小餐饮店、小食杂店</w:t>
            </w:r>
            <w:r>
              <w:rPr>
                <w:rFonts w:hint="eastAsia" w:ascii="宋体" w:hAnsi="宋体" w:eastAsia="宋体" w:cs="宋体"/>
                <w:color w:val="auto"/>
                <w:spacing w:val="0"/>
                <w:kern w:val="0"/>
                <w:sz w:val="24"/>
                <w:szCs w:val="24"/>
                <w:highlight w:val="none"/>
              </w:rPr>
              <w:t>处74</w:t>
            </w:r>
            <w:r>
              <w:rPr>
                <w:rFonts w:hint="eastAsia" w:ascii="宋体" w:hAnsi="宋体" w:cs="宋体"/>
                <w:color w:val="auto"/>
                <w:spacing w:val="0"/>
                <w:kern w:val="0"/>
                <w:sz w:val="24"/>
                <w:szCs w:val="24"/>
                <w:highlight w:val="none"/>
                <w:lang w:val="en-US" w:eastAsia="zh-CN"/>
              </w:rPr>
              <w:t>00</w:t>
            </w:r>
            <w:r>
              <w:rPr>
                <w:rFonts w:hint="eastAsia" w:ascii="宋体" w:hAnsi="宋体" w:eastAsia="宋体" w:cs="宋体"/>
                <w:color w:val="auto"/>
                <w:spacing w:val="0"/>
                <w:kern w:val="0"/>
                <w:sz w:val="24"/>
                <w:szCs w:val="24"/>
                <w:highlight w:val="none"/>
              </w:rPr>
              <w:t>元以上1.46万元以下罚款；对</w:t>
            </w:r>
            <w:r>
              <w:rPr>
                <w:rFonts w:hint="eastAsia" w:ascii="宋体" w:hAnsi="宋体" w:eastAsia="宋体" w:cs="宋体"/>
                <w:color w:val="auto"/>
                <w:spacing w:val="0"/>
                <w:kern w:val="0"/>
                <w:sz w:val="24"/>
                <w:szCs w:val="24"/>
                <w:highlight w:val="none"/>
                <w:shd w:val="clear" w:color="auto" w:fill="FFFFFF"/>
                <w:lang w:bidi="ar"/>
              </w:rPr>
              <w:t>食品</w:t>
            </w:r>
            <w:r>
              <w:rPr>
                <w:rFonts w:hint="eastAsia" w:ascii="宋体" w:hAnsi="宋体" w:eastAsia="宋体" w:cs="宋体"/>
                <w:color w:val="auto"/>
                <w:spacing w:val="0"/>
                <w:kern w:val="0"/>
                <w:sz w:val="24"/>
                <w:szCs w:val="24"/>
                <w:highlight w:val="none"/>
              </w:rPr>
              <w:t>摊贩处</w:t>
            </w:r>
            <w:r>
              <w:rPr>
                <w:rFonts w:hint="eastAsia" w:ascii="宋体" w:hAnsi="宋体" w:eastAsia="宋体" w:cs="宋体"/>
                <w:color w:val="auto"/>
                <w:spacing w:val="0"/>
                <w:kern w:val="0"/>
                <w:sz w:val="24"/>
                <w:szCs w:val="24"/>
                <w:highlight w:val="none"/>
                <w:lang w:val="en-US" w:eastAsia="zh-CN"/>
              </w:rPr>
              <w:t>950</w:t>
            </w:r>
            <w:r>
              <w:rPr>
                <w:rFonts w:hint="eastAsia" w:ascii="宋体" w:hAnsi="宋体" w:eastAsia="宋体" w:cs="宋体"/>
                <w:color w:val="auto"/>
                <w:spacing w:val="0"/>
                <w:kern w:val="0"/>
                <w:sz w:val="24"/>
                <w:szCs w:val="24"/>
                <w:highlight w:val="none"/>
              </w:rPr>
              <w:t>元以上</w:t>
            </w:r>
            <w:r>
              <w:rPr>
                <w:rFonts w:hint="eastAsia" w:ascii="宋体" w:hAnsi="宋体" w:eastAsia="宋体" w:cs="宋体"/>
                <w:color w:val="auto"/>
                <w:spacing w:val="0"/>
                <w:kern w:val="0"/>
                <w:sz w:val="24"/>
                <w:szCs w:val="24"/>
                <w:highlight w:val="none"/>
                <w:lang w:val="en-US" w:eastAsia="zh-CN"/>
              </w:rPr>
              <w:t>1550</w:t>
            </w:r>
            <w:r>
              <w:rPr>
                <w:rFonts w:hint="eastAsia" w:ascii="宋体" w:hAnsi="宋体" w:eastAsia="宋体" w:cs="宋体"/>
                <w:color w:val="auto"/>
                <w:spacing w:val="0"/>
                <w:kern w:val="0"/>
                <w:sz w:val="24"/>
                <w:szCs w:val="24"/>
                <w:highlight w:val="none"/>
              </w:rPr>
              <w:t>元以下罚款；</w:t>
            </w:r>
            <w:r>
              <w:rPr>
                <w:rFonts w:hint="eastAsia" w:ascii="宋体" w:hAnsi="宋体" w:eastAsia="宋体" w:cs="宋体"/>
                <w:color w:val="auto"/>
                <w:spacing w:val="0"/>
                <w:kern w:val="0"/>
                <w:sz w:val="24"/>
                <w:szCs w:val="24"/>
                <w:highlight w:val="none"/>
                <w:shd w:val="clear" w:color="auto" w:fill="FFFFFF"/>
                <w:lang w:bidi="ar"/>
              </w:rPr>
              <w:t>并由原登记、备案部门撤销</w:t>
            </w:r>
            <w:r>
              <w:rPr>
                <w:rFonts w:hint="eastAsia" w:ascii="宋体" w:hAnsi="宋体" w:eastAsia="宋体" w:cs="宋体"/>
                <w:color w:val="auto"/>
                <w:spacing w:val="-6"/>
                <w:kern w:val="0"/>
                <w:sz w:val="24"/>
                <w:szCs w:val="24"/>
                <w:highlight w:val="none"/>
                <w:shd w:val="clear" w:color="auto" w:fill="FFFFFF"/>
                <w:lang w:bidi="ar"/>
              </w:rPr>
              <w:t>登记证、备案卡，当事人三年内不得再次申请登记、备案。</w:t>
            </w:r>
          </w:p>
        </w:tc>
      </w:tr>
      <w:tr w14:paraId="54A0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8" w:hRule="atLeast"/>
          <w:jc w:val="center"/>
        </w:trPr>
        <w:tc>
          <w:tcPr>
            <w:tcW w:w="787" w:type="dxa"/>
            <w:vMerge w:val="continue"/>
            <w:tcBorders>
              <w:tl2br w:val="nil"/>
              <w:tr2bl w:val="nil"/>
            </w:tcBorders>
            <w:noWrap w:val="0"/>
            <w:vAlign w:val="center"/>
          </w:tcPr>
          <w:p w14:paraId="70C17D3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1C40C29A">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283ACA3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61879E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p>
          <w:p w14:paraId="4DCB25C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p>
          <w:p w14:paraId="75A93E1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091126E9">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spacing w:val="0"/>
                <w:kern w:val="0"/>
                <w:sz w:val="24"/>
                <w:szCs w:val="24"/>
                <w:highlight w:val="none"/>
                <w:lang w:eastAsia="zh-CN"/>
              </w:rPr>
            </w:pPr>
            <w:r>
              <w:rPr>
                <w:rFonts w:hint="eastAsia" w:ascii="宋体" w:hAnsi="宋体" w:eastAsia="宋体" w:cs="宋体"/>
                <w:color w:val="auto"/>
                <w:spacing w:val="0"/>
                <w:sz w:val="24"/>
                <w:szCs w:val="24"/>
                <w:highlight w:val="none"/>
              </w:rPr>
              <w:t>违法行为持续时间在</w:t>
            </w:r>
            <w:r>
              <w:rPr>
                <w:rFonts w:hint="eastAsia" w:ascii="宋体" w:hAnsi="宋体" w:cs="宋体"/>
                <w:color w:val="auto"/>
                <w:spacing w:val="0"/>
                <w:sz w:val="24"/>
                <w:szCs w:val="24"/>
                <w:highlight w:val="none"/>
                <w:lang w:val="en-US" w:eastAsia="zh-CN"/>
              </w:rPr>
              <w:t>6</w:t>
            </w:r>
            <w:r>
              <w:rPr>
                <w:rFonts w:hint="eastAsia" w:ascii="宋体" w:hAnsi="宋体" w:eastAsia="宋体" w:cs="宋体"/>
                <w:color w:val="auto"/>
                <w:spacing w:val="0"/>
                <w:sz w:val="24"/>
                <w:szCs w:val="24"/>
                <w:highlight w:val="none"/>
              </w:rPr>
              <w:t>个月以上的</w:t>
            </w:r>
            <w:r>
              <w:rPr>
                <w:rFonts w:hint="eastAsia" w:ascii="宋体" w:hAnsi="宋体" w:cs="宋体"/>
                <w:color w:val="auto"/>
                <w:spacing w:val="0"/>
                <w:sz w:val="24"/>
                <w:szCs w:val="24"/>
                <w:highlight w:val="none"/>
                <w:lang w:eastAsia="zh-CN"/>
              </w:rPr>
              <w:t>。</w:t>
            </w:r>
          </w:p>
        </w:tc>
        <w:tc>
          <w:tcPr>
            <w:tcW w:w="3267" w:type="dxa"/>
            <w:tcBorders>
              <w:tl2br w:val="nil"/>
              <w:tr2bl w:val="nil"/>
            </w:tcBorders>
            <w:noWrap w:val="0"/>
            <w:vAlign w:val="center"/>
          </w:tcPr>
          <w:p w14:paraId="77BD8635">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color w:val="auto"/>
                <w:spacing w:val="0"/>
                <w:kern w:val="0"/>
                <w:sz w:val="24"/>
                <w:szCs w:val="24"/>
                <w:highlight w:val="none"/>
              </w:rPr>
            </w:pPr>
            <w:r>
              <w:rPr>
                <w:rFonts w:hint="eastAsia" w:ascii="宋体" w:hAnsi="宋体" w:eastAsia="宋体" w:cs="宋体"/>
                <w:color w:val="auto"/>
                <w:spacing w:val="0"/>
                <w:kern w:val="0"/>
                <w:sz w:val="24"/>
                <w:szCs w:val="24"/>
                <w:highlight w:val="none"/>
              </w:rPr>
              <w:t>对</w:t>
            </w:r>
            <w:r>
              <w:rPr>
                <w:rFonts w:hint="eastAsia" w:ascii="宋体" w:hAnsi="宋体" w:eastAsia="宋体" w:cs="宋体"/>
                <w:color w:val="auto"/>
                <w:spacing w:val="0"/>
                <w:kern w:val="0"/>
                <w:sz w:val="24"/>
                <w:szCs w:val="24"/>
                <w:highlight w:val="none"/>
                <w:shd w:val="clear" w:color="auto" w:fill="FFFFFF"/>
                <w:lang w:bidi="ar"/>
              </w:rPr>
              <w:t>食品小作坊、小餐饮店、小食杂店</w:t>
            </w:r>
            <w:r>
              <w:rPr>
                <w:rFonts w:hint="eastAsia" w:ascii="宋体" w:hAnsi="宋体" w:eastAsia="宋体" w:cs="宋体"/>
                <w:color w:val="auto"/>
                <w:spacing w:val="0"/>
                <w:kern w:val="0"/>
                <w:sz w:val="24"/>
                <w:szCs w:val="24"/>
                <w:highlight w:val="none"/>
              </w:rPr>
              <w:t>处1.46万以上2万元以下罚款。对</w:t>
            </w:r>
            <w:r>
              <w:rPr>
                <w:rFonts w:hint="eastAsia" w:ascii="宋体" w:hAnsi="宋体" w:eastAsia="宋体" w:cs="宋体"/>
                <w:color w:val="auto"/>
                <w:spacing w:val="0"/>
                <w:kern w:val="0"/>
                <w:sz w:val="24"/>
                <w:szCs w:val="24"/>
                <w:highlight w:val="none"/>
                <w:shd w:val="clear" w:color="auto" w:fill="FFFFFF"/>
                <w:lang w:bidi="ar"/>
              </w:rPr>
              <w:t>食品</w:t>
            </w:r>
            <w:r>
              <w:rPr>
                <w:rFonts w:hint="eastAsia" w:ascii="宋体" w:hAnsi="宋体" w:eastAsia="宋体" w:cs="宋体"/>
                <w:color w:val="auto"/>
                <w:spacing w:val="0"/>
                <w:kern w:val="0"/>
                <w:sz w:val="24"/>
                <w:szCs w:val="24"/>
                <w:highlight w:val="none"/>
              </w:rPr>
              <w:t>摊贩处</w:t>
            </w:r>
            <w:r>
              <w:rPr>
                <w:rFonts w:hint="eastAsia" w:ascii="宋体" w:hAnsi="宋体" w:eastAsia="宋体" w:cs="宋体"/>
                <w:color w:val="auto"/>
                <w:spacing w:val="0"/>
                <w:kern w:val="0"/>
                <w:sz w:val="24"/>
                <w:szCs w:val="24"/>
                <w:highlight w:val="none"/>
                <w:lang w:val="en-US" w:eastAsia="zh-CN"/>
              </w:rPr>
              <w:t>1550</w:t>
            </w:r>
            <w:r>
              <w:rPr>
                <w:rFonts w:hint="eastAsia" w:ascii="宋体" w:hAnsi="宋体" w:eastAsia="宋体" w:cs="宋体"/>
                <w:color w:val="auto"/>
                <w:spacing w:val="0"/>
                <w:kern w:val="0"/>
                <w:sz w:val="24"/>
                <w:szCs w:val="24"/>
                <w:highlight w:val="none"/>
              </w:rPr>
              <w:t>元以上</w:t>
            </w:r>
            <w:r>
              <w:rPr>
                <w:rFonts w:hint="eastAsia" w:ascii="宋体" w:hAnsi="宋体" w:eastAsia="宋体" w:cs="宋体"/>
                <w:color w:val="auto"/>
                <w:spacing w:val="0"/>
                <w:kern w:val="0"/>
                <w:sz w:val="24"/>
                <w:szCs w:val="24"/>
                <w:highlight w:val="none"/>
                <w:lang w:val="en-US" w:eastAsia="zh-CN"/>
              </w:rPr>
              <w:t>2000</w:t>
            </w:r>
            <w:r>
              <w:rPr>
                <w:rFonts w:hint="eastAsia" w:ascii="宋体" w:hAnsi="宋体" w:eastAsia="宋体" w:cs="宋体"/>
                <w:color w:val="auto"/>
                <w:spacing w:val="0"/>
                <w:kern w:val="0"/>
                <w:sz w:val="24"/>
                <w:szCs w:val="24"/>
                <w:highlight w:val="none"/>
              </w:rPr>
              <w:t>元以下罚款；</w:t>
            </w:r>
            <w:r>
              <w:rPr>
                <w:rFonts w:hint="eastAsia" w:ascii="宋体" w:hAnsi="宋体" w:eastAsia="宋体" w:cs="宋体"/>
                <w:color w:val="auto"/>
                <w:spacing w:val="0"/>
                <w:kern w:val="0"/>
                <w:sz w:val="24"/>
                <w:szCs w:val="24"/>
                <w:highlight w:val="none"/>
                <w:shd w:val="clear" w:color="auto" w:fill="FFFFFF"/>
                <w:lang w:bidi="ar"/>
              </w:rPr>
              <w:t>并由原登记、备案部门撤销登记证、备案卡，当事人三年内不得再次申请登记、备案。</w:t>
            </w:r>
          </w:p>
        </w:tc>
      </w:tr>
      <w:tr w14:paraId="6A0E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787" w:type="dxa"/>
            <w:vMerge w:val="restart"/>
            <w:tcBorders>
              <w:tl2br w:val="nil"/>
              <w:tr2bl w:val="nil"/>
            </w:tcBorders>
            <w:noWrap w:val="0"/>
            <w:vAlign w:val="center"/>
          </w:tcPr>
          <w:p w14:paraId="7201147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3</w:t>
            </w:r>
            <w:r>
              <w:rPr>
                <w:rFonts w:hint="eastAsia" w:ascii="宋体" w:hAnsi="宋体" w:cs="宋体"/>
                <w:b w:val="0"/>
                <w:bCs w:val="0"/>
                <w:color w:val="auto"/>
                <w:kern w:val="0"/>
                <w:sz w:val="24"/>
                <w:szCs w:val="24"/>
                <w:highlight w:val="none"/>
                <w:lang w:val="en-US" w:eastAsia="zh-CN"/>
              </w:rPr>
              <w:t>22</w:t>
            </w:r>
          </w:p>
        </w:tc>
        <w:tc>
          <w:tcPr>
            <w:tcW w:w="1718" w:type="dxa"/>
            <w:vMerge w:val="restart"/>
            <w:tcBorders>
              <w:tl2br w:val="nil"/>
              <w:tr2bl w:val="nil"/>
            </w:tcBorders>
            <w:noWrap w:val="0"/>
            <w:vAlign w:val="center"/>
          </w:tcPr>
          <w:p w14:paraId="3D840530">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w:t>
            </w:r>
            <w:r>
              <w:rPr>
                <w:rFonts w:hint="eastAsia" w:ascii="宋体" w:hAnsi="宋体" w:eastAsia="宋体" w:cs="宋体"/>
                <w:b w:val="0"/>
                <w:bCs w:val="0"/>
                <w:color w:val="auto"/>
                <w:kern w:val="0"/>
                <w:sz w:val="24"/>
                <w:szCs w:val="24"/>
                <w:highlight w:val="none"/>
                <w:shd w:val="clear" w:color="auto" w:fill="FFFFFF"/>
                <w:lang w:bidi="ar"/>
              </w:rPr>
              <w:t>吉林省食品小作坊小餐饮店小食杂店和食品摊贩管理条例</w:t>
            </w:r>
            <w:r>
              <w:rPr>
                <w:rFonts w:hint="eastAsia" w:ascii="宋体" w:hAnsi="宋体" w:eastAsia="宋体" w:cs="宋体"/>
                <w:b w:val="0"/>
                <w:bCs w:val="0"/>
                <w:color w:val="auto"/>
                <w:kern w:val="0"/>
                <w:sz w:val="24"/>
                <w:szCs w:val="24"/>
                <w:highlight w:val="none"/>
              </w:rPr>
              <w:t>》</w:t>
            </w:r>
          </w:p>
        </w:tc>
        <w:tc>
          <w:tcPr>
            <w:tcW w:w="4132" w:type="dxa"/>
            <w:vMerge w:val="restart"/>
            <w:tcBorders>
              <w:tl2br w:val="nil"/>
              <w:tr2bl w:val="nil"/>
            </w:tcBorders>
            <w:noWrap w:val="0"/>
            <w:vAlign w:val="center"/>
          </w:tcPr>
          <w:p w14:paraId="7DCAC50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u w:val="none"/>
              </w:rPr>
            </w:pPr>
            <w:r>
              <w:rPr>
                <w:rStyle w:val="19"/>
                <w:rFonts w:hint="eastAsia" w:ascii="宋体" w:hAnsi="宋体" w:eastAsia="宋体" w:cs="宋体"/>
                <w:color w:val="auto"/>
                <w:sz w:val="24"/>
                <w:szCs w:val="24"/>
                <w:highlight w:val="none"/>
                <w:u w:val="none"/>
                <w:shd w:val="clear" w:color="auto" w:fill="FFFFFF"/>
                <w:lang w:bidi="ar"/>
              </w:rPr>
              <w:t>第四十四条</w:t>
            </w:r>
            <w:r>
              <w:rPr>
                <w:rStyle w:val="19"/>
                <w:rFonts w:hint="eastAsia" w:ascii="宋体" w:hAnsi="宋体" w:cs="宋体"/>
                <w:color w:val="auto"/>
                <w:sz w:val="24"/>
                <w:szCs w:val="24"/>
                <w:highlight w:val="none"/>
                <w:u w:val="none"/>
                <w:shd w:val="clear" w:color="auto" w:fill="FFFFFF"/>
                <w:lang w:val="en-US" w:eastAsia="zh-CN" w:bidi="ar"/>
              </w:rPr>
              <w:t xml:space="preserve"> </w:t>
            </w:r>
            <w:r>
              <w:rPr>
                <w:rStyle w:val="19"/>
                <w:rFonts w:hint="eastAsia" w:ascii="宋体" w:hAnsi="宋体" w:eastAsia="宋体" w:cs="宋体"/>
                <w:color w:val="auto"/>
                <w:sz w:val="24"/>
                <w:szCs w:val="24"/>
                <w:highlight w:val="none"/>
                <w:u w:val="none"/>
                <w:shd w:val="clear" w:color="auto" w:fill="FFFFFF"/>
                <w:lang w:bidi="ar"/>
              </w:rPr>
              <w:t>食品小作坊、小餐饮店、小食杂店和食品摊贩违反本条例第十九条第一项至第五项规定，由市场监督管理部门没收违法所得和违法生产经营的食品，处二千元以上二万元以下罚款；情节严重的，处二万元以上五万元以下罚款，责令停产停业，直至由原登记、备案机关吊销登记证、备案卡；违反第六项至第九项规定，由市场监督管理部门处五百元以上二千元以下罚款；情节严重的，处二千元以上一万元以下罚款，责令停产停业，直至由原登记、备案机关吊销登记证、备案卡。</w:t>
            </w:r>
          </w:p>
        </w:tc>
        <w:tc>
          <w:tcPr>
            <w:tcW w:w="1133" w:type="dxa"/>
            <w:vMerge w:val="restart"/>
            <w:tcBorders>
              <w:tl2br w:val="nil"/>
              <w:tr2bl w:val="nil"/>
            </w:tcBorders>
            <w:noWrap w:val="0"/>
            <w:vAlign w:val="center"/>
          </w:tcPr>
          <w:p w14:paraId="583E58C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较轻</w:t>
            </w:r>
          </w:p>
        </w:tc>
        <w:tc>
          <w:tcPr>
            <w:tcW w:w="3316" w:type="dxa"/>
            <w:tcBorders>
              <w:tl2br w:val="nil"/>
              <w:tr2bl w:val="nil"/>
            </w:tcBorders>
            <w:noWrap w:val="0"/>
            <w:vAlign w:val="center"/>
          </w:tcPr>
          <w:p w14:paraId="05B2F77B">
            <w:pPr>
              <w:keepNext w:val="0"/>
              <w:keepLines w:val="0"/>
              <w:pageBreakBefore w:val="0"/>
              <w:widowControl/>
              <w:kinsoku/>
              <w:wordWrap/>
              <w:overflowPunct/>
              <w:topLinePunct w:val="0"/>
              <w:autoSpaceDE/>
              <w:autoSpaceDN/>
              <w:bidi w:val="0"/>
              <w:adjustRightInd/>
              <w:snapToGrid/>
              <w:spacing w:beforeAutospacing="0" w:afterAutospacing="0" w:line="380" w:lineRule="exact"/>
              <w:jc w:val="left"/>
              <w:textAlignment w:val="auto"/>
              <w:rPr>
                <w:rFonts w:hint="eastAsia" w:ascii="宋体" w:hAnsi="宋体" w:eastAsia="宋体" w:cs="宋体"/>
                <w:color w:val="auto"/>
                <w:spacing w:val="0"/>
                <w:kern w:val="0"/>
                <w:sz w:val="24"/>
                <w:szCs w:val="24"/>
                <w:highlight w:val="none"/>
                <w:u w:val="none"/>
              </w:rPr>
            </w:pPr>
            <w:r>
              <w:rPr>
                <w:rFonts w:hint="eastAsia" w:ascii="宋体" w:hAnsi="宋体" w:eastAsia="宋体" w:cs="宋体"/>
                <w:color w:val="auto"/>
                <w:spacing w:val="0"/>
                <w:kern w:val="0"/>
                <w:sz w:val="24"/>
                <w:szCs w:val="24"/>
                <w:highlight w:val="none"/>
                <w:u w:val="none"/>
                <w:shd w:val="clear" w:color="auto" w:fill="FFFFFF"/>
                <w:lang w:bidi="ar"/>
              </w:rPr>
              <w:t>违反本条例第十九条第一项至第五项规定，</w:t>
            </w:r>
            <w:r>
              <w:rPr>
                <w:rFonts w:hint="eastAsia" w:ascii="宋体" w:hAnsi="宋体" w:eastAsia="宋体" w:cs="宋体"/>
                <w:color w:val="auto"/>
                <w:spacing w:val="0"/>
                <w:kern w:val="0"/>
                <w:sz w:val="24"/>
                <w:szCs w:val="24"/>
                <w:highlight w:val="none"/>
                <w:u w:val="none"/>
              </w:rPr>
              <w:t>货值金额</w:t>
            </w:r>
            <w:r>
              <w:rPr>
                <w:rFonts w:hint="eastAsia" w:ascii="宋体" w:hAnsi="宋体" w:cs="宋体"/>
                <w:color w:val="auto"/>
                <w:spacing w:val="0"/>
                <w:kern w:val="0"/>
                <w:sz w:val="24"/>
                <w:szCs w:val="24"/>
                <w:highlight w:val="none"/>
                <w:u w:val="none"/>
                <w:lang w:val="en-US" w:eastAsia="zh-CN"/>
              </w:rPr>
              <w:t>500</w:t>
            </w:r>
            <w:r>
              <w:rPr>
                <w:rFonts w:hint="eastAsia" w:ascii="宋体" w:hAnsi="宋体" w:eastAsia="宋体" w:cs="宋体"/>
                <w:color w:val="auto"/>
                <w:spacing w:val="0"/>
                <w:kern w:val="0"/>
                <w:sz w:val="24"/>
                <w:szCs w:val="24"/>
                <w:highlight w:val="none"/>
                <w:u w:val="none"/>
              </w:rPr>
              <w:t>元以下的。</w:t>
            </w:r>
          </w:p>
        </w:tc>
        <w:tc>
          <w:tcPr>
            <w:tcW w:w="3267" w:type="dxa"/>
            <w:tcBorders>
              <w:tl2br w:val="nil"/>
              <w:tr2bl w:val="nil"/>
            </w:tcBorders>
            <w:noWrap w:val="0"/>
            <w:vAlign w:val="center"/>
          </w:tcPr>
          <w:p w14:paraId="535917BF">
            <w:pPr>
              <w:keepNext w:val="0"/>
              <w:keepLines w:val="0"/>
              <w:pageBreakBefore w:val="0"/>
              <w:widowControl/>
              <w:kinsoku/>
              <w:wordWrap/>
              <w:overflowPunct/>
              <w:topLinePunct w:val="0"/>
              <w:autoSpaceDE/>
              <w:autoSpaceDN/>
              <w:bidi w:val="0"/>
              <w:adjustRightInd/>
              <w:snapToGrid/>
              <w:spacing w:beforeAutospacing="0" w:afterAutospacing="0" w:line="380" w:lineRule="exact"/>
              <w:jc w:val="left"/>
              <w:textAlignment w:val="auto"/>
              <w:rPr>
                <w:rFonts w:hint="eastAsia" w:ascii="宋体" w:hAnsi="宋体" w:eastAsia="宋体" w:cs="宋体"/>
                <w:color w:val="auto"/>
                <w:kern w:val="0"/>
                <w:sz w:val="24"/>
                <w:szCs w:val="24"/>
                <w:highlight w:val="none"/>
                <w:u w:val="none"/>
              </w:rPr>
            </w:pPr>
            <w:r>
              <w:rPr>
                <w:rStyle w:val="19"/>
                <w:rFonts w:hint="eastAsia" w:ascii="宋体" w:hAnsi="宋体" w:eastAsia="宋体" w:cs="宋体"/>
                <w:color w:val="auto"/>
                <w:sz w:val="24"/>
                <w:szCs w:val="24"/>
                <w:highlight w:val="none"/>
                <w:u w:val="none"/>
                <w:shd w:val="clear" w:color="auto" w:fill="FFFFFF"/>
                <w:lang w:bidi="ar"/>
              </w:rPr>
              <w:t>没收违法所得和违法生产经营的食品；</w:t>
            </w:r>
            <w:r>
              <w:rPr>
                <w:rFonts w:hint="eastAsia" w:ascii="宋体" w:hAnsi="宋体" w:eastAsia="宋体" w:cs="宋体"/>
                <w:color w:val="auto"/>
                <w:kern w:val="0"/>
                <w:sz w:val="24"/>
                <w:szCs w:val="24"/>
                <w:highlight w:val="none"/>
                <w:u w:val="none"/>
              </w:rPr>
              <w:t>处</w:t>
            </w:r>
            <w:r>
              <w:rPr>
                <w:rFonts w:hint="eastAsia" w:ascii="宋体" w:hAnsi="宋体" w:cs="宋体"/>
                <w:color w:val="auto"/>
                <w:kern w:val="0"/>
                <w:sz w:val="24"/>
                <w:szCs w:val="24"/>
                <w:highlight w:val="none"/>
                <w:u w:val="none"/>
                <w:lang w:val="en-US" w:eastAsia="zh-CN"/>
              </w:rPr>
              <w:t>2000</w:t>
            </w:r>
            <w:r>
              <w:rPr>
                <w:rFonts w:hint="eastAsia" w:ascii="宋体" w:hAnsi="宋体" w:eastAsia="宋体" w:cs="宋体"/>
                <w:color w:val="auto"/>
                <w:kern w:val="0"/>
                <w:sz w:val="24"/>
                <w:szCs w:val="24"/>
                <w:highlight w:val="none"/>
                <w:u w:val="none"/>
              </w:rPr>
              <w:t>元以上1万元以下罚款。</w:t>
            </w:r>
          </w:p>
        </w:tc>
      </w:tr>
      <w:tr w14:paraId="612B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continue"/>
            <w:tcBorders>
              <w:tl2br w:val="nil"/>
              <w:tr2bl w:val="nil"/>
            </w:tcBorders>
            <w:noWrap w:val="0"/>
            <w:vAlign w:val="center"/>
          </w:tcPr>
          <w:p w14:paraId="60146BB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lang w:val="en-US" w:eastAsia="zh-CN"/>
              </w:rPr>
            </w:pPr>
          </w:p>
        </w:tc>
        <w:tc>
          <w:tcPr>
            <w:tcW w:w="1718" w:type="dxa"/>
            <w:vMerge w:val="continue"/>
            <w:tcBorders>
              <w:tl2br w:val="nil"/>
              <w:tr2bl w:val="nil"/>
            </w:tcBorders>
            <w:noWrap w:val="0"/>
            <w:vAlign w:val="center"/>
          </w:tcPr>
          <w:p w14:paraId="06660339">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p>
        </w:tc>
        <w:tc>
          <w:tcPr>
            <w:tcW w:w="4132" w:type="dxa"/>
            <w:vMerge w:val="continue"/>
            <w:tcBorders>
              <w:tl2br w:val="nil"/>
              <w:tr2bl w:val="nil"/>
            </w:tcBorders>
            <w:noWrap w:val="0"/>
            <w:vAlign w:val="center"/>
          </w:tcPr>
          <w:p w14:paraId="066620A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Style w:val="19"/>
                <w:rFonts w:hint="eastAsia" w:ascii="宋体" w:hAnsi="宋体" w:eastAsia="宋体" w:cs="宋体"/>
                <w:color w:val="auto"/>
                <w:sz w:val="24"/>
                <w:szCs w:val="24"/>
                <w:highlight w:val="none"/>
                <w:u w:val="none"/>
                <w:shd w:val="clear" w:color="auto" w:fill="FFFFFF"/>
                <w:lang w:bidi="ar"/>
              </w:rPr>
            </w:pPr>
          </w:p>
        </w:tc>
        <w:tc>
          <w:tcPr>
            <w:tcW w:w="1133" w:type="dxa"/>
            <w:vMerge w:val="continue"/>
            <w:tcBorders>
              <w:tl2br w:val="nil"/>
              <w:tr2bl w:val="nil"/>
            </w:tcBorders>
            <w:noWrap w:val="0"/>
            <w:vAlign w:val="center"/>
          </w:tcPr>
          <w:p w14:paraId="34FD15B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u w:val="none"/>
              </w:rPr>
            </w:pPr>
          </w:p>
        </w:tc>
        <w:tc>
          <w:tcPr>
            <w:tcW w:w="3316" w:type="dxa"/>
            <w:tcBorders>
              <w:tl2br w:val="nil"/>
              <w:tr2bl w:val="nil"/>
            </w:tcBorders>
            <w:noWrap w:val="0"/>
            <w:vAlign w:val="center"/>
          </w:tcPr>
          <w:p w14:paraId="53379528">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color w:val="auto"/>
                <w:spacing w:val="0"/>
                <w:kern w:val="0"/>
                <w:sz w:val="24"/>
                <w:szCs w:val="24"/>
                <w:highlight w:val="none"/>
                <w:u w:val="none"/>
                <w:shd w:val="clear" w:color="auto" w:fill="FFFFFF"/>
                <w:lang w:bidi="ar"/>
              </w:rPr>
            </w:pPr>
            <w:r>
              <w:rPr>
                <w:rFonts w:hint="eastAsia" w:ascii="宋体" w:hAnsi="宋体" w:eastAsia="宋体" w:cs="宋体"/>
                <w:color w:val="auto"/>
                <w:spacing w:val="0"/>
                <w:kern w:val="0"/>
                <w:sz w:val="24"/>
                <w:szCs w:val="24"/>
                <w:highlight w:val="none"/>
                <w:u w:val="none"/>
                <w:shd w:val="clear" w:color="auto" w:fill="FFFFFF"/>
                <w:lang w:bidi="ar"/>
              </w:rPr>
              <w:t>违反第六项至第九项规定，</w:t>
            </w:r>
            <w:r>
              <w:rPr>
                <w:rFonts w:hint="eastAsia" w:ascii="宋体" w:hAnsi="宋体" w:eastAsia="宋体" w:cs="宋体"/>
                <w:color w:val="auto"/>
                <w:spacing w:val="0"/>
                <w:kern w:val="0"/>
                <w:sz w:val="24"/>
                <w:szCs w:val="24"/>
                <w:highlight w:val="none"/>
                <w:u w:val="none"/>
              </w:rPr>
              <w:t>货值金额</w:t>
            </w:r>
            <w:r>
              <w:rPr>
                <w:rFonts w:hint="eastAsia" w:ascii="宋体" w:hAnsi="宋体" w:cs="宋体"/>
                <w:color w:val="auto"/>
                <w:spacing w:val="0"/>
                <w:kern w:val="0"/>
                <w:sz w:val="24"/>
                <w:szCs w:val="24"/>
                <w:highlight w:val="none"/>
                <w:u w:val="none"/>
                <w:lang w:val="en-US" w:eastAsia="zh-CN"/>
              </w:rPr>
              <w:t>500</w:t>
            </w:r>
            <w:r>
              <w:rPr>
                <w:rFonts w:hint="eastAsia" w:ascii="宋体" w:hAnsi="宋体" w:eastAsia="宋体" w:cs="宋体"/>
                <w:color w:val="auto"/>
                <w:spacing w:val="0"/>
                <w:kern w:val="0"/>
                <w:sz w:val="24"/>
                <w:szCs w:val="24"/>
                <w:highlight w:val="none"/>
                <w:u w:val="none"/>
              </w:rPr>
              <w:t>元以下的。</w:t>
            </w:r>
          </w:p>
        </w:tc>
        <w:tc>
          <w:tcPr>
            <w:tcW w:w="3267" w:type="dxa"/>
            <w:tcBorders>
              <w:tl2br w:val="nil"/>
              <w:tr2bl w:val="nil"/>
            </w:tcBorders>
            <w:noWrap w:val="0"/>
            <w:vAlign w:val="center"/>
          </w:tcPr>
          <w:p w14:paraId="0C578604">
            <w:pPr>
              <w:keepNext w:val="0"/>
              <w:keepLines w:val="0"/>
              <w:pageBreakBefore w:val="0"/>
              <w:widowControl/>
              <w:kinsoku/>
              <w:wordWrap/>
              <w:overflowPunct/>
              <w:topLinePunct w:val="0"/>
              <w:autoSpaceDE/>
              <w:autoSpaceDN/>
              <w:bidi w:val="0"/>
              <w:adjustRightInd/>
              <w:snapToGrid/>
              <w:spacing w:beforeAutospacing="0" w:afterAutospacing="0" w:line="380" w:lineRule="exact"/>
              <w:jc w:val="left"/>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处500元以上1000元以下罚款。</w:t>
            </w:r>
          </w:p>
        </w:tc>
      </w:tr>
      <w:tr w14:paraId="4419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787" w:type="dxa"/>
            <w:vMerge w:val="continue"/>
            <w:tcBorders>
              <w:tl2br w:val="nil"/>
              <w:tr2bl w:val="nil"/>
            </w:tcBorders>
            <w:noWrap w:val="0"/>
            <w:vAlign w:val="center"/>
          </w:tcPr>
          <w:p w14:paraId="0C39958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7E32571">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CE6AE5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u w:val="none"/>
              </w:rPr>
            </w:pPr>
          </w:p>
        </w:tc>
        <w:tc>
          <w:tcPr>
            <w:tcW w:w="1133" w:type="dxa"/>
            <w:vMerge w:val="restart"/>
            <w:tcBorders>
              <w:tl2br w:val="nil"/>
              <w:tr2bl w:val="nil"/>
            </w:tcBorders>
            <w:noWrap w:val="0"/>
            <w:vAlign w:val="center"/>
          </w:tcPr>
          <w:p w14:paraId="5077DC4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一般</w:t>
            </w:r>
          </w:p>
        </w:tc>
        <w:tc>
          <w:tcPr>
            <w:tcW w:w="3316" w:type="dxa"/>
            <w:tcBorders>
              <w:tl2br w:val="nil"/>
              <w:tr2bl w:val="nil"/>
            </w:tcBorders>
            <w:noWrap w:val="0"/>
            <w:vAlign w:val="center"/>
          </w:tcPr>
          <w:p w14:paraId="08E05D48">
            <w:pPr>
              <w:keepNext w:val="0"/>
              <w:keepLines w:val="0"/>
              <w:pageBreakBefore w:val="0"/>
              <w:widowControl/>
              <w:kinsoku/>
              <w:wordWrap/>
              <w:overflowPunct/>
              <w:topLinePunct w:val="0"/>
              <w:autoSpaceDE/>
              <w:autoSpaceDN/>
              <w:bidi w:val="0"/>
              <w:adjustRightInd/>
              <w:snapToGrid/>
              <w:spacing w:beforeAutospacing="0" w:afterAutospacing="0" w:line="380" w:lineRule="exact"/>
              <w:jc w:val="left"/>
              <w:textAlignment w:val="auto"/>
              <w:rPr>
                <w:rFonts w:hint="eastAsia" w:ascii="宋体" w:hAnsi="宋体" w:eastAsia="宋体" w:cs="宋体"/>
                <w:color w:val="auto"/>
                <w:spacing w:val="0"/>
                <w:kern w:val="0"/>
                <w:sz w:val="24"/>
                <w:szCs w:val="24"/>
                <w:highlight w:val="none"/>
                <w:u w:val="none"/>
              </w:rPr>
            </w:pPr>
            <w:r>
              <w:rPr>
                <w:rFonts w:hint="eastAsia" w:ascii="宋体" w:hAnsi="宋体" w:eastAsia="宋体" w:cs="宋体"/>
                <w:color w:val="auto"/>
                <w:spacing w:val="0"/>
                <w:kern w:val="0"/>
                <w:sz w:val="24"/>
                <w:szCs w:val="24"/>
                <w:highlight w:val="none"/>
                <w:u w:val="none"/>
                <w:shd w:val="clear" w:color="auto" w:fill="FFFFFF"/>
                <w:lang w:bidi="ar"/>
              </w:rPr>
              <w:t>违反本条例第十九条第一项至第五项规定，</w:t>
            </w:r>
            <w:r>
              <w:rPr>
                <w:rFonts w:hint="eastAsia" w:ascii="宋体" w:hAnsi="宋体" w:eastAsia="宋体" w:cs="宋体"/>
                <w:color w:val="auto"/>
                <w:spacing w:val="0"/>
                <w:kern w:val="0"/>
                <w:sz w:val="24"/>
                <w:szCs w:val="24"/>
                <w:highlight w:val="none"/>
                <w:u w:val="none"/>
              </w:rPr>
              <w:t>货值金额</w:t>
            </w:r>
            <w:r>
              <w:rPr>
                <w:rFonts w:hint="default" w:ascii="宋体" w:hAnsi="宋体" w:cs="宋体"/>
                <w:color w:val="auto"/>
                <w:spacing w:val="0"/>
                <w:kern w:val="0"/>
                <w:sz w:val="24"/>
                <w:szCs w:val="24"/>
                <w:highlight w:val="none"/>
                <w:u w:val="none"/>
                <w:lang w:val="en"/>
              </w:rPr>
              <w:t>500</w:t>
            </w:r>
            <w:r>
              <w:rPr>
                <w:rFonts w:hint="eastAsia" w:ascii="宋体" w:hAnsi="宋体" w:eastAsia="宋体" w:cs="宋体"/>
                <w:color w:val="auto"/>
                <w:spacing w:val="0"/>
                <w:kern w:val="0"/>
                <w:sz w:val="24"/>
                <w:szCs w:val="24"/>
                <w:highlight w:val="none"/>
                <w:u w:val="none"/>
              </w:rPr>
              <w:t>元以上</w:t>
            </w:r>
            <w:r>
              <w:rPr>
                <w:rFonts w:hint="default" w:ascii="宋体" w:hAnsi="宋体" w:cs="宋体"/>
                <w:color w:val="auto"/>
                <w:spacing w:val="0"/>
                <w:kern w:val="0"/>
                <w:sz w:val="24"/>
                <w:szCs w:val="24"/>
                <w:highlight w:val="none"/>
                <w:u w:val="none"/>
                <w:lang w:val="en"/>
              </w:rPr>
              <w:t>5000</w:t>
            </w:r>
            <w:r>
              <w:rPr>
                <w:rFonts w:hint="eastAsia" w:ascii="宋体" w:hAnsi="宋体" w:eastAsia="宋体" w:cs="宋体"/>
                <w:color w:val="auto"/>
                <w:spacing w:val="0"/>
                <w:kern w:val="0"/>
                <w:sz w:val="24"/>
                <w:szCs w:val="24"/>
                <w:highlight w:val="none"/>
                <w:u w:val="none"/>
              </w:rPr>
              <w:t>元以下的。</w:t>
            </w:r>
          </w:p>
        </w:tc>
        <w:tc>
          <w:tcPr>
            <w:tcW w:w="3267" w:type="dxa"/>
            <w:tcBorders>
              <w:tl2br w:val="nil"/>
              <w:tr2bl w:val="nil"/>
            </w:tcBorders>
            <w:noWrap w:val="0"/>
            <w:vAlign w:val="center"/>
          </w:tcPr>
          <w:p w14:paraId="3CCED03E">
            <w:pPr>
              <w:keepNext w:val="0"/>
              <w:keepLines w:val="0"/>
              <w:pageBreakBefore w:val="0"/>
              <w:widowControl/>
              <w:kinsoku/>
              <w:wordWrap/>
              <w:overflowPunct/>
              <w:topLinePunct w:val="0"/>
              <w:autoSpaceDE/>
              <w:autoSpaceDN/>
              <w:bidi w:val="0"/>
              <w:adjustRightInd/>
              <w:snapToGrid/>
              <w:spacing w:beforeAutospacing="0" w:afterAutospacing="0" w:line="380" w:lineRule="exact"/>
              <w:jc w:val="left"/>
              <w:textAlignment w:val="auto"/>
              <w:rPr>
                <w:rFonts w:hint="eastAsia" w:ascii="宋体" w:hAnsi="宋体" w:eastAsia="宋体" w:cs="宋体"/>
                <w:color w:val="auto"/>
                <w:kern w:val="0"/>
                <w:sz w:val="24"/>
                <w:szCs w:val="24"/>
                <w:highlight w:val="none"/>
                <w:u w:val="none"/>
              </w:rPr>
            </w:pPr>
            <w:r>
              <w:rPr>
                <w:rStyle w:val="19"/>
                <w:rFonts w:hint="eastAsia" w:ascii="宋体" w:hAnsi="宋体" w:eastAsia="宋体" w:cs="宋体"/>
                <w:color w:val="auto"/>
                <w:sz w:val="24"/>
                <w:szCs w:val="24"/>
                <w:highlight w:val="none"/>
                <w:u w:val="none"/>
                <w:shd w:val="clear" w:color="auto" w:fill="FFFFFF"/>
                <w:lang w:bidi="ar"/>
              </w:rPr>
              <w:t>没收违法所得和违法生产经营的食品；</w:t>
            </w:r>
            <w:r>
              <w:rPr>
                <w:rFonts w:hint="eastAsia" w:ascii="宋体" w:hAnsi="宋体" w:eastAsia="宋体" w:cs="宋体"/>
                <w:color w:val="auto"/>
                <w:kern w:val="0"/>
                <w:sz w:val="24"/>
                <w:szCs w:val="24"/>
                <w:highlight w:val="none"/>
                <w:u w:val="none"/>
              </w:rPr>
              <w:t>处1万以上2万元以下罚款。</w:t>
            </w:r>
          </w:p>
        </w:tc>
      </w:tr>
      <w:tr w14:paraId="2A4B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87" w:type="dxa"/>
            <w:vMerge w:val="continue"/>
            <w:tcBorders>
              <w:tl2br w:val="nil"/>
              <w:tr2bl w:val="nil"/>
            </w:tcBorders>
            <w:noWrap w:val="0"/>
            <w:vAlign w:val="center"/>
          </w:tcPr>
          <w:p w14:paraId="6720299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F3B211A">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0C509C2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u w:val="none"/>
              </w:rPr>
            </w:pPr>
          </w:p>
        </w:tc>
        <w:tc>
          <w:tcPr>
            <w:tcW w:w="1133" w:type="dxa"/>
            <w:vMerge w:val="continue"/>
            <w:tcBorders>
              <w:tl2br w:val="nil"/>
              <w:tr2bl w:val="nil"/>
            </w:tcBorders>
            <w:noWrap w:val="0"/>
            <w:vAlign w:val="center"/>
          </w:tcPr>
          <w:p w14:paraId="7B8CE69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u w:val="none"/>
              </w:rPr>
            </w:pPr>
          </w:p>
        </w:tc>
        <w:tc>
          <w:tcPr>
            <w:tcW w:w="3316" w:type="dxa"/>
            <w:tcBorders>
              <w:tl2br w:val="nil"/>
              <w:tr2bl w:val="nil"/>
            </w:tcBorders>
            <w:noWrap w:val="0"/>
            <w:vAlign w:val="center"/>
          </w:tcPr>
          <w:p w14:paraId="74194DC8">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color w:val="auto"/>
                <w:spacing w:val="0"/>
                <w:kern w:val="0"/>
                <w:sz w:val="24"/>
                <w:szCs w:val="24"/>
                <w:highlight w:val="none"/>
                <w:u w:val="none"/>
                <w:shd w:val="clear" w:color="auto" w:fill="FFFFFF"/>
                <w:lang w:bidi="ar"/>
              </w:rPr>
            </w:pPr>
            <w:r>
              <w:rPr>
                <w:rFonts w:hint="eastAsia" w:ascii="宋体" w:hAnsi="宋体" w:eastAsia="宋体" w:cs="宋体"/>
                <w:color w:val="auto"/>
                <w:spacing w:val="-6"/>
                <w:kern w:val="0"/>
                <w:sz w:val="24"/>
                <w:szCs w:val="24"/>
                <w:highlight w:val="none"/>
                <w:u w:val="none"/>
                <w:shd w:val="clear" w:color="auto" w:fill="FFFFFF"/>
                <w:lang w:bidi="ar"/>
              </w:rPr>
              <w:t>违反第六项至第九项规定，</w:t>
            </w:r>
            <w:r>
              <w:rPr>
                <w:rFonts w:hint="eastAsia" w:ascii="宋体" w:hAnsi="宋体" w:eastAsia="宋体" w:cs="宋体"/>
                <w:color w:val="auto"/>
                <w:spacing w:val="-6"/>
                <w:kern w:val="0"/>
                <w:sz w:val="24"/>
                <w:szCs w:val="24"/>
                <w:highlight w:val="none"/>
                <w:u w:val="none"/>
              </w:rPr>
              <w:t>货值金额</w:t>
            </w:r>
            <w:r>
              <w:rPr>
                <w:rFonts w:hint="default" w:ascii="宋体" w:hAnsi="宋体" w:cs="宋体"/>
                <w:color w:val="auto"/>
                <w:spacing w:val="-6"/>
                <w:kern w:val="0"/>
                <w:sz w:val="24"/>
                <w:szCs w:val="24"/>
                <w:highlight w:val="none"/>
                <w:u w:val="none"/>
                <w:lang w:val="en"/>
              </w:rPr>
              <w:t>500</w:t>
            </w:r>
            <w:r>
              <w:rPr>
                <w:rFonts w:hint="eastAsia" w:ascii="宋体" w:hAnsi="宋体" w:eastAsia="宋体" w:cs="宋体"/>
                <w:color w:val="auto"/>
                <w:spacing w:val="-6"/>
                <w:kern w:val="0"/>
                <w:sz w:val="24"/>
                <w:szCs w:val="24"/>
                <w:highlight w:val="none"/>
                <w:u w:val="none"/>
              </w:rPr>
              <w:t>元以上</w:t>
            </w:r>
            <w:r>
              <w:rPr>
                <w:rFonts w:hint="default" w:ascii="宋体" w:hAnsi="宋体" w:cs="宋体"/>
                <w:color w:val="auto"/>
                <w:spacing w:val="-6"/>
                <w:kern w:val="0"/>
                <w:sz w:val="24"/>
                <w:szCs w:val="24"/>
                <w:highlight w:val="none"/>
                <w:u w:val="none"/>
                <w:lang w:val="en"/>
              </w:rPr>
              <w:t>5000</w:t>
            </w:r>
            <w:r>
              <w:rPr>
                <w:rFonts w:hint="eastAsia" w:ascii="宋体" w:hAnsi="宋体" w:eastAsia="宋体" w:cs="宋体"/>
                <w:color w:val="auto"/>
                <w:spacing w:val="-6"/>
                <w:kern w:val="0"/>
                <w:sz w:val="24"/>
                <w:szCs w:val="24"/>
                <w:highlight w:val="none"/>
                <w:u w:val="none"/>
              </w:rPr>
              <w:t>元以下的。</w:t>
            </w:r>
          </w:p>
        </w:tc>
        <w:tc>
          <w:tcPr>
            <w:tcW w:w="3267" w:type="dxa"/>
            <w:tcBorders>
              <w:tl2br w:val="nil"/>
              <w:tr2bl w:val="nil"/>
            </w:tcBorders>
            <w:noWrap w:val="0"/>
            <w:vAlign w:val="center"/>
          </w:tcPr>
          <w:p w14:paraId="583E958F">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处1000元以上2000元以下罚款。</w:t>
            </w:r>
          </w:p>
        </w:tc>
      </w:tr>
      <w:tr w14:paraId="3C42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787" w:type="dxa"/>
            <w:vMerge w:val="continue"/>
            <w:tcBorders>
              <w:tl2br w:val="nil"/>
              <w:tr2bl w:val="nil"/>
            </w:tcBorders>
            <w:noWrap w:val="0"/>
            <w:vAlign w:val="center"/>
          </w:tcPr>
          <w:p w14:paraId="394563A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648020AA">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03EF5C6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u w:val="none"/>
              </w:rPr>
            </w:pPr>
          </w:p>
        </w:tc>
        <w:tc>
          <w:tcPr>
            <w:tcW w:w="1133" w:type="dxa"/>
            <w:vMerge w:val="restart"/>
            <w:tcBorders>
              <w:tl2br w:val="nil"/>
              <w:tr2bl w:val="nil"/>
            </w:tcBorders>
            <w:noWrap w:val="0"/>
            <w:vAlign w:val="center"/>
          </w:tcPr>
          <w:p w14:paraId="770B8FD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较重</w:t>
            </w:r>
          </w:p>
        </w:tc>
        <w:tc>
          <w:tcPr>
            <w:tcW w:w="3316" w:type="dxa"/>
            <w:tcBorders>
              <w:tl2br w:val="nil"/>
              <w:tr2bl w:val="nil"/>
            </w:tcBorders>
            <w:noWrap w:val="0"/>
            <w:vAlign w:val="center"/>
          </w:tcPr>
          <w:p w14:paraId="51D4C08A">
            <w:pPr>
              <w:keepNext w:val="0"/>
              <w:keepLines w:val="0"/>
              <w:pageBreakBefore w:val="0"/>
              <w:widowControl/>
              <w:kinsoku/>
              <w:wordWrap/>
              <w:overflowPunct/>
              <w:topLinePunct w:val="0"/>
              <w:autoSpaceDE/>
              <w:autoSpaceDN/>
              <w:bidi w:val="0"/>
              <w:adjustRightInd/>
              <w:snapToGrid/>
              <w:spacing w:beforeAutospacing="0" w:afterAutospacing="0" w:line="380" w:lineRule="exact"/>
              <w:jc w:val="left"/>
              <w:textAlignment w:val="auto"/>
              <w:rPr>
                <w:rFonts w:hint="eastAsia" w:ascii="宋体" w:hAnsi="宋体" w:eastAsia="宋体" w:cs="宋体"/>
                <w:color w:val="auto"/>
                <w:spacing w:val="0"/>
                <w:kern w:val="0"/>
                <w:sz w:val="24"/>
                <w:szCs w:val="24"/>
                <w:highlight w:val="none"/>
                <w:u w:val="none"/>
              </w:rPr>
            </w:pPr>
            <w:r>
              <w:rPr>
                <w:rFonts w:hint="eastAsia" w:ascii="宋体" w:hAnsi="宋体" w:eastAsia="宋体" w:cs="宋体"/>
                <w:color w:val="auto"/>
                <w:spacing w:val="0"/>
                <w:kern w:val="0"/>
                <w:sz w:val="24"/>
                <w:szCs w:val="24"/>
                <w:highlight w:val="none"/>
                <w:u w:val="none"/>
                <w:shd w:val="clear" w:color="auto" w:fill="FFFFFF"/>
                <w:lang w:bidi="ar"/>
              </w:rPr>
              <w:t>违反本条例第十九条第一项至第五项规定，</w:t>
            </w:r>
            <w:r>
              <w:rPr>
                <w:rFonts w:hint="eastAsia" w:ascii="宋体" w:hAnsi="宋体" w:eastAsia="宋体" w:cs="宋体"/>
                <w:color w:val="auto"/>
                <w:spacing w:val="0"/>
                <w:kern w:val="0"/>
                <w:sz w:val="24"/>
                <w:szCs w:val="24"/>
                <w:highlight w:val="none"/>
                <w:u w:val="none"/>
              </w:rPr>
              <w:t>货值金额</w:t>
            </w:r>
            <w:r>
              <w:rPr>
                <w:rFonts w:hint="default" w:ascii="宋体" w:hAnsi="宋体" w:cs="宋体"/>
                <w:color w:val="auto"/>
                <w:spacing w:val="0"/>
                <w:kern w:val="0"/>
                <w:sz w:val="24"/>
                <w:szCs w:val="24"/>
                <w:highlight w:val="none"/>
                <w:u w:val="none"/>
                <w:lang w:val="en"/>
              </w:rPr>
              <w:t>5000</w:t>
            </w:r>
            <w:r>
              <w:rPr>
                <w:rFonts w:hint="eastAsia" w:ascii="宋体" w:hAnsi="宋体" w:eastAsia="宋体" w:cs="宋体"/>
                <w:color w:val="auto"/>
                <w:spacing w:val="0"/>
                <w:kern w:val="0"/>
                <w:sz w:val="24"/>
                <w:szCs w:val="24"/>
                <w:highlight w:val="none"/>
                <w:u w:val="none"/>
              </w:rPr>
              <w:t>元以上的，未造成危害后果</w:t>
            </w:r>
            <w:r>
              <w:rPr>
                <w:rFonts w:hint="eastAsia" w:ascii="宋体" w:hAnsi="宋体" w:cs="宋体"/>
                <w:color w:val="auto"/>
                <w:spacing w:val="0"/>
                <w:kern w:val="0"/>
                <w:sz w:val="24"/>
                <w:szCs w:val="24"/>
                <w:highlight w:val="none"/>
                <w:u w:val="none"/>
                <w:lang w:eastAsia="zh-CN"/>
              </w:rPr>
              <w:t>的</w:t>
            </w:r>
            <w:r>
              <w:rPr>
                <w:rFonts w:hint="eastAsia" w:ascii="宋体" w:hAnsi="宋体" w:eastAsia="宋体" w:cs="宋体"/>
                <w:color w:val="auto"/>
                <w:spacing w:val="0"/>
                <w:kern w:val="0"/>
                <w:sz w:val="24"/>
                <w:szCs w:val="24"/>
                <w:highlight w:val="none"/>
                <w:u w:val="none"/>
              </w:rPr>
              <w:t>。</w:t>
            </w:r>
          </w:p>
        </w:tc>
        <w:tc>
          <w:tcPr>
            <w:tcW w:w="3267" w:type="dxa"/>
            <w:tcBorders>
              <w:tl2br w:val="nil"/>
              <w:tr2bl w:val="nil"/>
            </w:tcBorders>
            <w:noWrap w:val="0"/>
            <w:vAlign w:val="center"/>
          </w:tcPr>
          <w:p w14:paraId="1D34984B">
            <w:pPr>
              <w:keepNext w:val="0"/>
              <w:keepLines w:val="0"/>
              <w:pageBreakBefore w:val="0"/>
              <w:widowControl/>
              <w:kinsoku/>
              <w:wordWrap/>
              <w:overflowPunct/>
              <w:topLinePunct w:val="0"/>
              <w:autoSpaceDE/>
              <w:autoSpaceDN/>
              <w:bidi w:val="0"/>
              <w:adjustRightInd/>
              <w:snapToGrid/>
              <w:spacing w:beforeAutospacing="0" w:afterAutospacing="0" w:line="380" w:lineRule="exact"/>
              <w:jc w:val="left"/>
              <w:textAlignment w:val="auto"/>
              <w:rPr>
                <w:rFonts w:hint="eastAsia" w:ascii="宋体" w:hAnsi="宋体" w:eastAsia="宋体" w:cs="宋体"/>
                <w:color w:val="auto"/>
                <w:kern w:val="0"/>
                <w:sz w:val="24"/>
                <w:szCs w:val="24"/>
                <w:highlight w:val="none"/>
                <w:u w:val="none"/>
              </w:rPr>
            </w:pPr>
            <w:r>
              <w:rPr>
                <w:rStyle w:val="19"/>
                <w:rFonts w:hint="eastAsia" w:ascii="宋体" w:hAnsi="宋体" w:eastAsia="宋体" w:cs="宋体"/>
                <w:color w:val="auto"/>
                <w:sz w:val="24"/>
                <w:szCs w:val="24"/>
                <w:highlight w:val="none"/>
                <w:u w:val="none"/>
                <w:shd w:val="clear" w:color="auto" w:fill="FFFFFF"/>
                <w:lang w:bidi="ar"/>
              </w:rPr>
              <w:t>没收违法所得和违法生产经营的食品；</w:t>
            </w:r>
            <w:r>
              <w:rPr>
                <w:rFonts w:hint="eastAsia" w:ascii="宋体" w:hAnsi="宋体" w:eastAsia="宋体" w:cs="宋体"/>
                <w:color w:val="auto"/>
                <w:kern w:val="0"/>
                <w:sz w:val="24"/>
                <w:szCs w:val="24"/>
                <w:highlight w:val="none"/>
                <w:u w:val="none"/>
              </w:rPr>
              <w:t>处2万元以上3.5万元以下罚款。</w:t>
            </w:r>
          </w:p>
        </w:tc>
      </w:tr>
      <w:tr w14:paraId="6A49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87" w:type="dxa"/>
            <w:vMerge w:val="continue"/>
            <w:tcBorders>
              <w:tl2br w:val="nil"/>
              <w:tr2bl w:val="nil"/>
            </w:tcBorders>
            <w:noWrap w:val="0"/>
            <w:vAlign w:val="center"/>
          </w:tcPr>
          <w:p w14:paraId="2016B4E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0B1F976">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0E0733B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u w:val="none"/>
              </w:rPr>
            </w:pPr>
          </w:p>
        </w:tc>
        <w:tc>
          <w:tcPr>
            <w:tcW w:w="1133" w:type="dxa"/>
            <w:vMerge w:val="continue"/>
            <w:tcBorders>
              <w:tl2br w:val="nil"/>
              <w:tr2bl w:val="nil"/>
            </w:tcBorders>
            <w:noWrap w:val="0"/>
            <w:vAlign w:val="center"/>
          </w:tcPr>
          <w:p w14:paraId="41F6EE6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u w:val="none"/>
              </w:rPr>
            </w:pPr>
          </w:p>
        </w:tc>
        <w:tc>
          <w:tcPr>
            <w:tcW w:w="3316" w:type="dxa"/>
            <w:tcBorders>
              <w:tl2br w:val="nil"/>
              <w:tr2bl w:val="nil"/>
            </w:tcBorders>
            <w:noWrap w:val="0"/>
            <w:vAlign w:val="center"/>
          </w:tcPr>
          <w:p w14:paraId="78BBB4FC">
            <w:pPr>
              <w:keepNext w:val="0"/>
              <w:keepLines w:val="0"/>
              <w:pageBreakBefore w:val="0"/>
              <w:widowControl/>
              <w:kinsoku/>
              <w:wordWrap/>
              <w:overflowPunct/>
              <w:topLinePunct w:val="0"/>
              <w:autoSpaceDE/>
              <w:autoSpaceDN/>
              <w:bidi w:val="0"/>
              <w:adjustRightInd/>
              <w:snapToGrid/>
              <w:spacing w:beforeAutospacing="0" w:afterAutospacing="0" w:line="380" w:lineRule="exact"/>
              <w:jc w:val="left"/>
              <w:textAlignment w:val="auto"/>
              <w:rPr>
                <w:rFonts w:hint="eastAsia" w:ascii="宋体" w:hAnsi="宋体" w:eastAsia="宋体" w:cs="宋体"/>
                <w:color w:val="auto"/>
                <w:spacing w:val="0"/>
                <w:kern w:val="0"/>
                <w:sz w:val="24"/>
                <w:szCs w:val="24"/>
                <w:highlight w:val="none"/>
                <w:u w:val="none"/>
                <w:shd w:val="clear" w:color="auto" w:fill="FFFFFF"/>
                <w:lang w:bidi="ar"/>
              </w:rPr>
            </w:pPr>
            <w:r>
              <w:rPr>
                <w:rFonts w:hint="eastAsia" w:ascii="宋体" w:hAnsi="宋体" w:eastAsia="宋体" w:cs="宋体"/>
                <w:color w:val="auto"/>
                <w:spacing w:val="0"/>
                <w:kern w:val="0"/>
                <w:sz w:val="24"/>
                <w:szCs w:val="24"/>
                <w:highlight w:val="none"/>
                <w:u w:val="none"/>
                <w:shd w:val="clear" w:color="auto" w:fill="FFFFFF"/>
                <w:lang w:bidi="ar"/>
              </w:rPr>
              <w:t>违反第六项至第九项规定，</w:t>
            </w:r>
            <w:r>
              <w:rPr>
                <w:rFonts w:hint="eastAsia" w:ascii="宋体" w:hAnsi="宋体" w:eastAsia="宋体" w:cs="宋体"/>
                <w:color w:val="auto"/>
                <w:spacing w:val="0"/>
                <w:kern w:val="0"/>
                <w:sz w:val="24"/>
                <w:szCs w:val="24"/>
                <w:highlight w:val="none"/>
                <w:u w:val="none"/>
              </w:rPr>
              <w:t>货值金额</w:t>
            </w:r>
            <w:r>
              <w:rPr>
                <w:rFonts w:hint="default" w:ascii="宋体" w:hAnsi="宋体" w:cs="宋体"/>
                <w:color w:val="auto"/>
                <w:spacing w:val="0"/>
                <w:kern w:val="0"/>
                <w:sz w:val="24"/>
                <w:szCs w:val="24"/>
                <w:highlight w:val="none"/>
                <w:u w:val="none"/>
                <w:lang w:val="en"/>
              </w:rPr>
              <w:t>5000</w:t>
            </w:r>
            <w:r>
              <w:rPr>
                <w:rFonts w:hint="eastAsia" w:ascii="宋体" w:hAnsi="宋体" w:eastAsia="宋体" w:cs="宋体"/>
                <w:color w:val="auto"/>
                <w:spacing w:val="0"/>
                <w:kern w:val="0"/>
                <w:sz w:val="24"/>
                <w:szCs w:val="24"/>
                <w:highlight w:val="none"/>
                <w:u w:val="none"/>
              </w:rPr>
              <w:t>元以上的，未造成危害后果</w:t>
            </w:r>
            <w:r>
              <w:rPr>
                <w:rFonts w:hint="eastAsia" w:ascii="宋体" w:hAnsi="宋体" w:cs="宋体"/>
                <w:color w:val="auto"/>
                <w:spacing w:val="0"/>
                <w:kern w:val="0"/>
                <w:sz w:val="24"/>
                <w:szCs w:val="24"/>
                <w:highlight w:val="none"/>
                <w:u w:val="none"/>
                <w:lang w:eastAsia="zh-CN"/>
              </w:rPr>
              <w:t>的</w:t>
            </w:r>
            <w:r>
              <w:rPr>
                <w:rFonts w:hint="eastAsia" w:ascii="宋体" w:hAnsi="宋体" w:eastAsia="宋体" w:cs="宋体"/>
                <w:color w:val="auto"/>
                <w:spacing w:val="0"/>
                <w:kern w:val="0"/>
                <w:sz w:val="24"/>
                <w:szCs w:val="24"/>
                <w:highlight w:val="none"/>
                <w:u w:val="none"/>
              </w:rPr>
              <w:t>。</w:t>
            </w:r>
          </w:p>
        </w:tc>
        <w:tc>
          <w:tcPr>
            <w:tcW w:w="3267" w:type="dxa"/>
            <w:tcBorders>
              <w:tl2br w:val="nil"/>
              <w:tr2bl w:val="nil"/>
            </w:tcBorders>
            <w:noWrap w:val="0"/>
            <w:vAlign w:val="center"/>
          </w:tcPr>
          <w:p w14:paraId="1A87FD0E">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处2000元以上5000元以下罚款。</w:t>
            </w:r>
          </w:p>
        </w:tc>
      </w:tr>
      <w:tr w14:paraId="2427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787" w:type="dxa"/>
            <w:vMerge w:val="continue"/>
            <w:tcBorders>
              <w:tl2br w:val="nil"/>
              <w:tr2bl w:val="nil"/>
            </w:tcBorders>
            <w:noWrap w:val="0"/>
            <w:vAlign w:val="center"/>
          </w:tcPr>
          <w:p w14:paraId="637BDC8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371186D8">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2B52B30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vMerge w:val="restart"/>
            <w:tcBorders>
              <w:tl2br w:val="nil"/>
              <w:tr2bl w:val="nil"/>
            </w:tcBorders>
            <w:noWrap w:val="0"/>
            <w:vAlign w:val="center"/>
          </w:tcPr>
          <w:p w14:paraId="0D47250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严重</w:t>
            </w:r>
          </w:p>
        </w:tc>
        <w:tc>
          <w:tcPr>
            <w:tcW w:w="3316" w:type="dxa"/>
            <w:tcBorders>
              <w:tl2br w:val="nil"/>
              <w:tr2bl w:val="nil"/>
            </w:tcBorders>
            <w:noWrap w:val="0"/>
            <w:vAlign w:val="center"/>
          </w:tcPr>
          <w:p w14:paraId="5263BA41">
            <w:pPr>
              <w:keepNext w:val="0"/>
              <w:keepLines w:val="0"/>
              <w:pageBreakBefore w:val="0"/>
              <w:widowControl/>
              <w:kinsoku/>
              <w:wordWrap/>
              <w:overflowPunct/>
              <w:topLinePunct w:val="0"/>
              <w:autoSpaceDE/>
              <w:autoSpaceDN/>
              <w:bidi w:val="0"/>
              <w:adjustRightInd/>
              <w:snapToGrid/>
              <w:spacing w:beforeAutospacing="0" w:afterAutospacing="0" w:line="380" w:lineRule="exact"/>
              <w:jc w:val="left"/>
              <w:textAlignment w:val="auto"/>
              <w:rPr>
                <w:rFonts w:hint="eastAsia" w:ascii="宋体" w:hAnsi="宋体" w:eastAsia="宋体" w:cs="宋体"/>
                <w:color w:val="auto"/>
                <w:spacing w:val="0"/>
                <w:kern w:val="0"/>
                <w:sz w:val="24"/>
                <w:szCs w:val="24"/>
                <w:highlight w:val="none"/>
                <w:shd w:val="clear" w:color="auto" w:fill="FFFFFF"/>
                <w:lang w:bidi="ar"/>
              </w:rPr>
            </w:pPr>
            <w:r>
              <w:rPr>
                <w:rFonts w:hint="eastAsia" w:ascii="宋体" w:hAnsi="宋体" w:eastAsia="宋体" w:cs="宋体"/>
                <w:color w:val="auto"/>
                <w:spacing w:val="0"/>
                <w:kern w:val="0"/>
                <w:sz w:val="24"/>
                <w:szCs w:val="24"/>
                <w:highlight w:val="none"/>
                <w:shd w:val="clear" w:color="auto" w:fill="FFFFFF"/>
                <w:lang w:bidi="ar"/>
              </w:rPr>
              <w:t>违反本条例第十九条第一项至第五项规定，</w:t>
            </w:r>
            <w:r>
              <w:rPr>
                <w:rFonts w:hint="eastAsia" w:ascii="宋体" w:hAnsi="宋体" w:eastAsia="宋体" w:cs="宋体"/>
                <w:color w:val="auto"/>
                <w:spacing w:val="0"/>
                <w:kern w:val="0"/>
                <w:sz w:val="24"/>
                <w:szCs w:val="24"/>
                <w:highlight w:val="none"/>
              </w:rPr>
              <w:t>造成重大社会影响</w:t>
            </w:r>
            <w:r>
              <w:rPr>
                <w:rFonts w:hint="eastAsia" w:ascii="宋体" w:hAnsi="宋体" w:cs="宋体"/>
                <w:color w:val="auto"/>
                <w:spacing w:val="0"/>
                <w:kern w:val="0"/>
                <w:sz w:val="24"/>
                <w:szCs w:val="24"/>
                <w:highlight w:val="none"/>
                <w:lang w:eastAsia="zh-CN"/>
              </w:rPr>
              <w:t>的</w:t>
            </w:r>
            <w:r>
              <w:rPr>
                <w:rFonts w:hint="eastAsia" w:ascii="宋体" w:hAnsi="宋体" w:eastAsia="宋体" w:cs="宋体"/>
                <w:color w:val="auto"/>
                <w:spacing w:val="0"/>
                <w:kern w:val="0"/>
                <w:sz w:val="24"/>
                <w:szCs w:val="24"/>
                <w:highlight w:val="none"/>
              </w:rPr>
              <w:t>。</w:t>
            </w:r>
          </w:p>
        </w:tc>
        <w:tc>
          <w:tcPr>
            <w:tcW w:w="3267" w:type="dxa"/>
            <w:tcBorders>
              <w:tl2br w:val="nil"/>
              <w:tr2bl w:val="nil"/>
            </w:tcBorders>
            <w:noWrap w:val="0"/>
            <w:vAlign w:val="center"/>
          </w:tcPr>
          <w:p w14:paraId="694394E9">
            <w:pPr>
              <w:keepNext w:val="0"/>
              <w:keepLines w:val="0"/>
              <w:pageBreakBefore w:val="0"/>
              <w:widowControl/>
              <w:kinsoku/>
              <w:wordWrap/>
              <w:overflowPunct/>
              <w:topLinePunct w:val="0"/>
              <w:autoSpaceDE/>
              <w:autoSpaceDN/>
              <w:bidi w:val="0"/>
              <w:adjustRightInd/>
              <w:snapToGrid/>
              <w:spacing w:beforeAutospacing="0" w:afterAutospacing="0" w:line="380" w:lineRule="exact"/>
              <w:jc w:val="left"/>
              <w:textAlignment w:val="auto"/>
              <w:rPr>
                <w:rFonts w:hint="eastAsia" w:ascii="宋体" w:hAnsi="宋体" w:eastAsia="宋体" w:cs="宋体"/>
                <w:color w:val="auto"/>
                <w:kern w:val="0"/>
                <w:sz w:val="24"/>
                <w:szCs w:val="24"/>
                <w:highlight w:val="none"/>
                <w:lang w:eastAsia="zh-CN"/>
              </w:rPr>
            </w:pPr>
            <w:r>
              <w:rPr>
                <w:rStyle w:val="19"/>
                <w:rFonts w:hint="eastAsia" w:ascii="宋体" w:hAnsi="宋体" w:eastAsia="宋体" w:cs="宋体"/>
                <w:color w:val="auto"/>
                <w:sz w:val="24"/>
                <w:szCs w:val="24"/>
                <w:highlight w:val="none"/>
                <w:shd w:val="clear" w:color="auto" w:fill="FFFFFF"/>
                <w:lang w:bidi="ar"/>
              </w:rPr>
              <w:t>没收违法所得和违法生产经营的食品；</w:t>
            </w:r>
            <w:r>
              <w:rPr>
                <w:rFonts w:hint="eastAsia" w:ascii="宋体" w:hAnsi="宋体" w:eastAsia="宋体" w:cs="宋体"/>
                <w:color w:val="auto"/>
                <w:kern w:val="0"/>
                <w:sz w:val="24"/>
                <w:szCs w:val="24"/>
                <w:highlight w:val="none"/>
              </w:rPr>
              <w:t>处3.5万元以上5万元以下罚款。责令停业、吊销许可证</w:t>
            </w:r>
            <w:r>
              <w:rPr>
                <w:rFonts w:hint="eastAsia" w:ascii="宋体" w:hAnsi="宋体" w:eastAsia="宋体" w:cs="宋体"/>
                <w:color w:val="auto"/>
                <w:kern w:val="0"/>
                <w:sz w:val="24"/>
                <w:szCs w:val="24"/>
                <w:highlight w:val="none"/>
                <w:lang w:eastAsia="zh-CN"/>
              </w:rPr>
              <w:t>。</w:t>
            </w:r>
          </w:p>
        </w:tc>
      </w:tr>
      <w:tr w14:paraId="3F138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787" w:type="dxa"/>
            <w:vMerge w:val="continue"/>
            <w:tcBorders>
              <w:tl2br w:val="nil"/>
              <w:tr2bl w:val="nil"/>
            </w:tcBorders>
            <w:noWrap w:val="0"/>
            <w:vAlign w:val="center"/>
          </w:tcPr>
          <w:p w14:paraId="112C3CB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4E182DD">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27D07BC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vMerge w:val="continue"/>
            <w:tcBorders>
              <w:tl2br w:val="nil"/>
              <w:tr2bl w:val="nil"/>
            </w:tcBorders>
            <w:noWrap w:val="0"/>
            <w:vAlign w:val="center"/>
          </w:tcPr>
          <w:p w14:paraId="7E6EFB9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p>
        </w:tc>
        <w:tc>
          <w:tcPr>
            <w:tcW w:w="3316" w:type="dxa"/>
            <w:tcBorders>
              <w:tl2br w:val="nil"/>
              <w:tr2bl w:val="nil"/>
            </w:tcBorders>
            <w:noWrap w:val="0"/>
            <w:vAlign w:val="center"/>
          </w:tcPr>
          <w:p w14:paraId="3730D9A7">
            <w:pPr>
              <w:keepNext w:val="0"/>
              <w:keepLines w:val="0"/>
              <w:pageBreakBefore w:val="0"/>
              <w:widowControl/>
              <w:kinsoku/>
              <w:wordWrap/>
              <w:overflowPunct/>
              <w:topLinePunct w:val="0"/>
              <w:autoSpaceDE/>
              <w:autoSpaceDN/>
              <w:bidi w:val="0"/>
              <w:adjustRightInd/>
              <w:snapToGrid/>
              <w:spacing w:beforeAutospacing="0" w:afterAutospacing="0" w:line="380" w:lineRule="exact"/>
              <w:jc w:val="left"/>
              <w:textAlignment w:val="auto"/>
              <w:rPr>
                <w:rFonts w:hint="eastAsia" w:ascii="宋体" w:hAnsi="宋体" w:eastAsia="宋体" w:cs="宋体"/>
                <w:color w:val="auto"/>
                <w:spacing w:val="0"/>
                <w:kern w:val="0"/>
                <w:sz w:val="24"/>
                <w:szCs w:val="24"/>
                <w:highlight w:val="none"/>
                <w:shd w:val="clear" w:color="auto" w:fill="FFFFFF"/>
                <w:lang w:bidi="ar"/>
              </w:rPr>
            </w:pPr>
            <w:r>
              <w:rPr>
                <w:rFonts w:hint="eastAsia" w:ascii="宋体" w:hAnsi="宋体" w:eastAsia="宋体" w:cs="宋体"/>
                <w:color w:val="auto"/>
                <w:spacing w:val="0"/>
                <w:kern w:val="0"/>
                <w:sz w:val="24"/>
                <w:szCs w:val="24"/>
                <w:highlight w:val="none"/>
                <w:shd w:val="clear" w:color="auto" w:fill="FFFFFF"/>
                <w:lang w:bidi="ar"/>
              </w:rPr>
              <w:t>违反第六项至第九项规定，</w:t>
            </w:r>
            <w:r>
              <w:rPr>
                <w:rFonts w:hint="eastAsia" w:ascii="宋体" w:hAnsi="宋体" w:eastAsia="宋体" w:cs="宋体"/>
                <w:color w:val="auto"/>
                <w:spacing w:val="0"/>
                <w:kern w:val="0"/>
                <w:sz w:val="24"/>
                <w:szCs w:val="24"/>
                <w:highlight w:val="none"/>
              </w:rPr>
              <w:t>造成重大社会影响</w:t>
            </w:r>
            <w:r>
              <w:rPr>
                <w:rFonts w:hint="eastAsia" w:ascii="宋体" w:hAnsi="宋体" w:cs="宋体"/>
                <w:color w:val="auto"/>
                <w:spacing w:val="0"/>
                <w:kern w:val="0"/>
                <w:sz w:val="24"/>
                <w:szCs w:val="24"/>
                <w:highlight w:val="none"/>
                <w:lang w:eastAsia="zh-CN"/>
              </w:rPr>
              <w:t>的</w:t>
            </w:r>
            <w:r>
              <w:rPr>
                <w:rFonts w:hint="eastAsia" w:ascii="宋体" w:hAnsi="宋体" w:eastAsia="宋体" w:cs="宋体"/>
                <w:color w:val="auto"/>
                <w:spacing w:val="0"/>
                <w:kern w:val="0"/>
                <w:sz w:val="24"/>
                <w:szCs w:val="24"/>
                <w:highlight w:val="none"/>
              </w:rPr>
              <w:t>。</w:t>
            </w:r>
          </w:p>
        </w:tc>
        <w:tc>
          <w:tcPr>
            <w:tcW w:w="3267" w:type="dxa"/>
            <w:tcBorders>
              <w:tl2br w:val="nil"/>
              <w:tr2bl w:val="nil"/>
            </w:tcBorders>
            <w:noWrap w:val="0"/>
            <w:vAlign w:val="center"/>
          </w:tcPr>
          <w:p w14:paraId="1636A1B0">
            <w:pPr>
              <w:keepNext w:val="0"/>
              <w:keepLines w:val="0"/>
              <w:pageBreakBefore w:val="0"/>
              <w:widowControl/>
              <w:kinsoku/>
              <w:wordWrap/>
              <w:overflowPunct/>
              <w:topLinePunct w:val="0"/>
              <w:autoSpaceDE/>
              <w:autoSpaceDN/>
              <w:bidi w:val="0"/>
              <w:adjustRightInd/>
              <w:snapToGrid/>
              <w:spacing w:beforeAutospacing="0" w:afterAutospacing="0" w:line="38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处5000元以上1</w:t>
            </w:r>
            <w:r>
              <w:rPr>
                <w:rFonts w:hint="eastAsia" w:ascii="宋体" w:hAnsi="宋体" w:cs="宋体"/>
                <w:color w:val="auto"/>
                <w:kern w:val="0"/>
                <w:sz w:val="24"/>
                <w:szCs w:val="24"/>
                <w:highlight w:val="none"/>
                <w:lang w:val="en-US" w:eastAsia="zh-CN"/>
              </w:rPr>
              <w:t>万</w:t>
            </w:r>
            <w:r>
              <w:rPr>
                <w:rFonts w:hint="eastAsia" w:ascii="宋体" w:hAnsi="宋体" w:eastAsia="宋体" w:cs="宋体"/>
                <w:color w:val="auto"/>
                <w:kern w:val="0"/>
                <w:sz w:val="24"/>
                <w:szCs w:val="24"/>
                <w:highlight w:val="none"/>
              </w:rPr>
              <w:t>元以下罚款。责令停业、吊销许可证</w:t>
            </w:r>
            <w:r>
              <w:rPr>
                <w:rFonts w:hint="eastAsia" w:ascii="宋体" w:hAnsi="宋体" w:eastAsia="宋体" w:cs="宋体"/>
                <w:color w:val="auto"/>
                <w:kern w:val="0"/>
                <w:sz w:val="24"/>
                <w:szCs w:val="24"/>
                <w:highlight w:val="none"/>
                <w:lang w:eastAsia="zh-CN"/>
              </w:rPr>
              <w:t>。</w:t>
            </w:r>
          </w:p>
        </w:tc>
      </w:tr>
      <w:tr w14:paraId="6E86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7" w:hRule="exact"/>
          <w:jc w:val="center"/>
        </w:trPr>
        <w:tc>
          <w:tcPr>
            <w:tcW w:w="787" w:type="dxa"/>
            <w:vMerge w:val="restart"/>
            <w:tcBorders>
              <w:tl2br w:val="nil"/>
              <w:tr2bl w:val="nil"/>
            </w:tcBorders>
            <w:noWrap w:val="0"/>
            <w:vAlign w:val="center"/>
          </w:tcPr>
          <w:p w14:paraId="3454667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3</w:t>
            </w:r>
            <w:r>
              <w:rPr>
                <w:rFonts w:hint="eastAsia" w:ascii="宋体" w:hAnsi="宋体" w:cs="宋体"/>
                <w:b w:val="0"/>
                <w:bCs w:val="0"/>
                <w:color w:val="auto"/>
                <w:kern w:val="0"/>
                <w:sz w:val="24"/>
                <w:szCs w:val="24"/>
                <w:highlight w:val="none"/>
                <w:lang w:val="en-US" w:eastAsia="zh-CN"/>
              </w:rPr>
              <w:t>23</w:t>
            </w:r>
          </w:p>
        </w:tc>
        <w:tc>
          <w:tcPr>
            <w:tcW w:w="1718" w:type="dxa"/>
            <w:vMerge w:val="restart"/>
            <w:tcBorders>
              <w:tl2br w:val="nil"/>
              <w:tr2bl w:val="nil"/>
            </w:tcBorders>
            <w:noWrap w:val="0"/>
            <w:vAlign w:val="center"/>
          </w:tcPr>
          <w:p w14:paraId="3D2A10C7">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w:t>
            </w:r>
            <w:r>
              <w:rPr>
                <w:rFonts w:hint="eastAsia" w:ascii="宋体" w:hAnsi="宋体" w:eastAsia="宋体" w:cs="宋体"/>
                <w:b w:val="0"/>
                <w:bCs w:val="0"/>
                <w:color w:val="auto"/>
                <w:kern w:val="0"/>
                <w:sz w:val="24"/>
                <w:szCs w:val="24"/>
                <w:highlight w:val="none"/>
                <w:shd w:val="clear" w:color="auto" w:fill="FFFFFF"/>
                <w:lang w:bidi="ar"/>
              </w:rPr>
              <w:t>吉林省食品小作坊小餐饮店小食杂店和食品摊贩管理条例</w:t>
            </w:r>
            <w:r>
              <w:rPr>
                <w:rFonts w:hint="eastAsia" w:ascii="宋体" w:hAnsi="宋体" w:eastAsia="宋体" w:cs="宋体"/>
                <w:b w:val="0"/>
                <w:bCs w:val="0"/>
                <w:color w:val="auto"/>
                <w:kern w:val="0"/>
                <w:sz w:val="24"/>
                <w:szCs w:val="24"/>
                <w:highlight w:val="none"/>
              </w:rPr>
              <w:t>》</w:t>
            </w:r>
          </w:p>
        </w:tc>
        <w:tc>
          <w:tcPr>
            <w:tcW w:w="4132" w:type="dxa"/>
            <w:vMerge w:val="restart"/>
            <w:tcBorders>
              <w:tl2br w:val="nil"/>
              <w:tr2bl w:val="nil"/>
            </w:tcBorders>
            <w:noWrap w:val="0"/>
            <w:vAlign w:val="center"/>
          </w:tcPr>
          <w:p w14:paraId="1AB7B032">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shd w:val="clear" w:color="auto" w:fill="FFFFFF"/>
                <w:lang w:bidi="ar"/>
              </w:rPr>
              <w:t>第四十五条</w:t>
            </w:r>
            <w:r>
              <w:rPr>
                <w:rFonts w:hint="eastAsia" w:ascii="宋体" w:hAnsi="宋体" w:cs="宋体"/>
                <w:color w:val="auto"/>
                <w:kern w:val="0"/>
                <w:sz w:val="24"/>
                <w:szCs w:val="24"/>
                <w:highlight w:val="none"/>
                <w:shd w:val="clear" w:color="auto" w:fill="FFFFFF"/>
                <w:lang w:val="en-US" w:eastAsia="zh-CN" w:bidi="ar"/>
              </w:rPr>
              <w:t xml:space="preserve"> </w:t>
            </w:r>
            <w:r>
              <w:rPr>
                <w:rFonts w:hint="eastAsia" w:ascii="宋体" w:hAnsi="宋体" w:eastAsia="宋体" w:cs="宋体"/>
                <w:color w:val="auto"/>
                <w:kern w:val="0"/>
                <w:sz w:val="24"/>
                <w:szCs w:val="24"/>
                <w:highlight w:val="none"/>
                <w:shd w:val="clear" w:color="auto" w:fill="FFFFFF"/>
                <w:lang w:bidi="ar"/>
              </w:rPr>
              <w:t>食品小作坊、小餐饮店、小食杂店和食品摊贩违反本条例第二十条规定，由市场监督管理部门责令改正，给予警告；拒不改正的，处二百元以上一千元以下罚款；情节严重的，处一千元以上一万元以下罚款，责令停产停业，直至由原登记、备案机关吊销登记证、备案卡。</w:t>
            </w:r>
          </w:p>
        </w:tc>
        <w:tc>
          <w:tcPr>
            <w:tcW w:w="1133" w:type="dxa"/>
            <w:tcBorders>
              <w:tl2br w:val="nil"/>
              <w:tr2bl w:val="nil"/>
            </w:tcBorders>
            <w:noWrap w:val="0"/>
            <w:vAlign w:val="center"/>
          </w:tcPr>
          <w:p w14:paraId="379959F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2AAD102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spacing w:val="0"/>
                <w:kern w:val="0"/>
                <w:sz w:val="24"/>
                <w:szCs w:val="24"/>
                <w:highlight w:val="none"/>
                <w:lang w:eastAsia="zh-CN"/>
              </w:rPr>
            </w:pPr>
            <w:r>
              <w:rPr>
                <w:rFonts w:hint="eastAsia" w:ascii="宋体" w:hAnsi="宋体" w:eastAsia="宋体" w:cs="宋体"/>
                <w:color w:val="auto"/>
                <w:spacing w:val="0"/>
                <w:kern w:val="0"/>
                <w:sz w:val="24"/>
                <w:szCs w:val="24"/>
                <w:highlight w:val="none"/>
              </w:rPr>
              <w:t>拒不改正</w:t>
            </w:r>
            <w:r>
              <w:rPr>
                <w:rFonts w:hint="eastAsia" w:ascii="宋体" w:hAnsi="宋体" w:cs="宋体"/>
                <w:color w:val="auto"/>
                <w:spacing w:val="0"/>
                <w:kern w:val="0"/>
                <w:sz w:val="24"/>
                <w:szCs w:val="24"/>
                <w:highlight w:val="none"/>
                <w:lang w:eastAsia="zh-CN"/>
              </w:rPr>
              <w:t>的。</w:t>
            </w:r>
          </w:p>
        </w:tc>
        <w:tc>
          <w:tcPr>
            <w:tcW w:w="3267" w:type="dxa"/>
            <w:tcBorders>
              <w:tl2br w:val="nil"/>
              <w:tr2bl w:val="nil"/>
            </w:tcBorders>
            <w:noWrap w:val="0"/>
            <w:vAlign w:val="center"/>
          </w:tcPr>
          <w:p w14:paraId="2D3AB07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w:t>
            </w:r>
            <w:r>
              <w:rPr>
                <w:rFonts w:hint="eastAsia" w:ascii="宋体" w:hAnsi="宋体" w:cs="宋体"/>
                <w:color w:val="auto"/>
                <w:kern w:val="0"/>
                <w:sz w:val="24"/>
                <w:szCs w:val="24"/>
                <w:highlight w:val="none"/>
                <w:lang w:val="en-US" w:eastAsia="zh-CN"/>
              </w:rPr>
              <w:t>200</w:t>
            </w:r>
            <w:r>
              <w:rPr>
                <w:rFonts w:hint="eastAsia" w:ascii="宋体" w:hAnsi="宋体" w:eastAsia="宋体" w:cs="宋体"/>
                <w:color w:val="auto"/>
                <w:kern w:val="0"/>
                <w:sz w:val="24"/>
                <w:szCs w:val="24"/>
                <w:highlight w:val="none"/>
              </w:rPr>
              <w:t>元以上</w:t>
            </w:r>
            <w:r>
              <w:rPr>
                <w:rFonts w:hint="eastAsia" w:ascii="宋体" w:hAnsi="宋体" w:cs="宋体"/>
                <w:color w:val="auto"/>
                <w:kern w:val="0"/>
                <w:sz w:val="24"/>
                <w:szCs w:val="24"/>
                <w:highlight w:val="none"/>
                <w:lang w:val="en-US" w:eastAsia="zh-CN"/>
              </w:rPr>
              <w:t>1000</w:t>
            </w:r>
            <w:r>
              <w:rPr>
                <w:rFonts w:hint="eastAsia" w:ascii="宋体" w:hAnsi="宋体" w:eastAsia="宋体" w:cs="宋体"/>
                <w:color w:val="auto"/>
                <w:kern w:val="0"/>
                <w:sz w:val="24"/>
                <w:szCs w:val="24"/>
                <w:highlight w:val="none"/>
              </w:rPr>
              <w:t>元以下罚款。</w:t>
            </w:r>
          </w:p>
        </w:tc>
      </w:tr>
      <w:tr w14:paraId="5B85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exact"/>
          <w:jc w:val="center"/>
        </w:trPr>
        <w:tc>
          <w:tcPr>
            <w:tcW w:w="787" w:type="dxa"/>
            <w:vMerge w:val="continue"/>
            <w:tcBorders>
              <w:tl2br w:val="nil"/>
              <w:tr2bl w:val="nil"/>
            </w:tcBorders>
            <w:noWrap w:val="0"/>
            <w:vAlign w:val="center"/>
          </w:tcPr>
          <w:p w14:paraId="034B779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05BED7A2">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68AD9E1B">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7971A44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62D73A1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spacing w:val="0"/>
                <w:kern w:val="0"/>
                <w:sz w:val="24"/>
                <w:szCs w:val="24"/>
                <w:highlight w:val="none"/>
              </w:rPr>
            </w:pPr>
            <w:r>
              <w:rPr>
                <w:rFonts w:hint="eastAsia" w:ascii="宋体" w:hAnsi="宋体" w:eastAsia="宋体" w:cs="宋体"/>
                <w:color w:val="auto"/>
                <w:spacing w:val="0"/>
                <w:kern w:val="0"/>
                <w:sz w:val="24"/>
                <w:szCs w:val="24"/>
                <w:highlight w:val="none"/>
              </w:rPr>
              <w:t>拒不改正且情节严重的。</w:t>
            </w:r>
          </w:p>
        </w:tc>
        <w:tc>
          <w:tcPr>
            <w:tcW w:w="3267" w:type="dxa"/>
            <w:tcBorders>
              <w:tl2br w:val="nil"/>
              <w:tr2bl w:val="nil"/>
            </w:tcBorders>
            <w:noWrap w:val="0"/>
            <w:vAlign w:val="center"/>
          </w:tcPr>
          <w:p w14:paraId="38ED69D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w:t>
            </w:r>
            <w:r>
              <w:rPr>
                <w:rFonts w:hint="eastAsia" w:ascii="宋体" w:hAnsi="宋体" w:cs="宋体"/>
                <w:color w:val="auto"/>
                <w:kern w:val="0"/>
                <w:sz w:val="24"/>
                <w:szCs w:val="24"/>
                <w:highlight w:val="none"/>
                <w:lang w:val="en-US" w:eastAsia="zh-CN"/>
              </w:rPr>
              <w:t>1000</w:t>
            </w:r>
            <w:r>
              <w:rPr>
                <w:rFonts w:hint="eastAsia" w:ascii="宋体" w:hAnsi="宋体" w:eastAsia="宋体" w:cs="宋体"/>
                <w:color w:val="auto"/>
                <w:kern w:val="0"/>
                <w:sz w:val="24"/>
                <w:szCs w:val="24"/>
                <w:highlight w:val="none"/>
              </w:rPr>
              <w:t>元以上</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万元以下罚款。</w:t>
            </w:r>
          </w:p>
        </w:tc>
      </w:tr>
      <w:tr w14:paraId="2A2E1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0" w:hRule="atLeast"/>
          <w:jc w:val="center"/>
        </w:trPr>
        <w:tc>
          <w:tcPr>
            <w:tcW w:w="787" w:type="dxa"/>
            <w:vMerge w:val="continue"/>
            <w:tcBorders>
              <w:tl2br w:val="nil"/>
              <w:tr2bl w:val="nil"/>
            </w:tcBorders>
            <w:noWrap w:val="0"/>
            <w:vAlign w:val="center"/>
          </w:tcPr>
          <w:p w14:paraId="13791FE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71208964">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jc w:val="both"/>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6ACD0F79">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70CBE13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6329ABF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spacing w:val="0"/>
                <w:kern w:val="0"/>
                <w:sz w:val="24"/>
                <w:szCs w:val="24"/>
                <w:highlight w:val="none"/>
              </w:rPr>
            </w:pPr>
            <w:r>
              <w:rPr>
                <w:rFonts w:hint="eastAsia" w:ascii="宋体" w:hAnsi="宋体" w:eastAsia="宋体" w:cs="宋体"/>
                <w:color w:val="auto"/>
                <w:spacing w:val="0"/>
                <w:kern w:val="0"/>
                <w:sz w:val="24"/>
                <w:szCs w:val="24"/>
                <w:highlight w:val="none"/>
              </w:rPr>
              <w:t>拒不改正且情节特别严重的。</w:t>
            </w:r>
          </w:p>
        </w:tc>
        <w:tc>
          <w:tcPr>
            <w:tcW w:w="3267" w:type="dxa"/>
            <w:tcBorders>
              <w:tl2br w:val="nil"/>
              <w:tr2bl w:val="nil"/>
            </w:tcBorders>
            <w:noWrap w:val="0"/>
            <w:vAlign w:val="center"/>
          </w:tcPr>
          <w:p w14:paraId="12976B9D">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责令停产停业</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shd w:val="clear" w:color="auto" w:fill="FFFFFF"/>
                <w:lang w:bidi="ar"/>
              </w:rPr>
              <w:t>直至由原登记、备案机关吊销登记证、备案卡</w:t>
            </w:r>
            <w:r>
              <w:rPr>
                <w:rFonts w:hint="eastAsia" w:ascii="宋体" w:hAnsi="宋体" w:eastAsia="宋体" w:cs="宋体"/>
                <w:color w:val="auto"/>
                <w:kern w:val="0"/>
                <w:sz w:val="24"/>
                <w:szCs w:val="24"/>
                <w:highlight w:val="none"/>
              </w:rPr>
              <w:t>。</w:t>
            </w:r>
          </w:p>
        </w:tc>
      </w:tr>
      <w:tr w14:paraId="4A9A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1" w:hRule="atLeast"/>
          <w:jc w:val="center"/>
        </w:trPr>
        <w:tc>
          <w:tcPr>
            <w:tcW w:w="787" w:type="dxa"/>
            <w:vMerge w:val="restart"/>
            <w:tcBorders>
              <w:tl2br w:val="nil"/>
              <w:tr2bl w:val="nil"/>
            </w:tcBorders>
            <w:noWrap w:val="0"/>
            <w:vAlign w:val="center"/>
          </w:tcPr>
          <w:p w14:paraId="2210231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3</w:t>
            </w:r>
            <w:r>
              <w:rPr>
                <w:rFonts w:hint="eastAsia" w:ascii="宋体" w:hAnsi="宋体" w:cs="宋体"/>
                <w:b w:val="0"/>
                <w:bCs w:val="0"/>
                <w:color w:val="auto"/>
                <w:kern w:val="0"/>
                <w:sz w:val="24"/>
                <w:szCs w:val="24"/>
                <w:highlight w:val="none"/>
                <w:lang w:val="en-US" w:eastAsia="zh-CN"/>
              </w:rPr>
              <w:t>24</w:t>
            </w:r>
          </w:p>
        </w:tc>
        <w:tc>
          <w:tcPr>
            <w:tcW w:w="1718" w:type="dxa"/>
            <w:vMerge w:val="restart"/>
            <w:tcBorders>
              <w:tl2br w:val="nil"/>
              <w:tr2bl w:val="nil"/>
            </w:tcBorders>
            <w:noWrap w:val="0"/>
            <w:vAlign w:val="center"/>
          </w:tcPr>
          <w:p w14:paraId="2AB39A9F">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w:t>
            </w:r>
            <w:r>
              <w:rPr>
                <w:rFonts w:hint="eastAsia" w:ascii="宋体" w:hAnsi="宋体" w:eastAsia="宋体" w:cs="宋体"/>
                <w:b w:val="0"/>
                <w:bCs w:val="0"/>
                <w:color w:val="auto"/>
                <w:kern w:val="0"/>
                <w:sz w:val="24"/>
                <w:szCs w:val="24"/>
                <w:highlight w:val="none"/>
                <w:shd w:val="clear" w:color="auto" w:fill="FFFFFF"/>
                <w:lang w:bidi="ar"/>
              </w:rPr>
              <w:t>吉林省食品小作坊小餐饮店小食杂店和食品摊贩管理条例</w:t>
            </w:r>
            <w:r>
              <w:rPr>
                <w:rFonts w:hint="eastAsia" w:ascii="宋体" w:hAnsi="宋体" w:eastAsia="宋体" w:cs="宋体"/>
                <w:b w:val="0"/>
                <w:bCs w:val="0"/>
                <w:color w:val="auto"/>
                <w:kern w:val="0"/>
                <w:sz w:val="24"/>
                <w:szCs w:val="24"/>
                <w:highlight w:val="none"/>
              </w:rPr>
              <w:t>》</w:t>
            </w:r>
          </w:p>
        </w:tc>
        <w:tc>
          <w:tcPr>
            <w:tcW w:w="4132" w:type="dxa"/>
            <w:vMerge w:val="restart"/>
            <w:tcBorders>
              <w:tl2br w:val="nil"/>
              <w:tr2bl w:val="nil"/>
            </w:tcBorders>
            <w:noWrap w:val="0"/>
            <w:vAlign w:val="center"/>
          </w:tcPr>
          <w:p w14:paraId="10529FCA">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第四十七条</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集中交易市场开办者、柜台出租者和展销会举办者违反本条例第二十二条规定，由市场监督管理部门责令改正，</w:t>
            </w:r>
            <w:r>
              <w:rPr>
                <w:rFonts w:hint="eastAsia" w:ascii="宋体" w:hAnsi="宋体" w:eastAsia="宋体" w:cs="宋体"/>
                <w:color w:val="auto"/>
                <w:kern w:val="0"/>
                <w:sz w:val="24"/>
                <w:szCs w:val="24"/>
                <w:highlight w:val="none"/>
                <w:u w:val="none"/>
              </w:rPr>
              <w:t>没收违法所得，并处一万元以上五万元以下罚款；造成严重</w:t>
            </w:r>
            <w:r>
              <w:rPr>
                <w:rFonts w:hint="eastAsia" w:ascii="宋体" w:hAnsi="宋体" w:eastAsia="宋体" w:cs="宋体"/>
                <w:color w:val="auto"/>
                <w:kern w:val="0"/>
                <w:sz w:val="24"/>
                <w:szCs w:val="24"/>
                <w:highlight w:val="none"/>
              </w:rPr>
              <w:t>后果的，</w:t>
            </w:r>
            <w:r>
              <w:rPr>
                <w:rFonts w:hint="eastAsia" w:ascii="宋体" w:hAnsi="宋体" w:eastAsia="宋体" w:cs="宋体"/>
                <w:color w:val="auto"/>
                <w:kern w:val="0"/>
                <w:sz w:val="24"/>
                <w:szCs w:val="24"/>
                <w:highlight w:val="none"/>
                <w:u w:val="none"/>
              </w:rPr>
              <w:t>责令停业，直</w:t>
            </w:r>
            <w:r>
              <w:rPr>
                <w:rFonts w:hint="eastAsia" w:ascii="宋体" w:hAnsi="宋体" w:eastAsia="宋体" w:cs="宋体"/>
                <w:color w:val="auto"/>
                <w:kern w:val="0"/>
                <w:sz w:val="24"/>
                <w:szCs w:val="24"/>
                <w:highlight w:val="none"/>
              </w:rPr>
              <w:t>至由原发证部门吊销许可证；使消费者的合法权益受到损害的，应当依法与食品经营者承担连带责任。</w:t>
            </w:r>
          </w:p>
        </w:tc>
        <w:tc>
          <w:tcPr>
            <w:tcW w:w="1133" w:type="dxa"/>
            <w:tcBorders>
              <w:tl2br w:val="nil"/>
              <w:tr2bl w:val="nil"/>
            </w:tcBorders>
            <w:noWrap w:val="0"/>
            <w:vAlign w:val="center"/>
          </w:tcPr>
          <w:p w14:paraId="62B3E3D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较轻</w:t>
            </w:r>
          </w:p>
        </w:tc>
        <w:tc>
          <w:tcPr>
            <w:tcW w:w="3316" w:type="dxa"/>
            <w:tcBorders>
              <w:tl2br w:val="nil"/>
              <w:tr2bl w:val="nil"/>
            </w:tcBorders>
            <w:noWrap w:val="0"/>
            <w:vAlign w:val="center"/>
          </w:tcPr>
          <w:p w14:paraId="0E164BA0">
            <w:pPr>
              <w:pStyle w:val="17"/>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28"/>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pacing w:val="-6"/>
                <w:sz w:val="24"/>
                <w:szCs w:val="24"/>
                <w:highlight w:val="none"/>
              </w:rPr>
              <w:t>集中交易市场的开办者、柜台出租者、展销会的举办者允许</w:t>
            </w:r>
            <w:r>
              <w:rPr>
                <w:rFonts w:hint="eastAsia" w:ascii="宋体" w:hAnsi="宋体" w:eastAsia="宋体" w:cs="宋体"/>
                <w:color w:val="auto"/>
                <w:spacing w:val="-6"/>
                <w:sz w:val="24"/>
                <w:szCs w:val="24"/>
                <w:highlight w:val="none"/>
                <w:lang w:val="en-US"/>
              </w:rPr>
              <w:t>3</w:t>
            </w:r>
            <w:r>
              <w:rPr>
                <w:rFonts w:hint="eastAsia" w:ascii="宋体" w:hAnsi="宋体" w:eastAsia="宋体" w:cs="宋体"/>
                <w:color w:val="auto"/>
                <w:spacing w:val="-6"/>
                <w:sz w:val="24"/>
                <w:szCs w:val="24"/>
                <w:highlight w:val="none"/>
              </w:rPr>
              <w:t>个</w:t>
            </w:r>
            <w:r>
              <w:rPr>
                <w:rFonts w:hint="eastAsia" w:cs="宋体"/>
                <w:color w:val="auto"/>
                <w:spacing w:val="-6"/>
                <w:sz w:val="24"/>
                <w:szCs w:val="24"/>
                <w:highlight w:val="none"/>
                <w:lang w:val="en-US" w:eastAsia="zh-CN"/>
              </w:rPr>
              <w:t>以下</w:t>
            </w:r>
            <w:r>
              <w:rPr>
                <w:rFonts w:hint="eastAsia" w:ascii="宋体" w:hAnsi="宋体" w:eastAsia="宋体" w:cs="宋体"/>
                <w:color w:val="auto"/>
                <w:spacing w:val="-6"/>
                <w:sz w:val="24"/>
                <w:szCs w:val="24"/>
                <w:highlight w:val="none"/>
              </w:rPr>
              <w:t>未依法取得许可的食品经营者进入市场销售食品，或者履行检查、报告等义务不及时、检查或者报告的内容有缺失但未造成不良影响的</w:t>
            </w:r>
            <w:r>
              <w:rPr>
                <w:rFonts w:hint="eastAsia" w:ascii="宋体" w:hAnsi="宋体" w:eastAsia="宋体" w:cs="宋体"/>
                <w:color w:val="auto"/>
                <w:spacing w:val="-6"/>
                <w:sz w:val="24"/>
                <w:szCs w:val="24"/>
                <w:highlight w:val="none"/>
                <w:lang w:eastAsia="zh-CN"/>
              </w:rPr>
              <w:t>。</w:t>
            </w:r>
          </w:p>
        </w:tc>
        <w:tc>
          <w:tcPr>
            <w:tcW w:w="3267" w:type="dxa"/>
            <w:tcBorders>
              <w:tl2br w:val="nil"/>
              <w:tr2bl w:val="nil"/>
            </w:tcBorders>
            <w:noWrap w:val="0"/>
            <w:vAlign w:val="center"/>
          </w:tcPr>
          <w:p w14:paraId="6D969AF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责令改正，</w:t>
            </w:r>
            <w:r>
              <w:rPr>
                <w:rFonts w:hint="eastAsia" w:ascii="宋体" w:hAnsi="宋体" w:eastAsia="宋体" w:cs="宋体"/>
                <w:color w:val="auto"/>
                <w:kern w:val="0"/>
                <w:sz w:val="24"/>
                <w:szCs w:val="24"/>
                <w:highlight w:val="none"/>
              </w:rPr>
              <w:t>没收违法所得</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并处</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万元以上</w:t>
            </w:r>
            <w:r>
              <w:rPr>
                <w:rFonts w:hint="eastAsia" w:ascii="宋体" w:hAnsi="宋体" w:cs="宋体"/>
                <w:color w:val="auto"/>
                <w:kern w:val="0"/>
                <w:sz w:val="24"/>
                <w:szCs w:val="24"/>
                <w:highlight w:val="none"/>
                <w:lang w:val="en-US" w:eastAsia="zh-CN"/>
              </w:rPr>
              <w:t>2.2</w:t>
            </w:r>
            <w:r>
              <w:rPr>
                <w:rFonts w:hint="eastAsia" w:ascii="宋体" w:hAnsi="宋体" w:eastAsia="宋体" w:cs="宋体"/>
                <w:color w:val="auto"/>
                <w:kern w:val="0"/>
                <w:sz w:val="24"/>
                <w:szCs w:val="24"/>
                <w:highlight w:val="none"/>
              </w:rPr>
              <w:t>万元以下罚款。</w:t>
            </w:r>
          </w:p>
        </w:tc>
      </w:tr>
      <w:tr w14:paraId="1B16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4" w:hRule="atLeast"/>
          <w:jc w:val="center"/>
        </w:trPr>
        <w:tc>
          <w:tcPr>
            <w:tcW w:w="787" w:type="dxa"/>
            <w:vMerge w:val="continue"/>
            <w:tcBorders>
              <w:tl2br w:val="nil"/>
              <w:tr2bl w:val="nil"/>
            </w:tcBorders>
            <w:noWrap w:val="0"/>
            <w:vAlign w:val="center"/>
          </w:tcPr>
          <w:p w14:paraId="7E1D3BB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42B62ABE">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4795273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1A75F6F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一般</w:t>
            </w:r>
          </w:p>
        </w:tc>
        <w:tc>
          <w:tcPr>
            <w:tcW w:w="3316" w:type="dxa"/>
            <w:tcBorders>
              <w:tl2br w:val="nil"/>
              <w:tr2bl w:val="nil"/>
            </w:tcBorders>
            <w:noWrap w:val="0"/>
            <w:vAlign w:val="center"/>
          </w:tcPr>
          <w:p w14:paraId="2240D39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pacing w:val="-4"/>
                <w:sz w:val="24"/>
                <w:szCs w:val="24"/>
                <w:highlight w:val="none"/>
              </w:rPr>
              <w:t>集中交易市场的开办者、柜台出租者、展销会的举办者允许3个以上</w:t>
            </w:r>
            <w:r>
              <w:rPr>
                <w:rFonts w:hint="eastAsia" w:ascii="宋体" w:hAnsi="宋体" w:cs="宋体"/>
                <w:color w:val="auto"/>
                <w:spacing w:val="-4"/>
                <w:sz w:val="24"/>
                <w:szCs w:val="24"/>
                <w:highlight w:val="none"/>
                <w:lang w:val="en-US" w:eastAsia="zh-CN"/>
              </w:rPr>
              <w:t>10个以下</w:t>
            </w:r>
            <w:r>
              <w:rPr>
                <w:rFonts w:hint="eastAsia" w:ascii="宋体" w:hAnsi="宋体" w:eastAsia="宋体" w:cs="宋体"/>
                <w:color w:val="auto"/>
                <w:spacing w:val="-4"/>
                <w:sz w:val="24"/>
                <w:szCs w:val="24"/>
                <w:highlight w:val="none"/>
              </w:rPr>
              <w:t>未依法取得许可的食品经营者进入市场销售食品，或者长期不履行检查、报告等义务</w:t>
            </w:r>
            <w:r>
              <w:rPr>
                <w:rFonts w:hint="eastAsia" w:ascii="宋体" w:hAnsi="宋体" w:eastAsia="宋体" w:cs="宋体"/>
                <w:color w:val="auto"/>
                <w:spacing w:val="-2"/>
                <w:sz w:val="24"/>
                <w:szCs w:val="24"/>
                <w:highlight w:val="none"/>
              </w:rPr>
              <w:t>的。</w:t>
            </w:r>
          </w:p>
        </w:tc>
        <w:tc>
          <w:tcPr>
            <w:tcW w:w="3267" w:type="dxa"/>
            <w:tcBorders>
              <w:tl2br w:val="nil"/>
              <w:tr2bl w:val="nil"/>
            </w:tcBorders>
            <w:noWrap w:val="0"/>
            <w:vAlign w:val="center"/>
          </w:tcPr>
          <w:p w14:paraId="7777F1E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责令改正，</w:t>
            </w:r>
            <w:r>
              <w:rPr>
                <w:rFonts w:hint="eastAsia" w:ascii="宋体" w:hAnsi="宋体" w:eastAsia="宋体" w:cs="宋体"/>
                <w:color w:val="auto"/>
                <w:kern w:val="0"/>
                <w:sz w:val="24"/>
                <w:szCs w:val="24"/>
                <w:highlight w:val="none"/>
              </w:rPr>
              <w:t>没收违法所得</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并处</w:t>
            </w:r>
            <w:r>
              <w:rPr>
                <w:rFonts w:hint="eastAsia" w:ascii="宋体" w:hAnsi="宋体" w:cs="宋体"/>
                <w:color w:val="auto"/>
                <w:kern w:val="0"/>
                <w:sz w:val="24"/>
                <w:szCs w:val="24"/>
                <w:highlight w:val="none"/>
                <w:lang w:val="en-US" w:eastAsia="zh-CN"/>
              </w:rPr>
              <w:t>2.2</w:t>
            </w:r>
            <w:r>
              <w:rPr>
                <w:rFonts w:hint="eastAsia" w:ascii="宋体" w:hAnsi="宋体" w:eastAsia="宋体" w:cs="宋体"/>
                <w:color w:val="auto"/>
                <w:kern w:val="0"/>
                <w:sz w:val="24"/>
                <w:szCs w:val="24"/>
                <w:highlight w:val="none"/>
              </w:rPr>
              <w:t>万</w:t>
            </w:r>
            <w:r>
              <w:rPr>
                <w:rFonts w:hint="eastAsia" w:ascii="宋体" w:hAnsi="宋体" w:cs="宋体"/>
                <w:color w:val="auto"/>
                <w:kern w:val="0"/>
                <w:sz w:val="24"/>
                <w:szCs w:val="24"/>
                <w:highlight w:val="none"/>
                <w:lang w:val="en-US" w:eastAsia="zh-CN"/>
              </w:rPr>
              <w:t>元</w:t>
            </w:r>
            <w:r>
              <w:rPr>
                <w:rFonts w:hint="eastAsia" w:ascii="宋体" w:hAnsi="宋体" w:eastAsia="宋体" w:cs="宋体"/>
                <w:color w:val="auto"/>
                <w:kern w:val="0"/>
                <w:sz w:val="24"/>
                <w:szCs w:val="24"/>
                <w:highlight w:val="none"/>
              </w:rPr>
              <w:t>以上</w:t>
            </w:r>
            <w:r>
              <w:rPr>
                <w:rFonts w:hint="eastAsia" w:ascii="宋体" w:hAnsi="宋体" w:cs="宋体"/>
                <w:color w:val="auto"/>
                <w:kern w:val="0"/>
                <w:sz w:val="24"/>
                <w:szCs w:val="24"/>
                <w:highlight w:val="none"/>
                <w:lang w:val="en-US" w:eastAsia="zh-CN"/>
              </w:rPr>
              <w:t>3.8</w:t>
            </w:r>
            <w:r>
              <w:rPr>
                <w:rFonts w:hint="eastAsia" w:ascii="宋体" w:hAnsi="宋体" w:eastAsia="宋体" w:cs="宋体"/>
                <w:color w:val="auto"/>
                <w:kern w:val="0"/>
                <w:sz w:val="24"/>
                <w:szCs w:val="24"/>
                <w:highlight w:val="none"/>
              </w:rPr>
              <w:t>万</w:t>
            </w:r>
            <w:r>
              <w:rPr>
                <w:rFonts w:hint="eastAsia" w:ascii="宋体" w:hAnsi="宋体" w:cs="宋体"/>
                <w:color w:val="auto"/>
                <w:kern w:val="0"/>
                <w:sz w:val="24"/>
                <w:szCs w:val="24"/>
                <w:highlight w:val="none"/>
                <w:lang w:val="en-US" w:eastAsia="zh-CN"/>
              </w:rPr>
              <w:t>元</w:t>
            </w:r>
            <w:r>
              <w:rPr>
                <w:rFonts w:hint="eastAsia" w:ascii="宋体" w:hAnsi="宋体" w:eastAsia="宋体" w:cs="宋体"/>
                <w:color w:val="auto"/>
                <w:kern w:val="0"/>
                <w:sz w:val="24"/>
                <w:szCs w:val="24"/>
                <w:highlight w:val="none"/>
              </w:rPr>
              <w:t>以下罚款。</w:t>
            </w:r>
          </w:p>
        </w:tc>
      </w:tr>
      <w:tr w14:paraId="2E67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3" w:hRule="atLeast"/>
          <w:jc w:val="center"/>
        </w:trPr>
        <w:tc>
          <w:tcPr>
            <w:tcW w:w="787" w:type="dxa"/>
            <w:vMerge w:val="continue"/>
            <w:tcBorders>
              <w:tl2br w:val="nil"/>
              <w:tr2bl w:val="nil"/>
            </w:tcBorders>
            <w:noWrap w:val="0"/>
            <w:vAlign w:val="center"/>
          </w:tcPr>
          <w:p w14:paraId="7561B92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5D2BB7F0">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5449EAFB">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587DE0D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较重</w:t>
            </w:r>
          </w:p>
        </w:tc>
        <w:tc>
          <w:tcPr>
            <w:tcW w:w="3316" w:type="dxa"/>
            <w:tcBorders>
              <w:tl2br w:val="nil"/>
              <w:tr2bl w:val="nil"/>
            </w:tcBorders>
            <w:noWrap w:val="0"/>
            <w:vAlign w:val="center"/>
          </w:tcPr>
          <w:p w14:paraId="63135EE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集中交易市场的开办者、柜台出租者、展销会的举办者允许</w:t>
            </w:r>
            <w:r>
              <w:rPr>
                <w:rFonts w:hint="eastAsia" w:ascii="宋体" w:hAnsi="宋体" w:cs="宋体"/>
                <w:color w:val="auto"/>
                <w:spacing w:val="-4"/>
                <w:sz w:val="24"/>
                <w:szCs w:val="24"/>
                <w:highlight w:val="none"/>
                <w:lang w:val="en-US" w:eastAsia="zh-CN"/>
              </w:rPr>
              <w:t>10</w:t>
            </w:r>
            <w:r>
              <w:rPr>
                <w:rFonts w:hint="eastAsia" w:ascii="宋体" w:hAnsi="宋体" w:eastAsia="宋体" w:cs="宋体"/>
                <w:color w:val="auto"/>
                <w:spacing w:val="-4"/>
                <w:sz w:val="24"/>
                <w:szCs w:val="24"/>
                <w:highlight w:val="none"/>
              </w:rPr>
              <w:t>个以上未依法取得许可的食品经营者进入市场销售食品，或者长期不履行检查、报告等义务</w:t>
            </w:r>
            <w:r>
              <w:rPr>
                <w:rFonts w:hint="eastAsia" w:ascii="宋体" w:hAnsi="宋体" w:eastAsia="宋体" w:cs="宋体"/>
                <w:color w:val="auto"/>
                <w:spacing w:val="-2"/>
                <w:sz w:val="24"/>
                <w:szCs w:val="24"/>
                <w:highlight w:val="none"/>
              </w:rPr>
              <w:t>的。</w:t>
            </w:r>
          </w:p>
        </w:tc>
        <w:tc>
          <w:tcPr>
            <w:tcW w:w="3267" w:type="dxa"/>
            <w:tcBorders>
              <w:tl2br w:val="nil"/>
              <w:tr2bl w:val="nil"/>
            </w:tcBorders>
            <w:noWrap w:val="0"/>
            <w:vAlign w:val="center"/>
          </w:tcPr>
          <w:p w14:paraId="700C902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责令改正，</w:t>
            </w:r>
            <w:r>
              <w:rPr>
                <w:rFonts w:hint="eastAsia" w:ascii="宋体" w:hAnsi="宋体" w:eastAsia="宋体" w:cs="宋体"/>
                <w:color w:val="auto"/>
                <w:kern w:val="0"/>
                <w:sz w:val="24"/>
                <w:szCs w:val="24"/>
                <w:highlight w:val="none"/>
              </w:rPr>
              <w:t>没收违法所得</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并处</w:t>
            </w:r>
            <w:r>
              <w:rPr>
                <w:rFonts w:hint="eastAsia" w:ascii="宋体" w:hAnsi="宋体" w:cs="宋体"/>
                <w:color w:val="auto"/>
                <w:kern w:val="0"/>
                <w:sz w:val="24"/>
                <w:szCs w:val="24"/>
                <w:highlight w:val="none"/>
                <w:lang w:val="en-US" w:eastAsia="zh-CN"/>
              </w:rPr>
              <w:t>3.8</w:t>
            </w:r>
            <w:r>
              <w:rPr>
                <w:rFonts w:hint="eastAsia" w:ascii="宋体" w:hAnsi="宋体" w:eastAsia="宋体" w:cs="宋体"/>
                <w:color w:val="auto"/>
                <w:kern w:val="0"/>
                <w:sz w:val="24"/>
                <w:szCs w:val="24"/>
                <w:highlight w:val="none"/>
              </w:rPr>
              <w:t>万</w:t>
            </w:r>
            <w:r>
              <w:rPr>
                <w:rFonts w:hint="eastAsia" w:ascii="宋体" w:hAnsi="宋体" w:cs="宋体"/>
                <w:color w:val="auto"/>
                <w:kern w:val="0"/>
                <w:sz w:val="24"/>
                <w:szCs w:val="24"/>
                <w:highlight w:val="none"/>
                <w:lang w:val="en-US" w:eastAsia="zh-CN"/>
              </w:rPr>
              <w:t>元</w:t>
            </w:r>
            <w:r>
              <w:rPr>
                <w:rFonts w:hint="eastAsia" w:ascii="宋体" w:hAnsi="宋体" w:eastAsia="宋体" w:cs="宋体"/>
                <w:color w:val="auto"/>
                <w:kern w:val="0"/>
                <w:sz w:val="24"/>
                <w:szCs w:val="24"/>
                <w:highlight w:val="none"/>
              </w:rPr>
              <w:t>以上</w:t>
            </w: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万</w:t>
            </w:r>
            <w:r>
              <w:rPr>
                <w:rFonts w:hint="eastAsia" w:ascii="宋体" w:hAnsi="宋体" w:cs="宋体"/>
                <w:color w:val="auto"/>
                <w:kern w:val="0"/>
                <w:sz w:val="24"/>
                <w:szCs w:val="24"/>
                <w:highlight w:val="none"/>
                <w:lang w:val="en-US" w:eastAsia="zh-CN"/>
              </w:rPr>
              <w:t>元</w:t>
            </w:r>
            <w:r>
              <w:rPr>
                <w:rFonts w:hint="eastAsia" w:ascii="宋体" w:hAnsi="宋体" w:eastAsia="宋体" w:cs="宋体"/>
                <w:color w:val="auto"/>
                <w:kern w:val="0"/>
                <w:sz w:val="24"/>
                <w:szCs w:val="24"/>
                <w:highlight w:val="none"/>
              </w:rPr>
              <w:t>以下罚款。</w:t>
            </w:r>
          </w:p>
        </w:tc>
      </w:tr>
      <w:tr w14:paraId="1452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exact"/>
          <w:jc w:val="center"/>
        </w:trPr>
        <w:tc>
          <w:tcPr>
            <w:tcW w:w="787" w:type="dxa"/>
            <w:vMerge w:val="continue"/>
            <w:tcBorders>
              <w:tl2br w:val="nil"/>
              <w:tr2bl w:val="nil"/>
            </w:tcBorders>
            <w:noWrap w:val="0"/>
            <w:vAlign w:val="center"/>
          </w:tcPr>
          <w:p w14:paraId="46B1D47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auto"/>
                <w:kern w:val="0"/>
                <w:sz w:val="24"/>
                <w:szCs w:val="24"/>
                <w:highlight w:val="none"/>
              </w:rPr>
            </w:pPr>
          </w:p>
        </w:tc>
        <w:tc>
          <w:tcPr>
            <w:tcW w:w="1718" w:type="dxa"/>
            <w:vMerge w:val="continue"/>
            <w:tcBorders>
              <w:tl2br w:val="nil"/>
              <w:tr2bl w:val="nil"/>
            </w:tcBorders>
            <w:noWrap w:val="0"/>
            <w:vAlign w:val="center"/>
          </w:tcPr>
          <w:p w14:paraId="23A0C135">
            <w:pPr>
              <w:keepNext w:val="0"/>
              <w:keepLines w:val="0"/>
              <w:pageBreakBefore w:val="0"/>
              <w:widowControl/>
              <w:kinsoku/>
              <w:wordWrap/>
              <w:overflowPunct/>
              <w:topLinePunct w:val="0"/>
              <w:autoSpaceDE/>
              <w:autoSpaceDN/>
              <w:bidi w:val="0"/>
              <w:adjustRightInd/>
              <w:snapToGrid/>
              <w:spacing w:beforeAutospacing="0" w:afterAutospacing="0" w:line="400" w:lineRule="exact"/>
              <w:ind w:left="41" w:leftChars="20"/>
              <w:textAlignment w:val="auto"/>
              <w:rPr>
                <w:rFonts w:hint="eastAsia" w:ascii="宋体" w:hAnsi="宋体" w:eastAsia="宋体" w:cs="宋体"/>
                <w:b/>
                <w:bCs/>
                <w:color w:val="auto"/>
                <w:kern w:val="0"/>
                <w:sz w:val="24"/>
                <w:szCs w:val="24"/>
                <w:highlight w:val="none"/>
              </w:rPr>
            </w:pPr>
          </w:p>
        </w:tc>
        <w:tc>
          <w:tcPr>
            <w:tcW w:w="4132" w:type="dxa"/>
            <w:vMerge w:val="continue"/>
            <w:tcBorders>
              <w:tl2br w:val="nil"/>
              <w:tr2bl w:val="nil"/>
            </w:tcBorders>
            <w:noWrap w:val="0"/>
            <w:vAlign w:val="center"/>
          </w:tcPr>
          <w:p w14:paraId="3780BE80">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p>
        </w:tc>
        <w:tc>
          <w:tcPr>
            <w:tcW w:w="1133" w:type="dxa"/>
            <w:tcBorders>
              <w:tl2br w:val="nil"/>
              <w:tr2bl w:val="nil"/>
            </w:tcBorders>
            <w:noWrap w:val="0"/>
            <w:vAlign w:val="center"/>
          </w:tcPr>
          <w:p w14:paraId="463FCC6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严重</w:t>
            </w:r>
          </w:p>
        </w:tc>
        <w:tc>
          <w:tcPr>
            <w:tcW w:w="3316" w:type="dxa"/>
            <w:tcBorders>
              <w:tl2br w:val="nil"/>
              <w:tr2bl w:val="nil"/>
            </w:tcBorders>
            <w:noWrap w:val="0"/>
            <w:vAlign w:val="center"/>
          </w:tcPr>
          <w:p w14:paraId="3BE4896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造成人身损害或者重大社会影响</w:t>
            </w:r>
            <w:r>
              <w:rPr>
                <w:rFonts w:hint="eastAsia" w:ascii="宋体" w:hAnsi="宋体" w:cs="宋体"/>
                <w:color w:val="auto"/>
                <w:kern w:val="0"/>
                <w:sz w:val="24"/>
                <w:szCs w:val="24"/>
                <w:highlight w:val="none"/>
                <w:lang w:eastAsia="zh-CN"/>
              </w:rPr>
              <w:t>的</w:t>
            </w:r>
            <w:r>
              <w:rPr>
                <w:rFonts w:hint="eastAsia" w:ascii="宋体" w:hAnsi="宋体" w:eastAsia="宋体" w:cs="宋体"/>
                <w:color w:val="auto"/>
                <w:kern w:val="0"/>
                <w:sz w:val="24"/>
                <w:szCs w:val="24"/>
                <w:highlight w:val="none"/>
              </w:rPr>
              <w:t>。</w:t>
            </w:r>
          </w:p>
        </w:tc>
        <w:tc>
          <w:tcPr>
            <w:tcW w:w="3267" w:type="dxa"/>
            <w:tcBorders>
              <w:tl2br w:val="nil"/>
              <w:tr2bl w:val="nil"/>
            </w:tcBorders>
            <w:noWrap w:val="0"/>
            <w:vAlign w:val="center"/>
          </w:tcPr>
          <w:p w14:paraId="6422397A">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责令停业</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u w:val="none"/>
              </w:rPr>
              <w:t>直</w:t>
            </w:r>
            <w:r>
              <w:rPr>
                <w:rFonts w:hint="eastAsia" w:ascii="宋体" w:hAnsi="宋体" w:eastAsia="宋体" w:cs="宋体"/>
                <w:color w:val="auto"/>
                <w:kern w:val="0"/>
                <w:sz w:val="24"/>
                <w:szCs w:val="24"/>
                <w:highlight w:val="none"/>
              </w:rPr>
              <w:t>至由原发证部门吊销许可证</w:t>
            </w:r>
            <w:r>
              <w:rPr>
                <w:rFonts w:hint="eastAsia" w:ascii="宋体" w:hAnsi="宋体" w:eastAsia="宋体" w:cs="宋体"/>
                <w:color w:val="auto"/>
                <w:kern w:val="0"/>
                <w:sz w:val="24"/>
                <w:szCs w:val="24"/>
                <w:highlight w:val="none"/>
                <w:lang w:eastAsia="zh-CN"/>
              </w:rPr>
              <w:t>。</w:t>
            </w:r>
          </w:p>
        </w:tc>
      </w:tr>
    </w:tbl>
    <w:p w14:paraId="39A69DC8">
      <w:pPr>
        <w:keepNext w:val="0"/>
        <w:keepLines w:val="0"/>
        <w:pageBreakBefore w:val="0"/>
        <w:kinsoku/>
        <w:overflowPunct/>
        <w:topLinePunct w:val="0"/>
        <w:bidi w:val="0"/>
        <w:adjustRightInd/>
        <w:snapToGrid/>
        <w:spacing w:line="240" w:lineRule="auto"/>
        <w:rPr>
          <w:rFonts w:hint="default" w:ascii="Nimbus Roman No9 L" w:hAnsi="Nimbus Roman No9 L" w:eastAsia="仿宋_GB2312" w:cs="Nimbus Roman No9 L"/>
          <w:sz w:val="21"/>
          <w:szCs w:val="21"/>
          <w:highlight w:val="none"/>
        </w:rPr>
        <w:sectPr>
          <w:headerReference r:id="rId11" w:type="default"/>
          <w:footerReference r:id="rId12" w:type="default"/>
          <w:pgSz w:w="16838" w:h="11906" w:orient="landscape"/>
          <w:pgMar w:top="1417" w:right="1417" w:bottom="1417" w:left="1417" w:header="851" w:footer="1020" w:gutter="0"/>
          <w:pgBorders>
            <w:top w:val="none" w:sz="0" w:space="0"/>
            <w:left w:val="none" w:sz="0" w:space="0"/>
            <w:bottom w:val="none" w:sz="0" w:space="0"/>
            <w:right w:val="none" w:sz="0" w:space="0"/>
          </w:pgBorders>
          <w:pgNumType w:fmt="decimal"/>
          <w:cols w:space="0" w:num="1"/>
          <w:rtlGutter w:val="0"/>
          <w:docGrid w:type="linesAndChars" w:linePitch="579" w:charSpace="-849"/>
        </w:sectPr>
      </w:pPr>
    </w:p>
    <w:p w14:paraId="0EE9CB86">
      <w:pPr>
        <w:pStyle w:val="16"/>
        <w:keepNext/>
        <w:keepLines/>
        <w:pageBreakBefore w:val="0"/>
        <w:widowControl w:val="0"/>
        <w:numPr>
          <w:ilvl w:val="0"/>
          <w:numId w:val="0"/>
        </w:numPr>
        <w:kinsoku/>
        <w:wordWrap/>
        <w:overflowPunct/>
        <w:topLinePunct w:val="0"/>
        <w:autoSpaceDE/>
        <w:autoSpaceDN/>
        <w:bidi w:val="0"/>
        <w:adjustRightInd/>
        <w:snapToGrid/>
        <w:spacing w:line="160" w:lineRule="exact"/>
        <w:textAlignment w:val="baseline"/>
        <w:rPr>
          <w:rFonts w:hint="default"/>
          <w:highlight w:val="none"/>
        </w:rPr>
      </w:pPr>
    </w:p>
    <w:p w14:paraId="06EE5120">
      <w:pPr>
        <w:spacing w:line="240" w:lineRule="auto"/>
        <w:jc w:val="center"/>
        <w:outlineLvl w:val="1"/>
        <w:rPr>
          <w:rFonts w:hint="default" w:ascii="方正小标宋简体" w:hAnsi="方正小标宋简体" w:eastAsia="方正小标宋简体" w:cs="方正小标宋简体"/>
          <w:b w:val="0"/>
          <w:bCs/>
          <w:kern w:val="44"/>
          <w:sz w:val="36"/>
          <w:szCs w:val="20"/>
          <w:lang w:val="en-US" w:eastAsia="zh-CN" w:bidi="ar-SA"/>
        </w:rPr>
      </w:pPr>
      <w:bookmarkStart w:id="370" w:name="_Toc13325"/>
      <w:bookmarkStart w:id="371" w:name="_Toc14747"/>
      <w:bookmarkStart w:id="372" w:name="_Toc11786"/>
      <w:bookmarkStart w:id="373" w:name="_Toc18374"/>
      <w:bookmarkStart w:id="374" w:name="_Toc27692"/>
      <w:bookmarkStart w:id="375" w:name="_Hlk28165719"/>
      <w:r>
        <w:rPr>
          <w:rFonts w:hint="default" w:ascii="方正小标宋简体" w:hAnsi="方正小标宋简体" w:eastAsia="方正小标宋简体" w:cs="方正小标宋简体"/>
          <w:b w:val="0"/>
          <w:bCs/>
          <w:kern w:val="44"/>
          <w:sz w:val="36"/>
          <w:szCs w:val="20"/>
          <w:lang w:val="en-US" w:eastAsia="zh-CN" w:bidi="ar-SA"/>
        </w:rPr>
        <w:t>第十节  适用知识产权监管法律、法规、规章的裁量标准</w:t>
      </w:r>
      <w:bookmarkEnd w:id="370"/>
      <w:bookmarkEnd w:id="371"/>
      <w:bookmarkEnd w:id="372"/>
      <w:bookmarkEnd w:id="373"/>
      <w:bookmarkEnd w:id="374"/>
    </w:p>
    <w:tbl>
      <w:tblPr>
        <w:tblStyle w:val="10"/>
        <w:tblW w:w="14366"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779"/>
        <w:gridCol w:w="4098"/>
        <w:gridCol w:w="1169"/>
        <w:gridCol w:w="3328"/>
        <w:gridCol w:w="3233"/>
      </w:tblGrid>
      <w:tr w14:paraId="78585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trPr>
        <w:tc>
          <w:tcPr>
            <w:tcW w:w="759" w:type="dxa"/>
            <w:tcBorders>
              <w:tl2br w:val="nil"/>
              <w:tr2bl w:val="nil"/>
            </w:tcBorders>
            <w:noWrap w:val="0"/>
            <w:vAlign w:val="center"/>
          </w:tcPr>
          <w:p w14:paraId="1B3E4275">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黑体" w:hAnsi="黑体" w:eastAsia="黑体" w:cs="黑体"/>
                <w:b w:val="0"/>
                <w:bCs w:val="0"/>
                <w:sz w:val="24"/>
                <w:szCs w:val="24"/>
              </w:rPr>
            </w:pPr>
            <w:r>
              <w:rPr>
                <w:rFonts w:hint="eastAsia" w:ascii="黑体" w:hAnsi="黑体" w:eastAsia="黑体" w:cs="黑体"/>
                <w:b w:val="0"/>
                <w:bCs w:val="0"/>
                <w:sz w:val="24"/>
                <w:szCs w:val="24"/>
              </w:rPr>
              <w:t>序号</w:t>
            </w:r>
          </w:p>
        </w:tc>
        <w:tc>
          <w:tcPr>
            <w:tcW w:w="1779" w:type="dxa"/>
            <w:tcBorders>
              <w:tl2br w:val="nil"/>
              <w:tr2bl w:val="nil"/>
            </w:tcBorders>
            <w:noWrap w:val="0"/>
            <w:vAlign w:val="center"/>
          </w:tcPr>
          <w:p w14:paraId="5B0AE1EC">
            <w:pPr>
              <w:keepNext w:val="0"/>
              <w:keepLines w:val="0"/>
              <w:pageBreakBefore w:val="0"/>
              <w:widowControl/>
              <w:kinsoku/>
              <w:wordWrap/>
              <w:overflowPunct/>
              <w:topLinePunct w:val="0"/>
              <w:autoSpaceDE/>
              <w:autoSpaceDN/>
              <w:bidi w:val="0"/>
              <w:spacing w:line="400" w:lineRule="exact"/>
              <w:ind w:left="0" w:leftChars="0" w:right="0" w:rightChars="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法律名称</w:t>
            </w:r>
          </w:p>
        </w:tc>
        <w:tc>
          <w:tcPr>
            <w:tcW w:w="4098" w:type="dxa"/>
            <w:tcBorders>
              <w:tl2br w:val="nil"/>
              <w:tr2bl w:val="nil"/>
            </w:tcBorders>
            <w:noWrap w:val="0"/>
            <w:vAlign w:val="center"/>
          </w:tcPr>
          <w:p w14:paraId="13688163">
            <w:pPr>
              <w:keepNext w:val="0"/>
              <w:keepLines w:val="0"/>
              <w:pageBreakBefore w:val="0"/>
              <w:widowControl/>
              <w:kinsoku/>
              <w:wordWrap/>
              <w:overflowPunct/>
              <w:topLinePunct w:val="0"/>
              <w:autoSpaceDE/>
              <w:autoSpaceDN/>
              <w:bidi w:val="0"/>
              <w:spacing w:line="400" w:lineRule="exact"/>
              <w:ind w:left="-105" w:leftChars="-50" w:right="-105" w:rightChars="-5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法律依据</w:t>
            </w:r>
          </w:p>
        </w:tc>
        <w:tc>
          <w:tcPr>
            <w:tcW w:w="1169" w:type="dxa"/>
            <w:tcBorders>
              <w:tl2br w:val="nil"/>
              <w:tr2bl w:val="nil"/>
            </w:tcBorders>
            <w:noWrap w:val="0"/>
            <w:vAlign w:val="center"/>
          </w:tcPr>
          <w:p w14:paraId="319C5CD1">
            <w:pPr>
              <w:keepNext w:val="0"/>
              <w:keepLines w:val="0"/>
              <w:pageBreakBefore w:val="0"/>
              <w:widowControl/>
              <w:kinsoku/>
              <w:wordWrap/>
              <w:overflowPunct/>
              <w:topLinePunct w:val="0"/>
              <w:autoSpaceDE/>
              <w:autoSpaceDN/>
              <w:bidi w:val="0"/>
              <w:spacing w:line="400" w:lineRule="exact"/>
              <w:ind w:left="-105" w:leftChars="-50" w:right="-105" w:rightChars="-5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违法程度</w:t>
            </w:r>
          </w:p>
        </w:tc>
        <w:tc>
          <w:tcPr>
            <w:tcW w:w="3328" w:type="dxa"/>
            <w:tcBorders>
              <w:tl2br w:val="nil"/>
              <w:tr2bl w:val="nil"/>
            </w:tcBorders>
            <w:noWrap w:val="0"/>
            <w:vAlign w:val="center"/>
          </w:tcPr>
          <w:p w14:paraId="49BA6292">
            <w:pPr>
              <w:keepNext w:val="0"/>
              <w:keepLines w:val="0"/>
              <w:pageBreakBefore w:val="0"/>
              <w:widowControl/>
              <w:kinsoku/>
              <w:wordWrap/>
              <w:overflowPunct/>
              <w:topLinePunct w:val="0"/>
              <w:autoSpaceDE/>
              <w:autoSpaceDN/>
              <w:bidi w:val="0"/>
              <w:spacing w:line="400" w:lineRule="exact"/>
              <w:ind w:left="-105" w:leftChars="-50" w:right="-105" w:rightChars="-5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判断标准</w:t>
            </w:r>
          </w:p>
        </w:tc>
        <w:tc>
          <w:tcPr>
            <w:tcW w:w="3233" w:type="dxa"/>
            <w:tcBorders>
              <w:tl2br w:val="nil"/>
              <w:tr2bl w:val="nil"/>
            </w:tcBorders>
            <w:noWrap w:val="0"/>
            <w:vAlign w:val="center"/>
          </w:tcPr>
          <w:p w14:paraId="5812D799">
            <w:pPr>
              <w:keepNext w:val="0"/>
              <w:keepLines w:val="0"/>
              <w:pageBreakBefore w:val="0"/>
              <w:widowControl/>
              <w:kinsoku/>
              <w:wordWrap/>
              <w:overflowPunct/>
              <w:topLinePunct w:val="0"/>
              <w:autoSpaceDE/>
              <w:autoSpaceDN/>
              <w:bidi w:val="0"/>
              <w:spacing w:line="400" w:lineRule="exact"/>
              <w:ind w:left="-105" w:leftChars="-50" w:right="-105" w:rightChars="-50"/>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处罚标准</w:t>
            </w:r>
          </w:p>
        </w:tc>
      </w:tr>
      <w:tr w14:paraId="6253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0" w:hRule="atLeast"/>
        </w:trPr>
        <w:tc>
          <w:tcPr>
            <w:tcW w:w="759" w:type="dxa"/>
            <w:vMerge w:val="restart"/>
            <w:tcBorders>
              <w:tl2br w:val="nil"/>
              <w:tr2bl w:val="nil"/>
            </w:tcBorders>
            <w:noWrap w:val="0"/>
            <w:vAlign w:val="center"/>
          </w:tcPr>
          <w:p w14:paraId="30F7A8A5">
            <w:pPr>
              <w:keepNext w:val="0"/>
              <w:keepLines w:val="0"/>
              <w:pageBreakBefore w:val="0"/>
              <w:widowControl/>
              <w:kinsoku/>
              <w:wordWrap/>
              <w:overflowPunct/>
              <w:topLinePunct w:val="0"/>
              <w:autoSpaceDE/>
              <w:autoSpaceDN/>
              <w:bidi w:val="0"/>
              <w:spacing w:line="400" w:lineRule="exact"/>
              <w:jc w:val="center"/>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3</w:t>
            </w:r>
            <w:r>
              <w:rPr>
                <w:rFonts w:hint="eastAsia" w:ascii="宋体" w:hAnsi="宋体" w:cs="宋体"/>
                <w:b w:val="0"/>
                <w:bCs w:val="0"/>
                <w:kern w:val="0"/>
                <w:sz w:val="24"/>
                <w:szCs w:val="24"/>
                <w:lang w:val="en-US" w:eastAsia="zh-CN"/>
              </w:rPr>
              <w:t>25</w:t>
            </w:r>
          </w:p>
        </w:tc>
        <w:tc>
          <w:tcPr>
            <w:tcW w:w="1779" w:type="dxa"/>
            <w:vMerge w:val="restart"/>
            <w:tcBorders>
              <w:tl2br w:val="nil"/>
              <w:tr2bl w:val="nil"/>
            </w:tcBorders>
            <w:noWrap w:val="0"/>
            <w:vAlign w:val="center"/>
          </w:tcPr>
          <w:p w14:paraId="2F0D5670">
            <w:pPr>
              <w:keepNext w:val="0"/>
              <w:keepLines w:val="0"/>
              <w:pageBreakBefore w:val="0"/>
              <w:widowControl/>
              <w:kinsoku/>
              <w:wordWrap/>
              <w:overflowPunct/>
              <w:topLinePunct w:val="0"/>
              <w:autoSpaceDE/>
              <w:autoSpaceDN/>
              <w:bidi w:val="0"/>
              <w:adjustRightInd/>
              <w:snapToGrid/>
              <w:spacing w:line="400" w:lineRule="exact"/>
              <w:ind w:left="42" w:leftChars="20"/>
              <w:textAlignment w:val="auto"/>
              <w:outlineLvl w:val="2"/>
              <w:rPr>
                <w:rFonts w:hint="eastAsia" w:ascii="宋体" w:hAnsi="宋体" w:eastAsia="宋体" w:cs="宋体"/>
                <w:b w:val="0"/>
                <w:bCs w:val="0"/>
                <w:kern w:val="0"/>
                <w:sz w:val="24"/>
                <w:szCs w:val="24"/>
                <w:lang w:eastAsia="zh-CN"/>
              </w:rPr>
            </w:pPr>
            <w:bookmarkStart w:id="376" w:name="_Toc1846"/>
            <w:bookmarkStart w:id="377" w:name="_Toc26994"/>
            <w:bookmarkStart w:id="378" w:name="_Toc2374"/>
            <w:bookmarkStart w:id="379" w:name="_Toc194"/>
            <w:bookmarkStart w:id="380" w:name="_Toc30573"/>
            <w:r>
              <w:rPr>
                <w:rFonts w:hint="eastAsia" w:ascii="宋体" w:hAnsi="宋体" w:eastAsia="宋体" w:cs="宋体"/>
                <w:b w:val="0"/>
                <w:bCs w:val="0"/>
                <w:kern w:val="0"/>
                <w:sz w:val="24"/>
                <w:szCs w:val="24"/>
              </w:rPr>
              <w:t>《中华人民共和国专利法》</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lang w:val="en-US" w:eastAsia="zh-CN"/>
              </w:rPr>
              <w:t>202</w:t>
            </w:r>
            <w:r>
              <w:rPr>
                <w:rFonts w:hint="eastAsia" w:ascii="宋体" w:hAnsi="宋体" w:cs="宋体"/>
                <w:b w:val="0"/>
                <w:bCs w:val="0"/>
                <w:kern w:val="0"/>
                <w:sz w:val="24"/>
                <w:szCs w:val="24"/>
                <w:lang w:val="en-US" w:eastAsia="zh-CN"/>
              </w:rPr>
              <w:t>1</w:t>
            </w:r>
            <w:r>
              <w:rPr>
                <w:rFonts w:hint="eastAsia" w:ascii="宋体" w:hAnsi="宋体" w:eastAsia="宋体" w:cs="宋体"/>
                <w:b w:val="0"/>
                <w:bCs w:val="0"/>
                <w:kern w:val="0"/>
                <w:sz w:val="24"/>
                <w:szCs w:val="24"/>
                <w:lang w:val="en-US" w:eastAsia="zh-CN"/>
              </w:rPr>
              <w:t>年</w:t>
            </w:r>
            <w:r>
              <w:rPr>
                <w:rFonts w:hint="eastAsia" w:ascii="宋体" w:hAnsi="宋体" w:cs="宋体"/>
                <w:b w:val="0"/>
                <w:bCs w:val="0"/>
                <w:kern w:val="0"/>
                <w:sz w:val="24"/>
                <w:szCs w:val="24"/>
                <w:lang w:val="en-US" w:eastAsia="zh-CN"/>
              </w:rPr>
              <w:t>6</w:t>
            </w:r>
            <w:r>
              <w:rPr>
                <w:rFonts w:hint="eastAsia" w:ascii="宋体" w:hAnsi="宋体" w:eastAsia="宋体" w:cs="宋体"/>
                <w:b w:val="0"/>
                <w:bCs w:val="0"/>
                <w:kern w:val="0"/>
                <w:sz w:val="24"/>
                <w:szCs w:val="24"/>
                <w:lang w:val="en-US" w:eastAsia="zh-CN"/>
              </w:rPr>
              <w:t>月1日</w:t>
            </w:r>
            <w:r>
              <w:rPr>
                <w:rFonts w:hint="eastAsia" w:ascii="宋体" w:hAnsi="宋体" w:cs="宋体"/>
                <w:b w:val="0"/>
                <w:bCs w:val="0"/>
                <w:kern w:val="0"/>
                <w:sz w:val="24"/>
                <w:szCs w:val="24"/>
                <w:lang w:val="en-US" w:eastAsia="zh-CN"/>
              </w:rPr>
              <w:t>起施行</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rPr>
              <w:t>《中华人民共和国专利法实施细则》</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lang w:val="en-US" w:eastAsia="zh-CN"/>
              </w:rPr>
              <w:t>20</w:t>
            </w:r>
            <w:r>
              <w:rPr>
                <w:rFonts w:hint="eastAsia" w:ascii="宋体" w:hAnsi="宋体" w:cs="宋体"/>
                <w:b w:val="0"/>
                <w:bCs w:val="0"/>
                <w:kern w:val="0"/>
                <w:sz w:val="24"/>
                <w:szCs w:val="24"/>
                <w:lang w:val="en-US" w:eastAsia="zh-CN"/>
              </w:rPr>
              <w:t>24</w:t>
            </w:r>
            <w:r>
              <w:rPr>
                <w:rFonts w:hint="eastAsia" w:ascii="宋体" w:hAnsi="宋体" w:eastAsia="宋体" w:cs="宋体"/>
                <w:b w:val="0"/>
                <w:bCs w:val="0"/>
                <w:kern w:val="0"/>
                <w:sz w:val="24"/>
                <w:szCs w:val="24"/>
                <w:lang w:val="en-US" w:eastAsia="zh-CN"/>
              </w:rPr>
              <w:t>年1月</w:t>
            </w:r>
            <w:r>
              <w:rPr>
                <w:rFonts w:hint="eastAsia" w:ascii="宋体" w:hAnsi="宋体" w:cs="宋体"/>
                <w:b w:val="0"/>
                <w:bCs w:val="0"/>
                <w:kern w:val="0"/>
                <w:sz w:val="24"/>
                <w:szCs w:val="24"/>
                <w:lang w:val="en-US" w:eastAsia="zh-CN"/>
              </w:rPr>
              <w:t>20</w:t>
            </w:r>
            <w:r>
              <w:rPr>
                <w:rFonts w:hint="eastAsia" w:ascii="宋体" w:hAnsi="宋体" w:eastAsia="宋体" w:cs="宋体"/>
                <w:b w:val="0"/>
                <w:bCs w:val="0"/>
                <w:kern w:val="0"/>
                <w:sz w:val="24"/>
                <w:szCs w:val="24"/>
                <w:lang w:val="en-US" w:eastAsia="zh-CN"/>
              </w:rPr>
              <w:t>日</w:t>
            </w:r>
            <w:r>
              <w:rPr>
                <w:rFonts w:hint="eastAsia" w:ascii="宋体" w:hAnsi="宋体" w:cs="宋体"/>
                <w:b w:val="0"/>
                <w:bCs w:val="0"/>
                <w:kern w:val="0"/>
                <w:sz w:val="24"/>
                <w:szCs w:val="24"/>
                <w:lang w:val="en-US" w:eastAsia="zh-CN"/>
              </w:rPr>
              <w:t>起施行</w:t>
            </w:r>
            <w:r>
              <w:rPr>
                <w:rFonts w:hint="eastAsia" w:ascii="宋体" w:hAnsi="宋体" w:eastAsia="宋体" w:cs="宋体"/>
                <w:b w:val="0"/>
                <w:bCs w:val="0"/>
                <w:kern w:val="0"/>
                <w:sz w:val="24"/>
                <w:szCs w:val="24"/>
                <w:lang w:eastAsia="zh-CN"/>
              </w:rPr>
              <w:t>）</w:t>
            </w:r>
            <w:bookmarkEnd w:id="376"/>
            <w:bookmarkEnd w:id="377"/>
            <w:bookmarkEnd w:id="378"/>
            <w:bookmarkEnd w:id="379"/>
            <w:bookmarkEnd w:id="380"/>
          </w:p>
        </w:tc>
        <w:tc>
          <w:tcPr>
            <w:tcW w:w="4098" w:type="dxa"/>
            <w:vMerge w:val="restart"/>
            <w:tcBorders>
              <w:tl2br w:val="nil"/>
              <w:tr2bl w:val="nil"/>
            </w:tcBorders>
            <w:noWrap w:val="0"/>
            <w:vAlign w:val="center"/>
          </w:tcPr>
          <w:p w14:paraId="1EA0C835">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b w:val="0"/>
                <w:bCs w:val="0"/>
                <w:kern w:val="0"/>
                <w:sz w:val="24"/>
                <w:szCs w:val="24"/>
              </w:rPr>
              <w:t>《中华人民共和国专利法》</w:t>
            </w:r>
            <w:r>
              <w:rPr>
                <w:rFonts w:hint="eastAsia" w:ascii="宋体" w:hAnsi="宋体" w:eastAsia="宋体" w:cs="宋体"/>
                <w:i w:val="0"/>
                <w:iCs w:val="0"/>
                <w:color w:val="auto"/>
                <w:kern w:val="0"/>
                <w:sz w:val="24"/>
                <w:szCs w:val="24"/>
                <w:u w:val="none"/>
                <w:lang w:val="en-US" w:eastAsia="zh-CN" w:bidi="ar"/>
              </w:rPr>
              <w:t>第六十八条 假冒专利的，除依法承担民事责任外，由负责专利执法的部门责令改正并予公告，没收违法所得，可以处违法所得五倍以下的罚款；没有违法所得或者违法所得在五万元以下的，可以处二十五万元以下的罚款；构成犯罪的，依法追究刑事责任。</w:t>
            </w:r>
          </w:p>
          <w:p w14:paraId="4EBB0C85">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《中华人民共和国专利法实施细则》</w:t>
            </w:r>
          </w:p>
          <w:p w14:paraId="0C84DD83">
            <w:pPr>
              <w:keepNext w:val="0"/>
              <w:keepLines w:val="0"/>
              <w:pageBreakBefore w:val="0"/>
              <w:widowControl/>
              <w:numPr>
                <w:ilvl w:val="0"/>
                <w:numId w:val="0"/>
              </w:numPr>
              <w:kinsoku/>
              <w:wordWrap/>
              <w:overflowPunct/>
              <w:topLinePunct w:val="0"/>
              <w:autoSpaceDE/>
              <w:autoSpaceDN/>
              <w:bidi w:val="0"/>
              <w:spacing w:line="400" w:lineRule="exact"/>
              <w:jc w:val="both"/>
              <w:rPr>
                <w:rFonts w:ascii="宋体" w:hAnsi="宋体" w:eastAsia="宋体" w:cs="宋体"/>
                <w:sz w:val="24"/>
                <w:szCs w:val="24"/>
              </w:rPr>
            </w:pPr>
            <w:r>
              <w:rPr>
                <w:rFonts w:ascii="宋体" w:hAnsi="宋体" w:eastAsia="宋体" w:cs="宋体"/>
                <w:sz w:val="24"/>
                <w:szCs w:val="24"/>
              </w:rPr>
              <w:t>第一百零一条</w:t>
            </w:r>
            <w:r>
              <w:rPr>
                <w:rFonts w:hint="eastAsia" w:ascii="宋体" w:hAnsi="宋体" w:cs="宋体"/>
                <w:sz w:val="24"/>
                <w:szCs w:val="24"/>
                <w:lang w:val="en-US" w:eastAsia="zh-CN"/>
              </w:rPr>
              <w:t xml:space="preserve"> </w:t>
            </w:r>
            <w:r>
              <w:rPr>
                <w:rFonts w:ascii="宋体" w:hAnsi="宋体" w:eastAsia="宋体" w:cs="宋体"/>
                <w:sz w:val="24"/>
                <w:szCs w:val="24"/>
              </w:rPr>
              <w:t>下列行为属于专利法第六十八条规定的假冒专利的行为：（一）在未被授予专利权的产品或者其包装上标注专利标识，专利权被宣告无效后或者终止后继续在产品或者其包装上标注专利标识，或者未经许可在产品或者产品包装上标注他人的专利号；（二）销售第（一）项所述产品；（三）在产品说明书等材料中将未被授予专利权的技术或者设计称为专利技术或者专利设计，将专利申请称为专利，或者未经许可使用他人的专利号，使公众将所涉及的技术或者设计误认为是专利技术或者专利设计；（四）伪造或者变造专利证书、专利文件或者专利申请文件；（五）其他使公众混淆，将未被授予专利权的技术或者设计误认为是专利技术或者专利设计的行为。</w:t>
            </w:r>
          </w:p>
          <w:p w14:paraId="5ADEFA09">
            <w:pPr>
              <w:keepNext w:val="0"/>
              <w:keepLines w:val="0"/>
              <w:pageBreakBefore w:val="0"/>
              <w:widowControl/>
              <w:numPr>
                <w:ilvl w:val="0"/>
                <w:numId w:val="0"/>
              </w:numPr>
              <w:kinsoku/>
              <w:wordWrap/>
              <w:overflowPunct/>
              <w:topLinePunct w:val="0"/>
              <w:autoSpaceDE/>
              <w:autoSpaceDN/>
              <w:bidi w:val="0"/>
              <w:spacing w:line="400" w:lineRule="exact"/>
              <w:jc w:val="both"/>
              <w:rPr>
                <w:rFonts w:ascii="宋体" w:hAnsi="宋体" w:eastAsia="宋体" w:cs="宋体"/>
                <w:sz w:val="24"/>
                <w:szCs w:val="24"/>
              </w:rPr>
            </w:pPr>
            <w:r>
              <w:rPr>
                <w:rFonts w:ascii="宋体" w:hAnsi="宋体" w:eastAsia="宋体" w:cs="宋体"/>
                <w:sz w:val="24"/>
                <w:szCs w:val="24"/>
              </w:rPr>
              <w:t>专利权终止前依法在专利产品、依照专利方法直接获得的产品或者其包装上标注专利标识，在专利权终止后许诺销售、销售该产品的，不属于假冒专利行为。</w:t>
            </w:r>
          </w:p>
          <w:p w14:paraId="64B219EB">
            <w:pPr>
              <w:spacing w:line="400" w:lineRule="exact"/>
            </w:pPr>
            <w:r>
              <w:rPr>
                <w:rFonts w:ascii="宋体" w:hAnsi="宋体" w:eastAsia="宋体" w:cs="宋体"/>
                <w:sz w:val="24"/>
                <w:szCs w:val="24"/>
              </w:rPr>
              <w:t>销售不知道是假冒专利的产品，并且能够证明该产品合法来源的，由县级以上负责专利执法的部门责令停止销售。</w:t>
            </w:r>
          </w:p>
          <w:p w14:paraId="0BA0520A"/>
          <w:p w14:paraId="67BF5538">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p>
        </w:tc>
        <w:tc>
          <w:tcPr>
            <w:tcW w:w="1169" w:type="dxa"/>
            <w:vMerge w:val="restart"/>
            <w:tcBorders>
              <w:tl2br w:val="nil"/>
              <w:tr2bl w:val="nil"/>
            </w:tcBorders>
            <w:noWrap w:val="0"/>
            <w:vAlign w:val="center"/>
          </w:tcPr>
          <w:p w14:paraId="06601F63">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kern w:val="0"/>
                <w:sz w:val="24"/>
                <w:szCs w:val="24"/>
              </w:rPr>
            </w:pPr>
            <w:r>
              <w:rPr>
                <w:rFonts w:hint="eastAsia" w:ascii="宋体" w:hAnsi="宋体" w:cs="宋体"/>
                <w:kern w:val="0"/>
                <w:sz w:val="24"/>
                <w:szCs w:val="24"/>
                <w:lang w:val="en-US" w:eastAsia="zh-CN"/>
              </w:rPr>
              <w:t>较轻</w:t>
            </w:r>
          </w:p>
        </w:tc>
        <w:tc>
          <w:tcPr>
            <w:tcW w:w="3328" w:type="dxa"/>
            <w:tcBorders>
              <w:tl2br w:val="nil"/>
              <w:tr2bl w:val="nil"/>
            </w:tcBorders>
            <w:noWrap w:val="0"/>
            <w:vAlign w:val="center"/>
          </w:tcPr>
          <w:p w14:paraId="7C30C539">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cs="宋体"/>
                <w:spacing w:val="0"/>
                <w:kern w:val="0"/>
                <w:sz w:val="24"/>
                <w:szCs w:val="24"/>
                <w:lang w:eastAsia="zh-CN"/>
              </w:rPr>
            </w:pPr>
            <w:r>
              <w:rPr>
                <w:rFonts w:hint="eastAsia" w:ascii="宋体" w:hAnsi="宋体" w:eastAsia="宋体" w:cs="宋体"/>
                <w:spacing w:val="0"/>
                <w:kern w:val="0"/>
                <w:sz w:val="24"/>
                <w:szCs w:val="24"/>
              </w:rPr>
              <w:t>违法所得在五万元以下的</w:t>
            </w:r>
            <w:r>
              <w:rPr>
                <w:rFonts w:hint="eastAsia" w:ascii="宋体" w:hAnsi="宋体" w:cs="宋体"/>
                <w:spacing w:val="0"/>
                <w:kern w:val="0"/>
                <w:sz w:val="24"/>
                <w:szCs w:val="24"/>
                <w:lang w:eastAsia="zh-CN"/>
              </w:rPr>
              <w:t>，</w:t>
            </w:r>
            <w:r>
              <w:rPr>
                <w:rFonts w:hint="eastAsia" w:ascii="宋体" w:hAnsi="宋体" w:cs="宋体"/>
                <w:spacing w:val="0"/>
                <w:kern w:val="0"/>
                <w:sz w:val="24"/>
                <w:szCs w:val="24"/>
                <w:lang w:val="en-US" w:eastAsia="zh-CN"/>
              </w:rPr>
              <w:t>有下列情形之一的</w:t>
            </w:r>
            <w:r>
              <w:rPr>
                <w:rFonts w:hint="eastAsia" w:ascii="宋体" w:hAnsi="宋体" w:cs="宋体"/>
                <w:spacing w:val="0"/>
                <w:kern w:val="0"/>
                <w:sz w:val="24"/>
                <w:szCs w:val="24"/>
                <w:lang w:eastAsia="zh-CN"/>
              </w:rPr>
              <w:t>：</w:t>
            </w:r>
          </w:p>
          <w:p w14:paraId="76040935">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cs="宋体"/>
                <w:spacing w:val="0"/>
                <w:kern w:val="0"/>
                <w:sz w:val="24"/>
                <w:szCs w:val="24"/>
                <w:lang w:eastAsia="zh-CN"/>
              </w:rPr>
            </w:pPr>
            <w:r>
              <w:rPr>
                <w:rFonts w:hint="eastAsia" w:ascii="宋体" w:hAnsi="宋体" w:cs="宋体"/>
                <w:spacing w:val="0"/>
                <w:kern w:val="0"/>
                <w:sz w:val="24"/>
                <w:szCs w:val="24"/>
                <w:lang w:eastAsia="zh-CN"/>
              </w:rPr>
              <w:t>(1)违法所得一万五千元以下的；</w:t>
            </w:r>
          </w:p>
          <w:p w14:paraId="6E83F713">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cs="宋体"/>
                <w:spacing w:val="0"/>
                <w:kern w:val="0"/>
                <w:sz w:val="24"/>
                <w:szCs w:val="24"/>
                <w:lang w:eastAsia="zh-CN"/>
              </w:rPr>
            </w:pPr>
            <w:r>
              <w:rPr>
                <w:rFonts w:hint="eastAsia" w:ascii="宋体" w:hAnsi="宋体" w:cs="宋体"/>
                <w:spacing w:val="0"/>
                <w:kern w:val="0"/>
                <w:sz w:val="24"/>
                <w:szCs w:val="24"/>
                <w:lang w:eastAsia="zh-CN"/>
              </w:rPr>
              <w:t>(2)销售不知是假冒专利的产品，并且能够证明该产品合法来源的；</w:t>
            </w:r>
          </w:p>
          <w:p w14:paraId="479019AC">
            <w:pPr>
              <w:spacing w:line="400" w:lineRule="exact"/>
            </w:pPr>
            <w:r>
              <w:rPr>
                <w:rFonts w:hint="eastAsia" w:ascii="宋体" w:hAnsi="宋体" w:cs="宋体"/>
                <w:spacing w:val="0"/>
                <w:kern w:val="0"/>
                <w:sz w:val="24"/>
                <w:szCs w:val="24"/>
                <w:lang w:eastAsia="zh-CN"/>
              </w:rPr>
              <w:t>(3)专利权被宣告全部无效、专利权期满、专利权人声明放弃专利权或专利权因未缴年费终止，逾期但不满6个月而标称或标注专利的。</w:t>
            </w:r>
          </w:p>
          <w:p w14:paraId="2286A6E9">
            <w:pPr>
              <w:keepNext w:val="0"/>
              <w:keepLines w:val="0"/>
              <w:pageBreakBefore w:val="0"/>
              <w:widowControl/>
              <w:kinsoku/>
              <w:wordWrap/>
              <w:overflowPunct/>
              <w:topLinePunct w:val="0"/>
              <w:autoSpaceDE/>
              <w:autoSpaceDN/>
              <w:bidi w:val="0"/>
              <w:adjustRightInd/>
              <w:snapToGrid/>
              <w:spacing w:line="340" w:lineRule="exact"/>
              <w:jc w:val="both"/>
              <w:textAlignment w:val="auto"/>
              <w:rPr>
                <w:rFonts w:hint="eastAsia" w:ascii="宋体" w:hAnsi="宋体" w:eastAsia="宋体" w:cs="宋体"/>
                <w:spacing w:val="0"/>
                <w:kern w:val="0"/>
                <w:sz w:val="18"/>
                <w:szCs w:val="18"/>
              </w:rPr>
            </w:pPr>
          </w:p>
        </w:tc>
        <w:tc>
          <w:tcPr>
            <w:tcW w:w="3233" w:type="dxa"/>
            <w:tcBorders>
              <w:tl2br w:val="nil"/>
              <w:tr2bl w:val="nil"/>
            </w:tcBorders>
            <w:noWrap w:val="0"/>
            <w:vAlign w:val="center"/>
          </w:tcPr>
          <w:p w14:paraId="35760D95">
            <w:pPr>
              <w:keepNext w:val="0"/>
              <w:keepLines w:val="0"/>
              <w:pageBreakBefore w:val="0"/>
              <w:widowControl/>
              <w:kinsoku/>
              <w:wordWrap/>
              <w:overflowPunct/>
              <w:topLinePunct w:val="0"/>
              <w:autoSpaceDE/>
              <w:autoSpaceDN/>
              <w:bidi w:val="0"/>
              <w:spacing w:line="400" w:lineRule="exact"/>
              <w:jc w:val="left"/>
              <w:rPr>
                <w:rFonts w:hint="eastAsia" w:ascii="宋体" w:hAnsi="宋体" w:eastAsia="宋体" w:cs="宋体"/>
                <w:kern w:val="0"/>
                <w:sz w:val="18"/>
                <w:szCs w:val="18"/>
                <w:lang w:eastAsia="zh-CN"/>
              </w:rPr>
            </w:pPr>
            <w:r>
              <w:rPr>
                <w:rFonts w:hint="eastAsia" w:ascii="宋体" w:hAnsi="宋体" w:eastAsia="宋体" w:cs="宋体"/>
                <w:i w:val="0"/>
                <w:iCs w:val="0"/>
                <w:color w:val="auto"/>
                <w:kern w:val="0"/>
                <w:sz w:val="24"/>
                <w:szCs w:val="24"/>
                <w:u w:val="none"/>
                <w:lang w:val="en-US" w:eastAsia="zh-CN" w:bidi="ar"/>
              </w:rPr>
              <w:t>责令改正并予公告，</w:t>
            </w:r>
            <w:r>
              <w:rPr>
                <w:rFonts w:hint="eastAsia" w:ascii="宋体" w:hAnsi="宋体" w:eastAsia="宋体" w:cs="宋体"/>
                <w:kern w:val="0"/>
                <w:sz w:val="24"/>
                <w:szCs w:val="24"/>
              </w:rPr>
              <w:t>没收违法所得，可以处</w:t>
            </w:r>
            <w:r>
              <w:rPr>
                <w:rFonts w:hint="eastAsia" w:ascii="宋体" w:hAnsi="宋体" w:cs="宋体"/>
                <w:kern w:val="0"/>
                <w:sz w:val="24"/>
                <w:szCs w:val="24"/>
                <w:lang w:val="en-US" w:eastAsia="zh-CN"/>
              </w:rPr>
              <w:t>7.5万元</w:t>
            </w:r>
            <w:r>
              <w:rPr>
                <w:rFonts w:hint="eastAsia" w:ascii="宋体" w:hAnsi="宋体" w:eastAsia="宋体" w:cs="宋体"/>
                <w:kern w:val="0"/>
                <w:sz w:val="24"/>
                <w:szCs w:val="24"/>
              </w:rPr>
              <w:t>以下的罚款。</w:t>
            </w:r>
          </w:p>
        </w:tc>
      </w:tr>
      <w:tr w14:paraId="3158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1" w:hRule="atLeast"/>
        </w:trPr>
        <w:tc>
          <w:tcPr>
            <w:tcW w:w="759" w:type="dxa"/>
            <w:vMerge w:val="continue"/>
            <w:tcBorders>
              <w:tl2br w:val="nil"/>
              <w:tr2bl w:val="nil"/>
            </w:tcBorders>
            <w:noWrap w:val="0"/>
            <w:vAlign w:val="center"/>
          </w:tcPr>
          <w:p w14:paraId="21F72F24">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b w:val="0"/>
                <w:bCs w:val="0"/>
                <w:kern w:val="0"/>
                <w:sz w:val="24"/>
                <w:szCs w:val="24"/>
                <w:lang w:val="en-US" w:eastAsia="zh-CN"/>
              </w:rPr>
            </w:pPr>
          </w:p>
        </w:tc>
        <w:tc>
          <w:tcPr>
            <w:tcW w:w="1779" w:type="dxa"/>
            <w:vMerge w:val="continue"/>
            <w:tcBorders>
              <w:tl2br w:val="nil"/>
              <w:tr2bl w:val="nil"/>
            </w:tcBorders>
            <w:noWrap w:val="0"/>
            <w:vAlign w:val="center"/>
          </w:tcPr>
          <w:p w14:paraId="3C259B2D">
            <w:pPr>
              <w:keepNext w:val="0"/>
              <w:keepLines w:val="0"/>
              <w:pageBreakBefore w:val="0"/>
              <w:widowControl/>
              <w:kinsoku/>
              <w:wordWrap/>
              <w:overflowPunct/>
              <w:topLinePunct w:val="0"/>
              <w:autoSpaceDE/>
              <w:autoSpaceDN/>
              <w:bidi w:val="0"/>
              <w:adjustRightInd/>
              <w:snapToGrid/>
              <w:spacing w:line="400" w:lineRule="exact"/>
              <w:ind w:left="42" w:leftChars="20"/>
              <w:textAlignment w:val="auto"/>
              <w:outlineLvl w:val="2"/>
              <w:rPr>
                <w:rFonts w:hint="eastAsia" w:ascii="宋体" w:hAnsi="宋体" w:eastAsia="宋体" w:cs="宋体"/>
                <w:b w:val="0"/>
                <w:bCs w:val="0"/>
                <w:kern w:val="0"/>
                <w:sz w:val="24"/>
                <w:szCs w:val="24"/>
              </w:rPr>
            </w:pPr>
          </w:p>
        </w:tc>
        <w:tc>
          <w:tcPr>
            <w:tcW w:w="4098" w:type="dxa"/>
            <w:vMerge w:val="continue"/>
            <w:tcBorders>
              <w:tl2br w:val="nil"/>
              <w:tr2bl w:val="nil"/>
            </w:tcBorders>
            <w:noWrap w:val="0"/>
            <w:vAlign w:val="center"/>
          </w:tcPr>
          <w:p w14:paraId="7DC03057">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i w:val="0"/>
                <w:iCs w:val="0"/>
                <w:color w:val="auto"/>
                <w:kern w:val="0"/>
                <w:sz w:val="24"/>
                <w:szCs w:val="24"/>
                <w:u w:val="none"/>
                <w:lang w:val="en-US" w:eastAsia="zh-CN" w:bidi="ar"/>
              </w:rPr>
            </w:pPr>
          </w:p>
        </w:tc>
        <w:tc>
          <w:tcPr>
            <w:tcW w:w="1169" w:type="dxa"/>
            <w:vMerge w:val="continue"/>
            <w:tcBorders>
              <w:tl2br w:val="nil"/>
              <w:tr2bl w:val="nil"/>
            </w:tcBorders>
            <w:noWrap w:val="0"/>
            <w:vAlign w:val="center"/>
          </w:tcPr>
          <w:p w14:paraId="4AAB3897">
            <w:pPr>
              <w:keepNext w:val="0"/>
              <w:keepLines w:val="0"/>
              <w:pageBreakBefore w:val="0"/>
              <w:widowControl/>
              <w:kinsoku/>
              <w:wordWrap/>
              <w:overflowPunct/>
              <w:topLinePunct w:val="0"/>
              <w:autoSpaceDE/>
              <w:autoSpaceDN/>
              <w:bidi w:val="0"/>
              <w:spacing w:line="400" w:lineRule="exact"/>
              <w:jc w:val="center"/>
              <w:rPr>
                <w:rFonts w:hint="eastAsia" w:ascii="宋体" w:hAnsi="宋体" w:cs="宋体"/>
                <w:kern w:val="0"/>
                <w:sz w:val="24"/>
                <w:szCs w:val="24"/>
                <w:lang w:val="en-US" w:eastAsia="zh-CN"/>
              </w:rPr>
            </w:pPr>
          </w:p>
        </w:tc>
        <w:tc>
          <w:tcPr>
            <w:tcW w:w="3328" w:type="dxa"/>
            <w:tcBorders>
              <w:tl2br w:val="nil"/>
              <w:tr2bl w:val="nil"/>
            </w:tcBorders>
            <w:noWrap w:val="0"/>
            <w:vAlign w:val="center"/>
          </w:tcPr>
          <w:p w14:paraId="3F922F90">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cs="宋体"/>
                <w:spacing w:val="0"/>
                <w:kern w:val="0"/>
                <w:sz w:val="24"/>
                <w:szCs w:val="24"/>
                <w:lang w:val="en-US" w:eastAsia="zh-CN"/>
              </w:rPr>
            </w:pPr>
            <w:r>
              <w:rPr>
                <w:rFonts w:hint="eastAsia" w:ascii="宋体" w:hAnsi="宋体" w:cs="宋体"/>
                <w:spacing w:val="0"/>
                <w:kern w:val="0"/>
                <w:sz w:val="24"/>
                <w:szCs w:val="24"/>
                <w:lang w:val="en-US" w:eastAsia="zh-CN"/>
              </w:rPr>
              <w:t>违法所得在五万元以上的，有下列情形之一的：</w:t>
            </w:r>
          </w:p>
          <w:p w14:paraId="285D3B41">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cs="宋体"/>
                <w:spacing w:val="0"/>
                <w:kern w:val="0"/>
                <w:sz w:val="24"/>
                <w:szCs w:val="24"/>
                <w:lang w:val="en-US" w:eastAsia="zh-CN"/>
              </w:rPr>
            </w:pPr>
            <w:r>
              <w:rPr>
                <w:rFonts w:hint="eastAsia" w:ascii="宋体" w:hAnsi="宋体" w:cs="宋体"/>
                <w:spacing w:val="0"/>
                <w:kern w:val="0"/>
                <w:sz w:val="24"/>
                <w:szCs w:val="24"/>
                <w:lang w:val="en-US" w:eastAsia="zh-CN"/>
              </w:rPr>
              <w:t>(1)违法所得五万元以上十万元以下的；</w:t>
            </w:r>
          </w:p>
          <w:p w14:paraId="787CE37D">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cs="宋体"/>
                <w:spacing w:val="0"/>
                <w:kern w:val="0"/>
                <w:sz w:val="24"/>
                <w:szCs w:val="24"/>
                <w:lang w:val="en-US" w:eastAsia="zh-CN"/>
              </w:rPr>
            </w:pPr>
            <w:r>
              <w:rPr>
                <w:rFonts w:hint="eastAsia" w:ascii="宋体" w:hAnsi="宋体" w:cs="宋体"/>
                <w:spacing w:val="0"/>
                <w:kern w:val="0"/>
                <w:sz w:val="24"/>
                <w:szCs w:val="24"/>
                <w:lang w:val="en-US" w:eastAsia="zh-CN"/>
              </w:rPr>
              <w:t>(2)销售不知是假冒专利的产品，并且能够证明该产品合法来源的；</w:t>
            </w:r>
          </w:p>
          <w:p w14:paraId="5FFA0C4E">
            <w:pPr>
              <w:spacing w:line="400" w:lineRule="exact"/>
              <w:rPr>
                <w:rFonts w:hint="eastAsia" w:ascii="Calibri" w:hAnsi="Calibri" w:eastAsia="宋体" w:cs="Times New Roman"/>
                <w:snapToGrid/>
                <w:spacing w:val="0"/>
                <w:kern w:val="2"/>
                <w:sz w:val="21"/>
                <w:szCs w:val="24"/>
                <w:lang w:val="en-US"/>
              </w:rPr>
            </w:pPr>
            <w:r>
              <w:rPr>
                <w:rFonts w:hint="eastAsia" w:ascii="宋体" w:hAnsi="宋体" w:cs="宋体"/>
                <w:spacing w:val="0"/>
                <w:kern w:val="0"/>
                <w:sz w:val="24"/>
                <w:szCs w:val="24"/>
                <w:lang w:val="en-US" w:eastAsia="zh-CN"/>
              </w:rPr>
              <w:t>(3)专利权被宣告全部无效、专利权期满、专利权人声明放弃专利权或专利权因未缴年费终止，逾期但不满6个月而标称或标注专利的。</w:t>
            </w:r>
          </w:p>
        </w:tc>
        <w:tc>
          <w:tcPr>
            <w:tcW w:w="3233" w:type="dxa"/>
            <w:tcBorders>
              <w:tl2br w:val="nil"/>
              <w:tr2bl w:val="nil"/>
            </w:tcBorders>
            <w:noWrap w:val="0"/>
            <w:vAlign w:val="center"/>
          </w:tcPr>
          <w:p w14:paraId="3DE4675F">
            <w:pPr>
              <w:keepNext w:val="0"/>
              <w:keepLines w:val="0"/>
              <w:pageBreakBefore w:val="0"/>
              <w:widowControl/>
              <w:kinsoku/>
              <w:wordWrap/>
              <w:overflowPunct/>
              <w:topLinePunct w:val="0"/>
              <w:autoSpaceDE/>
              <w:autoSpaceDN/>
              <w:bidi w:val="0"/>
              <w:spacing w:line="400" w:lineRule="exact"/>
              <w:jc w:val="left"/>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24"/>
                <w:szCs w:val="24"/>
                <w:u w:val="none"/>
                <w:lang w:val="en-US" w:eastAsia="zh-CN" w:bidi="ar"/>
              </w:rPr>
              <w:t>责令改正并予公告，</w:t>
            </w:r>
            <w:r>
              <w:rPr>
                <w:rFonts w:hint="eastAsia" w:ascii="宋体" w:hAnsi="宋体" w:eastAsia="宋体" w:cs="宋体"/>
                <w:kern w:val="0"/>
                <w:sz w:val="24"/>
                <w:szCs w:val="24"/>
              </w:rPr>
              <w:t>没收违法所得，可以处违法所得</w:t>
            </w:r>
            <w:r>
              <w:rPr>
                <w:rFonts w:hint="eastAsia" w:ascii="宋体" w:hAnsi="宋体" w:cs="宋体"/>
                <w:kern w:val="0"/>
                <w:sz w:val="24"/>
                <w:szCs w:val="24"/>
                <w:lang w:val="en-US" w:eastAsia="zh-CN"/>
              </w:rPr>
              <w:t>1.5</w:t>
            </w:r>
            <w:r>
              <w:rPr>
                <w:rFonts w:hint="eastAsia" w:ascii="宋体" w:hAnsi="宋体" w:eastAsia="宋体" w:cs="宋体"/>
                <w:kern w:val="0"/>
                <w:sz w:val="24"/>
                <w:szCs w:val="24"/>
              </w:rPr>
              <w:t>倍以下的罚款。</w:t>
            </w:r>
          </w:p>
        </w:tc>
      </w:tr>
      <w:tr w14:paraId="68BD9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5" w:hRule="atLeast"/>
        </w:trPr>
        <w:tc>
          <w:tcPr>
            <w:tcW w:w="759" w:type="dxa"/>
            <w:vMerge w:val="continue"/>
            <w:tcBorders>
              <w:tl2br w:val="nil"/>
              <w:tr2bl w:val="nil"/>
            </w:tcBorders>
            <w:noWrap w:val="0"/>
            <w:vAlign w:val="center"/>
          </w:tcPr>
          <w:p w14:paraId="39C81769">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b/>
                <w:bCs/>
                <w:kern w:val="0"/>
                <w:sz w:val="24"/>
                <w:szCs w:val="24"/>
                <w:lang w:val="en-US" w:eastAsia="zh-CN"/>
              </w:rPr>
            </w:pPr>
          </w:p>
        </w:tc>
        <w:tc>
          <w:tcPr>
            <w:tcW w:w="1779" w:type="dxa"/>
            <w:vMerge w:val="continue"/>
            <w:tcBorders>
              <w:tl2br w:val="nil"/>
              <w:tr2bl w:val="nil"/>
            </w:tcBorders>
            <w:noWrap w:val="0"/>
            <w:vAlign w:val="center"/>
          </w:tcPr>
          <w:p w14:paraId="52781FFB">
            <w:pPr>
              <w:keepNext w:val="0"/>
              <w:keepLines w:val="0"/>
              <w:pageBreakBefore w:val="0"/>
              <w:widowControl/>
              <w:kinsoku/>
              <w:wordWrap/>
              <w:overflowPunct/>
              <w:topLinePunct w:val="0"/>
              <w:autoSpaceDE/>
              <w:autoSpaceDN/>
              <w:bidi w:val="0"/>
              <w:spacing w:line="400" w:lineRule="exact"/>
              <w:ind w:left="42" w:leftChars="20"/>
              <w:rPr>
                <w:rFonts w:hint="eastAsia" w:ascii="宋体" w:hAnsi="宋体" w:eastAsia="宋体" w:cs="宋体"/>
                <w:b/>
                <w:bCs/>
                <w:kern w:val="0"/>
                <w:sz w:val="24"/>
                <w:szCs w:val="24"/>
              </w:rPr>
            </w:pPr>
          </w:p>
        </w:tc>
        <w:tc>
          <w:tcPr>
            <w:tcW w:w="4098" w:type="dxa"/>
            <w:vMerge w:val="continue"/>
            <w:tcBorders>
              <w:tl2br w:val="nil"/>
              <w:tr2bl w:val="nil"/>
            </w:tcBorders>
            <w:noWrap w:val="0"/>
            <w:vAlign w:val="center"/>
          </w:tcPr>
          <w:p w14:paraId="198ECC7A">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p>
        </w:tc>
        <w:tc>
          <w:tcPr>
            <w:tcW w:w="1169" w:type="dxa"/>
            <w:vMerge w:val="restart"/>
            <w:tcBorders>
              <w:tl2br w:val="nil"/>
              <w:tr2bl w:val="nil"/>
            </w:tcBorders>
            <w:noWrap w:val="0"/>
            <w:vAlign w:val="center"/>
          </w:tcPr>
          <w:p w14:paraId="5F5D8D24">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kern w:val="0"/>
                <w:sz w:val="24"/>
                <w:szCs w:val="24"/>
              </w:rPr>
            </w:pPr>
            <w:r>
              <w:rPr>
                <w:rFonts w:hint="eastAsia" w:ascii="宋体" w:hAnsi="宋体" w:cs="宋体"/>
                <w:kern w:val="0"/>
                <w:sz w:val="24"/>
                <w:szCs w:val="24"/>
                <w:lang w:val="en-US" w:eastAsia="zh-CN"/>
              </w:rPr>
              <w:t>一般</w:t>
            </w:r>
          </w:p>
        </w:tc>
        <w:tc>
          <w:tcPr>
            <w:tcW w:w="3328" w:type="dxa"/>
            <w:tcBorders>
              <w:tl2br w:val="nil"/>
              <w:tr2bl w:val="nil"/>
            </w:tcBorders>
            <w:noWrap w:val="0"/>
            <w:vAlign w:val="center"/>
          </w:tcPr>
          <w:p w14:paraId="20860684">
            <w:pPr>
              <w:keepNext w:val="0"/>
              <w:keepLines w:val="0"/>
              <w:pageBreakBefore w:val="0"/>
              <w:widowControl/>
              <w:kinsoku/>
              <w:wordWrap/>
              <w:overflowPunct/>
              <w:topLinePunct w:val="0"/>
              <w:autoSpaceDE/>
              <w:autoSpaceDN/>
              <w:bidi w:val="0"/>
              <w:spacing w:line="380" w:lineRule="exact"/>
              <w:jc w:val="both"/>
              <w:rPr>
                <w:rFonts w:hint="eastAsia" w:ascii="宋体" w:hAnsi="宋体" w:eastAsia="宋体" w:cs="宋体"/>
                <w:i w:val="0"/>
                <w:iCs w:val="0"/>
                <w:color w:val="auto"/>
                <w:spacing w:val="0"/>
                <w:kern w:val="0"/>
                <w:sz w:val="24"/>
                <w:szCs w:val="24"/>
                <w:u w:val="none"/>
                <w:lang w:val="en-US" w:eastAsia="zh-CN" w:bidi="ar"/>
              </w:rPr>
            </w:pPr>
            <w:r>
              <w:rPr>
                <w:rFonts w:hint="eastAsia" w:ascii="宋体" w:hAnsi="宋体" w:eastAsia="宋体" w:cs="宋体"/>
                <w:i w:val="0"/>
                <w:iCs w:val="0"/>
                <w:color w:val="auto"/>
                <w:spacing w:val="0"/>
                <w:kern w:val="0"/>
                <w:sz w:val="24"/>
                <w:szCs w:val="24"/>
                <w:u w:val="none"/>
                <w:lang w:val="en-US" w:eastAsia="zh-CN" w:bidi="ar"/>
              </w:rPr>
              <w:t>违法所得在5万元以下的，有下列情形之一的：</w:t>
            </w:r>
          </w:p>
          <w:p w14:paraId="6BFC19E2">
            <w:pPr>
              <w:keepNext w:val="0"/>
              <w:keepLines w:val="0"/>
              <w:pageBreakBefore w:val="0"/>
              <w:widowControl/>
              <w:kinsoku/>
              <w:wordWrap/>
              <w:overflowPunct/>
              <w:topLinePunct w:val="0"/>
              <w:autoSpaceDE/>
              <w:autoSpaceDN/>
              <w:bidi w:val="0"/>
              <w:spacing w:line="380" w:lineRule="exact"/>
              <w:jc w:val="both"/>
              <w:rPr>
                <w:rFonts w:hint="eastAsia" w:ascii="宋体" w:hAnsi="宋体" w:eastAsia="宋体" w:cs="宋体"/>
                <w:i w:val="0"/>
                <w:iCs w:val="0"/>
                <w:color w:val="auto"/>
                <w:spacing w:val="0"/>
                <w:kern w:val="0"/>
                <w:sz w:val="24"/>
                <w:szCs w:val="24"/>
                <w:u w:val="none"/>
                <w:lang w:val="en-US" w:eastAsia="zh-CN" w:bidi="ar"/>
              </w:rPr>
            </w:pPr>
            <w:r>
              <w:rPr>
                <w:rFonts w:hint="eastAsia" w:ascii="宋体" w:hAnsi="宋体" w:cs="宋体"/>
                <w:i w:val="0"/>
                <w:iCs w:val="0"/>
                <w:color w:val="auto"/>
                <w:spacing w:val="0"/>
                <w:kern w:val="0"/>
                <w:sz w:val="24"/>
                <w:szCs w:val="24"/>
                <w:u w:val="none"/>
                <w:lang w:val="en-US" w:eastAsia="zh-CN" w:bidi="ar"/>
              </w:rPr>
              <w:t>(1)</w:t>
            </w:r>
            <w:r>
              <w:rPr>
                <w:rFonts w:hint="eastAsia" w:ascii="宋体" w:hAnsi="宋体" w:eastAsia="宋体" w:cs="宋体"/>
                <w:i w:val="0"/>
                <w:iCs w:val="0"/>
                <w:color w:val="auto"/>
                <w:spacing w:val="0"/>
                <w:kern w:val="0"/>
                <w:sz w:val="24"/>
                <w:szCs w:val="24"/>
                <w:u w:val="none"/>
                <w:lang w:val="en-US" w:eastAsia="zh-CN" w:bidi="ar"/>
              </w:rPr>
              <w:t>违法所得一万五千元以上三万五千元以下的；</w:t>
            </w:r>
          </w:p>
          <w:p w14:paraId="36CD128D">
            <w:pPr>
              <w:keepNext w:val="0"/>
              <w:keepLines w:val="0"/>
              <w:pageBreakBefore w:val="0"/>
              <w:widowControl/>
              <w:kinsoku/>
              <w:wordWrap/>
              <w:overflowPunct/>
              <w:topLinePunct w:val="0"/>
              <w:autoSpaceDE/>
              <w:autoSpaceDN/>
              <w:bidi w:val="0"/>
              <w:spacing w:line="380" w:lineRule="exact"/>
              <w:jc w:val="both"/>
              <w:rPr>
                <w:rFonts w:hint="eastAsia" w:ascii="宋体" w:hAnsi="宋体" w:eastAsia="宋体" w:cs="宋体"/>
                <w:i w:val="0"/>
                <w:iCs w:val="0"/>
                <w:color w:val="auto"/>
                <w:spacing w:val="0"/>
                <w:kern w:val="0"/>
                <w:sz w:val="24"/>
                <w:szCs w:val="24"/>
                <w:u w:val="none"/>
                <w:lang w:val="en-US" w:eastAsia="zh-CN" w:bidi="ar"/>
              </w:rPr>
            </w:pPr>
            <w:r>
              <w:rPr>
                <w:rFonts w:hint="eastAsia" w:ascii="宋体" w:hAnsi="宋体" w:cs="宋体"/>
                <w:i w:val="0"/>
                <w:iCs w:val="0"/>
                <w:color w:val="auto"/>
                <w:spacing w:val="0"/>
                <w:kern w:val="0"/>
                <w:sz w:val="24"/>
                <w:szCs w:val="24"/>
                <w:u w:val="none"/>
                <w:lang w:val="en-US" w:eastAsia="zh-CN" w:bidi="ar"/>
              </w:rPr>
              <w:t>(2)</w:t>
            </w:r>
            <w:r>
              <w:rPr>
                <w:rFonts w:hint="eastAsia" w:ascii="宋体" w:hAnsi="宋体" w:eastAsia="宋体" w:cs="宋体"/>
                <w:i w:val="0"/>
                <w:iCs w:val="0"/>
                <w:color w:val="auto"/>
                <w:spacing w:val="0"/>
                <w:kern w:val="0"/>
                <w:sz w:val="24"/>
                <w:szCs w:val="24"/>
                <w:u w:val="none"/>
                <w:lang w:val="en-US" w:eastAsia="zh-CN" w:bidi="ar"/>
              </w:rPr>
              <w:t>专利权被宣告全部无效、专利权期满、专利权人声明放弃专利权或专利权因未缴年费终止，逾期6个月以上不满12个月而标称或标注专利的；</w:t>
            </w:r>
          </w:p>
          <w:p w14:paraId="78345507">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eastAsia" w:ascii="宋体" w:hAnsi="宋体" w:eastAsia="宋体" w:cs="宋体"/>
                <w:spacing w:val="-6"/>
                <w:kern w:val="0"/>
                <w:sz w:val="24"/>
                <w:szCs w:val="24"/>
                <w:lang w:val="en-US" w:eastAsia="zh-CN" w:bidi="ar-SA"/>
              </w:rPr>
            </w:pPr>
            <w:r>
              <w:rPr>
                <w:rFonts w:hint="eastAsia" w:ascii="宋体" w:hAnsi="宋体" w:cs="宋体"/>
                <w:i w:val="0"/>
                <w:iCs w:val="0"/>
                <w:color w:val="auto"/>
                <w:spacing w:val="0"/>
                <w:kern w:val="0"/>
                <w:sz w:val="24"/>
                <w:szCs w:val="24"/>
                <w:u w:val="none"/>
                <w:lang w:val="en-US" w:eastAsia="zh-CN" w:bidi="ar"/>
              </w:rPr>
              <w:t>(3)</w:t>
            </w:r>
            <w:r>
              <w:rPr>
                <w:rFonts w:hint="eastAsia" w:ascii="宋体" w:hAnsi="宋体" w:eastAsia="宋体" w:cs="宋体"/>
                <w:i w:val="0"/>
                <w:iCs w:val="0"/>
                <w:color w:val="auto"/>
                <w:spacing w:val="0"/>
                <w:kern w:val="0"/>
                <w:sz w:val="24"/>
                <w:szCs w:val="24"/>
                <w:u w:val="none"/>
                <w:lang w:val="en-US" w:eastAsia="zh-CN" w:bidi="ar"/>
              </w:rPr>
              <w:t>伪造或者变造专利证书、专利文件或者专利申请文件，尚未给他人和社会造成实际损害的。</w:t>
            </w:r>
          </w:p>
        </w:tc>
        <w:tc>
          <w:tcPr>
            <w:tcW w:w="3233" w:type="dxa"/>
            <w:tcBorders>
              <w:tl2br w:val="nil"/>
              <w:tr2bl w:val="nil"/>
            </w:tcBorders>
            <w:noWrap w:val="0"/>
            <w:vAlign w:val="center"/>
          </w:tcPr>
          <w:p w14:paraId="3203C4AF">
            <w:pPr>
              <w:keepNext w:val="0"/>
              <w:keepLines w:val="0"/>
              <w:pageBreakBefore w:val="0"/>
              <w:widowControl/>
              <w:kinsoku/>
              <w:wordWrap/>
              <w:overflowPunct/>
              <w:topLinePunct w:val="0"/>
              <w:autoSpaceDE/>
              <w:autoSpaceDN/>
              <w:bidi w:val="0"/>
              <w:spacing w:line="400" w:lineRule="exact"/>
              <w:jc w:val="left"/>
              <w:rPr>
                <w:rFonts w:hint="eastAsia" w:ascii="宋体" w:hAnsi="宋体" w:eastAsia="宋体" w:cs="宋体"/>
                <w:kern w:val="0"/>
                <w:sz w:val="24"/>
                <w:szCs w:val="24"/>
              </w:rPr>
            </w:pPr>
            <w:r>
              <w:rPr>
                <w:rFonts w:hint="eastAsia" w:ascii="宋体" w:hAnsi="宋体" w:eastAsia="宋体" w:cs="宋体"/>
                <w:i w:val="0"/>
                <w:iCs w:val="0"/>
                <w:color w:val="auto"/>
                <w:kern w:val="0"/>
                <w:sz w:val="24"/>
                <w:szCs w:val="24"/>
                <w:u w:val="none"/>
                <w:lang w:val="en-US" w:eastAsia="zh-CN" w:bidi="ar"/>
              </w:rPr>
              <w:t>责令改正并予公告，没收违法所得，</w:t>
            </w:r>
            <w:r>
              <w:rPr>
                <w:rFonts w:hint="eastAsia" w:ascii="宋体" w:hAnsi="宋体" w:eastAsia="宋体" w:cs="宋体"/>
                <w:kern w:val="0"/>
                <w:sz w:val="24"/>
                <w:szCs w:val="24"/>
              </w:rPr>
              <w:t>可以处</w:t>
            </w:r>
            <w:r>
              <w:rPr>
                <w:rFonts w:hint="eastAsia" w:ascii="宋体" w:hAnsi="宋体" w:eastAsia="宋体" w:cs="宋体"/>
                <w:kern w:val="0"/>
                <w:sz w:val="24"/>
                <w:szCs w:val="24"/>
                <w:lang w:val="en-US" w:eastAsia="zh-CN"/>
              </w:rPr>
              <w:t>7.5</w:t>
            </w:r>
            <w:r>
              <w:rPr>
                <w:rFonts w:hint="eastAsia" w:ascii="宋体" w:hAnsi="宋体" w:eastAsia="宋体" w:cs="宋体"/>
                <w:kern w:val="0"/>
                <w:sz w:val="24"/>
                <w:szCs w:val="24"/>
              </w:rPr>
              <w:t>万元以上至</w:t>
            </w:r>
            <w:r>
              <w:rPr>
                <w:rFonts w:hint="eastAsia" w:ascii="宋体" w:hAnsi="宋体" w:eastAsia="宋体" w:cs="宋体"/>
                <w:kern w:val="0"/>
                <w:sz w:val="24"/>
                <w:szCs w:val="24"/>
                <w:lang w:val="en-US" w:eastAsia="zh-CN"/>
              </w:rPr>
              <w:t>17.5</w:t>
            </w:r>
            <w:r>
              <w:rPr>
                <w:rFonts w:hint="eastAsia" w:ascii="宋体" w:hAnsi="宋体" w:eastAsia="宋体" w:cs="宋体"/>
                <w:kern w:val="0"/>
                <w:sz w:val="24"/>
                <w:szCs w:val="24"/>
              </w:rPr>
              <w:t>万元以下的罚款。</w:t>
            </w:r>
          </w:p>
        </w:tc>
      </w:tr>
      <w:tr w14:paraId="7B79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759" w:type="dxa"/>
            <w:vMerge w:val="continue"/>
            <w:tcBorders>
              <w:tl2br w:val="nil"/>
              <w:tr2bl w:val="nil"/>
            </w:tcBorders>
            <w:noWrap w:val="0"/>
            <w:vAlign w:val="center"/>
          </w:tcPr>
          <w:p w14:paraId="409DF12B">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b/>
                <w:bCs/>
                <w:kern w:val="0"/>
                <w:sz w:val="24"/>
                <w:szCs w:val="24"/>
                <w:lang w:val="en-US" w:eastAsia="zh-CN"/>
              </w:rPr>
            </w:pPr>
          </w:p>
        </w:tc>
        <w:tc>
          <w:tcPr>
            <w:tcW w:w="1779" w:type="dxa"/>
            <w:vMerge w:val="continue"/>
            <w:tcBorders>
              <w:tl2br w:val="nil"/>
              <w:tr2bl w:val="nil"/>
            </w:tcBorders>
            <w:noWrap w:val="0"/>
            <w:vAlign w:val="center"/>
          </w:tcPr>
          <w:p w14:paraId="38BB04B1">
            <w:pPr>
              <w:keepNext w:val="0"/>
              <w:keepLines w:val="0"/>
              <w:pageBreakBefore w:val="0"/>
              <w:widowControl/>
              <w:kinsoku/>
              <w:wordWrap/>
              <w:overflowPunct/>
              <w:topLinePunct w:val="0"/>
              <w:autoSpaceDE/>
              <w:autoSpaceDN/>
              <w:bidi w:val="0"/>
              <w:spacing w:line="400" w:lineRule="exact"/>
              <w:ind w:left="42" w:leftChars="20"/>
              <w:rPr>
                <w:rFonts w:hint="eastAsia" w:ascii="宋体" w:hAnsi="宋体" w:eastAsia="宋体" w:cs="宋体"/>
                <w:b/>
                <w:bCs/>
                <w:kern w:val="0"/>
                <w:sz w:val="24"/>
                <w:szCs w:val="24"/>
              </w:rPr>
            </w:pPr>
          </w:p>
        </w:tc>
        <w:tc>
          <w:tcPr>
            <w:tcW w:w="4098" w:type="dxa"/>
            <w:vMerge w:val="continue"/>
            <w:tcBorders>
              <w:tl2br w:val="nil"/>
              <w:tr2bl w:val="nil"/>
            </w:tcBorders>
            <w:noWrap w:val="0"/>
            <w:vAlign w:val="center"/>
          </w:tcPr>
          <w:p w14:paraId="4861DCFD">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p>
        </w:tc>
        <w:tc>
          <w:tcPr>
            <w:tcW w:w="1169" w:type="dxa"/>
            <w:vMerge w:val="continue"/>
            <w:tcBorders>
              <w:tl2br w:val="nil"/>
              <w:tr2bl w:val="nil"/>
            </w:tcBorders>
            <w:noWrap w:val="0"/>
            <w:vAlign w:val="center"/>
          </w:tcPr>
          <w:p w14:paraId="73F62BF0">
            <w:pPr>
              <w:keepNext w:val="0"/>
              <w:keepLines w:val="0"/>
              <w:pageBreakBefore w:val="0"/>
              <w:widowControl/>
              <w:kinsoku/>
              <w:wordWrap/>
              <w:overflowPunct/>
              <w:topLinePunct w:val="0"/>
              <w:autoSpaceDE/>
              <w:autoSpaceDN/>
              <w:bidi w:val="0"/>
              <w:spacing w:line="400" w:lineRule="exact"/>
              <w:jc w:val="center"/>
              <w:rPr>
                <w:rFonts w:hint="default" w:ascii="宋体" w:hAnsi="宋体" w:cs="宋体"/>
                <w:kern w:val="0"/>
                <w:sz w:val="24"/>
                <w:szCs w:val="24"/>
                <w:lang w:val="en-US" w:eastAsia="zh-CN"/>
              </w:rPr>
            </w:pPr>
          </w:p>
        </w:tc>
        <w:tc>
          <w:tcPr>
            <w:tcW w:w="3328" w:type="dxa"/>
            <w:tcBorders>
              <w:tl2br w:val="nil"/>
              <w:tr2bl w:val="nil"/>
            </w:tcBorders>
            <w:noWrap w:val="0"/>
            <w:vAlign w:val="center"/>
          </w:tcPr>
          <w:p w14:paraId="40F292EB">
            <w:pPr>
              <w:keepNext w:val="0"/>
              <w:keepLines w:val="0"/>
              <w:pageBreakBefore w:val="0"/>
              <w:widowControl/>
              <w:kinsoku/>
              <w:wordWrap/>
              <w:overflowPunct/>
              <w:topLinePunct w:val="0"/>
              <w:autoSpaceDE/>
              <w:autoSpaceDN/>
              <w:bidi w:val="0"/>
              <w:spacing w:line="380" w:lineRule="exact"/>
              <w:jc w:val="both"/>
              <w:rPr>
                <w:rFonts w:hint="eastAsia" w:ascii="宋体" w:hAnsi="宋体" w:eastAsia="宋体" w:cs="宋体"/>
                <w:i w:val="0"/>
                <w:iCs w:val="0"/>
                <w:color w:val="auto"/>
                <w:spacing w:val="-6"/>
                <w:kern w:val="0"/>
                <w:sz w:val="24"/>
                <w:szCs w:val="24"/>
                <w:u w:val="none"/>
                <w:lang w:val="en-US" w:eastAsia="zh-CN" w:bidi="ar"/>
              </w:rPr>
            </w:pPr>
            <w:r>
              <w:rPr>
                <w:rFonts w:hint="eastAsia" w:ascii="宋体" w:hAnsi="宋体" w:eastAsia="宋体" w:cs="宋体"/>
                <w:i w:val="0"/>
                <w:iCs w:val="0"/>
                <w:color w:val="auto"/>
                <w:spacing w:val="-6"/>
                <w:kern w:val="0"/>
                <w:sz w:val="24"/>
                <w:szCs w:val="24"/>
                <w:u w:val="none"/>
                <w:lang w:val="en-US" w:eastAsia="zh-CN" w:bidi="ar"/>
              </w:rPr>
              <w:t>违法所得在5万元以上的，有下列情形之一的：</w:t>
            </w:r>
          </w:p>
          <w:p w14:paraId="38D1C43C">
            <w:pPr>
              <w:keepNext w:val="0"/>
              <w:keepLines w:val="0"/>
              <w:pageBreakBefore w:val="0"/>
              <w:widowControl/>
              <w:kinsoku/>
              <w:wordWrap/>
              <w:overflowPunct/>
              <w:topLinePunct w:val="0"/>
              <w:autoSpaceDE/>
              <w:autoSpaceDN/>
              <w:bidi w:val="0"/>
              <w:spacing w:line="380" w:lineRule="exact"/>
              <w:jc w:val="both"/>
              <w:rPr>
                <w:rFonts w:hint="eastAsia" w:ascii="宋体" w:hAnsi="宋体" w:eastAsia="宋体" w:cs="宋体"/>
                <w:i w:val="0"/>
                <w:iCs w:val="0"/>
                <w:color w:val="auto"/>
                <w:spacing w:val="-6"/>
                <w:kern w:val="0"/>
                <w:sz w:val="24"/>
                <w:szCs w:val="24"/>
                <w:u w:val="none"/>
                <w:lang w:val="en-US" w:eastAsia="zh-CN" w:bidi="ar"/>
              </w:rPr>
            </w:pPr>
            <w:r>
              <w:rPr>
                <w:rFonts w:hint="eastAsia" w:ascii="宋体" w:hAnsi="宋体" w:cs="宋体"/>
                <w:i w:val="0"/>
                <w:iCs w:val="0"/>
                <w:color w:val="auto"/>
                <w:spacing w:val="-6"/>
                <w:kern w:val="0"/>
                <w:sz w:val="24"/>
                <w:szCs w:val="24"/>
                <w:u w:val="none"/>
                <w:lang w:val="en-US" w:eastAsia="zh-CN" w:bidi="ar"/>
              </w:rPr>
              <w:t>(1)</w:t>
            </w:r>
            <w:r>
              <w:rPr>
                <w:rFonts w:hint="eastAsia" w:ascii="宋体" w:hAnsi="宋体" w:eastAsia="宋体" w:cs="宋体"/>
                <w:i w:val="0"/>
                <w:iCs w:val="0"/>
                <w:color w:val="auto"/>
                <w:spacing w:val="-6"/>
                <w:kern w:val="0"/>
                <w:sz w:val="24"/>
                <w:szCs w:val="24"/>
                <w:u w:val="none"/>
                <w:lang w:val="en-US" w:eastAsia="zh-CN" w:bidi="ar"/>
              </w:rPr>
              <w:t>违法所得十万元以上十五万元以下的；</w:t>
            </w:r>
          </w:p>
          <w:p w14:paraId="2587DBA8">
            <w:pPr>
              <w:keepNext w:val="0"/>
              <w:keepLines w:val="0"/>
              <w:pageBreakBefore w:val="0"/>
              <w:widowControl/>
              <w:kinsoku/>
              <w:wordWrap/>
              <w:overflowPunct/>
              <w:topLinePunct w:val="0"/>
              <w:autoSpaceDE/>
              <w:autoSpaceDN/>
              <w:bidi w:val="0"/>
              <w:spacing w:line="380" w:lineRule="exact"/>
              <w:jc w:val="both"/>
              <w:rPr>
                <w:rFonts w:hint="eastAsia" w:ascii="宋体" w:hAnsi="宋体" w:eastAsia="宋体" w:cs="宋体"/>
                <w:i w:val="0"/>
                <w:iCs w:val="0"/>
                <w:color w:val="auto"/>
                <w:spacing w:val="-6"/>
                <w:kern w:val="0"/>
                <w:sz w:val="24"/>
                <w:szCs w:val="24"/>
                <w:u w:val="none"/>
                <w:lang w:val="en-US" w:eastAsia="zh-CN" w:bidi="ar"/>
              </w:rPr>
            </w:pPr>
            <w:r>
              <w:rPr>
                <w:rFonts w:hint="eastAsia" w:ascii="宋体" w:hAnsi="宋体" w:cs="宋体"/>
                <w:i w:val="0"/>
                <w:iCs w:val="0"/>
                <w:color w:val="auto"/>
                <w:spacing w:val="-6"/>
                <w:kern w:val="0"/>
                <w:sz w:val="24"/>
                <w:szCs w:val="24"/>
                <w:u w:val="none"/>
                <w:lang w:val="en-US" w:eastAsia="zh-CN" w:bidi="ar"/>
              </w:rPr>
              <w:t>(2)</w:t>
            </w:r>
            <w:r>
              <w:rPr>
                <w:rFonts w:hint="eastAsia" w:ascii="宋体" w:hAnsi="宋体" w:eastAsia="宋体" w:cs="宋体"/>
                <w:i w:val="0"/>
                <w:iCs w:val="0"/>
                <w:color w:val="auto"/>
                <w:spacing w:val="-6"/>
                <w:kern w:val="0"/>
                <w:sz w:val="24"/>
                <w:szCs w:val="24"/>
                <w:u w:val="none"/>
                <w:lang w:val="en-US" w:eastAsia="zh-CN" w:bidi="ar"/>
              </w:rPr>
              <w:t>专利权被宣告全部无效、专利权期满、专利权人声明放弃专利权或专利权因未缴年费终止，逾期6个月以上不满12个月而标称或标注专利的；</w:t>
            </w:r>
          </w:p>
          <w:p w14:paraId="34B39F46">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eastAsia" w:ascii="宋体" w:hAnsi="宋体" w:eastAsia="宋体" w:cs="宋体"/>
                <w:spacing w:val="-6"/>
                <w:kern w:val="0"/>
                <w:sz w:val="24"/>
                <w:szCs w:val="24"/>
              </w:rPr>
            </w:pPr>
            <w:r>
              <w:rPr>
                <w:rFonts w:hint="eastAsia" w:ascii="宋体" w:hAnsi="宋体" w:cs="宋体"/>
                <w:i w:val="0"/>
                <w:iCs w:val="0"/>
                <w:color w:val="auto"/>
                <w:spacing w:val="-6"/>
                <w:kern w:val="0"/>
                <w:sz w:val="24"/>
                <w:szCs w:val="24"/>
                <w:u w:val="none"/>
                <w:lang w:val="en-US" w:eastAsia="zh-CN" w:bidi="ar"/>
              </w:rPr>
              <w:t>(3)</w:t>
            </w:r>
            <w:r>
              <w:rPr>
                <w:rFonts w:hint="eastAsia" w:ascii="宋体" w:hAnsi="宋体" w:eastAsia="宋体" w:cs="宋体"/>
                <w:i w:val="0"/>
                <w:iCs w:val="0"/>
                <w:color w:val="auto"/>
                <w:spacing w:val="0"/>
                <w:kern w:val="0"/>
                <w:sz w:val="24"/>
                <w:szCs w:val="24"/>
                <w:u w:val="none"/>
                <w:lang w:val="en-US" w:eastAsia="zh-CN" w:bidi="ar"/>
              </w:rPr>
              <w:t>伪造或者变造专利证书、专利文件或者专利申请文件，尚未给他人和社会造成实际损害的。</w:t>
            </w:r>
          </w:p>
        </w:tc>
        <w:tc>
          <w:tcPr>
            <w:tcW w:w="3233" w:type="dxa"/>
            <w:tcBorders>
              <w:tl2br w:val="nil"/>
              <w:tr2bl w:val="nil"/>
            </w:tcBorders>
            <w:noWrap w:val="0"/>
            <w:vAlign w:val="center"/>
          </w:tcPr>
          <w:p w14:paraId="25B87AEC">
            <w:pPr>
              <w:keepNext w:val="0"/>
              <w:keepLines w:val="0"/>
              <w:pageBreakBefore w:val="0"/>
              <w:widowControl/>
              <w:kinsoku/>
              <w:wordWrap/>
              <w:overflowPunct/>
              <w:topLinePunct w:val="0"/>
              <w:autoSpaceDE/>
              <w:autoSpaceDN/>
              <w:bidi w:val="0"/>
              <w:spacing w:line="400" w:lineRule="exact"/>
              <w:jc w:val="left"/>
              <w:rPr>
                <w:rFonts w:hint="eastAsia" w:ascii="宋体" w:hAnsi="宋体" w:eastAsia="宋体" w:cs="宋体"/>
                <w:kern w:val="0"/>
                <w:sz w:val="24"/>
                <w:szCs w:val="24"/>
              </w:rPr>
            </w:pPr>
            <w:r>
              <w:rPr>
                <w:rFonts w:hint="eastAsia" w:ascii="宋体" w:hAnsi="宋体" w:eastAsia="宋体" w:cs="宋体"/>
                <w:i w:val="0"/>
                <w:iCs w:val="0"/>
                <w:color w:val="auto"/>
                <w:kern w:val="0"/>
                <w:sz w:val="24"/>
                <w:szCs w:val="24"/>
                <w:u w:val="none"/>
                <w:lang w:val="en-US" w:eastAsia="zh-CN" w:bidi="ar"/>
              </w:rPr>
              <w:t>责令改正并予公告，没收违法所得，</w:t>
            </w:r>
            <w:r>
              <w:rPr>
                <w:rFonts w:hint="eastAsia" w:ascii="宋体" w:hAnsi="宋体" w:eastAsia="宋体" w:cs="宋体"/>
                <w:kern w:val="0"/>
                <w:sz w:val="24"/>
                <w:szCs w:val="24"/>
              </w:rPr>
              <w:t>可以处违法所得的</w:t>
            </w:r>
            <w:r>
              <w:rPr>
                <w:rFonts w:hint="eastAsia" w:ascii="宋体" w:hAnsi="宋体" w:eastAsia="宋体" w:cs="宋体"/>
                <w:kern w:val="0"/>
                <w:sz w:val="24"/>
                <w:szCs w:val="24"/>
                <w:lang w:val="en-US" w:eastAsia="zh-CN"/>
              </w:rPr>
              <w:t>1.5</w:t>
            </w:r>
            <w:r>
              <w:rPr>
                <w:rFonts w:hint="eastAsia" w:ascii="宋体" w:hAnsi="宋体" w:eastAsia="宋体" w:cs="宋体"/>
                <w:kern w:val="0"/>
                <w:sz w:val="24"/>
                <w:szCs w:val="24"/>
              </w:rPr>
              <w:t>倍</w:t>
            </w:r>
            <w:r>
              <w:rPr>
                <w:rFonts w:hint="eastAsia" w:ascii="宋体" w:hAnsi="宋体" w:cs="宋体"/>
                <w:kern w:val="0"/>
                <w:sz w:val="24"/>
                <w:szCs w:val="24"/>
                <w:lang w:val="en-US" w:eastAsia="zh-CN"/>
              </w:rPr>
              <w:t>以上3.5倍</w:t>
            </w:r>
            <w:r>
              <w:rPr>
                <w:rFonts w:hint="eastAsia" w:ascii="宋体" w:hAnsi="宋体" w:eastAsia="宋体" w:cs="宋体"/>
                <w:kern w:val="0"/>
                <w:sz w:val="24"/>
                <w:szCs w:val="24"/>
              </w:rPr>
              <w:t>以下的罚款。</w:t>
            </w:r>
          </w:p>
        </w:tc>
      </w:tr>
      <w:tr w14:paraId="4CA9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7" w:hRule="atLeast"/>
        </w:trPr>
        <w:tc>
          <w:tcPr>
            <w:tcW w:w="759" w:type="dxa"/>
            <w:vMerge w:val="continue"/>
            <w:tcBorders>
              <w:tl2br w:val="nil"/>
              <w:tr2bl w:val="nil"/>
            </w:tcBorders>
            <w:noWrap w:val="0"/>
            <w:vAlign w:val="center"/>
          </w:tcPr>
          <w:p w14:paraId="3D05B9D1">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b/>
                <w:bCs/>
                <w:kern w:val="0"/>
                <w:sz w:val="24"/>
                <w:szCs w:val="24"/>
                <w:lang w:val="en-US" w:eastAsia="zh-CN"/>
              </w:rPr>
            </w:pPr>
          </w:p>
        </w:tc>
        <w:tc>
          <w:tcPr>
            <w:tcW w:w="1779" w:type="dxa"/>
            <w:vMerge w:val="continue"/>
            <w:tcBorders>
              <w:tl2br w:val="nil"/>
              <w:tr2bl w:val="nil"/>
            </w:tcBorders>
            <w:noWrap w:val="0"/>
            <w:vAlign w:val="center"/>
          </w:tcPr>
          <w:p w14:paraId="3D217F87">
            <w:pPr>
              <w:keepNext w:val="0"/>
              <w:keepLines w:val="0"/>
              <w:pageBreakBefore w:val="0"/>
              <w:widowControl/>
              <w:kinsoku/>
              <w:wordWrap/>
              <w:overflowPunct/>
              <w:topLinePunct w:val="0"/>
              <w:autoSpaceDE/>
              <w:autoSpaceDN/>
              <w:bidi w:val="0"/>
              <w:spacing w:line="400" w:lineRule="exact"/>
              <w:ind w:left="42" w:leftChars="20"/>
              <w:rPr>
                <w:rFonts w:hint="eastAsia" w:ascii="宋体" w:hAnsi="宋体" w:eastAsia="宋体" w:cs="宋体"/>
                <w:b/>
                <w:bCs/>
                <w:kern w:val="0"/>
                <w:sz w:val="24"/>
                <w:szCs w:val="24"/>
              </w:rPr>
            </w:pPr>
          </w:p>
        </w:tc>
        <w:tc>
          <w:tcPr>
            <w:tcW w:w="4098" w:type="dxa"/>
            <w:vMerge w:val="continue"/>
            <w:tcBorders>
              <w:tl2br w:val="nil"/>
              <w:tr2bl w:val="nil"/>
            </w:tcBorders>
            <w:noWrap w:val="0"/>
            <w:vAlign w:val="center"/>
          </w:tcPr>
          <w:p w14:paraId="781640CB">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p>
        </w:tc>
        <w:tc>
          <w:tcPr>
            <w:tcW w:w="1169" w:type="dxa"/>
            <w:vMerge w:val="restart"/>
            <w:tcBorders>
              <w:tl2br w:val="nil"/>
              <w:tr2bl w:val="nil"/>
            </w:tcBorders>
            <w:noWrap w:val="0"/>
            <w:vAlign w:val="center"/>
          </w:tcPr>
          <w:p w14:paraId="6C9F879B">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kern w:val="0"/>
                <w:sz w:val="24"/>
                <w:szCs w:val="24"/>
              </w:rPr>
            </w:pPr>
            <w:r>
              <w:rPr>
                <w:rFonts w:hint="eastAsia" w:ascii="宋体" w:hAnsi="宋体" w:cs="宋体"/>
                <w:kern w:val="0"/>
                <w:sz w:val="24"/>
                <w:szCs w:val="24"/>
                <w:lang w:val="en-US" w:eastAsia="zh-CN"/>
              </w:rPr>
              <w:t>较重</w:t>
            </w:r>
          </w:p>
        </w:tc>
        <w:tc>
          <w:tcPr>
            <w:tcW w:w="3328" w:type="dxa"/>
            <w:tcBorders>
              <w:tl2br w:val="nil"/>
              <w:tr2bl w:val="nil"/>
            </w:tcBorders>
            <w:noWrap w:val="0"/>
            <w:vAlign w:val="center"/>
          </w:tcPr>
          <w:p w14:paraId="53451E04">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违法所得在5万元以下的，有下列情形之一的：</w:t>
            </w:r>
          </w:p>
          <w:p w14:paraId="6EDB86B4">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违法所得三万五千元以上五万元以下的；</w:t>
            </w:r>
          </w:p>
          <w:p w14:paraId="1AAD84FC">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(2)</w:t>
            </w:r>
            <w:r>
              <w:rPr>
                <w:rFonts w:hint="eastAsia" w:ascii="宋体" w:hAnsi="宋体" w:eastAsia="宋体" w:cs="宋体"/>
                <w:i w:val="0"/>
                <w:iCs w:val="0"/>
                <w:color w:val="auto"/>
                <w:kern w:val="0"/>
                <w:sz w:val="24"/>
                <w:szCs w:val="24"/>
                <w:u w:val="none"/>
                <w:lang w:val="en-US" w:eastAsia="zh-CN" w:bidi="ar"/>
              </w:rPr>
              <w:t>伪造或者变造专利证书、专</w:t>
            </w:r>
            <w:r>
              <w:rPr>
                <w:rFonts w:hint="eastAsia" w:ascii="宋体" w:hAnsi="宋体" w:eastAsia="宋体" w:cs="宋体"/>
                <w:i w:val="0"/>
                <w:iCs w:val="0"/>
                <w:color w:val="auto"/>
                <w:spacing w:val="-6"/>
                <w:kern w:val="0"/>
                <w:sz w:val="24"/>
                <w:szCs w:val="24"/>
                <w:u w:val="none"/>
                <w:lang w:val="en-US" w:eastAsia="zh-CN" w:bidi="ar"/>
              </w:rPr>
              <w:t>利文件或者专利申请文件，给他人和社会造成实际损害的；</w:t>
            </w:r>
          </w:p>
          <w:p w14:paraId="0E43AD6E">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spacing w:val="0"/>
                <w:kern w:val="0"/>
                <w:sz w:val="24"/>
                <w:szCs w:val="24"/>
              </w:rPr>
            </w:pPr>
            <w:r>
              <w:rPr>
                <w:rFonts w:hint="eastAsia" w:ascii="宋体" w:hAnsi="宋体" w:cs="宋体"/>
                <w:i w:val="0"/>
                <w:iCs w:val="0"/>
                <w:color w:val="auto"/>
                <w:kern w:val="0"/>
                <w:sz w:val="24"/>
                <w:szCs w:val="24"/>
                <w:u w:val="none"/>
                <w:lang w:val="en-US" w:eastAsia="zh-CN" w:bidi="ar"/>
              </w:rPr>
              <w:t>(3)</w:t>
            </w:r>
            <w:r>
              <w:rPr>
                <w:rFonts w:hint="eastAsia" w:ascii="宋体" w:hAnsi="宋体" w:eastAsia="宋体" w:cs="宋体"/>
                <w:i w:val="0"/>
                <w:iCs w:val="0"/>
                <w:color w:val="auto"/>
                <w:kern w:val="0"/>
                <w:sz w:val="24"/>
                <w:szCs w:val="24"/>
                <w:u w:val="none"/>
                <w:lang w:val="en-US" w:eastAsia="zh-CN" w:bidi="ar"/>
              </w:rPr>
              <w:t>专利权被宣告全部无效、专利权期满、专利权人声明放弃专利权或专利权因未缴年费终止，逾期12个月以上而标称或标注专利的。</w:t>
            </w:r>
          </w:p>
        </w:tc>
        <w:tc>
          <w:tcPr>
            <w:tcW w:w="3233" w:type="dxa"/>
            <w:tcBorders>
              <w:tl2br w:val="nil"/>
              <w:tr2bl w:val="nil"/>
            </w:tcBorders>
            <w:noWrap w:val="0"/>
            <w:vAlign w:val="center"/>
          </w:tcPr>
          <w:p w14:paraId="654C374F">
            <w:pPr>
              <w:keepNext w:val="0"/>
              <w:keepLines w:val="0"/>
              <w:pageBreakBefore w:val="0"/>
              <w:widowControl/>
              <w:kinsoku/>
              <w:wordWrap/>
              <w:overflowPunct/>
              <w:topLinePunct w:val="0"/>
              <w:autoSpaceDE/>
              <w:autoSpaceDN/>
              <w:bidi w:val="0"/>
              <w:spacing w:line="400" w:lineRule="exact"/>
              <w:jc w:val="left"/>
              <w:rPr>
                <w:rFonts w:hint="eastAsia" w:ascii="宋体" w:hAnsi="宋体" w:eastAsia="宋体" w:cs="宋体"/>
                <w:kern w:val="0"/>
                <w:sz w:val="24"/>
                <w:szCs w:val="24"/>
              </w:rPr>
            </w:pPr>
            <w:r>
              <w:rPr>
                <w:rFonts w:hint="eastAsia" w:ascii="宋体" w:hAnsi="宋体" w:eastAsia="宋体" w:cs="宋体"/>
                <w:i w:val="0"/>
                <w:iCs w:val="0"/>
                <w:color w:val="auto"/>
                <w:kern w:val="0"/>
                <w:sz w:val="24"/>
                <w:szCs w:val="24"/>
                <w:u w:val="none"/>
                <w:lang w:val="en-US" w:eastAsia="zh-CN" w:bidi="ar"/>
              </w:rPr>
              <w:t>责令改正并予公告，没收违法所得，</w:t>
            </w:r>
            <w:r>
              <w:rPr>
                <w:rFonts w:hint="eastAsia" w:ascii="宋体" w:hAnsi="宋体" w:eastAsia="宋体" w:cs="宋体"/>
                <w:kern w:val="0"/>
                <w:sz w:val="24"/>
                <w:szCs w:val="24"/>
              </w:rPr>
              <w:t>可以处</w:t>
            </w:r>
            <w:r>
              <w:rPr>
                <w:rFonts w:hint="eastAsia" w:ascii="宋体" w:hAnsi="宋体" w:eastAsia="宋体" w:cs="宋体"/>
                <w:kern w:val="0"/>
                <w:sz w:val="24"/>
                <w:szCs w:val="24"/>
                <w:lang w:val="en-US" w:eastAsia="zh-CN"/>
              </w:rPr>
              <w:t>17.5</w:t>
            </w:r>
            <w:r>
              <w:rPr>
                <w:rFonts w:hint="eastAsia" w:ascii="宋体" w:hAnsi="宋体" w:eastAsia="宋体" w:cs="宋体"/>
                <w:kern w:val="0"/>
                <w:sz w:val="24"/>
                <w:szCs w:val="24"/>
              </w:rPr>
              <w:t>万元以上至</w:t>
            </w:r>
            <w:r>
              <w:rPr>
                <w:rFonts w:hint="eastAsia" w:ascii="宋体" w:hAnsi="宋体" w:eastAsia="宋体" w:cs="宋体"/>
                <w:kern w:val="0"/>
                <w:sz w:val="24"/>
                <w:szCs w:val="24"/>
                <w:lang w:val="en-US" w:eastAsia="zh-CN"/>
              </w:rPr>
              <w:t>25</w:t>
            </w:r>
            <w:r>
              <w:rPr>
                <w:rFonts w:hint="eastAsia" w:ascii="宋体" w:hAnsi="宋体" w:eastAsia="宋体" w:cs="宋体"/>
                <w:kern w:val="0"/>
                <w:sz w:val="24"/>
                <w:szCs w:val="24"/>
              </w:rPr>
              <w:t>万元以下的罚款。</w:t>
            </w:r>
          </w:p>
        </w:tc>
      </w:tr>
      <w:tr w14:paraId="3B95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8" w:hRule="atLeast"/>
        </w:trPr>
        <w:tc>
          <w:tcPr>
            <w:tcW w:w="759" w:type="dxa"/>
            <w:vMerge w:val="continue"/>
            <w:tcBorders>
              <w:tl2br w:val="nil"/>
              <w:tr2bl w:val="nil"/>
            </w:tcBorders>
            <w:noWrap w:val="0"/>
            <w:vAlign w:val="center"/>
          </w:tcPr>
          <w:p w14:paraId="308AA7E5">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b/>
                <w:bCs/>
                <w:kern w:val="0"/>
                <w:sz w:val="24"/>
                <w:szCs w:val="24"/>
                <w:lang w:val="en-US" w:eastAsia="zh-CN"/>
              </w:rPr>
            </w:pPr>
          </w:p>
        </w:tc>
        <w:tc>
          <w:tcPr>
            <w:tcW w:w="1779" w:type="dxa"/>
            <w:vMerge w:val="continue"/>
            <w:tcBorders>
              <w:tl2br w:val="nil"/>
              <w:tr2bl w:val="nil"/>
            </w:tcBorders>
            <w:noWrap w:val="0"/>
            <w:vAlign w:val="center"/>
          </w:tcPr>
          <w:p w14:paraId="3981F868">
            <w:pPr>
              <w:keepNext w:val="0"/>
              <w:keepLines w:val="0"/>
              <w:pageBreakBefore w:val="0"/>
              <w:widowControl/>
              <w:kinsoku/>
              <w:wordWrap/>
              <w:overflowPunct/>
              <w:topLinePunct w:val="0"/>
              <w:autoSpaceDE/>
              <w:autoSpaceDN/>
              <w:bidi w:val="0"/>
              <w:spacing w:line="400" w:lineRule="exact"/>
              <w:ind w:left="42" w:leftChars="20"/>
              <w:rPr>
                <w:rFonts w:hint="eastAsia" w:ascii="宋体" w:hAnsi="宋体" w:eastAsia="宋体" w:cs="宋体"/>
                <w:b/>
                <w:bCs/>
                <w:kern w:val="0"/>
                <w:sz w:val="24"/>
                <w:szCs w:val="24"/>
              </w:rPr>
            </w:pPr>
          </w:p>
        </w:tc>
        <w:tc>
          <w:tcPr>
            <w:tcW w:w="4098" w:type="dxa"/>
            <w:vMerge w:val="continue"/>
            <w:tcBorders>
              <w:tl2br w:val="nil"/>
              <w:tr2bl w:val="nil"/>
            </w:tcBorders>
            <w:noWrap w:val="0"/>
            <w:vAlign w:val="center"/>
          </w:tcPr>
          <w:p w14:paraId="35489E5C">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p>
        </w:tc>
        <w:tc>
          <w:tcPr>
            <w:tcW w:w="1169" w:type="dxa"/>
            <w:vMerge w:val="continue"/>
            <w:tcBorders>
              <w:tl2br w:val="nil"/>
              <w:tr2bl w:val="nil"/>
            </w:tcBorders>
            <w:noWrap w:val="0"/>
            <w:vAlign w:val="center"/>
          </w:tcPr>
          <w:p w14:paraId="1DF07EF3">
            <w:pPr>
              <w:keepNext w:val="0"/>
              <w:keepLines w:val="0"/>
              <w:pageBreakBefore w:val="0"/>
              <w:widowControl/>
              <w:kinsoku/>
              <w:wordWrap/>
              <w:overflowPunct/>
              <w:topLinePunct w:val="0"/>
              <w:autoSpaceDE/>
              <w:autoSpaceDN/>
              <w:bidi w:val="0"/>
              <w:spacing w:line="400" w:lineRule="exact"/>
              <w:jc w:val="center"/>
              <w:rPr>
                <w:rFonts w:hint="default" w:ascii="宋体" w:hAnsi="宋体" w:cs="宋体"/>
                <w:kern w:val="0"/>
                <w:sz w:val="24"/>
                <w:szCs w:val="24"/>
                <w:lang w:val="en-US" w:eastAsia="zh-CN"/>
              </w:rPr>
            </w:pPr>
          </w:p>
        </w:tc>
        <w:tc>
          <w:tcPr>
            <w:tcW w:w="3328" w:type="dxa"/>
            <w:tcBorders>
              <w:tl2br w:val="nil"/>
              <w:tr2bl w:val="nil"/>
            </w:tcBorders>
            <w:noWrap w:val="0"/>
            <w:vAlign w:val="center"/>
          </w:tcPr>
          <w:p w14:paraId="04F33E7A">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违法所得在5万元以上的，有下列情形之一的：</w:t>
            </w:r>
          </w:p>
          <w:p w14:paraId="628147E5">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(1)</w:t>
            </w:r>
            <w:r>
              <w:rPr>
                <w:rFonts w:hint="eastAsia" w:ascii="宋体" w:hAnsi="宋体" w:eastAsia="宋体" w:cs="宋体"/>
                <w:i w:val="0"/>
                <w:iCs w:val="0"/>
                <w:color w:val="auto"/>
                <w:kern w:val="0"/>
                <w:sz w:val="24"/>
                <w:szCs w:val="24"/>
                <w:u w:val="none"/>
                <w:lang w:val="en-US" w:eastAsia="zh-CN" w:bidi="ar"/>
              </w:rPr>
              <w:t>违法所得十五万元以上的；</w:t>
            </w:r>
          </w:p>
          <w:p w14:paraId="1DEF0E90">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(2)</w:t>
            </w:r>
            <w:r>
              <w:rPr>
                <w:rFonts w:hint="eastAsia" w:ascii="宋体" w:hAnsi="宋体" w:eastAsia="宋体" w:cs="宋体"/>
                <w:i w:val="0"/>
                <w:iCs w:val="0"/>
                <w:color w:val="auto"/>
                <w:kern w:val="0"/>
                <w:sz w:val="24"/>
                <w:szCs w:val="24"/>
                <w:u w:val="none"/>
                <w:lang w:val="en-US" w:eastAsia="zh-CN" w:bidi="ar"/>
              </w:rPr>
              <w:t>伪造或者变造专利证书、专利文件或者专利申请文件，给他人和社会造成实际损害的；</w:t>
            </w:r>
          </w:p>
          <w:p w14:paraId="5842858E">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spacing w:val="0"/>
                <w:kern w:val="0"/>
                <w:sz w:val="24"/>
                <w:szCs w:val="24"/>
              </w:rPr>
            </w:pPr>
            <w:r>
              <w:rPr>
                <w:rFonts w:hint="eastAsia" w:ascii="宋体" w:hAnsi="宋体" w:cs="宋体"/>
                <w:i w:val="0"/>
                <w:iCs w:val="0"/>
                <w:color w:val="auto"/>
                <w:kern w:val="0"/>
                <w:sz w:val="24"/>
                <w:szCs w:val="24"/>
                <w:u w:val="none"/>
                <w:lang w:val="en-US" w:eastAsia="zh-CN" w:bidi="ar"/>
              </w:rPr>
              <w:t>(3)</w:t>
            </w:r>
            <w:r>
              <w:rPr>
                <w:rFonts w:hint="eastAsia" w:ascii="宋体" w:hAnsi="宋体" w:eastAsia="宋体" w:cs="宋体"/>
                <w:i w:val="0"/>
                <w:iCs w:val="0"/>
                <w:color w:val="auto"/>
                <w:kern w:val="0"/>
                <w:sz w:val="24"/>
                <w:szCs w:val="24"/>
                <w:u w:val="none"/>
                <w:lang w:val="en-US" w:eastAsia="zh-CN" w:bidi="ar"/>
              </w:rPr>
              <w:t>专利权被宣告全部无效、专利权期满、专利权人声明放弃专利权或专利权因未缴年费终止，逾期12个月以上而标称或标注专利的。</w:t>
            </w:r>
          </w:p>
        </w:tc>
        <w:tc>
          <w:tcPr>
            <w:tcW w:w="3233" w:type="dxa"/>
            <w:tcBorders>
              <w:tl2br w:val="nil"/>
              <w:tr2bl w:val="nil"/>
            </w:tcBorders>
            <w:noWrap w:val="0"/>
            <w:vAlign w:val="center"/>
          </w:tcPr>
          <w:p w14:paraId="2710B928">
            <w:pPr>
              <w:keepNext w:val="0"/>
              <w:keepLines w:val="0"/>
              <w:pageBreakBefore w:val="0"/>
              <w:widowControl/>
              <w:kinsoku/>
              <w:wordWrap/>
              <w:overflowPunct/>
              <w:topLinePunct w:val="0"/>
              <w:autoSpaceDE/>
              <w:autoSpaceDN/>
              <w:bidi w:val="0"/>
              <w:spacing w:line="400" w:lineRule="exact"/>
              <w:jc w:val="left"/>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责令改正并予公告，没收违法所得，</w:t>
            </w:r>
            <w:r>
              <w:rPr>
                <w:rFonts w:hint="eastAsia" w:ascii="宋体" w:hAnsi="宋体" w:eastAsia="宋体" w:cs="宋体"/>
                <w:kern w:val="0"/>
                <w:sz w:val="24"/>
                <w:szCs w:val="24"/>
              </w:rPr>
              <w:t>可以处违法所得的</w:t>
            </w:r>
            <w:r>
              <w:rPr>
                <w:rFonts w:hint="eastAsia" w:ascii="宋体" w:hAnsi="宋体" w:cs="宋体"/>
                <w:kern w:val="0"/>
                <w:sz w:val="24"/>
                <w:szCs w:val="24"/>
                <w:lang w:val="en-US" w:eastAsia="zh-CN"/>
              </w:rPr>
              <w:t>3</w:t>
            </w: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rPr>
              <w:t>倍</w:t>
            </w:r>
            <w:r>
              <w:rPr>
                <w:rFonts w:hint="eastAsia" w:ascii="宋体" w:hAnsi="宋体" w:cs="宋体"/>
                <w:kern w:val="0"/>
                <w:sz w:val="24"/>
                <w:szCs w:val="24"/>
                <w:lang w:val="en-US" w:eastAsia="zh-CN"/>
              </w:rPr>
              <w:t>以上5倍</w:t>
            </w:r>
            <w:r>
              <w:rPr>
                <w:rFonts w:hint="eastAsia" w:ascii="宋体" w:hAnsi="宋体" w:eastAsia="宋体" w:cs="宋体"/>
                <w:kern w:val="0"/>
                <w:sz w:val="24"/>
                <w:szCs w:val="24"/>
              </w:rPr>
              <w:t>以下的罚款。</w:t>
            </w:r>
          </w:p>
        </w:tc>
      </w:tr>
      <w:tr w14:paraId="44F8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759" w:type="dxa"/>
            <w:vMerge w:val="restart"/>
            <w:tcBorders>
              <w:tl2br w:val="nil"/>
              <w:tr2bl w:val="nil"/>
            </w:tcBorders>
            <w:noWrap w:val="0"/>
            <w:vAlign w:val="center"/>
          </w:tcPr>
          <w:p w14:paraId="7CBD4C13">
            <w:pPr>
              <w:keepNext w:val="0"/>
              <w:keepLines w:val="0"/>
              <w:pageBreakBefore w:val="0"/>
              <w:widowControl/>
              <w:kinsoku/>
              <w:wordWrap/>
              <w:overflowPunct/>
              <w:topLinePunct w:val="0"/>
              <w:autoSpaceDE/>
              <w:autoSpaceDN/>
              <w:bidi w:val="0"/>
              <w:spacing w:line="400" w:lineRule="exact"/>
              <w:jc w:val="center"/>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3</w:t>
            </w:r>
            <w:r>
              <w:rPr>
                <w:rFonts w:hint="eastAsia" w:ascii="宋体" w:hAnsi="宋体" w:cs="宋体"/>
                <w:b w:val="0"/>
                <w:bCs w:val="0"/>
                <w:kern w:val="0"/>
                <w:sz w:val="24"/>
                <w:szCs w:val="24"/>
                <w:lang w:val="en-US" w:eastAsia="zh-CN"/>
              </w:rPr>
              <w:t>26</w:t>
            </w:r>
          </w:p>
        </w:tc>
        <w:tc>
          <w:tcPr>
            <w:tcW w:w="1779" w:type="dxa"/>
            <w:vMerge w:val="restart"/>
            <w:tcBorders>
              <w:tl2br w:val="nil"/>
              <w:tr2bl w:val="nil"/>
            </w:tcBorders>
            <w:noWrap w:val="0"/>
            <w:vAlign w:val="center"/>
          </w:tcPr>
          <w:p w14:paraId="76771B92">
            <w:pPr>
              <w:keepNext w:val="0"/>
              <w:keepLines w:val="0"/>
              <w:pageBreakBefore w:val="0"/>
              <w:widowControl/>
              <w:kinsoku/>
              <w:wordWrap/>
              <w:overflowPunct/>
              <w:topLinePunct w:val="0"/>
              <w:autoSpaceDE/>
              <w:autoSpaceDN/>
              <w:bidi w:val="0"/>
              <w:adjustRightInd/>
              <w:snapToGrid/>
              <w:spacing w:line="400" w:lineRule="exact"/>
              <w:ind w:left="42" w:leftChars="20"/>
              <w:textAlignment w:val="auto"/>
              <w:outlineLvl w:val="2"/>
              <w:rPr>
                <w:rFonts w:hint="eastAsia" w:ascii="宋体" w:hAnsi="宋体" w:eastAsia="宋体" w:cs="宋体"/>
                <w:b w:val="0"/>
                <w:bCs w:val="0"/>
                <w:kern w:val="0"/>
                <w:sz w:val="24"/>
                <w:szCs w:val="24"/>
                <w:lang w:val="en-US" w:eastAsia="zh-CN"/>
              </w:rPr>
            </w:pPr>
            <w:bookmarkStart w:id="381" w:name="_Toc18283"/>
            <w:bookmarkStart w:id="382" w:name="_Toc18830"/>
            <w:bookmarkStart w:id="383" w:name="_Toc13322"/>
            <w:bookmarkStart w:id="384" w:name="_Toc7955"/>
            <w:bookmarkStart w:id="385" w:name="_Toc6713"/>
            <w:r>
              <w:rPr>
                <w:rFonts w:hint="eastAsia" w:ascii="宋体" w:hAnsi="宋体" w:eastAsia="宋体" w:cs="宋体"/>
                <w:b w:val="0"/>
                <w:bCs w:val="0"/>
                <w:kern w:val="0"/>
                <w:sz w:val="24"/>
                <w:szCs w:val="24"/>
              </w:rPr>
              <w:t>《中华人民共和国商标法》</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lang w:val="en-US" w:eastAsia="zh-CN"/>
              </w:rPr>
              <w:t>2019年</w:t>
            </w:r>
            <w:r>
              <w:rPr>
                <w:rFonts w:hint="eastAsia" w:ascii="宋体" w:hAnsi="宋体" w:cs="宋体"/>
                <w:b w:val="0"/>
                <w:bCs w:val="0"/>
                <w:kern w:val="0"/>
                <w:sz w:val="24"/>
                <w:szCs w:val="24"/>
                <w:lang w:val="en-US" w:eastAsia="zh-CN"/>
              </w:rPr>
              <w:t>11</w:t>
            </w:r>
            <w:r>
              <w:rPr>
                <w:rFonts w:hint="eastAsia" w:ascii="宋体" w:hAnsi="宋体" w:eastAsia="宋体" w:cs="宋体"/>
                <w:b w:val="0"/>
                <w:bCs w:val="0"/>
                <w:kern w:val="0"/>
                <w:sz w:val="24"/>
                <w:szCs w:val="24"/>
                <w:lang w:val="en-US" w:eastAsia="zh-CN"/>
              </w:rPr>
              <w:t>月</w:t>
            </w:r>
            <w:r>
              <w:rPr>
                <w:rFonts w:hint="eastAsia" w:ascii="宋体" w:hAnsi="宋体" w:cs="宋体"/>
                <w:b w:val="0"/>
                <w:bCs w:val="0"/>
                <w:kern w:val="0"/>
                <w:sz w:val="24"/>
                <w:szCs w:val="24"/>
                <w:lang w:val="en-US" w:eastAsia="zh-CN"/>
              </w:rPr>
              <w:t>1</w:t>
            </w:r>
            <w:r>
              <w:rPr>
                <w:rFonts w:hint="eastAsia" w:ascii="宋体" w:hAnsi="宋体" w:eastAsia="宋体" w:cs="宋体"/>
                <w:b w:val="0"/>
                <w:bCs w:val="0"/>
                <w:kern w:val="0"/>
                <w:sz w:val="24"/>
                <w:szCs w:val="24"/>
                <w:lang w:val="en-US" w:eastAsia="zh-CN"/>
              </w:rPr>
              <w:t>日</w:t>
            </w:r>
            <w:r>
              <w:rPr>
                <w:rFonts w:hint="eastAsia" w:ascii="宋体" w:hAnsi="宋体" w:cs="宋体"/>
                <w:b w:val="0"/>
                <w:bCs w:val="0"/>
                <w:kern w:val="0"/>
                <w:sz w:val="24"/>
                <w:szCs w:val="24"/>
                <w:lang w:val="en-US" w:eastAsia="zh-CN"/>
              </w:rPr>
              <w:t>起施行</w:t>
            </w:r>
            <w:r>
              <w:rPr>
                <w:rFonts w:hint="eastAsia" w:ascii="宋体" w:hAnsi="宋体" w:eastAsia="宋体" w:cs="宋体"/>
                <w:b w:val="0"/>
                <w:bCs w:val="0"/>
                <w:kern w:val="0"/>
                <w:sz w:val="24"/>
                <w:szCs w:val="24"/>
                <w:lang w:eastAsia="zh-CN"/>
              </w:rPr>
              <w:t>）</w:t>
            </w:r>
            <w:bookmarkEnd w:id="381"/>
            <w:bookmarkEnd w:id="382"/>
            <w:bookmarkEnd w:id="383"/>
            <w:bookmarkEnd w:id="384"/>
            <w:bookmarkEnd w:id="385"/>
          </w:p>
        </w:tc>
        <w:tc>
          <w:tcPr>
            <w:tcW w:w="4098" w:type="dxa"/>
            <w:vMerge w:val="restart"/>
            <w:tcBorders>
              <w:tl2br w:val="nil"/>
              <w:tr2bl w:val="nil"/>
            </w:tcBorders>
            <w:noWrap w:val="0"/>
            <w:vAlign w:val="center"/>
          </w:tcPr>
          <w:p w14:paraId="1DE4B461">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r>
              <w:rPr>
                <w:rFonts w:hint="eastAsia" w:ascii="宋体" w:hAnsi="宋体" w:eastAsia="宋体" w:cs="宋体"/>
                <w:kern w:val="0"/>
                <w:sz w:val="24"/>
                <w:szCs w:val="24"/>
              </w:rPr>
              <w:t>第五十一条</w:t>
            </w:r>
            <w:r>
              <w:rPr>
                <w:rFonts w:hint="eastAsia" w:ascii="宋体" w:hAnsi="宋体" w:cs="宋体"/>
                <w:kern w:val="0"/>
                <w:sz w:val="24"/>
                <w:szCs w:val="24"/>
                <w:lang w:val="en-US" w:eastAsia="zh-CN"/>
              </w:rPr>
              <w:t xml:space="preserve"> </w:t>
            </w:r>
            <w:r>
              <w:rPr>
                <w:rFonts w:hint="eastAsia" w:ascii="宋体" w:hAnsi="宋体" w:eastAsia="宋体" w:cs="宋体"/>
                <w:kern w:val="0"/>
                <w:sz w:val="24"/>
                <w:szCs w:val="24"/>
              </w:rPr>
              <w:t>违反本法第六条规定的，由地方工商行政管理部门责令限期申请注册，违法经营额五万元以上的，可以处违法经营额百分之二十以下的罚款，没有违法经营额或者违法经营额不足五万元的，可以处一万元以下的罚款。</w:t>
            </w:r>
          </w:p>
        </w:tc>
        <w:tc>
          <w:tcPr>
            <w:tcW w:w="1169" w:type="dxa"/>
            <w:tcBorders>
              <w:tl2br w:val="nil"/>
              <w:tr2bl w:val="nil"/>
            </w:tcBorders>
            <w:noWrap w:val="0"/>
            <w:vAlign w:val="center"/>
          </w:tcPr>
          <w:p w14:paraId="66D46E0D">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较轻</w:t>
            </w:r>
          </w:p>
        </w:tc>
        <w:tc>
          <w:tcPr>
            <w:tcW w:w="3328" w:type="dxa"/>
            <w:tcBorders>
              <w:tl2br w:val="nil"/>
              <w:tr2bl w:val="nil"/>
            </w:tcBorders>
            <w:noWrap w:val="0"/>
            <w:vAlign w:val="center"/>
          </w:tcPr>
          <w:p w14:paraId="72E91E9D">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没有违法经营额或者违法经营额5万元以下的。</w:t>
            </w:r>
          </w:p>
        </w:tc>
        <w:tc>
          <w:tcPr>
            <w:tcW w:w="3233" w:type="dxa"/>
            <w:tcBorders>
              <w:tl2br w:val="nil"/>
              <w:tr2bl w:val="nil"/>
            </w:tcBorders>
            <w:noWrap w:val="0"/>
            <w:vAlign w:val="center"/>
          </w:tcPr>
          <w:p w14:paraId="6F811663">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责令限期申请注册，可以处1万元以下罚款。</w:t>
            </w:r>
          </w:p>
        </w:tc>
      </w:tr>
      <w:tr w14:paraId="10F7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759" w:type="dxa"/>
            <w:vMerge w:val="continue"/>
            <w:tcBorders>
              <w:tl2br w:val="nil"/>
              <w:tr2bl w:val="nil"/>
            </w:tcBorders>
            <w:noWrap w:val="0"/>
            <w:vAlign w:val="center"/>
          </w:tcPr>
          <w:p w14:paraId="5AF561A4">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b w:val="0"/>
                <w:bCs w:val="0"/>
                <w:kern w:val="0"/>
                <w:sz w:val="24"/>
                <w:szCs w:val="24"/>
              </w:rPr>
            </w:pPr>
          </w:p>
        </w:tc>
        <w:tc>
          <w:tcPr>
            <w:tcW w:w="1779" w:type="dxa"/>
            <w:vMerge w:val="continue"/>
            <w:tcBorders>
              <w:tl2br w:val="nil"/>
              <w:tr2bl w:val="nil"/>
            </w:tcBorders>
            <w:noWrap w:val="0"/>
            <w:vAlign w:val="center"/>
          </w:tcPr>
          <w:p w14:paraId="1730190E">
            <w:pPr>
              <w:keepNext w:val="0"/>
              <w:keepLines w:val="0"/>
              <w:pageBreakBefore w:val="0"/>
              <w:widowControl/>
              <w:kinsoku/>
              <w:wordWrap/>
              <w:overflowPunct/>
              <w:topLinePunct w:val="0"/>
              <w:autoSpaceDE/>
              <w:autoSpaceDN/>
              <w:bidi w:val="0"/>
              <w:spacing w:line="400" w:lineRule="exact"/>
              <w:ind w:left="42" w:leftChars="20"/>
              <w:jc w:val="left"/>
              <w:rPr>
                <w:rFonts w:hint="eastAsia" w:ascii="宋体" w:hAnsi="宋体" w:eastAsia="宋体" w:cs="宋体"/>
                <w:b w:val="0"/>
                <w:bCs w:val="0"/>
                <w:kern w:val="0"/>
                <w:sz w:val="24"/>
                <w:szCs w:val="24"/>
              </w:rPr>
            </w:pPr>
          </w:p>
        </w:tc>
        <w:tc>
          <w:tcPr>
            <w:tcW w:w="4098" w:type="dxa"/>
            <w:vMerge w:val="continue"/>
            <w:tcBorders>
              <w:tl2br w:val="nil"/>
              <w:tr2bl w:val="nil"/>
            </w:tcBorders>
            <w:noWrap w:val="0"/>
            <w:vAlign w:val="center"/>
          </w:tcPr>
          <w:p w14:paraId="029E73C2">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p>
        </w:tc>
        <w:tc>
          <w:tcPr>
            <w:tcW w:w="1169" w:type="dxa"/>
            <w:tcBorders>
              <w:tl2br w:val="nil"/>
              <w:tr2bl w:val="nil"/>
            </w:tcBorders>
            <w:noWrap w:val="0"/>
            <w:vAlign w:val="center"/>
          </w:tcPr>
          <w:p w14:paraId="6AACE9FD">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一般</w:t>
            </w:r>
          </w:p>
        </w:tc>
        <w:tc>
          <w:tcPr>
            <w:tcW w:w="3328" w:type="dxa"/>
            <w:tcBorders>
              <w:tl2br w:val="nil"/>
              <w:tr2bl w:val="nil"/>
            </w:tcBorders>
            <w:noWrap w:val="0"/>
            <w:vAlign w:val="center"/>
          </w:tcPr>
          <w:p w14:paraId="7F0751A1">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违法经营额5万元以上20万元以下的。</w:t>
            </w:r>
          </w:p>
        </w:tc>
        <w:tc>
          <w:tcPr>
            <w:tcW w:w="3233" w:type="dxa"/>
            <w:tcBorders>
              <w:tl2br w:val="nil"/>
              <w:tr2bl w:val="nil"/>
            </w:tcBorders>
            <w:noWrap w:val="0"/>
            <w:vAlign w:val="center"/>
          </w:tcPr>
          <w:p w14:paraId="09FF16AF">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责令限期申请注册，可以处违法经营额10%以下罚款。</w:t>
            </w:r>
          </w:p>
        </w:tc>
      </w:tr>
      <w:tr w14:paraId="5546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trPr>
        <w:tc>
          <w:tcPr>
            <w:tcW w:w="759" w:type="dxa"/>
            <w:vMerge w:val="continue"/>
            <w:tcBorders>
              <w:tl2br w:val="nil"/>
              <w:tr2bl w:val="nil"/>
            </w:tcBorders>
            <w:noWrap w:val="0"/>
            <w:vAlign w:val="center"/>
          </w:tcPr>
          <w:p w14:paraId="7C72625A">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b w:val="0"/>
                <w:bCs w:val="0"/>
                <w:kern w:val="0"/>
                <w:sz w:val="24"/>
                <w:szCs w:val="24"/>
              </w:rPr>
            </w:pPr>
          </w:p>
        </w:tc>
        <w:tc>
          <w:tcPr>
            <w:tcW w:w="1779" w:type="dxa"/>
            <w:vMerge w:val="continue"/>
            <w:tcBorders>
              <w:tl2br w:val="nil"/>
              <w:tr2bl w:val="nil"/>
            </w:tcBorders>
            <w:noWrap w:val="0"/>
            <w:vAlign w:val="center"/>
          </w:tcPr>
          <w:p w14:paraId="42C18094">
            <w:pPr>
              <w:keepNext w:val="0"/>
              <w:keepLines w:val="0"/>
              <w:pageBreakBefore w:val="0"/>
              <w:widowControl/>
              <w:kinsoku/>
              <w:wordWrap/>
              <w:overflowPunct/>
              <w:topLinePunct w:val="0"/>
              <w:autoSpaceDE/>
              <w:autoSpaceDN/>
              <w:bidi w:val="0"/>
              <w:spacing w:line="400" w:lineRule="exact"/>
              <w:ind w:left="42" w:leftChars="20"/>
              <w:jc w:val="left"/>
              <w:rPr>
                <w:rFonts w:hint="eastAsia" w:ascii="宋体" w:hAnsi="宋体" w:eastAsia="宋体" w:cs="宋体"/>
                <w:b w:val="0"/>
                <w:bCs w:val="0"/>
                <w:kern w:val="0"/>
                <w:sz w:val="24"/>
                <w:szCs w:val="24"/>
              </w:rPr>
            </w:pPr>
          </w:p>
        </w:tc>
        <w:tc>
          <w:tcPr>
            <w:tcW w:w="4098" w:type="dxa"/>
            <w:vMerge w:val="continue"/>
            <w:tcBorders>
              <w:tl2br w:val="nil"/>
              <w:tr2bl w:val="nil"/>
            </w:tcBorders>
            <w:noWrap w:val="0"/>
            <w:vAlign w:val="center"/>
          </w:tcPr>
          <w:p w14:paraId="73AE3AB3">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p>
        </w:tc>
        <w:tc>
          <w:tcPr>
            <w:tcW w:w="1169" w:type="dxa"/>
            <w:tcBorders>
              <w:tl2br w:val="nil"/>
              <w:tr2bl w:val="nil"/>
            </w:tcBorders>
            <w:noWrap w:val="0"/>
            <w:vAlign w:val="center"/>
          </w:tcPr>
          <w:p w14:paraId="31264D24">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较重</w:t>
            </w:r>
          </w:p>
        </w:tc>
        <w:tc>
          <w:tcPr>
            <w:tcW w:w="3328" w:type="dxa"/>
            <w:tcBorders>
              <w:tl2br w:val="nil"/>
              <w:tr2bl w:val="nil"/>
            </w:tcBorders>
            <w:noWrap w:val="0"/>
            <w:vAlign w:val="center"/>
          </w:tcPr>
          <w:p w14:paraId="338845DF">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违法经营额20万元以上50万元以下的。</w:t>
            </w:r>
          </w:p>
        </w:tc>
        <w:tc>
          <w:tcPr>
            <w:tcW w:w="3233" w:type="dxa"/>
            <w:tcBorders>
              <w:tl2br w:val="nil"/>
              <w:tr2bl w:val="nil"/>
            </w:tcBorders>
            <w:noWrap w:val="0"/>
            <w:vAlign w:val="center"/>
          </w:tcPr>
          <w:p w14:paraId="214E9E24">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责令限期申请注册，可以处违法经营额10%以上15%以下罚款。</w:t>
            </w:r>
          </w:p>
        </w:tc>
      </w:tr>
      <w:tr w14:paraId="736A9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759" w:type="dxa"/>
            <w:vMerge w:val="continue"/>
            <w:tcBorders>
              <w:tl2br w:val="nil"/>
              <w:tr2bl w:val="nil"/>
            </w:tcBorders>
            <w:noWrap w:val="0"/>
            <w:vAlign w:val="center"/>
          </w:tcPr>
          <w:p w14:paraId="273198AC">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b w:val="0"/>
                <w:bCs w:val="0"/>
                <w:kern w:val="0"/>
                <w:sz w:val="24"/>
                <w:szCs w:val="24"/>
              </w:rPr>
            </w:pPr>
          </w:p>
        </w:tc>
        <w:tc>
          <w:tcPr>
            <w:tcW w:w="1779" w:type="dxa"/>
            <w:vMerge w:val="continue"/>
            <w:tcBorders>
              <w:tl2br w:val="nil"/>
              <w:tr2bl w:val="nil"/>
            </w:tcBorders>
            <w:noWrap w:val="0"/>
            <w:vAlign w:val="center"/>
          </w:tcPr>
          <w:p w14:paraId="31AEA56A">
            <w:pPr>
              <w:keepNext w:val="0"/>
              <w:keepLines w:val="0"/>
              <w:pageBreakBefore w:val="0"/>
              <w:widowControl/>
              <w:kinsoku/>
              <w:wordWrap/>
              <w:overflowPunct/>
              <w:topLinePunct w:val="0"/>
              <w:autoSpaceDE/>
              <w:autoSpaceDN/>
              <w:bidi w:val="0"/>
              <w:spacing w:line="400" w:lineRule="exact"/>
              <w:ind w:left="42" w:leftChars="20"/>
              <w:jc w:val="left"/>
              <w:rPr>
                <w:rFonts w:hint="eastAsia" w:ascii="宋体" w:hAnsi="宋体" w:eastAsia="宋体" w:cs="宋体"/>
                <w:b w:val="0"/>
                <w:bCs w:val="0"/>
                <w:kern w:val="0"/>
                <w:sz w:val="24"/>
                <w:szCs w:val="24"/>
              </w:rPr>
            </w:pPr>
          </w:p>
        </w:tc>
        <w:tc>
          <w:tcPr>
            <w:tcW w:w="4098" w:type="dxa"/>
            <w:vMerge w:val="continue"/>
            <w:tcBorders>
              <w:tl2br w:val="nil"/>
              <w:tr2bl w:val="nil"/>
            </w:tcBorders>
            <w:noWrap w:val="0"/>
            <w:vAlign w:val="center"/>
          </w:tcPr>
          <w:p w14:paraId="77205F36">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p>
        </w:tc>
        <w:tc>
          <w:tcPr>
            <w:tcW w:w="1169" w:type="dxa"/>
            <w:tcBorders>
              <w:tl2br w:val="nil"/>
              <w:tr2bl w:val="nil"/>
            </w:tcBorders>
            <w:noWrap w:val="0"/>
            <w:vAlign w:val="center"/>
          </w:tcPr>
          <w:p w14:paraId="5458A114">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严重</w:t>
            </w:r>
          </w:p>
        </w:tc>
        <w:tc>
          <w:tcPr>
            <w:tcW w:w="3328" w:type="dxa"/>
            <w:tcBorders>
              <w:tl2br w:val="nil"/>
              <w:tr2bl w:val="nil"/>
            </w:tcBorders>
            <w:noWrap w:val="0"/>
            <w:vAlign w:val="center"/>
          </w:tcPr>
          <w:p w14:paraId="6FD5D0C5">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违法经营额50万元以上的。</w:t>
            </w:r>
          </w:p>
        </w:tc>
        <w:tc>
          <w:tcPr>
            <w:tcW w:w="3233" w:type="dxa"/>
            <w:tcBorders>
              <w:tl2br w:val="nil"/>
              <w:tr2bl w:val="nil"/>
            </w:tcBorders>
            <w:noWrap w:val="0"/>
            <w:vAlign w:val="center"/>
          </w:tcPr>
          <w:p w14:paraId="6C1FC28B">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责令限期申请注册，可以处违法经营额15%以上20%以下罚款</w:t>
            </w:r>
          </w:p>
        </w:tc>
      </w:tr>
      <w:tr w14:paraId="0BE0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exact"/>
        </w:trPr>
        <w:tc>
          <w:tcPr>
            <w:tcW w:w="759" w:type="dxa"/>
            <w:vMerge w:val="restart"/>
            <w:tcBorders>
              <w:tl2br w:val="nil"/>
              <w:tr2bl w:val="nil"/>
            </w:tcBorders>
            <w:noWrap w:val="0"/>
            <w:vAlign w:val="center"/>
          </w:tcPr>
          <w:p w14:paraId="35A48769">
            <w:pPr>
              <w:keepNext w:val="0"/>
              <w:keepLines w:val="0"/>
              <w:pageBreakBefore w:val="0"/>
              <w:widowControl/>
              <w:kinsoku/>
              <w:wordWrap/>
              <w:overflowPunct/>
              <w:topLinePunct w:val="0"/>
              <w:autoSpaceDE/>
              <w:autoSpaceDN/>
              <w:bidi w:val="0"/>
              <w:spacing w:line="400" w:lineRule="exact"/>
              <w:jc w:val="center"/>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3</w:t>
            </w:r>
            <w:r>
              <w:rPr>
                <w:rFonts w:hint="eastAsia" w:ascii="宋体" w:hAnsi="宋体" w:cs="宋体"/>
                <w:b w:val="0"/>
                <w:bCs w:val="0"/>
                <w:kern w:val="0"/>
                <w:sz w:val="24"/>
                <w:szCs w:val="24"/>
                <w:lang w:val="en-US" w:eastAsia="zh-CN"/>
              </w:rPr>
              <w:t>27</w:t>
            </w:r>
          </w:p>
        </w:tc>
        <w:tc>
          <w:tcPr>
            <w:tcW w:w="1779" w:type="dxa"/>
            <w:vMerge w:val="restart"/>
            <w:tcBorders>
              <w:tl2br w:val="nil"/>
              <w:tr2bl w:val="nil"/>
            </w:tcBorders>
            <w:noWrap w:val="0"/>
            <w:vAlign w:val="center"/>
          </w:tcPr>
          <w:p w14:paraId="3A93C20D">
            <w:pPr>
              <w:keepNext w:val="0"/>
              <w:keepLines w:val="0"/>
              <w:pageBreakBefore w:val="0"/>
              <w:widowControl/>
              <w:kinsoku/>
              <w:wordWrap/>
              <w:overflowPunct/>
              <w:topLinePunct w:val="0"/>
              <w:autoSpaceDE/>
              <w:autoSpaceDN/>
              <w:bidi w:val="0"/>
              <w:spacing w:line="400" w:lineRule="exact"/>
              <w:ind w:left="42" w:leftChars="20"/>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《中华人民共和国商标法》</w:t>
            </w:r>
          </w:p>
        </w:tc>
        <w:tc>
          <w:tcPr>
            <w:tcW w:w="4098" w:type="dxa"/>
            <w:vMerge w:val="restart"/>
            <w:tcBorders>
              <w:tl2br w:val="nil"/>
              <w:tr2bl w:val="nil"/>
            </w:tcBorders>
            <w:noWrap w:val="0"/>
            <w:vAlign w:val="center"/>
          </w:tcPr>
          <w:p w14:paraId="7E9CDFF8">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r>
              <w:rPr>
                <w:rFonts w:hint="eastAsia" w:ascii="宋体" w:hAnsi="宋体" w:eastAsia="宋体" w:cs="宋体"/>
                <w:kern w:val="0"/>
                <w:sz w:val="24"/>
                <w:szCs w:val="24"/>
              </w:rPr>
              <w:t>第五十二条</w:t>
            </w:r>
            <w:r>
              <w:rPr>
                <w:rFonts w:hint="eastAsia" w:ascii="宋体" w:hAnsi="宋体" w:cs="宋体"/>
                <w:kern w:val="0"/>
                <w:sz w:val="24"/>
                <w:szCs w:val="24"/>
                <w:lang w:val="en-US" w:eastAsia="zh-CN"/>
              </w:rPr>
              <w:t xml:space="preserve"> </w:t>
            </w:r>
            <w:r>
              <w:rPr>
                <w:rFonts w:hint="eastAsia" w:ascii="宋体" w:hAnsi="宋体" w:eastAsia="宋体" w:cs="宋体"/>
                <w:kern w:val="0"/>
                <w:sz w:val="24"/>
                <w:szCs w:val="24"/>
              </w:rPr>
              <w:t>将未注册商标冒充注册商标使用的，或者使用未注册商标违反本法第十条规定的，由地方工商行政管理部门予以制止，限期改正，并可以予以通报，违法经营额五万元以上的，可以处违法经营额百分之二十以下的罚款，没有违法经营额或者违法经营额不足五万元的，可以处一万元以下的罚款。</w:t>
            </w:r>
          </w:p>
        </w:tc>
        <w:tc>
          <w:tcPr>
            <w:tcW w:w="1169" w:type="dxa"/>
            <w:tcBorders>
              <w:tl2br w:val="nil"/>
              <w:tr2bl w:val="nil"/>
            </w:tcBorders>
            <w:noWrap w:val="0"/>
            <w:vAlign w:val="center"/>
          </w:tcPr>
          <w:p w14:paraId="281A5620">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较轻</w:t>
            </w:r>
          </w:p>
        </w:tc>
        <w:tc>
          <w:tcPr>
            <w:tcW w:w="3328" w:type="dxa"/>
            <w:tcBorders>
              <w:tl2br w:val="nil"/>
              <w:tr2bl w:val="nil"/>
            </w:tcBorders>
            <w:noWrap w:val="0"/>
            <w:vAlign w:val="center"/>
          </w:tcPr>
          <w:p w14:paraId="5FBD70F5">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没有违法经营额或者违法经营额5万元以下的。</w:t>
            </w:r>
          </w:p>
        </w:tc>
        <w:tc>
          <w:tcPr>
            <w:tcW w:w="3233" w:type="dxa"/>
            <w:tcBorders>
              <w:tl2br w:val="nil"/>
              <w:tr2bl w:val="nil"/>
            </w:tcBorders>
            <w:noWrap w:val="0"/>
            <w:vAlign w:val="center"/>
          </w:tcPr>
          <w:p w14:paraId="21D62025">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可以予以通报，可以处1万元以下罚款。</w:t>
            </w:r>
          </w:p>
        </w:tc>
      </w:tr>
      <w:tr w14:paraId="57542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exact"/>
        </w:trPr>
        <w:tc>
          <w:tcPr>
            <w:tcW w:w="759" w:type="dxa"/>
            <w:vMerge w:val="continue"/>
            <w:tcBorders>
              <w:tl2br w:val="nil"/>
              <w:tr2bl w:val="nil"/>
            </w:tcBorders>
            <w:noWrap w:val="0"/>
            <w:vAlign w:val="center"/>
          </w:tcPr>
          <w:p w14:paraId="0E17DD9F">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b/>
                <w:bCs/>
                <w:kern w:val="0"/>
                <w:sz w:val="24"/>
                <w:szCs w:val="24"/>
              </w:rPr>
            </w:pPr>
          </w:p>
        </w:tc>
        <w:tc>
          <w:tcPr>
            <w:tcW w:w="1779" w:type="dxa"/>
            <w:vMerge w:val="continue"/>
            <w:tcBorders>
              <w:tl2br w:val="nil"/>
              <w:tr2bl w:val="nil"/>
            </w:tcBorders>
            <w:noWrap w:val="0"/>
            <w:vAlign w:val="center"/>
          </w:tcPr>
          <w:p w14:paraId="64CA461C">
            <w:pPr>
              <w:keepNext w:val="0"/>
              <w:keepLines w:val="0"/>
              <w:pageBreakBefore w:val="0"/>
              <w:widowControl/>
              <w:kinsoku/>
              <w:wordWrap/>
              <w:overflowPunct/>
              <w:topLinePunct w:val="0"/>
              <w:autoSpaceDE/>
              <w:autoSpaceDN/>
              <w:bidi w:val="0"/>
              <w:spacing w:line="400" w:lineRule="exact"/>
              <w:ind w:left="42" w:leftChars="20"/>
              <w:jc w:val="left"/>
              <w:rPr>
                <w:rFonts w:hint="eastAsia" w:ascii="宋体" w:hAnsi="宋体" w:eastAsia="宋体" w:cs="宋体"/>
                <w:b/>
                <w:bCs/>
                <w:kern w:val="0"/>
                <w:sz w:val="24"/>
                <w:szCs w:val="24"/>
              </w:rPr>
            </w:pPr>
          </w:p>
        </w:tc>
        <w:tc>
          <w:tcPr>
            <w:tcW w:w="4098" w:type="dxa"/>
            <w:vMerge w:val="continue"/>
            <w:tcBorders>
              <w:tl2br w:val="nil"/>
              <w:tr2bl w:val="nil"/>
            </w:tcBorders>
            <w:noWrap w:val="0"/>
            <w:vAlign w:val="center"/>
          </w:tcPr>
          <w:p w14:paraId="5D8FFB7B">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p>
        </w:tc>
        <w:tc>
          <w:tcPr>
            <w:tcW w:w="1169" w:type="dxa"/>
            <w:tcBorders>
              <w:tl2br w:val="nil"/>
              <w:tr2bl w:val="nil"/>
            </w:tcBorders>
            <w:noWrap w:val="0"/>
            <w:vAlign w:val="center"/>
          </w:tcPr>
          <w:p w14:paraId="3CFDB10E">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一般</w:t>
            </w:r>
          </w:p>
        </w:tc>
        <w:tc>
          <w:tcPr>
            <w:tcW w:w="3328" w:type="dxa"/>
            <w:tcBorders>
              <w:tl2br w:val="nil"/>
              <w:tr2bl w:val="nil"/>
            </w:tcBorders>
            <w:noWrap w:val="0"/>
            <w:vAlign w:val="center"/>
          </w:tcPr>
          <w:p w14:paraId="0AB230D3">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违法经营额5万元以上10万元以下的。</w:t>
            </w:r>
          </w:p>
        </w:tc>
        <w:tc>
          <w:tcPr>
            <w:tcW w:w="3233" w:type="dxa"/>
            <w:tcBorders>
              <w:tl2br w:val="nil"/>
              <w:tr2bl w:val="nil"/>
            </w:tcBorders>
            <w:noWrap w:val="0"/>
            <w:vAlign w:val="center"/>
          </w:tcPr>
          <w:p w14:paraId="133ADAE2">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可以予以通报，可以处违法经营额10%以下罚款。</w:t>
            </w:r>
          </w:p>
        </w:tc>
      </w:tr>
      <w:tr w14:paraId="48B1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exact"/>
        </w:trPr>
        <w:tc>
          <w:tcPr>
            <w:tcW w:w="759" w:type="dxa"/>
            <w:vMerge w:val="continue"/>
            <w:tcBorders>
              <w:tl2br w:val="nil"/>
              <w:tr2bl w:val="nil"/>
            </w:tcBorders>
            <w:noWrap w:val="0"/>
            <w:vAlign w:val="center"/>
          </w:tcPr>
          <w:p w14:paraId="0B63F7C3">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b/>
                <w:bCs/>
                <w:kern w:val="0"/>
                <w:sz w:val="24"/>
                <w:szCs w:val="24"/>
              </w:rPr>
            </w:pPr>
          </w:p>
        </w:tc>
        <w:tc>
          <w:tcPr>
            <w:tcW w:w="1779" w:type="dxa"/>
            <w:vMerge w:val="continue"/>
            <w:tcBorders>
              <w:tl2br w:val="nil"/>
              <w:tr2bl w:val="nil"/>
            </w:tcBorders>
            <w:noWrap w:val="0"/>
            <w:vAlign w:val="center"/>
          </w:tcPr>
          <w:p w14:paraId="0723872F">
            <w:pPr>
              <w:keepNext w:val="0"/>
              <w:keepLines w:val="0"/>
              <w:pageBreakBefore w:val="0"/>
              <w:widowControl/>
              <w:kinsoku/>
              <w:wordWrap/>
              <w:overflowPunct/>
              <w:topLinePunct w:val="0"/>
              <w:autoSpaceDE/>
              <w:autoSpaceDN/>
              <w:bidi w:val="0"/>
              <w:spacing w:line="400" w:lineRule="exact"/>
              <w:ind w:left="42" w:leftChars="20"/>
              <w:jc w:val="left"/>
              <w:rPr>
                <w:rFonts w:hint="eastAsia" w:ascii="宋体" w:hAnsi="宋体" w:eastAsia="宋体" w:cs="宋体"/>
                <w:b/>
                <w:bCs/>
                <w:kern w:val="0"/>
                <w:sz w:val="24"/>
                <w:szCs w:val="24"/>
              </w:rPr>
            </w:pPr>
          </w:p>
        </w:tc>
        <w:tc>
          <w:tcPr>
            <w:tcW w:w="4098" w:type="dxa"/>
            <w:vMerge w:val="continue"/>
            <w:tcBorders>
              <w:tl2br w:val="nil"/>
              <w:tr2bl w:val="nil"/>
            </w:tcBorders>
            <w:noWrap w:val="0"/>
            <w:vAlign w:val="center"/>
          </w:tcPr>
          <w:p w14:paraId="145C52C6">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p>
        </w:tc>
        <w:tc>
          <w:tcPr>
            <w:tcW w:w="1169" w:type="dxa"/>
            <w:tcBorders>
              <w:tl2br w:val="nil"/>
              <w:tr2bl w:val="nil"/>
            </w:tcBorders>
            <w:noWrap w:val="0"/>
            <w:vAlign w:val="center"/>
          </w:tcPr>
          <w:p w14:paraId="7E2C6E72">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较重</w:t>
            </w:r>
          </w:p>
        </w:tc>
        <w:tc>
          <w:tcPr>
            <w:tcW w:w="3328" w:type="dxa"/>
            <w:tcBorders>
              <w:tl2br w:val="nil"/>
              <w:tr2bl w:val="nil"/>
            </w:tcBorders>
            <w:noWrap w:val="0"/>
            <w:vAlign w:val="center"/>
          </w:tcPr>
          <w:p w14:paraId="41F2F27E">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违法经营额10万元以上15万元以下的。</w:t>
            </w:r>
          </w:p>
        </w:tc>
        <w:tc>
          <w:tcPr>
            <w:tcW w:w="3233" w:type="dxa"/>
            <w:tcBorders>
              <w:tl2br w:val="nil"/>
              <w:tr2bl w:val="nil"/>
            </w:tcBorders>
            <w:noWrap w:val="0"/>
            <w:vAlign w:val="center"/>
          </w:tcPr>
          <w:p w14:paraId="06507DAA">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可以予以通报，可以处违法经营额10%以上15%以下罚款。</w:t>
            </w:r>
          </w:p>
        </w:tc>
      </w:tr>
      <w:tr w14:paraId="740E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exact"/>
        </w:trPr>
        <w:tc>
          <w:tcPr>
            <w:tcW w:w="759" w:type="dxa"/>
            <w:vMerge w:val="continue"/>
            <w:tcBorders>
              <w:tl2br w:val="nil"/>
              <w:tr2bl w:val="nil"/>
            </w:tcBorders>
            <w:noWrap w:val="0"/>
            <w:vAlign w:val="center"/>
          </w:tcPr>
          <w:p w14:paraId="6C369CE5">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b/>
                <w:bCs/>
                <w:kern w:val="0"/>
                <w:sz w:val="24"/>
                <w:szCs w:val="24"/>
              </w:rPr>
            </w:pPr>
          </w:p>
        </w:tc>
        <w:tc>
          <w:tcPr>
            <w:tcW w:w="1779" w:type="dxa"/>
            <w:vMerge w:val="continue"/>
            <w:tcBorders>
              <w:tl2br w:val="nil"/>
              <w:tr2bl w:val="nil"/>
            </w:tcBorders>
            <w:noWrap w:val="0"/>
            <w:vAlign w:val="center"/>
          </w:tcPr>
          <w:p w14:paraId="3BA61EBC">
            <w:pPr>
              <w:keepNext w:val="0"/>
              <w:keepLines w:val="0"/>
              <w:pageBreakBefore w:val="0"/>
              <w:widowControl/>
              <w:kinsoku/>
              <w:wordWrap/>
              <w:overflowPunct/>
              <w:topLinePunct w:val="0"/>
              <w:autoSpaceDE/>
              <w:autoSpaceDN/>
              <w:bidi w:val="0"/>
              <w:spacing w:line="400" w:lineRule="exact"/>
              <w:ind w:left="42" w:leftChars="20"/>
              <w:jc w:val="left"/>
              <w:rPr>
                <w:rFonts w:hint="eastAsia" w:ascii="宋体" w:hAnsi="宋体" w:eastAsia="宋体" w:cs="宋体"/>
                <w:b/>
                <w:bCs/>
                <w:kern w:val="0"/>
                <w:sz w:val="24"/>
                <w:szCs w:val="24"/>
              </w:rPr>
            </w:pPr>
          </w:p>
        </w:tc>
        <w:tc>
          <w:tcPr>
            <w:tcW w:w="4098" w:type="dxa"/>
            <w:vMerge w:val="continue"/>
            <w:tcBorders>
              <w:tl2br w:val="nil"/>
              <w:tr2bl w:val="nil"/>
            </w:tcBorders>
            <w:noWrap w:val="0"/>
            <w:vAlign w:val="center"/>
          </w:tcPr>
          <w:p w14:paraId="4558A1CC">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p>
        </w:tc>
        <w:tc>
          <w:tcPr>
            <w:tcW w:w="1169" w:type="dxa"/>
            <w:tcBorders>
              <w:tl2br w:val="nil"/>
              <w:tr2bl w:val="nil"/>
            </w:tcBorders>
            <w:noWrap w:val="0"/>
            <w:vAlign w:val="center"/>
          </w:tcPr>
          <w:p w14:paraId="07E77F35">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严重</w:t>
            </w:r>
          </w:p>
        </w:tc>
        <w:tc>
          <w:tcPr>
            <w:tcW w:w="3328" w:type="dxa"/>
            <w:tcBorders>
              <w:tl2br w:val="nil"/>
              <w:tr2bl w:val="nil"/>
            </w:tcBorders>
            <w:noWrap w:val="0"/>
            <w:vAlign w:val="center"/>
          </w:tcPr>
          <w:p w14:paraId="71D55779">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违法经营额15万元以上的。</w:t>
            </w:r>
          </w:p>
        </w:tc>
        <w:tc>
          <w:tcPr>
            <w:tcW w:w="3233" w:type="dxa"/>
            <w:tcBorders>
              <w:tl2br w:val="nil"/>
              <w:tr2bl w:val="nil"/>
            </w:tcBorders>
            <w:noWrap w:val="0"/>
            <w:vAlign w:val="center"/>
          </w:tcPr>
          <w:p w14:paraId="0D525042">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可以予以通报，可以处违法经营额15%以上20%以下罚款。</w:t>
            </w:r>
          </w:p>
        </w:tc>
      </w:tr>
      <w:tr w14:paraId="7F4F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0" w:hRule="atLeast"/>
        </w:trPr>
        <w:tc>
          <w:tcPr>
            <w:tcW w:w="759" w:type="dxa"/>
            <w:vMerge w:val="restart"/>
            <w:tcBorders>
              <w:tl2br w:val="nil"/>
              <w:tr2bl w:val="nil"/>
            </w:tcBorders>
            <w:noWrap w:val="0"/>
            <w:vAlign w:val="center"/>
          </w:tcPr>
          <w:p w14:paraId="57CDEE00">
            <w:pPr>
              <w:keepNext w:val="0"/>
              <w:keepLines w:val="0"/>
              <w:pageBreakBefore w:val="0"/>
              <w:widowControl/>
              <w:kinsoku/>
              <w:wordWrap/>
              <w:overflowPunct/>
              <w:topLinePunct w:val="0"/>
              <w:autoSpaceDE/>
              <w:autoSpaceDN/>
              <w:bidi w:val="0"/>
              <w:spacing w:line="400" w:lineRule="exact"/>
              <w:jc w:val="center"/>
              <w:rPr>
                <w:rFonts w:hint="default"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eastAsia="zh-CN"/>
              </w:rPr>
              <w:t>3</w:t>
            </w:r>
            <w:r>
              <w:rPr>
                <w:rFonts w:hint="eastAsia" w:ascii="宋体" w:hAnsi="宋体" w:cs="宋体"/>
                <w:b w:val="0"/>
                <w:bCs w:val="0"/>
                <w:kern w:val="0"/>
                <w:sz w:val="24"/>
                <w:szCs w:val="24"/>
                <w:lang w:val="en-US" w:eastAsia="zh-CN"/>
              </w:rPr>
              <w:t>28</w:t>
            </w:r>
          </w:p>
        </w:tc>
        <w:tc>
          <w:tcPr>
            <w:tcW w:w="1779" w:type="dxa"/>
            <w:vMerge w:val="restart"/>
            <w:tcBorders>
              <w:tl2br w:val="nil"/>
              <w:tr2bl w:val="nil"/>
            </w:tcBorders>
            <w:noWrap w:val="0"/>
            <w:vAlign w:val="center"/>
          </w:tcPr>
          <w:p w14:paraId="08197EC6">
            <w:pPr>
              <w:keepNext w:val="0"/>
              <w:keepLines w:val="0"/>
              <w:pageBreakBefore w:val="0"/>
              <w:widowControl/>
              <w:kinsoku/>
              <w:wordWrap/>
              <w:overflowPunct/>
              <w:topLinePunct w:val="0"/>
              <w:autoSpaceDE/>
              <w:autoSpaceDN/>
              <w:bidi w:val="0"/>
              <w:spacing w:line="400" w:lineRule="exact"/>
              <w:ind w:left="42" w:leftChars="20"/>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《中华人民共和国商标法》</w:t>
            </w:r>
          </w:p>
        </w:tc>
        <w:tc>
          <w:tcPr>
            <w:tcW w:w="4098" w:type="dxa"/>
            <w:vMerge w:val="restart"/>
            <w:tcBorders>
              <w:tl2br w:val="nil"/>
              <w:tr2bl w:val="nil"/>
            </w:tcBorders>
            <w:noWrap w:val="0"/>
            <w:vAlign w:val="center"/>
          </w:tcPr>
          <w:p w14:paraId="4C640739">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r>
              <w:rPr>
                <w:rFonts w:hint="eastAsia" w:ascii="宋体" w:hAnsi="宋体" w:eastAsia="宋体" w:cs="宋体"/>
                <w:kern w:val="0"/>
                <w:sz w:val="24"/>
                <w:szCs w:val="24"/>
              </w:rPr>
              <w:t>第六十条第二款</w:t>
            </w:r>
            <w:r>
              <w:rPr>
                <w:rFonts w:hint="eastAsia" w:ascii="宋体" w:hAnsi="宋体" w:cs="宋体"/>
                <w:kern w:val="0"/>
                <w:sz w:val="24"/>
                <w:szCs w:val="24"/>
                <w:lang w:val="en-US" w:eastAsia="zh-CN"/>
              </w:rPr>
              <w:t xml:space="preserve"> </w:t>
            </w:r>
            <w:r>
              <w:rPr>
                <w:rFonts w:hint="eastAsia" w:ascii="宋体" w:hAnsi="宋体" w:eastAsia="宋体" w:cs="宋体"/>
                <w:kern w:val="0"/>
                <w:sz w:val="24"/>
                <w:szCs w:val="24"/>
              </w:rPr>
              <w:t>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w:t>
            </w:r>
          </w:p>
        </w:tc>
        <w:tc>
          <w:tcPr>
            <w:tcW w:w="1169" w:type="dxa"/>
            <w:tcBorders>
              <w:tl2br w:val="nil"/>
              <w:tr2bl w:val="nil"/>
            </w:tcBorders>
            <w:noWrap w:val="0"/>
            <w:vAlign w:val="center"/>
          </w:tcPr>
          <w:p w14:paraId="583B360D">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较轻</w:t>
            </w:r>
          </w:p>
        </w:tc>
        <w:tc>
          <w:tcPr>
            <w:tcW w:w="3328" w:type="dxa"/>
            <w:tcBorders>
              <w:tl2br w:val="nil"/>
              <w:tr2bl w:val="nil"/>
            </w:tcBorders>
            <w:noWrap w:val="0"/>
            <w:vAlign w:val="center"/>
          </w:tcPr>
          <w:p w14:paraId="2E0BE052">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违法情节轻微，未造成危害后果，能及时改正的。</w:t>
            </w:r>
          </w:p>
        </w:tc>
        <w:tc>
          <w:tcPr>
            <w:tcW w:w="3233" w:type="dxa"/>
            <w:tcBorders>
              <w:tl2br w:val="nil"/>
              <w:tr2bl w:val="nil"/>
            </w:tcBorders>
            <w:noWrap w:val="0"/>
            <w:vAlign w:val="center"/>
          </w:tcPr>
          <w:p w14:paraId="3501989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rPr>
              <w:t>没有违法经营额或者违法经营额1万元以下的，责令立即停止侵权行为，没收、销毁侵权商品和主要用于制造侵权商品、伪造注册商标标识的工具，处2万元以下罚款。</w:t>
            </w:r>
          </w:p>
        </w:tc>
      </w:tr>
      <w:tr w14:paraId="0F53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759" w:type="dxa"/>
            <w:vMerge w:val="continue"/>
            <w:tcBorders>
              <w:tl2br w:val="nil"/>
              <w:tr2bl w:val="nil"/>
            </w:tcBorders>
            <w:noWrap w:val="0"/>
            <w:vAlign w:val="center"/>
          </w:tcPr>
          <w:p w14:paraId="3804BFF6">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b/>
                <w:bCs/>
                <w:kern w:val="0"/>
                <w:sz w:val="24"/>
                <w:szCs w:val="24"/>
              </w:rPr>
            </w:pPr>
          </w:p>
        </w:tc>
        <w:tc>
          <w:tcPr>
            <w:tcW w:w="1779" w:type="dxa"/>
            <w:vMerge w:val="continue"/>
            <w:tcBorders>
              <w:tl2br w:val="nil"/>
              <w:tr2bl w:val="nil"/>
            </w:tcBorders>
            <w:noWrap w:val="0"/>
            <w:vAlign w:val="center"/>
          </w:tcPr>
          <w:p w14:paraId="36AE9C8A">
            <w:pPr>
              <w:keepNext w:val="0"/>
              <w:keepLines w:val="0"/>
              <w:pageBreakBefore w:val="0"/>
              <w:widowControl/>
              <w:kinsoku/>
              <w:wordWrap/>
              <w:overflowPunct/>
              <w:topLinePunct w:val="0"/>
              <w:autoSpaceDE/>
              <w:autoSpaceDN/>
              <w:bidi w:val="0"/>
              <w:spacing w:line="400" w:lineRule="exact"/>
              <w:ind w:left="42" w:leftChars="20"/>
              <w:jc w:val="left"/>
              <w:rPr>
                <w:rFonts w:hint="eastAsia" w:ascii="宋体" w:hAnsi="宋体" w:eastAsia="宋体" w:cs="宋体"/>
                <w:b/>
                <w:bCs/>
                <w:kern w:val="0"/>
                <w:sz w:val="24"/>
                <w:szCs w:val="24"/>
              </w:rPr>
            </w:pPr>
          </w:p>
        </w:tc>
        <w:tc>
          <w:tcPr>
            <w:tcW w:w="4098" w:type="dxa"/>
            <w:vMerge w:val="continue"/>
            <w:tcBorders>
              <w:tl2br w:val="nil"/>
              <w:tr2bl w:val="nil"/>
            </w:tcBorders>
            <w:noWrap w:val="0"/>
            <w:vAlign w:val="center"/>
          </w:tcPr>
          <w:p w14:paraId="4288D596">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p>
        </w:tc>
        <w:tc>
          <w:tcPr>
            <w:tcW w:w="1169" w:type="dxa"/>
            <w:vMerge w:val="restart"/>
            <w:tcBorders>
              <w:tl2br w:val="nil"/>
              <w:tr2bl w:val="nil"/>
            </w:tcBorders>
            <w:noWrap w:val="0"/>
            <w:vAlign w:val="center"/>
          </w:tcPr>
          <w:p w14:paraId="5976743F">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一般</w:t>
            </w:r>
          </w:p>
        </w:tc>
        <w:tc>
          <w:tcPr>
            <w:tcW w:w="3328" w:type="dxa"/>
            <w:vMerge w:val="restart"/>
            <w:tcBorders>
              <w:tl2br w:val="nil"/>
              <w:tr2bl w:val="nil"/>
            </w:tcBorders>
            <w:noWrap w:val="0"/>
            <w:vAlign w:val="center"/>
          </w:tcPr>
          <w:p w14:paraId="2AB8AC43">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违法情节较轻，危害性较小，造成一定危害后果的。</w:t>
            </w:r>
          </w:p>
        </w:tc>
        <w:tc>
          <w:tcPr>
            <w:tcW w:w="3233" w:type="dxa"/>
            <w:tcBorders>
              <w:tl2br w:val="nil"/>
              <w:tr2bl w:val="nil"/>
            </w:tcBorders>
            <w:noWrap w:val="0"/>
            <w:vAlign w:val="center"/>
          </w:tcPr>
          <w:p w14:paraId="5AD4A62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rPr>
              <w:t>违法经营额5万元以下的，责令立即停止侵权行为，没收、销毁侵权商品和主要用于制造侵权商品、伪造注册商标标识的工具，处8万元以下罚款。</w:t>
            </w:r>
          </w:p>
        </w:tc>
      </w:tr>
      <w:tr w14:paraId="472E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trPr>
        <w:tc>
          <w:tcPr>
            <w:tcW w:w="759" w:type="dxa"/>
            <w:vMerge w:val="continue"/>
            <w:tcBorders>
              <w:tl2br w:val="nil"/>
              <w:tr2bl w:val="nil"/>
            </w:tcBorders>
            <w:noWrap w:val="0"/>
            <w:vAlign w:val="center"/>
          </w:tcPr>
          <w:p w14:paraId="70F5EAED">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b/>
                <w:bCs/>
                <w:kern w:val="0"/>
                <w:sz w:val="24"/>
                <w:szCs w:val="24"/>
              </w:rPr>
            </w:pPr>
          </w:p>
        </w:tc>
        <w:tc>
          <w:tcPr>
            <w:tcW w:w="1779" w:type="dxa"/>
            <w:vMerge w:val="continue"/>
            <w:tcBorders>
              <w:tl2br w:val="nil"/>
              <w:tr2bl w:val="nil"/>
            </w:tcBorders>
            <w:noWrap w:val="0"/>
            <w:vAlign w:val="center"/>
          </w:tcPr>
          <w:p w14:paraId="1A379419">
            <w:pPr>
              <w:keepNext w:val="0"/>
              <w:keepLines w:val="0"/>
              <w:pageBreakBefore w:val="0"/>
              <w:widowControl/>
              <w:kinsoku/>
              <w:wordWrap/>
              <w:overflowPunct/>
              <w:topLinePunct w:val="0"/>
              <w:autoSpaceDE/>
              <w:autoSpaceDN/>
              <w:bidi w:val="0"/>
              <w:spacing w:line="400" w:lineRule="exact"/>
              <w:ind w:left="42" w:leftChars="20"/>
              <w:jc w:val="left"/>
              <w:rPr>
                <w:rFonts w:hint="eastAsia" w:ascii="宋体" w:hAnsi="宋体" w:eastAsia="宋体" w:cs="宋体"/>
                <w:b/>
                <w:bCs/>
                <w:kern w:val="0"/>
                <w:sz w:val="24"/>
                <w:szCs w:val="24"/>
              </w:rPr>
            </w:pPr>
          </w:p>
        </w:tc>
        <w:tc>
          <w:tcPr>
            <w:tcW w:w="4098" w:type="dxa"/>
            <w:vMerge w:val="continue"/>
            <w:tcBorders>
              <w:tl2br w:val="nil"/>
              <w:tr2bl w:val="nil"/>
            </w:tcBorders>
            <w:noWrap w:val="0"/>
            <w:vAlign w:val="center"/>
          </w:tcPr>
          <w:p w14:paraId="20A22D54">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p>
        </w:tc>
        <w:tc>
          <w:tcPr>
            <w:tcW w:w="1169" w:type="dxa"/>
            <w:vMerge w:val="continue"/>
            <w:tcBorders>
              <w:tl2br w:val="nil"/>
              <w:tr2bl w:val="nil"/>
            </w:tcBorders>
            <w:noWrap w:val="0"/>
            <w:vAlign w:val="center"/>
          </w:tcPr>
          <w:p w14:paraId="75FC426A">
            <w:pPr>
              <w:keepNext w:val="0"/>
              <w:keepLines w:val="0"/>
              <w:pageBreakBefore w:val="0"/>
              <w:widowControl/>
              <w:kinsoku/>
              <w:wordWrap/>
              <w:overflowPunct/>
              <w:topLinePunct w:val="0"/>
              <w:autoSpaceDE/>
              <w:autoSpaceDN/>
              <w:bidi w:val="0"/>
              <w:spacing w:line="400" w:lineRule="exact"/>
              <w:jc w:val="left"/>
              <w:rPr>
                <w:rFonts w:hint="eastAsia" w:ascii="宋体" w:hAnsi="宋体" w:eastAsia="宋体" w:cs="宋体"/>
                <w:kern w:val="0"/>
                <w:sz w:val="24"/>
                <w:szCs w:val="24"/>
              </w:rPr>
            </w:pPr>
          </w:p>
        </w:tc>
        <w:tc>
          <w:tcPr>
            <w:tcW w:w="3328" w:type="dxa"/>
            <w:vMerge w:val="continue"/>
            <w:tcBorders>
              <w:tl2br w:val="nil"/>
              <w:tr2bl w:val="nil"/>
            </w:tcBorders>
            <w:noWrap w:val="0"/>
            <w:vAlign w:val="center"/>
          </w:tcPr>
          <w:p w14:paraId="17C32102">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p>
        </w:tc>
        <w:tc>
          <w:tcPr>
            <w:tcW w:w="3233" w:type="dxa"/>
            <w:tcBorders>
              <w:tl2br w:val="nil"/>
              <w:tr2bl w:val="nil"/>
            </w:tcBorders>
            <w:noWrap w:val="0"/>
            <w:vAlign w:val="center"/>
          </w:tcPr>
          <w:p w14:paraId="04C98FB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rPr>
              <w:t>违法经营额5万元以上的，责令立即停止侵权行为，没收、销毁侵权商品和主要用于制造侵权商品、伪造注册商标标识的工具，处违法经营额2倍以下罚款。</w:t>
            </w:r>
          </w:p>
        </w:tc>
      </w:tr>
      <w:tr w14:paraId="71E5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trPr>
        <w:tc>
          <w:tcPr>
            <w:tcW w:w="759" w:type="dxa"/>
            <w:vMerge w:val="continue"/>
            <w:tcBorders>
              <w:tl2br w:val="nil"/>
              <w:tr2bl w:val="nil"/>
            </w:tcBorders>
            <w:noWrap w:val="0"/>
            <w:vAlign w:val="center"/>
          </w:tcPr>
          <w:p w14:paraId="6D9F41B3">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b/>
                <w:bCs/>
                <w:kern w:val="0"/>
                <w:sz w:val="24"/>
                <w:szCs w:val="24"/>
              </w:rPr>
            </w:pPr>
          </w:p>
        </w:tc>
        <w:tc>
          <w:tcPr>
            <w:tcW w:w="1779" w:type="dxa"/>
            <w:vMerge w:val="continue"/>
            <w:tcBorders>
              <w:tl2br w:val="nil"/>
              <w:tr2bl w:val="nil"/>
            </w:tcBorders>
            <w:noWrap w:val="0"/>
            <w:vAlign w:val="center"/>
          </w:tcPr>
          <w:p w14:paraId="4BA1186A">
            <w:pPr>
              <w:keepNext w:val="0"/>
              <w:keepLines w:val="0"/>
              <w:pageBreakBefore w:val="0"/>
              <w:widowControl/>
              <w:kinsoku/>
              <w:wordWrap/>
              <w:overflowPunct/>
              <w:topLinePunct w:val="0"/>
              <w:autoSpaceDE/>
              <w:autoSpaceDN/>
              <w:bidi w:val="0"/>
              <w:spacing w:line="400" w:lineRule="exact"/>
              <w:ind w:left="42" w:leftChars="20"/>
              <w:jc w:val="left"/>
              <w:rPr>
                <w:rFonts w:hint="eastAsia" w:ascii="宋体" w:hAnsi="宋体" w:eastAsia="宋体" w:cs="宋体"/>
                <w:b/>
                <w:bCs/>
                <w:kern w:val="0"/>
                <w:sz w:val="24"/>
                <w:szCs w:val="24"/>
              </w:rPr>
            </w:pPr>
          </w:p>
        </w:tc>
        <w:tc>
          <w:tcPr>
            <w:tcW w:w="4098" w:type="dxa"/>
            <w:vMerge w:val="continue"/>
            <w:tcBorders>
              <w:tl2br w:val="nil"/>
              <w:tr2bl w:val="nil"/>
            </w:tcBorders>
            <w:noWrap w:val="0"/>
            <w:vAlign w:val="center"/>
          </w:tcPr>
          <w:p w14:paraId="78AC250C">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p>
        </w:tc>
        <w:tc>
          <w:tcPr>
            <w:tcW w:w="1169" w:type="dxa"/>
            <w:vMerge w:val="restart"/>
            <w:tcBorders>
              <w:tl2br w:val="nil"/>
              <w:tr2bl w:val="nil"/>
            </w:tcBorders>
            <w:noWrap w:val="0"/>
            <w:vAlign w:val="center"/>
          </w:tcPr>
          <w:p w14:paraId="7C89BE19">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较重</w:t>
            </w:r>
          </w:p>
        </w:tc>
        <w:tc>
          <w:tcPr>
            <w:tcW w:w="3328" w:type="dxa"/>
            <w:vMerge w:val="restart"/>
            <w:tcBorders>
              <w:tl2br w:val="nil"/>
              <w:tr2bl w:val="nil"/>
            </w:tcBorders>
            <w:noWrap w:val="0"/>
            <w:vAlign w:val="center"/>
          </w:tcPr>
          <w:p w14:paraId="74CF8C0F">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spacing w:val="0"/>
                <w:kern w:val="0"/>
                <w:sz w:val="24"/>
                <w:szCs w:val="24"/>
              </w:rPr>
            </w:pPr>
            <w:r>
              <w:rPr>
                <w:rFonts w:hint="eastAsia" w:ascii="宋体" w:hAnsi="宋体" w:eastAsia="宋体" w:cs="宋体"/>
                <w:spacing w:val="0"/>
                <w:kern w:val="0"/>
                <w:sz w:val="24"/>
                <w:szCs w:val="24"/>
              </w:rPr>
              <w:t>违法情节较重，已造成较重危害后果的。</w:t>
            </w:r>
          </w:p>
        </w:tc>
        <w:tc>
          <w:tcPr>
            <w:tcW w:w="3233" w:type="dxa"/>
            <w:tcBorders>
              <w:tl2br w:val="nil"/>
              <w:tr2bl w:val="nil"/>
            </w:tcBorders>
            <w:noWrap w:val="0"/>
            <w:vAlign w:val="center"/>
          </w:tcPr>
          <w:p w14:paraId="02923A8F">
            <w:pPr>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spacing w:val="-6"/>
                <w:kern w:val="0"/>
                <w:sz w:val="24"/>
                <w:szCs w:val="24"/>
              </w:rPr>
            </w:pPr>
            <w:r>
              <w:rPr>
                <w:rFonts w:hint="eastAsia" w:ascii="宋体" w:hAnsi="宋体" w:eastAsia="宋体" w:cs="宋体"/>
                <w:spacing w:val="-6"/>
                <w:kern w:val="0"/>
                <w:sz w:val="24"/>
                <w:szCs w:val="24"/>
              </w:rPr>
              <w:t>违法经营额5万元以下的，责令立即停止侵权行为，没收、销毁侵权商品和主要用于制造侵权商品、伪造注册商标标识的工具，处8万元以上15万元以下罚款。</w:t>
            </w:r>
          </w:p>
        </w:tc>
      </w:tr>
      <w:tr w14:paraId="5D1F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trPr>
        <w:tc>
          <w:tcPr>
            <w:tcW w:w="759" w:type="dxa"/>
            <w:vMerge w:val="continue"/>
            <w:tcBorders>
              <w:tl2br w:val="nil"/>
              <w:tr2bl w:val="nil"/>
            </w:tcBorders>
            <w:noWrap w:val="0"/>
            <w:vAlign w:val="center"/>
          </w:tcPr>
          <w:p w14:paraId="48C75A5F">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b/>
                <w:bCs/>
                <w:kern w:val="0"/>
                <w:sz w:val="24"/>
                <w:szCs w:val="24"/>
              </w:rPr>
            </w:pPr>
          </w:p>
        </w:tc>
        <w:tc>
          <w:tcPr>
            <w:tcW w:w="1779" w:type="dxa"/>
            <w:vMerge w:val="continue"/>
            <w:tcBorders>
              <w:tl2br w:val="nil"/>
              <w:tr2bl w:val="nil"/>
            </w:tcBorders>
            <w:noWrap w:val="0"/>
            <w:vAlign w:val="center"/>
          </w:tcPr>
          <w:p w14:paraId="3B800F61">
            <w:pPr>
              <w:keepNext w:val="0"/>
              <w:keepLines w:val="0"/>
              <w:pageBreakBefore w:val="0"/>
              <w:widowControl/>
              <w:kinsoku/>
              <w:wordWrap/>
              <w:overflowPunct/>
              <w:topLinePunct w:val="0"/>
              <w:autoSpaceDE/>
              <w:autoSpaceDN/>
              <w:bidi w:val="0"/>
              <w:spacing w:line="400" w:lineRule="exact"/>
              <w:ind w:left="42" w:leftChars="20"/>
              <w:jc w:val="left"/>
              <w:rPr>
                <w:rFonts w:hint="eastAsia" w:ascii="宋体" w:hAnsi="宋体" w:eastAsia="宋体" w:cs="宋体"/>
                <w:b/>
                <w:bCs/>
                <w:kern w:val="0"/>
                <w:sz w:val="24"/>
                <w:szCs w:val="24"/>
              </w:rPr>
            </w:pPr>
          </w:p>
        </w:tc>
        <w:tc>
          <w:tcPr>
            <w:tcW w:w="4098" w:type="dxa"/>
            <w:vMerge w:val="continue"/>
            <w:tcBorders>
              <w:tl2br w:val="nil"/>
              <w:tr2bl w:val="nil"/>
            </w:tcBorders>
            <w:noWrap w:val="0"/>
            <w:vAlign w:val="center"/>
          </w:tcPr>
          <w:p w14:paraId="2CFF7C38">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p>
        </w:tc>
        <w:tc>
          <w:tcPr>
            <w:tcW w:w="1169" w:type="dxa"/>
            <w:vMerge w:val="continue"/>
            <w:tcBorders>
              <w:tl2br w:val="nil"/>
              <w:tr2bl w:val="nil"/>
            </w:tcBorders>
            <w:noWrap w:val="0"/>
            <w:vAlign w:val="center"/>
          </w:tcPr>
          <w:p w14:paraId="5F52E9D8">
            <w:pPr>
              <w:keepNext w:val="0"/>
              <w:keepLines w:val="0"/>
              <w:pageBreakBefore w:val="0"/>
              <w:widowControl/>
              <w:kinsoku/>
              <w:wordWrap/>
              <w:overflowPunct/>
              <w:topLinePunct w:val="0"/>
              <w:autoSpaceDE/>
              <w:autoSpaceDN/>
              <w:bidi w:val="0"/>
              <w:spacing w:line="400" w:lineRule="exact"/>
              <w:jc w:val="left"/>
              <w:rPr>
                <w:rFonts w:hint="eastAsia" w:ascii="宋体" w:hAnsi="宋体" w:eastAsia="宋体" w:cs="宋体"/>
                <w:kern w:val="0"/>
                <w:sz w:val="24"/>
                <w:szCs w:val="24"/>
              </w:rPr>
            </w:pPr>
          </w:p>
        </w:tc>
        <w:tc>
          <w:tcPr>
            <w:tcW w:w="3328" w:type="dxa"/>
            <w:vMerge w:val="continue"/>
            <w:tcBorders>
              <w:tl2br w:val="nil"/>
              <w:tr2bl w:val="nil"/>
            </w:tcBorders>
            <w:noWrap w:val="0"/>
            <w:vAlign w:val="center"/>
          </w:tcPr>
          <w:p w14:paraId="465C3121">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spacing w:val="0"/>
                <w:kern w:val="0"/>
                <w:sz w:val="24"/>
                <w:szCs w:val="24"/>
              </w:rPr>
            </w:pPr>
          </w:p>
        </w:tc>
        <w:tc>
          <w:tcPr>
            <w:tcW w:w="3233" w:type="dxa"/>
            <w:tcBorders>
              <w:tl2br w:val="nil"/>
              <w:tr2bl w:val="nil"/>
            </w:tcBorders>
            <w:noWrap w:val="0"/>
            <w:vAlign w:val="center"/>
          </w:tcPr>
          <w:p w14:paraId="200F3C96">
            <w:pPr>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spacing w:val="-6"/>
                <w:kern w:val="0"/>
                <w:sz w:val="24"/>
                <w:szCs w:val="24"/>
              </w:rPr>
            </w:pPr>
            <w:r>
              <w:rPr>
                <w:rFonts w:hint="eastAsia" w:ascii="宋体" w:hAnsi="宋体" w:eastAsia="宋体" w:cs="宋体"/>
                <w:spacing w:val="-6"/>
                <w:kern w:val="0"/>
                <w:sz w:val="24"/>
                <w:szCs w:val="24"/>
              </w:rPr>
              <w:t>违法经营额5万元以上的，责令立即停止侵权行为，没收、销毁侵权商品和主要用于制造侵权商品、伪造注册商标标识的工具，处违法经营额2倍以上3倍以下罚款。</w:t>
            </w:r>
          </w:p>
        </w:tc>
      </w:tr>
      <w:tr w14:paraId="426F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4" w:hRule="atLeast"/>
        </w:trPr>
        <w:tc>
          <w:tcPr>
            <w:tcW w:w="759" w:type="dxa"/>
            <w:vMerge w:val="continue"/>
            <w:tcBorders>
              <w:tl2br w:val="nil"/>
              <w:tr2bl w:val="nil"/>
            </w:tcBorders>
            <w:noWrap w:val="0"/>
            <w:vAlign w:val="center"/>
          </w:tcPr>
          <w:p w14:paraId="36E9400F">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b/>
                <w:bCs/>
                <w:kern w:val="0"/>
                <w:sz w:val="24"/>
                <w:szCs w:val="24"/>
              </w:rPr>
            </w:pPr>
          </w:p>
        </w:tc>
        <w:tc>
          <w:tcPr>
            <w:tcW w:w="1779" w:type="dxa"/>
            <w:vMerge w:val="continue"/>
            <w:tcBorders>
              <w:tl2br w:val="nil"/>
              <w:tr2bl w:val="nil"/>
            </w:tcBorders>
            <w:noWrap w:val="0"/>
            <w:vAlign w:val="center"/>
          </w:tcPr>
          <w:p w14:paraId="3CE3204B">
            <w:pPr>
              <w:keepNext w:val="0"/>
              <w:keepLines w:val="0"/>
              <w:pageBreakBefore w:val="0"/>
              <w:widowControl/>
              <w:kinsoku/>
              <w:wordWrap/>
              <w:overflowPunct/>
              <w:topLinePunct w:val="0"/>
              <w:autoSpaceDE/>
              <w:autoSpaceDN/>
              <w:bidi w:val="0"/>
              <w:spacing w:line="400" w:lineRule="exact"/>
              <w:ind w:left="42" w:leftChars="20"/>
              <w:rPr>
                <w:rFonts w:hint="eastAsia" w:ascii="宋体" w:hAnsi="宋体" w:eastAsia="宋体" w:cs="宋体"/>
                <w:b/>
                <w:bCs/>
                <w:kern w:val="0"/>
                <w:sz w:val="24"/>
                <w:szCs w:val="24"/>
              </w:rPr>
            </w:pPr>
          </w:p>
        </w:tc>
        <w:tc>
          <w:tcPr>
            <w:tcW w:w="4098" w:type="dxa"/>
            <w:vMerge w:val="continue"/>
            <w:tcBorders>
              <w:tl2br w:val="nil"/>
              <w:tr2bl w:val="nil"/>
            </w:tcBorders>
            <w:noWrap w:val="0"/>
            <w:vAlign w:val="center"/>
          </w:tcPr>
          <w:p w14:paraId="0B21684F">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p>
        </w:tc>
        <w:tc>
          <w:tcPr>
            <w:tcW w:w="1169" w:type="dxa"/>
            <w:vMerge w:val="restart"/>
            <w:tcBorders>
              <w:tl2br w:val="nil"/>
              <w:tr2bl w:val="nil"/>
            </w:tcBorders>
            <w:noWrap w:val="0"/>
            <w:vAlign w:val="center"/>
          </w:tcPr>
          <w:p w14:paraId="00E3E122">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严重</w:t>
            </w:r>
          </w:p>
        </w:tc>
        <w:tc>
          <w:tcPr>
            <w:tcW w:w="3328" w:type="dxa"/>
            <w:vMerge w:val="restart"/>
            <w:tcBorders>
              <w:tl2br w:val="nil"/>
              <w:tr2bl w:val="nil"/>
            </w:tcBorders>
            <w:noWrap w:val="0"/>
            <w:vAlign w:val="center"/>
          </w:tcPr>
          <w:p w14:paraId="3BA43241">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spacing w:val="0"/>
                <w:kern w:val="0"/>
                <w:sz w:val="24"/>
                <w:szCs w:val="24"/>
              </w:rPr>
            </w:pPr>
            <w:r>
              <w:rPr>
                <w:rFonts w:hint="default" w:ascii="宋体" w:hAnsi="宋体" w:cs="宋体"/>
                <w:spacing w:val="0"/>
                <w:kern w:val="0"/>
                <w:sz w:val="24"/>
                <w:szCs w:val="24"/>
                <w:lang w:val="en"/>
              </w:rPr>
              <w:t>5</w:t>
            </w:r>
            <w:r>
              <w:rPr>
                <w:rFonts w:hint="eastAsia" w:ascii="宋体" w:hAnsi="宋体" w:eastAsia="宋体" w:cs="宋体"/>
                <w:spacing w:val="0"/>
                <w:kern w:val="0"/>
                <w:sz w:val="24"/>
                <w:szCs w:val="24"/>
              </w:rPr>
              <w:t>年内实施</w:t>
            </w:r>
            <w:r>
              <w:rPr>
                <w:rFonts w:hint="eastAsia" w:ascii="宋体" w:hAnsi="宋体" w:cs="宋体"/>
                <w:spacing w:val="0"/>
                <w:kern w:val="0"/>
                <w:sz w:val="24"/>
                <w:szCs w:val="24"/>
                <w:lang w:val="en-US" w:eastAsia="zh-CN"/>
              </w:rPr>
              <w:t>2</w:t>
            </w:r>
            <w:r>
              <w:rPr>
                <w:rFonts w:hint="eastAsia" w:ascii="宋体" w:hAnsi="宋体" w:eastAsia="宋体" w:cs="宋体"/>
                <w:spacing w:val="0"/>
                <w:kern w:val="0"/>
                <w:sz w:val="24"/>
                <w:szCs w:val="24"/>
              </w:rPr>
              <w:t>次以上商标侵权行为的；其他违法情节严重，造成严重危害后果的。</w:t>
            </w:r>
          </w:p>
        </w:tc>
        <w:tc>
          <w:tcPr>
            <w:tcW w:w="3233" w:type="dxa"/>
            <w:tcBorders>
              <w:tl2br w:val="nil"/>
              <w:tr2bl w:val="nil"/>
            </w:tcBorders>
            <w:noWrap w:val="0"/>
            <w:vAlign w:val="center"/>
          </w:tcPr>
          <w:p w14:paraId="3BA275ED">
            <w:pPr>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spacing w:val="-6"/>
                <w:kern w:val="0"/>
                <w:sz w:val="24"/>
                <w:szCs w:val="24"/>
              </w:rPr>
            </w:pPr>
            <w:r>
              <w:rPr>
                <w:rFonts w:hint="eastAsia" w:ascii="宋体" w:hAnsi="宋体" w:eastAsia="宋体" w:cs="宋体"/>
                <w:spacing w:val="-6"/>
                <w:kern w:val="0"/>
                <w:sz w:val="24"/>
                <w:szCs w:val="24"/>
              </w:rPr>
              <w:t>违法经营额5万元以下的，责令立即停止侵权行为，没收、销毁侵权商品和主要用于制造侵权商品、伪造注册商标标识的工具，处15万元以上25万元以下罚款。</w:t>
            </w:r>
          </w:p>
        </w:tc>
      </w:tr>
      <w:tr w14:paraId="775E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7" w:hRule="atLeast"/>
        </w:trPr>
        <w:tc>
          <w:tcPr>
            <w:tcW w:w="759" w:type="dxa"/>
            <w:vMerge w:val="continue"/>
            <w:tcBorders>
              <w:tl2br w:val="nil"/>
              <w:tr2bl w:val="nil"/>
            </w:tcBorders>
            <w:noWrap w:val="0"/>
            <w:vAlign w:val="center"/>
          </w:tcPr>
          <w:p w14:paraId="54437C3F">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b/>
                <w:bCs/>
                <w:kern w:val="0"/>
                <w:sz w:val="24"/>
                <w:szCs w:val="24"/>
              </w:rPr>
            </w:pPr>
          </w:p>
        </w:tc>
        <w:tc>
          <w:tcPr>
            <w:tcW w:w="1779" w:type="dxa"/>
            <w:vMerge w:val="continue"/>
            <w:tcBorders>
              <w:tl2br w:val="nil"/>
              <w:tr2bl w:val="nil"/>
            </w:tcBorders>
            <w:noWrap w:val="0"/>
            <w:vAlign w:val="center"/>
          </w:tcPr>
          <w:p w14:paraId="46F2EC9B">
            <w:pPr>
              <w:keepNext w:val="0"/>
              <w:keepLines w:val="0"/>
              <w:pageBreakBefore w:val="0"/>
              <w:widowControl/>
              <w:kinsoku/>
              <w:wordWrap/>
              <w:overflowPunct/>
              <w:topLinePunct w:val="0"/>
              <w:autoSpaceDE/>
              <w:autoSpaceDN/>
              <w:bidi w:val="0"/>
              <w:spacing w:line="400" w:lineRule="exact"/>
              <w:ind w:left="42" w:leftChars="20"/>
              <w:rPr>
                <w:rFonts w:hint="eastAsia" w:ascii="宋体" w:hAnsi="宋体" w:eastAsia="宋体" w:cs="宋体"/>
                <w:b/>
                <w:bCs/>
                <w:kern w:val="0"/>
                <w:sz w:val="24"/>
                <w:szCs w:val="24"/>
              </w:rPr>
            </w:pPr>
          </w:p>
        </w:tc>
        <w:tc>
          <w:tcPr>
            <w:tcW w:w="4098" w:type="dxa"/>
            <w:vMerge w:val="continue"/>
            <w:tcBorders>
              <w:tl2br w:val="nil"/>
              <w:tr2bl w:val="nil"/>
            </w:tcBorders>
            <w:noWrap w:val="0"/>
            <w:vAlign w:val="center"/>
          </w:tcPr>
          <w:p w14:paraId="279DE4A6">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p>
        </w:tc>
        <w:tc>
          <w:tcPr>
            <w:tcW w:w="1169" w:type="dxa"/>
            <w:vMerge w:val="continue"/>
            <w:tcBorders>
              <w:tl2br w:val="nil"/>
              <w:tr2bl w:val="nil"/>
            </w:tcBorders>
            <w:noWrap w:val="0"/>
            <w:vAlign w:val="center"/>
          </w:tcPr>
          <w:p w14:paraId="084AACB3">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kern w:val="0"/>
                <w:sz w:val="24"/>
                <w:szCs w:val="24"/>
              </w:rPr>
            </w:pPr>
          </w:p>
        </w:tc>
        <w:tc>
          <w:tcPr>
            <w:tcW w:w="3328" w:type="dxa"/>
            <w:vMerge w:val="continue"/>
            <w:tcBorders>
              <w:tl2br w:val="nil"/>
              <w:tr2bl w:val="nil"/>
            </w:tcBorders>
            <w:noWrap w:val="0"/>
            <w:vAlign w:val="center"/>
          </w:tcPr>
          <w:p w14:paraId="5DA035CA">
            <w:pPr>
              <w:keepNext w:val="0"/>
              <w:keepLines w:val="0"/>
              <w:pageBreakBefore w:val="0"/>
              <w:widowControl/>
              <w:kinsoku/>
              <w:wordWrap/>
              <w:overflowPunct/>
              <w:topLinePunct w:val="0"/>
              <w:autoSpaceDE/>
              <w:autoSpaceDN/>
              <w:bidi w:val="0"/>
              <w:spacing w:line="400" w:lineRule="exact"/>
              <w:rPr>
                <w:rFonts w:hint="default" w:ascii="宋体" w:hAnsi="宋体" w:cs="宋体"/>
                <w:spacing w:val="0"/>
                <w:kern w:val="0"/>
                <w:sz w:val="24"/>
                <w:szCs w:val="24"/>
                <w:lang w:val="en"/>
              </w:rPr>
            </w:pPr>
          </w:p>
        </w:tc>
        <w:tc>
          <w:tcPr>
            <w:tcW w:w="3233" w:type="dxa"/>
            <w:tcBorders>
              <w:tl2br w:val="nil"/>
              <w:tr2bl w:val="nil"/>
            </w:tcBorders>
            <w:noWrap w:val="0"/>
            <w:vAlign w:val="center"/>
          </w:tcPr>
          <w:p w14:paraId="48C0BDEB">
            <w:pPr>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spacing w:val="-6"/>
                <w:kern w:val="0"/>
                <w:sz w:val="24"/>
                <w:szCs w:val="24"/>
              </w:rPr>
            </w:pPr>
            <w:r>
              <w:rPr>
                <w:rFonts w:hint="eastAsia" w:ascii="宋体" w:hAnsi="宋体" w:eastAsia="宋体" w:cs="宋体"/>
                <w:spacing w:val="-6"/>
                <w:kern w:val="0"/>
                <w:sz w:val="24"/>
                <w:szCs w:val="24"/>
              </w:rPr>
              <w:t>违法经营额5万元以上的，责令立即停止侵权行为，没收、销毁侵权商品和主要用于制造侵权商品、伪造注册商标标识的工具，处违法经营额3倍以上5倍以下罚款。</w:t>
            </w:r>
          </w:p>
        </w:tc>
      </w:tr>
      <w:tr w14:paraId="4572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59" w:type="dxa"/>
            <w:vMerge w:val="restart"/>
            <w:tcBorders>
              <w:tl2br w:val="nil"/>
              <w:tr2bl w:val="nil"/>
            </w:tcBorders>
            <w:noWrap w:val="0"/>
            <w:vAlign w:val="center"/>
          </w:tcPr>
          <w:p w14:paraId="4BDBE076">
            <w:pPr>
              <w:keepNext w:val="0"/>
              <w:keepLines w:val="0"/>
              <w:pageBreakBefore w:val="0"/>
              <w:widowControl/>
              <w:kinsoku/>
              <w:wordWrap/>
              <w:overflowPunct/>
              <w:topLinePunct w:val="0"/>
              <w:autoSpaceDE/>
              <w:autoSpaceDN/>
              <w:bidi w:val="0"/>
              <w:spacing w:line="400" w:lineRule="exact"/>
              <w:jc w:val="center"/>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3</w:t>
            </w:r>
            <w:r>
              <w:rPr>
                <w:rFonts w:hint="eastAsia" w:ascii="宋体" w:hAnsi="宋体" w:cs="宋体"/>
                <w:b w:val="0"/>
                <w:bCs w:val="0"/>
                <w:kern w:val="0"/>
                <w:sz w:val="24"/>
                <w:szCs w:val="24"/>
                <w:lang w:val="en-US" w:eastAsia="zh-CN"/>
              </w:rPr>
              <w:t>29</w:t>
            </w:r>
          </w:p>
        </w:tc>
        <w:tc>
          <w:tcPr>
            <w:tcW w:w="1779" w:type="dxa"/>
            <w:vMerge w:val="restart"/>
            <w:tcBorders>
              <w:tl2br w:val="nil"/>
              <w:tr2bl w:val="nil"/>
            </w:tcBorders>
            <w:noWrap w:val="0"/>
            <w:vAlign w:val="center"/>
          </w:tcPr>
          <w:p w14:paraId="36428614">
            <w:pPr>
              <w:keepNext w:val="0"/>
              <w:keepLines w:val="0"/>
              <w:pageBreakBefore w:val="0"/>
              <w:widowControl/>
              <w:kinsoku/>
              <w:wordWrap/>
              <w:overflowPunct/>
              <w:topLinePunct w:val="0"/>
              <w:autoSpaceDE/>
              <w:autoSpaceDN/>
              <w:bidi w:val="0"/>
              <w:spacing w:line="400" w:lineRule="exact"/>
              <w:ind w:left="42" w:leftChars="20"/>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《中华人民共和国商标法》</w:t>
            </w:r>
          </w:p>
        </w:tc>
        <w:tc>
          <w:tcPr>
            <w:tcW w:w="4098" w:type="dxa"/>
            <w:vMerge w:val="restart"/>
            <w:tcBorders>
              <w:tl2br w:val="nil"/>
              <w:tr2bl w:val="nil"/>
            </w:tcBorders>
            <w:noWrap w:val="0"/>
            <w:vAlign w:val="center"/>
          </w:tcPr>
          <w:p w14:paraId="53BC8B83">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r>
              <w:rPr>
                <w:rFonts w:hint="eastAsia" w:ascii="宋体" w:hAnsi="宋体" w:eastAsia="宋体" w:cs="宋体"/>
                <w:kern w:val="0"/>
                <w:sz w:val="24"/>
                <w:szCs w:val="24"/>
              </w:rPr>
              <w:t>第六十八条</w:t>
            </w:r>
            <w:r>
              <w:rPr>
                <w:rFonts w:hint="eastAsia" w:ascii="宋体" w:hAnsi="宋体" w:cs="宋体"/>
                <w:kern w:val="0"/>
                <w:sz w:val="24"/>
                <w:szCs w:val="24"/>
                <w:lang w:val="en-US" w:eastAsia="zh-CN"/>
              </w:rPr>
              <w:t xml:space="preserve"> </w:t>
            </w:r>
            <w:r>
              <w:rPr>
                <w:rFonts w:hint="eastAsia" w:ascii="宋体" w:hAnsi="宋体" w:eastAsia="宋体" w:cs="宋体"/>
                <w:kern w:val="0"/>
                <w:sz w:val="24"/>
                <w:szCs w:val="24"/>
              </w:rPr>
              <w:t>商标代理机构有下列行为之一的，由工商行政管理部门责令限期改正，给予警告，处一万元以上十万元以下的罚款；对直接负责的主管人员和其他直接责任人员给予警告，处五千元以上五万元以下的罚款；构成犯罪的，依法追究刑事责任。</w:t>
            </w:r>
          </w:p>
        </w:tc>
        <w:tc>
          <w:tcPr>
            <w:tcW w:w="1169" w:type="dxa"/>
            <w:tcBorders>
              <w:tl2br w:val="nil"/>
              <w:tr2bl w:val="nil"/>
            </w:tcBorders>
            <w:noWrap w:val="0"/>
            <w:vAlign w:val="center"/>
          </w:tcPr>
          <w:p w14:paraId="1009E925">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较轻</w:t>
            </w:r>
          </w:p>
        </w:tc>
        <w:tc>
          <w:tcPr>
            <w:tcW w:w="3328" w:type="dxa"/>
            <w:tcBorders>
              <w:tl2br w:val="nil"/>
              <w:tr2bl w:val="nil"/>
            </w:tcBorders>
            <w:noWrap w:val="0"/>
            <w:vAlign w:val="center"/>
          </w:tcPr>
          <w:p w14:paraId="1A3BEDB7">
            <w:pPr>
              <w:keepNext w:val="0"/>
              <w:keepLines w:val="0"/>
              <w:pageBreakBefore w:val="0"/>
              <w:widowControl/>
              <w:kinsoku/>
              <w:wordWrap/>
              <w:overflowPunct/>
              <w:topLinePunct w:val="0"/>
              <w:autoSpaceDE/>
              <w:autoSpaceDN/>
              <w:bidi w:val="0"/>
              <w:adjustRightInd/>
              <w:snapToGrid/>
              <w:spacing w:line="352"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rPr>
              <w:t>有下列情形之一的：</w:t>
            </w:r>
          </w:p>
          <w:p w14:paraId="2C77433A">
            <w:pPr>
              <w:keepNext w:val="0"/>
              <w:keepLines w:val="0"/>
              <w:pageBreakBefore w:val="0"/>
              <w:widowControl/>
              <w:kinsoku/>
              <w:wordWrap/>
              <w:overflowPunct/>
              <w:topLinePunct w:val="0"/>
              <w:autoSpaceDE/>
              <w:autoSpaceDN/>
              <w:bidi w:val="0"/>
              <w:adjustRightInd/>
              <w:snapToGrid/>
              <w:spacing w:line="352" w:lineRule="exact"/>
              <w:textAlignment w:val="auto"/>
              <w:rPr>
                <w:rFonts w:hint="eastAsia" w:ascii="宋体" w:hAnsi="宋体" w:eastAsia="宋体" w:cs="宋体"/>
                <w:kern w:val="0"/>
                <w:sz w:val="24"/>
                <w:szCs w:val="24"/>
              </w:rPr>
            </w:pPr>
            <w:r>
              <w:rPr>
                <w:rFonts w:hint="eastAsia" w:ascii="宋体" w:hAnsi="宋体" w:cs="宋体"/>
                <w:kern w:val="0"/>
                <w:sz w:val="24"/>
                <w:szCs w:val="24"/>
                <w:lang w:eastAsia="zh-CN"/>
              </w:rPr>
              <w:t>(1)</w:t>
            </w:r>
            <w:r>
              <w:rPr>
                <w:rFonts w:hint="eastAsia" w:ascii="宋体" w:hAnsi="宋体" w:eastAsia="宋体" w:cs="宋体"/>
                <w:kern w:val="0"/>
                <w:sz w:val="24"/>
                <w:szCs w:val="24"/>
              </w:rPr>
              <w:t>伪造、变造或使用伪造、变造的法律文件、印章、签名1项，或者以不正当手段招徕业务、违</w:t>
            </w:r>
            <w:r>
              <w:rPr>
                <w:rFonts w:hint="eastAsia" w:ascii="宋体" w:hAnsi="宋体" w:eastAsia="宋体" w:cs="宋体"/>
                <w:spacing w:val="0"/>
                <w:kern w:val="0"/>
                <w:sz w:val="24"/>
                <w:szCs w:val="24"/>
              </w:rPr>
              <w:t>法接受委托、违法申请商标注册的情节较轻，未造成危害后果的。</w:t>
            </w:r>
          </w:p>
          <w:p w14:paraId="3A93C9EC">
            <w:pPr>
              <w:keepNext w:val="0"/>
              <w:keepLines w:val="0"/>
              <w:pageBreakBefore w:val="0"/>
              <w:widowControl/>
              <w:kinsoku/>
              <w:wordWrap/>
              <w:overflowPunct/>
              <w:topLinePunct w:val="0"/>
              <w:autoSpaceDE/>
              <w:autoSpaceDN/>
              <w:bidi w:val="0"/>
              <w:adjustRightInd/>
              <w:snapToGrid/>
              <w:spacing w:line="352" w:lineRule="exact"/>
              <w:textAlignment w:val="auto"/>
              <w:rPr>
                <w:rFonts w:hint="eastAsia" w:ascii="宋体" w:hAnsi="宋体" w:eastAsia="宋体" w:cs="宋体"/>
                <w:kern w:val="0"/>
                <w:sz w:val="24"/>
                <w:szCs w:val="24"/>
              </w:rPr>
            </w:pPr>
            <w:r>
              <w:rPr>
                <w:rFonts w:hint="eastAsia" w:ascii="宋体" w:hAnsi="宋体" w:cs="宋体"/>
                <w:kern w:val="0"/>
                <w:sz w:val="24"/>
                <w:szCs w:val="24"/>
                <w:lang w:eastAsia="zh-CN"/>
              </w:rPr>
              <w:t>(2)</w:t>
            </w:r>
            <w:r>
              <w:rPr>
                <w:rFonts w:hint="eastAsia" w:ascii="宋体" w:hAnsi="宋体" w:eastAsia="宋体" w:cs="宋体"/>
                <w:kern w:val="0"/>
                <w:sz w:val="24"/>
                <w:szCs w:val="24"/>
              </w:rPr>
              <w:t>以诋毁其他商标代理机构等手段招徕商标代理业务或者以其他不正当手段扰乱商标代理市场秩序的情节较轻，未造成危害后果的。</w:t>
            </w:r>
          </w:p>
          <w:p w14:paraId="055AD3A7">
            <w:pPr>
              <w:keepNext w:val="0"/>
              <w:keepLines w:val="0"/>
              <w:pageBreakBefore w:val="0"/>
              <w:widowControl/>
              <w:kinsoku/>
              <w:wordWrap/>
              <w:overflowPunct/>
              <w:topLinePunct w:val="0"/>
              <w:autoSpaceDE/>
              <w:autoSpaceDN/>
              <w:bidi w:val="0"/>
              <w:adjustRightInd/>
              <w:snapToGrid/>
              <w:spacing w:line="352" w:lineRule="exact"/>
              <w:textAlignment w:val="auto"/>
              <w:rPr>
                <w:rFonts w:hint="eastAsia" w:ascii="宋体" w:hAnsi="宋体" w:eastAsia="宋体" w:cs="宋体"/>
                <w:kern w:val="0"/>
                <w:sz w:val="24"/>
                <w:szCs w:val="24"/>
              </w:rPr>
            </w:pPr>
            <w:r>
              <w:rPr>
                <w:rFonts w:hint="eastAsia" w:ascii="宋体" w:hAnsi="宋体" w:cs="宋体"/>
                <w:kern w:val="0"/>
                <w:sz w:val="24"/>
                <w:szCs w:val="24"/>
                <w:lang w:eastAsia="zh-CN"/>
              </w:rPr>
              <w:t>(3)</w:t>
            </w:r>
            <w:r>
              <w:rPr>
                <w:rFonts w:hint="eastAsia" w:ascii="宋体" w:hAnsi="宋体" w:eastAsia="宋体" w:cs="宋体"/>
                <w:spacing w:val="-11"/>
                <w:kern w:val="0"/>
                <w:sz w:val="24"/>
                <w:szCs w:val="24"/>
              </w:rPr>
              <w:t>违法经营额5万元以下的。 </w:t>
            </w:r>
          </w:p>
        </w:tc>
        <w:tc>
          <w:tcPr>
            <w:tcW w:w="3233" w:type="dxa"/>
            <w:tcBorders>
              <w:tl2br w:val="nil"/>
              <w:tr2bl w:val="nil"/>
            </w:tcBorders>
            <w:noWrap w:val="0"/>
            <w:vAlign w:val="center"/>
          </w:tcPr>
          <w:p w14:paraId="5150DEF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对商标代理机构给予警告，处1万元以上3</w:t>
            </w:r>
            <w:r>
              <w:rPr>
                <w:rFonts w:hint="eastAsia" w:ascii="宋体" w:hAnsi="宋体" w:eastAsia="宋体" w:cs="宋体"/>
                <w:kern w:val="0"/>
                <w:sz w:val="24"/>
                <w:szCs w:val="24"/>
                <w:lang w:val="en-US" w:eastAsia="zh-CN"/>
              </w:rPr>
              <w:t>.7</w:t>
            </w:r>
            <w:r>
              <w:rPr>
                <w:rFonts w:hint="eastAsia" w:ascii="宋体" w:hAnsi="宋体" w:eastAsia="宋体" w:cs="宋体"/>
                <w:kern w:val="0"/>
                <w:sz w:val="24"/>
                <w:szCs w:val="24"/>
              </w:rPr>
              <w:t>万元以下罚款；</w:t>
            </w:r>
          </w:p>
          <w:p w14:paraId="1007036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rPr>
              <w:t>对直接负责的主管人员和其他直接责任人员给予警告，处5000元以上1</w:t>
            </w:r>
            <w:r>
              <w:rPr>
                <w:rFonts w:hint="eastAsia" w:ascii="宋体" w:hAnsi="宋体" w:eastAsia="宋体" w:cs="宋体"/>
                <w:kern w:val="0"/>
                <w:sz w:val="24"/>
                <w:szCs w:val="24"/>
                <w:lang w:val="en-US" w:eastAsia="zh-CN"/>
              </w:rPr>
              <w:t>.85</w:t>
            </w:r>
            <w:r>
              <w:rPr>
                <w:rFonts w:hint="eastAsia" w:ascii="宋体" w:hAnsi="宋体" w:eastAsia="宋体" w:cs="宋体"/>
                <w:kern w:val="0"/>
                <w:sz w:val="24"/>
                <w:szCs w:val="24"/>
              </w:rPr>
              <w:t>万元以下罚款。</w:t>
            </w:r>
          </w:p>
        </w:tc>
      </w:tr>
      <w:tr w14:paraId="136F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759" w:type="dxa"/>
            <w:vMerge w:val="continue"/>
            <w:tcBorders>
              <w:tl2br w:val="nil"/>
              <w:tr2bl w:val="nil"/>
            </w:tcBorders>
            <w:noWrap w:val="0"/>
            <w:vAlign w:val="center"/>
          </w:tcPr>
          <w:p w14:paraId="115B1F96">
            <w:pPr>
              <w:keepNext w:val="0"/>
              <w:keepLines w:val="0"/>
              <w:pageBreakBefore w:val="0"/>
              <w:kinsoku/>
              <w:wordWrap/>
              <w:overflowPunct/>
              <w:topLinePunct w:val="0"/>
              <w:autoSpaceDE/>
              <w:autoSpaceDN/>
              <w:bidi w:val="0"/>
              <w:spacing w:line="400" w:lineRule="exact"/>
              <w:jc w:val="center"/>
              <w:rPr>
                <w:rFonts w:hint="eastAsia" w:ascii="宋体" w:hAnsi="宋体" w:eastAsia="宋体" w:cs="宋体"/>
                <w:b/>
                <w:bCs/>
                <w:kern w:val="0"/>
                <w:sz w:val="24"/>
                <w:szCs w:val="24"/>
              </w:rPr>
            </w:pPr>
          </w:p>
        </w:tc>
        <w:tc>
          <w:tcPr>
            <w:tcW w:w="1779" w:type="dxa"/>
            <w:vMerge w:val="continue"/>
            <w:tcBorders>
              <w:tl2br w:val="nil"/>
              <w:tr2bl w:val="nil"/>
            </w:tcBorders>
            <w:noWrap w:val="0"/>
            <w:vAlign w:val="center"/>
          </w:tcPr>
          <w:p w14:paraId="5CB66C34">
            <w:pPr>
              <w:keepNext w:val="0"/>
              <w:keepLines w:val="0"/>
              <w:pageBreakBefore w:val="0"/>
              <w:kinsoku/>
              <w:wordWrap/>
              <w:overflowPunct/>
              <w:topLinePunct w:val="0"/>
              <w:autoSpaceDE/>
              <w:autoSpaceDN/>
              <w:bidi w:val="0"/>
              <w:spacing w:line="400" w:lineRule="exact"/>
              <w:ind w:left="42" w:leftChars="20"/>
              <w:rPr>
                <w:rFonts w:hint="eastAsia" w:ascii="宋体" w:hAnsi="宋体" w:eastAsia="宋体" w:cs="宋体"/>
                <w:b/>
                <w:bCs/>
                <w:kern w:val="0"/>
                <w:sz w:val="24"/>
                <w:szCs w:val="24"/>
              </w:rPr>
            </w:pPr>
          </w:p>
        </w:tc>
        <w:tc>
          <w:tcPr>
            <w:tcW w:w="4098" w:type="dxa"/>
            <w:vMerge w:val="continue"/>
            <w:tcBorders>
              <w:tl2br w:val="nil"/>
              <w:tr2bl w:val="nil"/>
            </w:tcBorders>
            <w:noWrap w:val="0"/>
            <w:vAlign w:val="center"/>
          </w:tcPr>
          <w:p w14:paraId="22DD1F23">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p>
        </w:tc>
        <w:tc>
          <w:tcPr>
            <w:tcW w:w="1169" w:type="dxa"/>
            <w:tcBorders>
              <w:tl2br w:val="nil"/>
              <w:tr2bl w:val="nil"/>
            </w:tcBorders>
            <w:noWrap w:val="0"/>
            <w:vAlign w:val="center"/>
          </w:tcPr>
          <w:p w14:paraId="1FE3E921">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一般</w:t>
            </w:r>
          </w:p>
        </w:tc>
        <w:tc>
          <w:tcPr>
            <w:tcW w:w="3328" w:type="dxa"/>
            <w:tcBorders>
              <w:tl2br w:val="nil"/>
              <w:tr2bl w:val="nil"/>
            </w:tcBorders>
            <w:noWrap w:val="0"/>
            <w:vAlign w:val="center"/>
          </w:tcPr>
          <w:p w14:paraId="2F7AFD88">
            <w:pPr>
              <w:keepNext w:val="0"/>
              <w:keepLines w:val="0"/>
              <w:pageBreakBefore w:val="0"/>
              <w:widowControl/>
              <w:kinsoku/>
              <w:wordWrap/>
              <w:overflowPunct/>
              <w:topLinePunct w:val="0"/>
              <w:autoSpaceDE/>
              <w:autoSpaceDN/>
              <w:bidi w:val="0"/>
              <w:adjustRightInd/>
              <w:snapToGrid/>
              <w:spacing w:line="352"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rPr>
              <w:t>有下列情形之一的：</w:t>
            </w:r>
          </w:p>
          <w:p w14:paraId="5B1DFDCD">
            <w:pPr>
              <w:keepNext w:val="0"/>
              <w:keepLines w:val="0"/>
              <w:pageBreakBefore w:val="0"/>
              <w:widowControl/>
              <w:kinsoku/>
              <w:wordWrap/>
              <w:overflowPunct/>
              <w:topLinePunct w:val="0"/>
              <w:autoSpaceDE/>
              <w:autoSpaceDN/>
              <w:bidi w:val="0"/>
              <w:adjustRightInd/>
              <w:snapToGrid/>
              <w:spacing w:line="352" w:lineRule="exact"/>
              <w:textAlignment w:val="auto"/>
              <w:rPr>
                <w:rFonts w:hint="eastAsia" w:ascii="宋体" w:hAnsi="宋体" w:eastAsia="宋体" w:cs="宋体"/>
                <w:spacing w:val="0"/>
                <w:kern w:val="0"/>
                <w:sz w:val="24"/>
                <w:szCs w:val="24"/>
              </w:rPr>
            </w:pPr>
            <w:r>
              <w:rPr>
                <w:rFonts w:hint="eastAsia" w:ascii="宋体" w:hAnsi="宋体" w:cs="宋体"/>
                <w:spacing w:val="0"/>
                <w:kern w:val="0"/>
                <w:sz w:val="24"/>
                <w:szCs w:val="24"/>
                <w:lang w:eastAsia="zh-CN"/>
              </w:rPr>
              <w:t>(1)</w:t>
            </w:r>
            <w:r>
              <w:rPr>
                <w:rFonts w:hint="eastAsia" w:ascii="宋体" w:hAnsi="宋体" w:eastAsia="宋体" w:cs="宋体"/>
                <w:spacing w:val="0"/>
                <w:kern w:val="0"/>
                <w:sz w:val="24"/>
                <w:szCs w:val="24"/>
              </w:rPr>
              <w:t>伪造、变造或使用伪造、变造的法律文件、印章、签名2项情节较重的，造成较重危害后果的。</w:t>
            </w:r>
          </w:p>
          <w:p w14:paraId="0E2564CC">
            <w:pPr>
              <w:keepNext w:val="0"/>
              <w:keepLines w:val="0"/>
              <w:pageBreakBefore w:val="0"/>
              <w:widowControl/>
              <w:kinsoku/>
              <w:wordWrap/>
              <w:overflowPunct/>
              <w:topLinePunct w:val="0"/>
              <w:autoSpaceDE/>
              <w:autoSpaceDN/>
              <w:bidi w:val="0"/>
              <w:adjustRightInd/>
              <w:snapToGrid/>
              <w:spacing w:line="352" w:lineRule="exact"/>
              <w:textAlignment w:val="auto"/>
              <w:rPr>
                <w:rFonts w:hint="eastAsia" w:ascii="宋体" w:hAnsi="宋体" w:eastAsia="宋体" w:cs="宋体"/>
                <w:kern w:val="0"/>
                <w:sz w:val="24"/>
                <w:szCs w:val="24"/>
              </w:rPr>
            </w:pPr>
            <w:r>
              <w:rPr>
                <w:rFonts w:hint="eastAsia" w:ascii="宋体" w:hAnsi="宋体" w:cs="宋体"/>
                <w:kern w:val="0"/>
                <w:sz w:val="24"/>
                <w:szCs w:val="24"/>
                <w:lang w:eastAsia="zh-CN"/>
              </w:rPr>
              <w:t>(2)</w:t>
            </w:r>
            <w:r>
              <w:rPr>
                <w:rFonts w:hint="eastAsia" w:ascii="宋体" w:hAnsi="宋体" w:eastAsia="宋体" w:cs="宋体"/>
                <w:kern w:val="0"/>
                <w:sz w:val="24"/>
                <w:szCs w:val="24"/>
              </w:rPr>
              <w:t>以不正当手段招徕业务、违法接受委托、违法申请商标注册的或者以不正当手段招徕业务、违法接受委托、违法申请商标注册的情节较重，造成较重危害后果的。</w:t>
            </w:r>
          </w:p>
        </w:tc>
        <w:tc>
          <w:tcPr>
            <w:tcW w:w="3233" w:type="dxa"/>
            <w:tcBorders>
              <w:tl2br w:val="nil"/>
              <w:tr2bl w:val="nil"/>
            </w:tcBorders>
            <w:noWrap w:val="0"/>
            <w:vAlign w:val="center"/>
          </w:tcPr>
          <w:p w14:paraId="775D84E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对商标代理机构给予警告，处3</w:t>
            </w:r>
            <w:r>
              <w:rPr>
                <w:rFonts w:hint="eastAsia" w:ascii="宋体" w:hAnsi="宋体" w:eastAsia="宋体" w:cs="宋体"/>
                <w:kern w:val="0"/>
                <w:sz w:val="24"/>
                <w:szCs w:val="24"/>
                <w:lang w:val="en-US" w:eastAsia="zh-CN"/>
              </w:rPr>
              <w:t>.7</w:t>
            </w:r>
            <w:r>
              <w:rPr>
                <w:rFonts w:hint="eastAsia" w:ascii="宋体" w:hAnsi="宋体" w:eastAsia="宋体" w:cs="宋体"/>
                <w:kern w:val="0"/>
                <w:sz w:val="24"/>
                <w:szCs w:val="24"/>
              </w:rPr>
              <w:t>万元以上7</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万元以下罚款；</w:t>
            </w:r>
          </w:p>
          <w:p w14:paraId="447584D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rPr>
              <w:t>对直接负责的主管人员和其他直接责任人员给予警告，处1</w:t>
            </w:r>
            <w:r>
              <w:rPr>
                <w:rFonts w:hint="eastAsia" w:ascii="宋体" w:hAnsi="宋体" w:eastAsia="宋体" w:cs="宋体"/>
                <w:kern w:val="0"/>
                <w:sz w:val="24"/>
                <w:szCs w:val="24"/>
                <w:lang w:val="en-US" w:eastAsia="zh-CN"/>
              </w:rPr>
              <w:t>.85</w:t>
            </w:r>
            <w:r>
              <w:rPr>
                <w:rFonts w:hint="eastAsia" w:ascii="宋体" w:hAnsi="宋体" w:eastAsia="宋体" w:cs="宋体"/>
                <w:kern w:val="0"/>
                <w:sz w:val="24"/>
                <w:szCs w:val="24"/>
              </w:rPr>
              <w:t>万元以上3</w:t>
            </w:r>
            <w:r>
              <w:rPr>
                <w:rFonts w:hint="eastAsia" w:ascii="宋体" w:hAnsi="宋体" w:eastAsia="宋体" w:cs="宋体"/>
                <w:kern w:val="0"/>
                <w:sz w:val="24"/>
                <w:szCs w:val="24"/>
                <w:lang w:val="en-US" w:eastAsia="zh-CN"/>
              </w:rPr>
              <w:t>.65</w:t>
            </w:r>
            <w:r>
              <w:rPr>
                <w:rFonts w:hint="eastAsia" w:ascii="宋体" w:hAnsi="宋体" w:eastAsia="宋体" w:cs="宋体"/>
                <w:kern w:val="0"/>
                <w:sz w:val="24"/>
                <w:szCs w:val="24"/>
              </w:rPr>
              <w:t>万元以下罚款。</w:t>
            </w:r>
          </w:p>
        </w:tc>
      </w:tr>
      <w:tr w14:paraId="64932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7" w:hRule="atLeast"/>
        </w:trPr>
        <w:tc>
          <w:tcPr>
            <w:tcW w:w="759" w:type="dxa"/>
            <w:vMerge w:val="continue"/>
            <w:tcBorders>
              <w:tl2br w:val="nil"/>
              <w:tr2bl w:val="nil"/>
            </w:tcBorders>
            <w:noWrap w:val="0"/>
            <w:vAlign w:val="center"/>
          </w:tcPr>
          <w:p w14:paraId="550F684E">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b/>
                <w:bCs/>
                <w:kern w:val="0"/>
                <w:sz w:val="24"/>
                <w:szCs w:val="24"/>
              </w:rPr>
            </w:pPr>
          </w:p>
        </w:tc>
        <w:tc>
          <w:tcPr>
            <w:tcW w:w="1779" w:type="dxa"/>
            <w:vMerge w:val="continue"/>
            <w:tcBorders>
              <w:tl2br w:val="nil"/>
              <w:tr2bl w:val="nil"/>
            </w:tcBorders>
            <w:noWrap w:val="0"/>
            <w:vAlign w:val="center"/>
          </w:tcPr>
          <w:p w14:paraId="0BCD1E79">
            <w:pPr>
              <w:keepNext w:val="0"/>
              <w:keepLines w:val="0"/>
              <w:pageBreakBefore w:val="0"/>
              <w:widowControl/>
              <w:kinsoku/>
              <w:wordWrap/>
              <w:overflowPunct/>
              <w:topLinePunct w:val="0"/>
              <w:autoSpaceDE/>
              <w:autoSpaceDN/>
              <w:bidi w:val="0"/>
              <w:spacing w:line="400" w:lineRule="exact"/>
              <w:ind w:left="42" w:leftChars="20"/>
              <w:jc w:val="left"/>
              <w:rPr>
                <w:rFonts w:hint="eastAsia" w:ascii="宋体" w:hAnsi="宋体" w:eastAsia="宋体" w:cs="宋体"/>
                <w:b/>
                <w:bCs/>
                <w:kern w:val="0"/>
                <w:sz w:val="24"/>
                <w:szCs w:val="24"/>
              </w:rPr>
            </w:pPr>
          </w:p>
        </w:tc>
        <w:tc>
          <w:tcPr>
            <w:tcW w:w="4098" w:type="dxa"/>
            <w:vMerge w:val="continue"/>
            <w:tcBorders>
              <w:tl2br w:val="nil"/>
              <w:tr2bl w:val="nil"/>
            </w:tcBorders>
            <w:noWrap w:val="0"/>
            <w:vAlign w:val="center"/>
          </w:tcPr>
          <w:p w14:paraId="4A8A85FB">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kern w:val="0"/>
                <w:sz w:val="24"/>
                <w:szCs w:val="24"/>
              </w:rPr>
            </w:pPr>
          </w:p>
        </w:tc>
        <w:tc>
          <w:tcPr>
            <w:tcW w:w="1169" w:type="dxa"/>
            <w:tcBorders>
              <w:tl2br w:val="nil"/>
              <w:tr2bl w:val="nil"/>
            </w:tcBorders>
            <w:noWrap w:val="0"/>
            <w:vAlign w:val="center"/>
          </w:tcPr>
          <w:p w14:paraId="5AEE565E">
            <w:pPr>
              <w:keepNext w:val="0"/>
              <w:keepLines w:val="0"/>
              <w:pageBreakBefore w:val="0"/>
              <w:widowControl/>
              <w:kinsoku/>
              <w:wordWrap/>
              <w:overflowPunct/>
              <w:topLinePunct w:val="0"/>
              <w:autoSpaceDE/>
              <w:autoSpaceDN/>
              <w:bidi w:val="0"/>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较重</w:t>
            </w:r>
          </w:p>
        </w:tc>
        <w:tc>
          <w:tcPr>
            <w:tcW w:w="3328" w:type="dxa"/>
            <w:tcBorders>
              <w:tl2br w:val="nil"/>
              <w:tr2bl w:val="nil"/>
            </w:tcBorders>
            <w:noWrap w:val="0"/>
            <w:vAlign w:val="center"/>
          </w:tcPr>
          <w:p w14:paraId="66E075E3">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rPr>
              <w:t>伪造、变造或使用伪造、变造的法律文件、印章、签名</w:t>
            </w:r>
            <w:r>
              <w:rPr>
                <w:rFonts w:hint="eastAsia" w:ascii="宋体" w:hAnsi="宋体" w:cs="宋体"/>
                <w:kern w:val="0"/>
                <w:sz w:val="24"/>
                <w:szCs w:val="24"/>
                <w:lang w:val="en-US" w:eastAsia="zh-CN"/>
              </w:rPr>
              <w:t>3</w:t>
            </w:r>
            <w:r>
              <w:rPr>
                <w:rFonts w:hint="eastAsia" w:ascii="宋体" w:hAnsi="宋体" w:eastAsia="宋体" w:cs="宋体"/>
                <w:kern w:val="0"/>
                <w:sz w:val="24"/>
                <w:szCs w:val="24"/>
              </w:rPr>
              <w:t>项以上，或者以不正当手段招徕业务、违法接受委托、违法申请商标注册的情节严重，造成严重危害后果的。</w:t>
            </w:r>
          </w:p>
        </w:tc>
        <w:tc>
          <w:tcPr>
            <w:tcW w:w="3233" w:type="dxa"/>
            <w:tcBorders>
              <w:tl2br w:val="nil"/>
              <w:tr2bl w:val="nil"/>
            </w:tcBorders>
            <w:noWrap w:val="0"/>
            <w:vAlign w:val="center"/>
          </w:tcPr>
          <w:p w14:paraId="03CFCB3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rPr>
              <w:t>对商标代理机构给予警告，处7</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万元以上10万元以下罚款，对直接负责的主管人员和其他直接责任人员给予警告，处3</w:t>
            </w:r>
            <w:r>
              <w:rPr>
                <w:rFonts w:hint="eastAsia" w:ascii="宋体" w:hAnsi="宋体" w:eastAsia="宋体" w:cs="宋体"/>
                <w:kern w:val="0"/>
                <w:sz w:val="24"/>
                <w:szCs w:val="24"/>
                <w:lang w:val="en-US" w:eastAsia="zh-CN"/>
              </w:rPr>
              <w:t>.65</w:t>
            </w:r>
            <w:r>
              <w:rPr>
                <w:rFonts w:hint="eastAsia" w:ascii="宋体" w:hAnsi="宋体" w:eastAsia="宋体" w:cs="宋体"/>
                <w:kern w:val="0"/>
                <w:sz w:val="24"/>
                <w:szCs w:val="24"/>
              </w:rPr>
              <w:t>万元以上5万元以下罚款。</w:t>
            </w:r>
          </w:p>
        </w:tc>
      </w:tr>
      <w:bookmarkEnd w:id="375"/>
      <w:tr w14:paraId="0BA3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759" w:type="dxa"/>
            <w:vMerge w:val="restart"/>
            <w:tcBorders>
              <w:tl2br w:val="nil"/>
              <w:tr2bl w:val="nil"/>
            </w:tcBorders>
            <w:noWrap/>
            <w:vAlign w:val="center"/>
          </w:tcPr>
          <w:p w14:paraId="026C5334">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cs="宋体"/>
                <w:b w:val="0"/>
                <w:bCs w:val="0"/>
                <w:i w:val="0"/>
                <w:iCs w:val="0"/>
                <w:color w:val="auto"/>
                <w:kern w:val="0"/>
                <w:sz w:val="24"/>
                <w:szCs w:val="24"/>
                <w:u w:val="none"/>
                <w:lang w:val="en-US" w:eastAsia="zh-CN" w:bidi="ar"/>
              </w:rPr>
              <w:t>330</w:t>
            </w:r>
          </w:p>
        </w:tc>
        <w:tc>
          <w:tcPr>
            <w:tcW w:w="1779" w:type="dxa"/>
            <w:vMerge w:val="restart"/>
            <w:tcBorders>
              <w:tl2br w:val="nil"/>
              <w:tr2bl w:val="nil"/>
            </w:tcBorders>
            <w:noWrap w:val="0"/>
            <w:vAlign w:val="center"/>
          </w:tcPr>
          <w:p w14:paraId="4A9EAE31">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left"/>
              <w:textAlignment w:val="center"/>
              <w:outlineLvl w:val="2"/>
              <w:rPr>
                <w:rFonts w:hint="eastAsia" w:ascii="宋体" w:hAnsi="宋体" w:eastAsia="宋体" w:cs="宋体"/>
                <w:b w:val="0"/>
                <w:bCs w:val="0"/>
                <w:i w:val="0"/>
                <w:iCs w:val="0"/>
                <w:color w:val="auto"/>
                <w:sz w:val="24"/>
                <w:szCs w:val="24"/>
                <w:u w:val="none"/>
              </w:rPr>
            </w:pPr>
            <w:bookmarkStart w:id="386" w:name="_Toc12982"/>
            <w:bookmarkStart w:id="387" w:name="_Toc44"/>
            <w:bookmarkStart w:id="388" w:name="_Toc7355"/>
            <w:bookmarkStart w:id="389" w:name="_Toc5961"/>
            <w:bookmarkStart w:id="390" w:name="_Toc30879"/>
            <w:r>
              <w:rPr>
                <w:rFonts w:hint="eastAsia" w:ascii="宋体" w:hAnsi="宋体" w:eastAsia="宋体" w:cs="宋体"/>
                <w:b w:val="0"/>
                <w:bCs w:val="0"/>
                <w:kern w:val="0"/>
                <w:sz w:val="24"/>
                <w:szCs w:val="24"/>
              </w:rPr>
              <w:t>《中华人民共和国商标法》</w:t>
            </w:r>
            <w:r>
              <w:rPr>
                <w:rFonts w:hint="eastAsia" w:ascii="宋体" w:hAnsi="宋体" w:eastAsia="宋体" w:cs="宋体"/>
                <w:b w:val="0"/>
                <w:bCs w:val="0"/>
                <w:i w:val="0"/>
                <w:iCs w:val="0"/>
                <w:color w:val="auto"/>
                <w:kern w:val="0"/>
                <w:sz w:val="24"/>
                <w:szCs w:val="24"/>
                <w:u w:val="none"/>
                <w:lang w:val="en-US" w:eastAsia="zh-CN" w:bidi="ar"/>
              </w:rPr>
              <w:t>《</w:t>
            </w:r>
            <w:r>
              <w:rPr>
                <w:rFonts w:hint="eastAsia" w:ascii="宋体" w:hAnsi="宋体" w:cs="宋体"/>
                <w:b w:val="0"/>
                <w:bCs w:val="0"/>
                <w:i w:val="0"/>
                <w:iCs w:val="0"/>
                <w:color w:val="auto"/>
                <w:kern w:val="0"/>
                <w:sz w:val="24"/>
                <w:szCs w:val="24"/>
                <w:u w:val="none"/>
                <w:lang w:val="en-US" w:eastAsia="zh-CN" w:bidi="ar"/>
              </w:rPr>
              <w:t>中华人民共和国</w:t>
            </w:r>
            <w:r>
              <w:rPr>
                <w:rFonts w:hint="eastAsia" w:ascii="宋体" w:hAnsi="宋体" w:eastAsia="宋体" w:cs="宋体"/>
                <w:b w:val="0"/>
                <w:bCs w:val="0"/>
                <w:i w:val="0"/>
                <w:iCs w:val="0"/>
                <w:color w:val="auto"/>
                <w:kern w:val="0"/>
                <w:sz w:val="24"/>
                <w:szCs w:val="24"/>
                <w:u w:val="none"/>
                <w:lang w:val="en-US" w:eastAsia="zh-CN" w:bidi="ar"/>
              </w:rPr>
              <w:t>商标法实施条例》（2014年</w:t>
            </w:r>
            <w:r>
              <w:rPr>
                <w:rFonts w:hint="eastAsia" w:ascii="宋体" w:hAnsi="宋体" w:cs="宋体"/>
                <w:b w:val="0"/>
                <w:bCs w:val="0"/>
                <w:i w:val="0"/>
                <w:iCs w:val="0"/>
                <w:color w:val="auto"/>
                <w:kern w:val="0"/>
                <w:sz w:val="24"/>
                <w:szCs w:val="24"/>
                <w:u w:val="none"/>
                <w:lang w:val="en-US" w:eastAsia="zh-CN" w:bidi="ar"/>
              </w:rPr>
              <w:t>5</w:t>
            </w:r>
            <w:r>
              <w:rPr>
                <w:rFonts w:hint="eastAsia" w:ascii="宋体" w:hAnsi="宋体" w:eastAsia="宋体" w:cs="宋体"/>
                <w:b w:val="0"/>
                <w:bCs w:val="0"/>
                <w:i w:val="0"/>
                <w:iCs w:val="0"/>
                <w:color w:val="auto"/>
                <w:kern w:val="0"/>
                <w:sz w:val="24"/>
                <w:szCs w:val="24"/>
                <w:u w:val="none"/>
                <w:lang w:val="en-US" w:eastAsia="zh-CN" w:bidi="ar"/>
              </w:rPr>
              <w:t>月</w:t>
            </w:r>
            <w:r>
              <w:rPr>
                <w:rFonts w:hint="eastAsia" w:ascii="宋体" w:hAnsi="宋体" w:cs="宋体"/>
                <w:b w:val="0"/>
                <w:bCs w:val="0"/>
                <w:i w:val="0"/>
                <w:iCs w:val="0"/>
                <w:color w:val="auto"/>
                <w:kern w:val="0"/>
                <w:sz w:val="24"/>
                <w:szCs w:val="24"/>
                <w:u w:val="none"/>
                <w:lang w:val="en-US" w:eastAsia="zh-CN" w:bidi="ar"/>
              </w:rPr>
              <w:t>1</w:t>
            </w:r>
            <w:r>
              <w:rPr>
                <w:rFonts w:hint="eastAsia" w:ascii="宋体" w:hAnsi="宋体" w:eastAsia="宋体" w:cs="宋体"/>
                <w:b w:val="0"/>
                <w:bCs w:val="0"/>
                <w:i w:val="0"/>
                <w:iCs w:val="0"/>
                <w:color w:val="auto"/>
                <w:kern w:val="0"/>
                <w:sz w:val="24"/>
                <w:szCs w:val="24"/>
                <w:u w:val="none"/>
                <w:lang w:val="en-US" w:eastAsia="zh-CN" w:bidi="ar"/>
              </w:rPr>
              <w:t>日</w:t>
            </w:r>
            <w:r>
              <w:rPr>
                <w:rFonts w:hint="eastAsia" w:ascii="宋体" w:hAnsi="宋体" w:cs="宋体"/>
                <w:b w:val="0"/>
                <w:bCs w:val="0"/>
                <w:i w:val="0"/>
                <w:iCs w:val="0"/>
                <w:color w:val="auto"/>
                <w:kern w:val="0"/>
                <w:sz w:val="24"/>
                <w:szCs w:val="24"/>
                <w:u w:val="none"/>
                <w:lang w:val="en-US" w:eastAsia="zh-CN" w:bidi="ar"/>
              </w:rPr>
              <w:t>起施行</w:t>
            </w:r>
            <w:r>
              <w:rPr>
                <w:rFonts w:hint="eastAsia" w:ascii="宋体" w:hAnsi="宋体" w:eastAsia="宋体" w:cs="宋体"/>
                <w:b w:val="0"/>
                <w:bCs w:val="0"/>
                <w:i w:val="0"/>
                <w:iCs w:val="0"/>
                <w:color w:val="auto"/>
                <w:kern w:val="0"/>
                <w:sz w:val="24"/>
                <w:szCs w:val="24"/>
                <w:u w:val="none"/>
                <w:lang w:val="en-US" w:eastAsia="zh-CN" w:bidi="ar"/>
              </w:rPr>
              <w:t>）</w:t>
            </w:r>
            <w:bookmarkEnd w:id="386"/>
            <w:bookmarkEnd w:id="387"/>
            <w:bookmarkEnd w:id="388"/>
            <w:bookmarkEnd w:id="389"/>
            <w:bookmarkEnd w:id="390"/>
          </w:p>
        </w:tc>
        <w:tc>
          <w:tcPr>
            <w:tcW w:w="4098" w:type="dxa"/>
            <w:vMerge w:val="restart"/>
            <w:tcBorders>
              <w:tl2br w:val="nil"/>
              <w:tr2bl w:val="nil"/>
            </w:tcBorders>
            <w:noWrap w:val="0"/>
            <w:vAlign w:val="center"/>
          </w:tcPr>
          <w:p w14:paraId="39169DC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auto"/>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《商标法》第四十三条第二款 经许可使用他人注册商标的，必须在使用该注册商标的商品上标明被许可人的名称和商品产地。</w:t>
            </w:r>
          </w:p>
          <w:p w14:paraId="68CEA4D6">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auto"/>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《商标法实施条例》第七十一条</w:t>
            </w:r>
            <w:r>
              <w:rPr>
                <w:rFonts w:hint="eastAsia" w:ascii="宋体" w:hAnsi="宋体" w:cs="宋体"/>
                <w:i w:val="0"/>
                <w:iCs w:val="0"/>
                <w:color w:val="auto"/>
                <w:kern w:val="0"/>
                <w:sz w:val="24"/>
                <w:szCs w:val="24"/>
                <w:u w:val="none"/>
                <w:lang w:val="en-US" w:eastAsia="zh-CN" w:bidi="ar"/>
              </w:rPr>
              <w:t xml:space="preserve"> </w:t>
            </w:r>
            <w:r>
              <w:rPr>
                <w:rFonts w:hint="eastAsia" w:ascii="宋体" w:hAnsi="宋体" w:eastAsia="宋体" w:cs="宋体"/>
                <w:i w:val="0"/>
                <w:iCs w:val="0"/>
                <w:color w:val="auto"/>
                <w:kern w:val="0"/>
                <w:sz w:val="24"/>
                <w:szCs w:val="24"/>
                <w:u w:val="none"/>
                <w:lang w:val="en-US" w:eastAsia="zh-CN" w:bidi="ar"/>
              </w:rPr>
              <w:t>违反商标法第四十三条第二款规定的，由工商行政管理部门责令限期改正；逾期不改正的，责令停止销售，拒不停止销售的，处10万元以下的罚款。</w:t>
            </w:r>
          </w:p>
        </w:tc>
        <w:tc>
          <w:tcPr>
            <w:tcW w:w="1169" w:type="dxa"/>
            <w:tcBorders>
              <w:tl2br w:val="nil"/>
              <w:tr2bl w:val="nil"/>
            </w:tcBorders>
            <w:noWrap/>
            <w:vAlign w:val="center"/>
          </w:tcPr>
          <w:p w14:paraId="46DE6F74">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较轻</w:t>
            </w:r>
          </w:p>
        </w:tc>
        <w:tc>
          <w:tcPr>
            <w:tcW w:w="3328" w:type="dxa"/>
            <w:tcBorders>
              <w:tl2br w:val="nil"/>
              <w:tr2bl w:val="nil"/>
            </w:tcBorders>
            <w:noWrap w:val="0"/>
            <w:vAlign w:val="center"/>
          </w:tcPr>
          <w:p w14:paraId="20ED18F1">
            <w:pPr>
              <w:keepNext w:val="0"/>
              <w:keepLines w:val="0"/>
              <w:pageBreakBefore w:val="0"/>
              <w:widowControl/>
              <w:suppressLineNumbers w:val="0"/>
              <w:kinsoku/>
              <w:wordWrap/>
              <w:overflowPunct/>
              <w:topLinePunct w:val="0"/>
              <w:autoSpaceDE/>
              <w:autoSpaceDN/>
              <w:bidi w:val="0"/>
              <w:spacing w:line="400" w:lineRule="exact"/>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拒不停止销售，违法经营额</w:t>
            </w:r>
            <w:r>
              <w:rPr>
                <w:rFonts w:hint="default" w:ascii="宋体" w:hAnsi="宋体" w:cs="宋体"/>
                <w:i w:val="0"/>
                <w:iCs w:val="0"/>
                <w:color w:val="auto"/>
                <w:kern w:val="0"/>
                <w:sz w:val="24"/>
                <w:szCs w:val="24"/>
                <w:u w:val="none"/>
                <w:lang w:val="en" w:eastAsia="zh-CN" w:bidi="ar"/>
              </w:rPr>
              <w:t>5</w:t>
            </w:r>
            <w:r>
              <w:rPr>
                <w:rFonts w:hint="eastAsia" w:ascii="宋体" w:hAnsi="宋体" w:eastAsia="宋体" w:cs="宋体"/>
                <w:i w:val="0"/>
                <w:iCs w:val="0"/>
                <w:color w:val="auto"/>
                <w:kern w:val="0"/>
                <w:sz w:val="24"/>
                <w:szCs w:val="24"/>
                <w:u w:val="none"/>
                <w:lang w:val="en-US" w:eastAsia="zh-CN" w:bidi="ar"/>
              </w:rPr>
              <w:t>万元以下的。</w:t>
            </w:r>
          </w:p>
        </w:tc>
        <w:tc>
          <w:tcPr>
            <w:tcW w:w="3233" w:type="dxa"/>
            <w:tcBorders>
              <w:tl2br w:val="nil"/>
              <w:tr2bl w:val="nil"/>
            </w:tcBorders>
            <w:noWrap/>
            <w:vAlign w:val="center"/>
          </w:tcPr>
          <w:p w14:paraId="710642AF">
            <w:pPr>
              <w:keepNext w:val="0"/>
              <w:keepLines w:val="0"/>
              <w:pageBreakBefore w:val="0"/>
              <w:widowControl/>
              <w:suppressLineNumbers w:val="0"/>
              <w:kinsoku/>
              <w:wordWrap/>
              <w:overflowPunct/>
              <w:topLinePunct w:val="0"/>
              <w:autoSpaceDE/>
              <w:autoSpaceDN/>
              <w:bidi w:val="0"/>
              <w:spacing w:line="400" w:lineRule="exact"/>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责令停止销售，处</w:t>
            </w:r>
            <w:r>
              <w:rPr>
                <w:rFonts w:hint="eastAsia" w:ascii="宋体" w:hAnsi="宋体" w:cs="宋体"/>
                <w:i w:val="0"/>
                <w:iCs w:val="0"/>
                <w:color w:val="auto"/>
                <w:kern w:val="0"/>
                <w:sz w:val="24"/>
                <w:szCs w:val="24"/>
                <w:u w:val="none"/>
                <w:lang w:val="en-US" w:eastAsia="zh-CN" w:bidi="ar"/>
              </w:rPr>
              <w:t>3</w:t>
            </w:r>
            <w:r>
              <w:rPr>
                <w:rFonts w:hint="eastAsia" w:ascii="宋体" w:hAnsi="宋体" w:eastAsia="宋体" w:cs="宋体"/>
                <w:i w:val="0"/>
                <w:iCs w:val="0"/>
                <w:color w:val="auto"/>
                <w:kern w:val="0"/>
                <w:sz w:val="24"/>
                <w:szCs w:val="24"/>
                <w:u w:val="none"/>
                <w:lang w:val="en-US" w:eastAsia="zh-CN" w:bidi="ar"/>
              </w:rPr>
              <w:t>万元以下的罚款。</w:t>
            </w:r>
          </w:p>
        </w:tc>
      </w:tr>
      <w:tr w14:paraId="5875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759" w:type="dxa"/>
            <w:vMerge w:val="continue"/>
            <w:tcBorders>
              <w:tl2br w:val="nil"/>
              <w:tr2bl w:val="nil"/>
            </w:tcBorders>
            <w:noWrap/>
            <w:vAlign w:val="center"/>
          </w:tcPr>
          <w:p w14:paraId="2D1D5C43">
            <w:pPr>
              <w:keepNext w:val="0"/>
              <w:keepLines w:val="0"/>
              <w:pageBreakBefore w:val="0"/>
              <w:kinsoku/>
              <w:wordWrap/>
              <w:overflowPunct/>
              <w:topLinePunct w:val="0"/>
              <w:autoSpaceDE/>
              <w:autoSpaceDN/>
              <w:bidi w:val="0"/>
              <w:spacing w:line="400" w:lineRule="exact"/>
              <w:jc w:val="center"/>
              <w:rPr>
                <w:rFonts w:hint="eastAsia" w:ascii="宋体" w:hAnsi="宋体" w:eastAsia="宋体" w:cs="宋体"/>
                <w:i w:val="0"/>
                <w:iCs w:val="0"/>
                <w:color w:val="auto"/>
                <w:sz w:val="24"/>
                <w:szCs w:val="24"/>
                <w:u w:val="none"/>
              </w:rPr>
            </w:pPr>
          </w:p>
        </w:tc>
        <w:tc>
          <w:tcPr>
            <w:tcW w:w="1779" w:type="dxa"/>
            <w:vMerge w:val="continue"/>
            <w:tcBorders>
              <w:tl2br w:val="nil"/>
              <w:tr2bl w:val="nil"/>
            </w:tcBorders>
            <w:noWrap w:val="0"/>
            <w:vAlign w:val="center"/>
          </w:tcPr>
          <w:p w14:paraId="38BBA153">
            <w:pPr>
              <w:keepNext w:val="0"/>
              <w:keepLines w:val="0"/>
              <w:pageBreakBefore w:val="0"/>
              <w:widowControl/>
              <w:kinsoku/>
              <w:wordWrap/>
              <w:overflowPunct/>
              <w:topLinePunct w:val="0"/>
              <w:autoSpaceDE/>
              <w:autoSpaceDN/>
              <w:bidi w:val="0"/>
              <w:spacing w:line="400" w:lineRule="exact"/>
              <w:ind w:left="42" w:leftChars="20"/>
              <w:jc w:val="left"/>
              <w:rPr>
                <w:rFonts w:hint="eastAsia" w:ascii="宋体" w:hAnsi="宋体" w:eastAsia="宋体" w:cs="宋体"/>
                <w:i w:val="0"/>
                <w:iCs w:val="0"/>
                <w:color w:val="auto"/>
                <w:sz w:val="24"/>
                <w:szCs w:val="24"/>
                <w:u w:val="none"/>
              </w:rPr>
            </w:pPr>
          </w:p>
        </w:tc>
        <w:tc>
          <w:tcPr>
            <w:tcW w:w="4098" w:type="dxa"/>
            <w:vMerge w:val="continue"/>
            <w:tcBorders>
              <w:tl2br w:val="nil"/>
              <w:tr2bl w:val="nil"/>
            </w:tcBorders>
            <w:noWrap w:val="0"/>
            <w:vAlign w:val="center"/>
          </w:tcPr>
          <w:p w14:paraId="63839460">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iCs w:val="0"/>
                <w:color w:val="auto"/>
                <w:sz w:val="24"/>
                <w:szCs w:val="24"/>
                <w:u w:val="none"/>
              </w:rPr>
            </w:pPr>
          </w:p>
        </w:tc>
        <w:tc>
          <w:tcPr>
            <w:tcW w:w="1169" w:type="dxa"/>
            <w:tcBorders>
              <w:tl2br w:val="nil"/>
              <w:tr2bl w:val="nil"/>
            </w:tcBorders>
            <w:noWrap/>
            <w:vAlign w:val="center"/>
          </w:tcPr>
          <w:p w14:paraId="6FE76E94">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一般</w:t>
            </w:r>
          </w:p>
        </w:tc>
        <w:tc>
          <w:tcPr>
            <w:tcW w:w="3328" w:type="dxa"/>
            <w:tcBorders>
              <w:tl2br w:val="nil"/>
              <w:tr2bl w:val="nil"/>
            </w:tcBorders>
            <w:noWrap w:val="0"/>
            <w:vAlign w:val="center"/>
          </w:tcPr>
          <w:p w14:paraId="02DC307D">
            <w:pPr>
              <w:keepNext w:val="0"/>
              <w:keepLines w:val="0"/>
              <w:pageBreakBefore w:val="0"/>
              <w:widowControl/>
              <w:suppressLineNumbers w:val="0"/>
              <w:kinsoku/>
              <w:wordWrap/>
              <w:overflowPunct/>
              <w:topLinePunct w:val="0"/>
              <w:autoSpaceDE/>
              <w:autoSpaceDN/>
              <w:bidi w:val="0"/>
              <w:spacing w:line="400" w:lineRule="exact"/>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拒不停止销售，违法经营额</w:t>
            </w:r>
            <w:r>
              <w:rPr>
                <w:rFonts w:hint="default" w:ascii="宋体" w:hAnsi="宋体" w:cs="宋体"/>
                <w:i w:val="0"/>
                <w:iCs w:val="0"/>
                <w:color w:val="auto"/>
                <w:kern w:val="0"/>
                <w:sz w:val="24"/>
                <w:szCs w:val="24"/>
                <w:u w:val="none"/>
                <w:lang w:val="en" w:eastAsia="zh-CN" w:bidi="ar"/>
              </w:rPr>
              <w:t>5</w:t>
            </w:r>
            <w:r>
              <w:rPr>
                <w:rFonts w:hint="eastAsia" w:ascii="宋体" w:hAnsi="宋体" w:eastAsia="宋体" w:cs="宋体"/>
                <w:i w:val="0"/>
                <w:iCs w:val="0"/>
                <w:color w:val="auto"/>
                <w:kern w:val="0"/>
                <w:sz w:val="24"/>
                <w:szCs w:val="24"/>
                <w:u w:val="none"/>
                <w:lang w:val="en-US" w:eastAsia="zh-CN" w:bidi="ar"/>
              </w:rPr>
              <w:t>万元以上</w:t>
            </w:r>
            <w:r>
              <w:rPr>
                <w:rFonts w:hint="default" w:ascii="宋体" w:hAnsi="宋体" w:cs="宋体"/>
                <w:i w:val="0"/>
                <w:iCs w:val="0"/>
                <w:color w:val="auto"/>
                <w:kern w:val="0"/>
                <w:sz w:val="24"/>
                <w:szCs w:val="24"/>
                <w:u w:val="none"/>
                <w:lang w:val="en" w:eastAsia="zh-CN" w:bidi="ar"/>
              </w:rPr>
              <w:t>10</w:t>
            </w:r>
            <w:r>
              <w:rPr>
                <w:rFonts w:hint="eastAsia" w:ascii="宋体" w:hAnsi="宋体" w:eastAsia="宋体" w:cs="宋体"/>
                <w:i w:val="0"/>
                <w:iCs w:val="0"/>
                <w:color w:val="auto"/>
                <w:kern w:val="0"/>
                <w:sz w:val="24"/>
                <w:szCs w:val="24"/>
                <w:u w:val="none"/>
                <w:lang w:val="en-US" w:eastAsia="zh-CN" w:bidi="ar"/>
              </w:rPr>
              <w:t>万元以下的。</w:t>
            </w:r>
          </w:p>
        </w:tc>
        <w:tc>
          <w:tcPr>
            <w:tcW w:w="3233" w:type="dxa"/>
            <w:tcBorders>
              <w:tl2br w:val="nil"/>
              <w:tr2bl w:val="nil"/>
            </w:tcBorders>
            <w:noWrap/>
            <w:vAlign w:val="center"/>
          </w:tcPr>
          <w:p w14:paraId="7AA56986">
            <w:pPr>
              <w:keepNext w:val="0"/>
              <w:keepLines w:val="0"/>
              <w:pageBreakBefore w:val="0"/>
              <w:widowControl/>
              <w:suppressLineNumbers w:val="0"/>
              <w:kinsoku/>
              <w:wordWrap/>
              <w:overflowPunct/>
              <w:topLinePunct w:val="0"/>
              <w:autoSpaceDE/>
              <w:autoSpaceDN/>
              <w:bidi w:val="0"/>
              <w:spacing w:line="400" w:lineRule="exact"/>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责令停止销售，处</w:t>
            </w:r>
            <w:r>
              <w:rPr>
                <w:rFonts w:hint="eastAsia" w:ascii="宋体" w:hAnsi="宋体" w:cs="宋体"/>
                <w:i w:val="0"/>
                <w:iCs w:val="0"/>
                <w:color w:val="auto"/>
                <w:kern w:val="0"/>
                <w:sz w:val="24"/>
                <w:szCs w:val="24"/>
                <w:u w:val="none"/>
                <w:lang w:val="en-US" w:eastAsia="zh-CN" w:bidi="ar"/>
              </w:rPr>
              <w:t>3</w:t>
            </w:r>
            <w:r>
              <w:rPr>
                <w:rFonts w:hint="eastAsia" w:ascii="宋体" w:hAnsi="宋体" w:eastAsia="宋体" w:cs="宋体"/>
                <w:i w:val="0"/>
                <w:iCs w:val="0"/>
                <w:color w:val="auto"/>
                <w:kern w:val="0"/>
                <w:sz w:val="24"/>
                <w:szCs w:val="24"/>
                <w:u w:val="none"/>
                <w:lang w:val="en-US" w:eastAsia="zh-CN" w:bidi="ar"/>
              </w:rPr>
              <w:t>万元以上</w:t>
            </w:r>
            <w:r>
              <w:rPr>
                <w:rFonts w:hint="eastAsia" w:ascii="宋体" w:hAnsi="宋体" w:cs="宋体"/>
                <w:i w:val="0"/>
                <w:iCs w:val="0"/>
                <w:color w:val="auto"/>
                <w:kern w:val="0"/>
                <w:sz w:val="24"/>
                <w:szCs w:val="24"/>
                <w:u w:val="none"/>
                <w:lang w:val="en-US" w:eastAsia="zh-CN" w:bidi="ar"/>
              </w:rPr>
              <w:t>7</w:t>
            </w:r>
            <w:r>
              <w:rPr>
                <w:rFonts w:hint="eastAsia" w:ascii="宋体" w:hAnsi="宋体" w:eastAsia="宋体" w:cs="宋体"/>
                <w:i w:val="0"/>
                <w:iCs w:val="0"/>
                <w:color w:val="auto"/>
                <w:kern w:val="0"/>
                <w:sz w:val="24"/>
                <w:szCs w:val="24"/>
                <w:u w:val="none"/>
                <w:lang w:val="en-US" w:eastAsia="zh-CN" w:bidi="ar"/>
              </w:rPr>
              <w:t>万元以下的罚款。</w:t>
            </w:r>
          </w:p>
        </w:tc>
      </w:tr>
      <w:tr w14:paraId="73BD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trPr>
        <w:tc>
          <w:tcPr>
            <w:tcW w:w="759" w:type="dxa"/>
            <w:vMerge w:val="continue"/>
            <w:tcBorders>
              <w:tl2br w:val="nil"/>
              <w:tr2bl w:val="nil"/>
            </w:tcBorders>
            <w:noWrap/>
            <w:vAlign w:val="center"/>
          </w:tcPr>
          <w:p w14:paraId="6933DEEC">
            <w:pPr>
              <w:keepNext w:val="0"/>
              <w:keepLines w:val="0"/>
              <w:pageBreakBefore w:val="0"/>
              <w:kinsoku/>
              <w:wordWrap/>
              <w:overflowPunct/>
              <w:topLinePunct w:val="0"/>
              <w:autoSpaceDE/>
              <w:autoSpaceDN/>
              <w:bidi w:val="0"/>
              <w:spacing w:line="400" w:lineRule="exact"/>
              <w:jc w:val="center"/>
              <w:rPr>
                <w:rFonts w:hint="eastAsia" w:ascii="宋体" w:hAnsi="宋体" w:eastAsia="宋体" w:cs="宋体"/>
                <w:i w:val="0"/>
                <w:iCs w:val="0"/>
                <w:color w:val="auto"/>
                <w:sz w:val="24"/>
                <w:szCs w:val="24"/>
                <w:u w:val="none"/>
              </w:rPr>
            </w:pPr>
          </w:p>
        </w:tc>
        <w:tc>
          <w:tcPr>
            <w:tcW w:w="1779" w:type="dxa"/>
            <w:vMerge w:val="continue"/>
            <w:tcBorders>
              <w:tl2br w:val="nil"/>
              <w:tr2bl w:val="nil"/>
            </w:tcBorders>
            <w:noWrap w:val="0"/>
            <w:vAlign w:val="center"/>
          </w:tcPr>
          <w:p w14:paraId="02E16261">
            <w:pPr>
              <w:keepNext w:val="0"/>
              <w:keepLines w:val="0"/>
              <w:pageBreakBefore w:val="0"/>
              <w:widowControl/>
              <w:kinsoku/>
              <w:wordWrap/>
              <w:overflowPunct/>
              <w:topLinePunct w:val="0"/>
              <w:autoSpaceDE/>
              <w:autoSpaceDN/>
              <w:bidi w:val="0"/>
              <w:spacing w:line="400" w:lineRule="exact"/>
              <w:ind w:left="42" w:leftChars="20"/>
              <w:jc w:val="left"/>
              <w:rPr>
                <w:rFonts w:hint="eastAsia" w:ascii="宋体" w:hAnsi="宋体" w:eastAsia="宋体" w:cs="宋体"/>
                <w:i w:val="0"/>
                <w:iCs w:val="0"/>
                <w:color w:val="auto"/>
                <w:sz w:val="24"/>
                <w:szCs w:val="24"/>
                <w:u w:val="none"/>
              </w:rPr>
            </w:pPr>
          </w:p>
        </w:tc>
        <w:tc>
          <w:tcPr>
            <w:tcW w:w="4098" w:type="dxa"/>
            <w:vMerge w:val="continue"/>
            <w:tcBorders>
              <w:tl2br w:val="nil"/>
              <w:tr2bl w:val="nil"/>
            </w:tcBorders>
            <w:noWrap w:val="0"/>
            <w:vAlign w:val="center"/>
          </w:tcPr>
          <w:p w14:paraId="5926B2F0">
            <w:pPr>
              <w:keepNext w:val="0"/>
              <w:keepLines w:val="0"/>
              <w:pageBreakBefore w:val="0"/>
              <w:widowControl/>
              <w:kinsoku/>
              <w:wordWrap/>
              <w:overflowPunct/>
              <w:topLinePunct w:val="0"/>
              <w:autoSpaceDE/>
              <w:autoSpaceDN/>
              <w:bidi w:val="0"/>
              <w:adjustRightInd/>
              <w:snapToGrid/>
              <w:spacing w:line="400" w:lineRule="exact"/>
              <w:jc w:val="both"/>
              <w:rPr>
                <w:rFonts w:hint="eastAsia" w:ascii="宋体" w:hAnsi="宋体" w:eastAsia="宋体" w:cs="宋体"/>
                <w:i w:val="0"/>
                <w:iCs w:val="0"/>
                <w:color w:val="auto"/>
                <w:sz w:val="24"/>
                <w:szCs w:val="24"/>
                <w:u w:val="none"/>
              </w:rPr>
            </w:pPr>
          </w:p>
        </w:tc>
        <w:tc>
          <w:tcPr>
            <w:tcW w:w="1169" w:type="dxa"/>
            <w:tcBorders>
              <w:tl2br w:val="nil"/>
              <w:tr2bl w:val="nil"/>
            </w:tcBorders>
            <w:noWrap/>
            <w:vAlign w:val="center"/>
          </w:tcPr>
          <w:p w14:paraId="2A3F00A5">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较重</w:t>
            </w:r>
          </w:p>
        </w:tc>
        <w:tc>
          <w:tcPr>
            <w:tcW w:w="3328" w:type="dxa"/>
            <w:tcBorders>
              <w:tl2br w:val="nil"/>
              <w:tr2bl w:val="nil"/>
            </w:tcBorders>
            <w:noWrap w:val="0"/>
            <w:vAlign w:val="center"/>
          </w:tcPr>
          <w:p w14:paraId="552EE004">
            <w:pPr>
              <w:keepNext w:val="0"/>
              <w:keepLines w:val="0"/>
              <w:pageBreakBefore w:val="0"/>
              <w:widowControl/>
              <w:suppressLineNumbers w:val="0"/>
              <w:kinsoku/>
              <w:wordWrap/>
              <w:overflowPunct/>
              <w:topLinePunct w:val="0"/>
              <w:autoSpaceDE/>
              <w:autoSpaceDN/>
              <w:bidi w:val="0"/>
              <w:spacing w:line="400" w:lineRule="exact"/>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拒不停止销售，违法经营额</w:t>
            </w:r>
            <w:r>
              <w:rPr>
                <w:rFonts w:hint="default" w:ascii="宋体" w:hAnsi="宋体" w:cs="宋体"/>
                <w:i w:val="0"/>
                <w:iCs w:val="0"/>
                <w:color w:val="auto"/>
                <w:kern w:val="0"/>
                <w:sz w:val="24"/>
                <w:szCs w:val="24"/>
                <w:u w:val="none"/>
                <w:lang w:val="en" w:eastAsia="zh-CN" w:bidi="ar"/>
              </w:rPr>
              <w:t>10</w:t>
            </w:r>
            <w:r>
              <w:rPr>
                <w:rFonts w:hint="eastAsia" w:ascii="宋体" w:hAnsi="宋体" w:eastAsia="宋体" w:cs="宋体"/>
                <w:i w:val="0"/>
                <w:iCs w:val="0"/>
                <w:color w:val="auto"/>
                <w:kern w:val="0"/>
                <w:sz w:val="24"/>
                <w:szCs w:val="24"/>
                <w:u w:val="none"/>
                <w:lang w:val="en-US" w:eastAsia="zh-CN" w:bidi="ar"/>
              </w:rPr>
              <w:t>万元以上的。</w:t>
            </w:r>
          </w:p>
        </w:tc>
        <w:tc>
          <w:tcPr>
            <w:tcW w:w="3233" w:type="dxa"/>
            <w:tcBorders>
              <w:tl2br w:val="nil"/>
              <w:tr2bl w:val="nil"/>
            </w:tcBorders>
            <w:noWrap/>
            <w:vAlign w:val="center"/>
          </w:tcPr>
          <w:p w14:paraId="7E39DE18">
            <w:pPr>
              <w:keepNext w:val="0"/>
              <w:keepLines w:val="0"/>
              <w:pageBreakBefore w:val="0"/>
              <w:widowControl/>
              <w:suppressLineNumbers w:val="0"/>
              <w:kinsoku/>
              <w:wordWrap/>
              <w:overflowPunct/>
              <w:topLinePunct w:val="0"/>
              <w:autoSpaceDE/>
              <w:autoSpaceDN/>
              <w:bidi w:val="0"/>
              <w:spacing w:line="400" w:lineRule="exact"/>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责令停止销售，处</w:t>
            </w:r>
            <w:r>
              <w:rPr>
                <w:rFonts w:hint="eastAsia" w:ascii="宋体" w:hAnsi="宋体" w:cs="宋体"/>
                <w:i w:val="0"/>
                <w:iCs w:val="0"/>
                <w:color w:val="auto"/>
                <w:kern w:val="0"/>
                <w:sz w:val="24"/>
                <w:szCs w:val="24"/>
                <w:u w:val="none"/>
                <w:lang w:val="en-US" w:eastAsia="zh-CN" w:bidi="ar"/>
              </w:rPr>
              <w:t>7</w:t>
            </w:r>
            <w:r>
              <w:rPr>
                <w:rFonts w:hint="eastAsia" w:ascii="宋体" w:hAnsi="宋体" w:eastAsia="宋体" w:cs="宋体"/>
                <w:i w:val="0"/>
                <w:iCs w:val="0"/>
                <w:color w:val="auto"/>
                <w:kern w:val="0"/>
                <w:sz w:val="24"/>
                <w:szCs w:val="24"/>
                <w:u w:val="none"/>
                <w:lang w:val="en-US" w:eastAsia="zh-CN" w:bidi="ar"/>
              </w:rPr>
              <w:t>万元以上</w:t>
            </w:r>
            <w:r>
              <w:rPr>
                <w:rFonts w:hint="eastAsia" w:ascii="宋体" w:hAnsi="宋体" w:cs="宋体"/>
                <w:i w:val="0"/>
                <w:iCs w:val="0"/>
                <w:color w:val="auto"/>
                <w:kern w:val="0"/>
                <w:sz w:val="24"/>
                <w:szCs w:val="24"/>
                <w:u w:val="none"/>
                <w:lang w:val="en-US" w:eastAsia="zh-CN" w:bidi="ar"/>
              </w:rPr>
              <w:t>10</w:t>
            </w:r>
            <w:r>
              <w:rPr>
                <w:rFonts w:hint="eastAsia" w:ascii="宋体" w:hAnsi="宋体" w:eastAsia="宋体" w:cs="宋体"/>
                <w:i w:val="0"/>
                <w:iCs w:val="0"/>
                <w:color w:val="auto"/>
                <w:kern w:val="0"/>
                <w:sz w:val="24"/>
                <w:szCs w:val="24"/>
                <w:u w:val="none"/>
                <w:lang w:val="en-US" w:eastAsia="zh-CN" w:bidi="ar"/>
              </w:rPr>
              <w:t>万元以下的罚款。</w:t>
            </w:r>
          </w:p>
        </w:tc>
      </w:tr>
      <w:tr w14:paraId="68B7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trPr>
        <w:tc>
          <w:tcPr>
            <w:tcW w:w="759" w:type="dxa"/>
            <w:vMerge w:val="restart"/>
            <w:tcBorders>
              <w:tl2br w:val="nil"/>
              <w:tr2bl w:val="nil"/>
            </w:tcBorders>
            <w:noWrap/>
            <w:vAlign w:val="center"/>
          </w:tcPr>
          <w:p w14:paraId="67245324">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3</w:t>
            </w:r>
            <w:r>
              <w:rPr>
                <w:rFonts w:hint="eastAsia" w:ascii="宋体" w:hAnsi="宋体" w:cs="宋体"/>
                <w:i w:val="0"/>
                <w:iCs w:val="0"/>
                <w:color w:val="auto"/>
                <w:kern w:val="0"/>
                <w:sz w:val="24"/>
                <w:szCs w:val="24"/>
                <w:u w:val="none"/>
                <w:lang w:val="en-US" w:eastAsia="zh-CN" w:bidi="ar"/>
              </w:rPr>
              <w:t>31</w:t>
            </w:r>
          </w:p>
        </w:tc>
        <w:tc>
          <w:tcPr>
            <w:tcW w:w="1779" w:type="dxa"/>
            <w:vMerge w:val="restart"/>
            <w:tcBorders>
              <w:tl2br w:val="nil"/>
              <w:tr2bl w:val="nil"/>
            </w:tcBorders>
            <w:noWrap w:val="0"/>
            <w:vAlign w:val="center"/>
          </w:tcPr>
          <w:p w14:paraId="2A7138A1">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both"/>
              <w:textAlignment w:val="center"/>
              <w:outlineLvl w:val="2"/>
              <w:rPr>
                <w:rFonts w:hint="eastAsia" w:ascii="宋体" w:hAnsi="宋体" w:eastAsia="宋体" w:cs="宋体"/>
                <w:i w:val="0"/>
                <w:iCs w:val="0"/>
                <w:color w:val="auto"/>
                <w:sz w:val="24"/>
                <w:szCs w:val="24"/>
                <w:u w:val="none"/>
              </w:rPr>
            </w:pPr>
            <w:bookmarkStart w:id="391" w:name="_Toc2355"/>
            <w:bookmarkStart w:id="392" w:name="_Toc13986"/>
            <w:bookmarkStart w:id="393" w:name="_Toc24322"/>
            <w:bookmarkStart w:id="394" w:name="_Toc5712"/>
            <w:bookmarkStart w:id="395" w:name="_Toc4932"/>
            <w:r>
              <w:rPr>
                <w:rFonts w:hint="eastAsia" w:ascii="宋体" w:hAnsi="宋体" w:eastAsia="宋体" w:cs="宋体"/>
                <w:b w:val="0"/>
                <w:bCs w:val="0"/>
                <w:i w:val="0"/>
                <w:iCs w:val="0"/>
                <w:color w:val="auto"/>
                <w:kern w:val="0"/>
                <w:sz w:val="24"/>
                <w:szCs w:val="24"/>
                <w:u w:val="none"/>
                <w:lang w:val="en-US" w:eastAsia="zh-CN" w:bidi="ar"/>
              </w:rPr>
              <w:t>《商标印制管理办法》（20</w:t>
            </w:r>
            <w:r>
              <w:rPr>
                <w:rFonts w:hint="eastAsia" w:ascii="宋体" w:hAnsi="宋体" w:cs="宋体"/>
                <w:b w:val="0"/>
                <w:bCs w:val="0"/>
                <w:i w:val="0"/>
                <w:iCs w:val="0"/>
                <w:color w:val="auto"/>
                <w:kern w:val="0"/>
                <w:sz w:val="24"/>
                <w:szCs w:val="24"/>
                <w:u w:val="none"/>
                <w:lang w:val="en-US" w:eastAsia="zh-CN" w:bidi="ar"/>
              </w:rPr>
              <w:t>20</w:t>
            </w:r>
            <w:r>
              <w:rPr>
                <w:rFonts w:hint="eastAsia" w:ascii="宋体" w:hAnsi="宋体" w:eastAsia="宋体" w:cs="宋体"/>
                <w:b w:val="0"/>
                <w:bCs w:val="0"/>
                <w:i w:val="0"/>
                <w:iCs w:val="0"/>
                <w:color w:val="auto"/>
                <w:kern w:val="0"/>
                <w:sz w:val="24"/>
                <w:szCs w:val="24"/>
                <w:u w:val="none"/>
                <w:lang w:val="en-US" w:eastAsia="zh-CN" w:bidi="ar"/>
              </w:rPr>
              <w:t>年</w:t>
            </w:r>
            <w:r>
              <w:rPr>
                <w:rFonts w:hint="eastAsia" w:ascii="宋体" w:hAnsi="宋体" w:cs="宋体"/>
                <w:b w:val="0"/>
                <w:bCs w:val="0"/>
                <w:i w:val="0"/>
                <w:iCs w:val="0"/>
                <w:color w:val="auto"/>
                <w:kern w:val="0"/>
                <w:sz w:val="24"/>
                <w:szCs w:val="24"/>
                <w:u w:val="none"/>
                <w:lang w:val="en-US" w:eastAsia="zh-CN" w:bidi="ar"/>
              </w:rPr>
              <w:t>11</w:t>
            </w:r>
            <w:r>
              <w:rPr>
                <w:rFonts w:hint="eastAsia" w:ascii="宋体" w:hAnsi="宋体" w:eastAsia="宋体" w:cs="宋体"/>
                <w:b w:val="0"/>
                <w:bCs w:val="0"/>
                <w:i w:val="0"/>
                <w:iCs w:val="0"/>
                <w:color w:val="auto"/>
                <w:kern w:val="0"/>
                <w:sz w:val="24"/>
                <w:szCs w:val="24"/>
                <w:u w:val="none"/>
                <w:lang w:val="en-US" w:eastAsia="zh-CN" w:bidi="ar"/>
              </w:rPr>
              <w:t>月</w:t>
            </w:r>
            <w:r>
              <w:rPr>
                <w:rFonts w:hint="eastAsia" w:ascii="宋体" w:hAnsi="宋体" w:cs="宋体"/>
                <w:b w:val="0"/>
                <w:bCs w:val="0"/>
                <w:i w:val="0"/>
                <w:iCs w:val="0"/>
                <w:color w:val="auto"/>
                <w:kern w:val="0"/>
                <w:sz w:val="24"/>
                <w:szCs w:val="24"/>
                <w:u w:val="none"/>
                <w:lang w:val="en-US" w:eastAsia="zh-CN" w:bidi="ar"/>
              </w:rPr>
              <w:t>1</w:t>
            </w:r>
            <w:r>
              <w:rPr>
                <w:rFonts w:hint="eastAsia" w:ascii="宋体" w:hAnsi="宋体" w:eastAsia="宋体" w:cs="宋体"/>
                <w:b w:val="0"/>
                <w:bCs w:val="0"/>
                <w:i w:val="0"/>
                <w:iCs w:val="0"/>
                <w:color w:val="auto"/>
                <w:kern w:val="0"/>
                <w:sz w:val="24"/>
                <w:szCs w:val="24"/>
                <w:u w:val="none"/>
                <w:lang w:val="en-US" w:eastAsia="zh-CN" w:bidi="ar"/>
              </w:rPr>
              <w:t>日</w:t>
            </w:r>
            <w:r>
              <w:rPr>
                <w:rFonts w:hint="eastAsia" w:ascii="宋体" w:hAnsi="宋体" w:cs="宋体"/>
                <w:b w:val="0"/>
                <w:bCs w:val="0"/>
                <w:i w:val="0"/>
                <w:iCs w:val="0"/>
                <w:color w:val="auto"/>
                <w:kern w:val="0"/>
                <w:sz w:val="24"/>
                <w:szCs w:val="24"/>
                <w:u w:val="none"/>
                <w:lang w:val="en-US" w:eastAsia="zh-CN" w:bidi="ar"/>
              </w:rPr>
              <w:t>起施行</w:t>
            </w:r>
            <w:r>
              <w:rPr>
                <w:rFonts w:hint="eastAsia" w:ascii="宋体" w:hAnsi="宋体" w:eastAsia="宋体" w:cs="宋体"/>
                <w:b w:val="0"/>
                <w:bCs w:val="0"/>
                <w:i w:val="0"/>
                <w:iCs w:val="0"/>
                <w:color w:val="auto"/>
                <w:kern w:val="0"/>
                <w:sz w:val="24"/>
                <w:szCs w:val="24"/>
                <w:u w:val="none"/>
                <w:lang w:val="en-US" w:eastAsia="zh-CN" w:bidi="ar"/>
              </w:rPr>
              <w:t>）</w:t>
            </w:r>
            <w:bookmarkEnd w:id="391"/>
            <w:bookmarkEnd w:id="392"/>
            <w:bookmarkEnd w:id="393"/>
            <w:bookmarkEnd w:id="394"/>
            <w:bookmarkEnd w:id="395"/>
          </w:p>
        </w:tc>
        <w:tc>
          <w:tcPr>
            <w:tcW w:w="4098" w:type="dxa"/>
            <w:vMerge w:val="restart"/>
            <w:tcBorders>
              <w:tl2br w:val="nil"/>
              <w:tr2bl w:val="nil"/>
            </w:tcBorders>
            <w:noWrap w:val="0"/>
            <w:vAlign w:val="center"/>
          </w:tcPr>
          <w:p w14:paraId="68E389A8">
            <w:pPr>
              <w:keepNext w:val="0"/>
              <w:keepLines w:val="0"/>
              <w:pageBreakBefore w:val="0"/>
              <w:widowControl/>
              <w:suppressLineNumbers w:val="0"/>
              <w:kinsoku/>
              <w:wordWrap/>
              <w:overflowPunct/>
              <w:topLinePunct w:val="0"/>
              <w:autoSpaceDE/>
              <w:autoSpaceDN/>
              <w:bidi w:val="0"/>
              <w:adjustRightInd/>
              <w:snapToGrid/>
              <w:spacing w:afterAutospacing="0" w:line="400" w:lineRule="exact"/>
              <w:jc w:val="both"/>
              <w:textAlignment w:val="center"/>
              <w:rPr>
                <w:rFonts w:hint="eastAsia"/>
              </w:rPr>
            </w:pPr>
            <w:r>
              <w:rPr>
                <w:rFonts w:hint="eastAsia" w:ascii="Calibri" w:eastAsia="宋体"/>
                <w:sz w:val="24"/>
                <w:szCs w:val="24"/>
                <w:lang w:val="en-US" w:eastAsia="zh-CN"/>
              </w:rPr>
              <w:t>第十一条</w:t>
            </w:r>
            <w:r>
              <w:rPr>
                <w:rFonts w:hint="eastAsia"/>
                <w:sz w:val="24"/>
                <w:szCs w:val="24"/>
                <w:lang w:val="en-US" w:eastAsia="zh-CN"/>
              </w:rPr>
              <w:t xml:space="preserve"> </w:t>
            </w:r>
            <w:r>
              <w:rPr>
                <w:rFonts w:hint="eastAsia" w:ascii="Calibri" w:eastAsia="宋体"/>
                <w:sz w:val="24"/>
                <w:szCs w:val="24"/>
                <w:lang w:val="en-US" w:eastAsia="zh-CN"/>
              </w:rPr>
              <w:t>商标印制单位违反本办法第七条至第十条规定的，由所在地市场监督管理部门责令其限期改正，并视其情节予以警告，处以非法所得额三倍以下的罚款，但最高不超过三万元，没有违法所得的，可以处以一万元以下的罚款。</w:t>
            </w:r>
          </w:p>
        </w:tc>
        <w:tc>
          <w:tcPr>
            <w:tcW w:w="1169" w:type="dxa"/>
            <w:tcBorders>
              <w:tl2br w:val="nil"/>
              <w:tr2bl w:val="nil"/>
            </w:tcBorders>
            <w:noWrap/>
            <w:vAlign w:val="center"/>
          </w:tcPr>
          <w:p w14:paraId="52EF040F">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较轻</w:t>
            </w:r>
          </w:p>
        </w:tc>
        <w:tc>
          <w:tcPr>
            <w:tcW w:w="3328" w:type="dxa"/>
            <w:tcBorders>
              <w:tl2br w:val="nil"/>
              <w:tr2bl w:val="nil"/>
            </w:tcBorders>
            <w:noWrap w:val="0"/>
            <w:vAlign w:val="center"/>
          </w:tcPr>
          <w:p w14:paraId="1FBF61BF">
            <w:pPr>
              <w:keepNext w:val="0"/>
              <w:keepLines w:val="0"/>
              <w:pageBreakBefore w:val="0"/>
              <w:widowControl/>
              <w:suppressLineNumbers w:val="0"/>
              <w:kinsoku/>
              <w:wordWrap/>
              <w:overflowPunct/>
              <w:topLinePunct w:val="0"/>
              <w:autoSpaceDE/>
              <w:autoSpaceDN/>
              <w:bidi w:val="0"/>
              <w:spacing w:line="400" w:lineRule="exact"/>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没有违法所得的</w:t>
            </w:r>
            <w:r>
              <w:rPr>
                <w:rFonts w:hint="eastAsia" w:ascii="宋体" w:hAnsi="宋体" w:cs="宋体"/>
                <w:i w:val="0"/>
                <w:iCs w:val="0"/>
                <w:color w:val="auto"/>
                <w:kern w:val="0"/>
                <w:sz w:val="24"/>
                <w:szCs w:val="24"/>
                <w:highlight w:val="none"/>
                <w:u w:val="none"/>
                <w:lang w:val="en-US" w:eastAsia="zh-CN" w:bidi="ar"/>
              </w:rPr>
              <w:t>。</w:t>
            </w:r>
          </w:p>
        </w:tc>
        <w:tc>
          <w:tcPr>
            <w:tcW w:w="3233" w:type="dxa"/>
            <w:tcBorders>
              <w:tl2br w:val="nil"/>
              <w:tr2bl w:val="nil"/>
            </w:tcBorders>
            <w:noWrap w:val="0"/>
            <w:vAlign w:val="center"/>
          </w:tcPr>
          <w:p w14:paraId="40821B28">
            <w:pPr>
              <w:keepNext w:val="0"/>
              <w:keepLines w:val="0"/>
              <w:pageBreakBefore w:val="0"/>
              <w:widowControl/>
              <w:suppressLineNumbers w:val="0"/>
              <w:kinsoku/>
              <w:wordWrap/>
              <w:overflowPunct/>
              <w:topLinePunct w:val="0"/>
              <w:autoSpaceDE/>
              <w:autoSpaceDN/>
              <w:bidi w:val="0"/>
              <w:spacing w:line="400" w:lineRule="exact"/>
              <w:jc w:val="both"/>
              <w:textAlignment w:val="center"/>
              <w:rPr>
                <w:rFonts w:hint="eastAsia" w:ascii="宋体" w:hAnsi="宋体" w:eastAsia="宋体" w:cs="宋体"/>
                <w:i w:val="0"/>
                <w:iCs w:val="0"/>
                <w:color w:val="auto"/>
                <w:sz w:val="24"/>
                <w:szCs w:val="24"/>
                <w:highlight w:val="none"/>
                <w:u w:val="none"/>
              </w:rPr>
            </w:pPr>
            <w:r>
              <w:rPr>
                <w:rFonts w:hint="eastAsia" w:ascii="Calibri" w:eastAsia="宋体"/>
                <w:sz w:val="24"/>
                <w:szCs w:val="24"/>
                <w:lang w:val="en-US" w:eastAsia="zh-CN"/>
              </w:rPr>
              <w:t>责令其限期改正，并视其情节予以警告，</w:t>
            </w:r>
            <w:r>
              <w:rPr>
                <w:rFonts w:hint="eastAsia" w:ascii="宋体" w:hAnsi="宋体" w:eastAsia="宋体" w:cs="宋体"/>
                <w:i w:val="0"/>
                <w:iCs w:val="0"/>
                <w:color w:val="auto"/>
                <w:kern w:val="0"/>
                <w:sz w:val="24"/>
                <w:szCs w:val="24"/>
                <w:highlight w:val="none"/>
                <w:u w:val="none"/>
                <w:lang w:val="en-US" w:eastAsia="zh-CN" w:bidi="ar"/>
              </w:rPr>
              <w:t>可以处以</w:t>
            </w: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万元以下的罚款。</w:t>
            </w:r>
          </w:p>
        </w:tc>
      </w:tr>
      <w:tr w14:paraId="45D3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6" w:hRule="atLeast"/>
        </w:trPr>
        <w:tc>
          <w:tcPr>
            <w:tcW w:w="759" w:type="dxa"/>
            <w:vMerge w:val="continue"/>
            <w:tcBorders>
              <w:tl2br w:val="nil"/>
              <w:tr2bl w:val="nil"/>
            </w:tcBorders>
            <w:noWrap/>
            <w:vAlign w:val="center"/>
          </w:tcPr>
          <w:p w14:paraId="4EC4F926">
            <w:pPr>
              <w:keepNext w:val="0"/>
              <w:keepLines w:val="0"/>
              <w:pageBreakBefore w:val="0"/>
              <w:kinsoku/>
              <w:wordWrap/>
              <w:overflowPunct/>
              <w:topLinePunct w:val="0"/>
              <w:autoSpaceDE/>
              <w:autoSpaceDN/>
              <w:bidi w:val="0"/>
              <w:spacing w:line="400" w:lineRule="exact"/>
              <w:jc w:val="center"/>
              <w:rPr>
                <w:rFonts w:hint="eastAsia" w:ascii="宋体" w:hAnsi="宋体" w:eastAsia="宋体" w:cs="宋体"/>
                <w:i w:val="0"/>
                <w:iCs w:val="0"/>
                <w:color w:val="auto"/>
                <w:sz w:val="24"/>
                <w:szCs w:val="24"/>
                <w:u w:val="none"/>
              </w:rPr>
            </w:pPr>
          </w:p>
        </w:tc>
        <w:tc>
          <w:tcPr>
            <w:tcW w:w="1779" w:type="dxa"/>
            <w:vMerge w:val="continue"/>
            <w:tcBorders>
              <w:tl2br w:val="nil"/>
              <w:tr2bl w:val="nil"/>
            </w:tcBorders>
            <w:noWrap w:val="0"/>
            <w:vAlign w:val="center"/>
          </w:tcPr>
          <w:p w14:paraId="17C329C8">
            <w:pPr>
              <w:keepNext w:val="0"/>
              <w:keepLines w:val="0"/>
              <w:pageBreakBefore w:val="0"/>
              <w:widowControl/>
              <w:kinsoku/>
              <w:wordWrap/>
              <w:overflowPunct/>
              <w:topLinePunct w:val="0"/>
              <w:autoSpaceDE/>
              <w:autoSpaceDN/>
              <w:bidi w:val="0"/>
              <w:spacing w:line="400" w:lineRule="exact"/>
              <w:ind w:left="42" w:leftChars="20"/>
              <w:jc w:val="both"/>
              <w:rPr>
                <w:rFonts w:hint="eastAsia" w:ascii="宋体" w:hAnsi="宋体" w:eastAsia="宋体" w:cs="宋体"/>
                <w:i w:val="0"/>
                <w:iCs w:val="0"/>
                <w:color w:val="auto"/>
                <w:sz w:val="24"/>
                <w:szCs w:val="24"/>
                <w:u w:val="none"/>
              </w:rPr>
            </w:pPr>
          </w:p>
        </w:tc>
        <w:tc>
          <w:tcPr>
            <w:tcW w:w="4098" w:type="dxa"/>
            <w:vMerge w:val="continue"/>
            <w:tcBorders>
              <w:tl2br w:val="nil"/>
              <w:tr2bl w:val="nil"/>
            </w:tcBorders>
            <w:noWrap w:val="0"/>
            <w:vAlign w:val="center"/>
          </w:tcPr>
          <w:p w14:paraId="78B37FCA">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i w:val="0"/>
                <w:iCs w:val="0"/>
                <w:color w:val="auto"/>
                <w:sz w:val="24"/>
                <w:szCs w:val="24"/>
                <w:u w:val="none"/>
              </w:rPr>
            </w:pPr>
          </w:p>
        </w:tc>
        <w:tc>
          <w:tcPr>
            <w:tcW w:w="1169" w:type="dxa"/>
            <w:tcBorders>
              <w:tl2br w:val="nil"/>
              <w:tr2bl w:val="nil"/>
            </w:tcBorders>
            <w:noWrap/>
            <w:vAlign w:val="center"/>
          </w:tcPr>
          <w:p w14:paraId="70C6B4F2">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一般</w:t>
            </w:r>
          </w:p>
        </w:tc>
        <w:tc>
          <w:tcPr>
            <w:tcW w:w="3328" w:type="dxa"/>
            <w:tcBorders>
              <w:tl2br w:val="nil"/>
              <w:tr2bl w:val="nil"/>
            </w:tcBorders>
            <w:noWrap w:val="0"/>
            <w:vAlign w:val="center"/>
          </w:tcPr>
          <w:p w14:paraId="3EA96EB8">
            <w:pPr>
              <w:keepNext w:val="0"/>
              <w:keepLines w:val="0"/>
              <w:pageBreakBefore w:val="0"/>
              <w:widowControl/>
              <w:suppressLineNumbers w:val="0"/>
              <w:kinsoku/>
              <w:wordWrap/>
              <w:overflowPunct/>
              <w:topLinePunct w:val="0"/>
              <w:autoSpaceDE/>
              <w:autoSpaceDN/>
              <w:bidi w:val="0"/>
              <w:spacing w:line="400" w:lineRule="exact"/>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违法经营额在</w:t>
            </w:r>
            <w:r>
              <w:rPr>
                <w:rFonts w:hint="default" w:ascii="宋体" w:hAnsi="宋体" w:cs="宋体"/>
                <w:i w:val="0"/>
                <w:iCs w:val="0"/>
                <w:color w:val="auto"/>
                <w:kern w:val="0"/>
                <w:sz w:val="24"/>
                <w:szCs w:val="24"/>
                <w:highlight w:val="none"/>
                <w:u w:val="none"/>
                <w:lang w:val="en" w:eastAsia="zh-CN" w:bidi="ar"/>
              </w:rPr>
              <w:t>5</w:t>
            </w:r>
            <w:r>
              <w:rPr>
                <w:rFonts w:hint="eastAsia" w:ascii="宋体" w:hAnsi="宋体" w:eastAsia="宋体" w:cs="宋体"/>
                <w:i w:val="0"/>
                <w:iCs w:val="0"/>
                <w:color w:val="auto"/>
                <w:kern w:val="0"/>
                <w:sz w:val="24"/>
                <w:szCs w:val="24"/>
                <w:highlight w:val="none"/>
                <w:u w:val="none"/>
                <w:lang w:val="en-US" w:eastAsia="zh-CN" w:bidi="ar"/>
              </w:rPr>
              <w:t>万元以下的。</w:t>
            </w:r>
          </w:p>
        </w:tc>
        <w:tc>
          <w:tcPr>
            <w:tcW w:w="3233" w:type="dxa"/>
            <w:tcBorders>
              <w:tl2br w:val="nil"/>
              <w:tr2bl w:val="nil"/>
            </w:tcBorders>
            <w:noWrap w:val="0"/>
            <w:vAlign w:val="center"/>
          </w:tcPr>
          <w:p w14:paraId="7988919E">
            <w:pPr>
              <w:keepNext w:val="0"/>
              <w:keepLines w:val="0"/>
              <w:pageBreakBefore w:val="0"/>
              <w:widowControl/>
              <w:suppressLineNumbers w:val="0"/>
              <w:kinsoku/>
              <w:wordWrap/>
              <w:overflowPunct/>
              <w:topLinePunct w:val="0"/>
              <w:autoSpaceDE/>
              <w:autoSpaceDN/>
              <w:bidi w:val="0"/>
              <w:spacing w:line="400" w:lineRule="exact"/>
              <w:jc w:val="both"/>
              <w:textAlignment w:val="center"/>
              <w:rPr>
                <w:rFonts w:hint="eastAsia" w:ascii="宋体" w:hAnsi="宋体" w:eastAsia="宋体" w:cs="宋体"/>
                <w:i w:val="0"/>
                <w:iCs w:val="0"/>
                <w:color w:val="auto"/>
                <w:sz w:val="24"/>
                <w:szCs w:val="24"/>
                <w:highlight w:val="none"/>
                <w:u w:val="none"/>
              </w:rPr>
            </w:pPr>
            <w:r>
              <w:rPr>
                <w:rFonts w:hint="eastAsia" w:ascii="Calibri" w:eastAsia="宋体"/>
                <w:sz w:val="24"/>
                <w:szCs w:val="24"/>
                <w:lang w:val="en-US" w:eastAsia="zh-CN"/>
              </w:rPr>
              <w:t>责令其限期改正，并视其情节予以警告</w:t>
            </w:r>
            <w:r>
              <w:rPr>
                <w:rFonts w:hint="eastAsia" w:ascii="宋体" w:hAnsi="宋体" w:eastAsia="宋体" w:cs="宋体"/>
                <w:i w:val="0"/>
                <w:iCs w:val="0"/>
                <w:color w:val="auto"/>
                <w:kern w:val="0"/>
                <w:sz w:val="24"/>
                <w:szCs w:val="24"/>
                <w:highlight w:val="none"/>
                <w:u w:val="none"/>
                <w:lang w:val="en-US" w:eastAsia="zh-CN" w:bidi="ar"/>
              </w:rPr>
              <w:t>，处以非法所得</w:t>
            </w:r>
            <w:r>
              <w:rPr>
                <w:rFonts w:hint="eastAsia" w:ascii="宋体" w:hAnsi="宋体" w:cs="宋体"/>
                <w:i w:val="0"/>
                <w:iCs w:val="0"/>
                <w:color w:val="auto"/>
                <w:kern w:val="0"/>
                <w:sz w:val="24"/>
                <w:szCs w:val="24"/>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倍的罚款，但最高不超过</w:t>
            </w:r>
            <w:r>
              <w:rPr>
                <w:rFonts w:hint="eastAsia" w:ascii="宋体" w:hAnsi="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en-US" w:eastAsia="zh-CN" w:bidi="ar"/>
              </w:rPr>
              <w:t>万元。</w:t>
            </w:r>
          </w:p>
        </w:tc>
      </w:tr>
      <w:tr w14:paraId="5AFF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5" w:hRule="atLeast"/>
        </w:trPr>
        <w:tc>
          <w:tcPr>
            <w:tcW w:w="759" w:type="dxa"/>
            <w:vMerge w:val="continue"/>
            <w:tcBorders>
              <w:tl2br w:val="nil"/>
              <w:tr2bl w:val="nil"/>
            </w:tcBorders>
            <w:noWrap/>
            <w:vAlign w:val="center"/>
          </w:tcPr>
          <w:p w14:paraId="3FE49610">
            <w:pPr>
              <w:keepNext w:val="0"/>
              <w:keepLines w:val="0"/>
              <w:pageBreakBefore w:val="0"/>
              <w:kinsoku/>
              <w:wordWrap/>
              <w:overflowPunct/>
              <w:topLinePunct w:val="0"/>
              <w:autoSpaceDE/>
              <w:autoSpaceDN/>
              <w:bidi w:val="0"/>
              <w:spacing w:line="400" w:lineRule="exact"/>
              <w:jc w:val="center"/>
              <w:rPr>
                <w:rFonts w:hint="eastAsia" w:ascii="宋体" w:hAnsi="宋体" w:eastAsia="宋体" w:cs="宋体"/>
                <w:i w:val="0"/>
                <w:iCs w:val="0"/>
                <w:color w:val="auto"/>
                <w:sz w:val="24"/>
                <w:szCs w:val="24"/>
                <w:u w:val="none"/>
              </w:rPr>
            </w:pPr>
          </w:p>
        </w:tc>
        <w:tc>
          <w:tcPr>
            <w:tcW w:w="1779" w:type="dxa"/>
            <w:vMerge w:val="continue"/>
            <w:tcBorders>
              <w:tl2br w:val="nil"/>
              <w:tr2bl w:val="nil"/>
            </w:tcBorders>
            <w:noWrap w:val="0"/>
            <w:vAlign w:val="center"/>
          </w:tcPr>
          <w:p w14:paraId="61100D49">
            <w:pPr>
              <w:keepNext w:val="0"/>
              <w:keepLines w:val="0"/>
              <w:pageBreakBefore w:val="0"/>
              <w:widowControl/>
              <w:kinsoku/>
              <w:wordWrap/>
              <w:overflowPunct/>
              <w:topLinePunct w:val="0"/>
              <w:autoSpaceDE/>
              <w:autoSpaceDN/>
              <w:bidi w:val="0"/>
              <w:spacing w:line="400" w:lineRule="exact"/>
              <w:ind w:left="42" w:leftChars="20"/>
              <w:jc w:val="both"/>
              <w:rPr>
                <w:rFonts w:hint="eastAsia" w:ascii="宋体" w:hAnsi="宋体" w:eastAsia="宋体" w:cs="宋体"/>
                <w:i w:val="0"/>
                <w:iCs w:val="0"/>
                <w:color w:val="auto"/>
                <w:sz w:val="24"/>
                <w:szCs w:val="24"/>
                <w:u w:val="none"/>
              </w:rPr>
            </w:pPr>
          </w:p>
        </w:tc>
        <w:tc>
          <w:tcPr>
            <w:tcW w:w="4098" w:type="dxa"/>
            <w:vMerge w:val="continue"/>
            <w:tcBorders>
              <w:tl2br w:val="nil"/>
              <w:tr2bl w:val="nil"/>
            </w:tcBorders>
            <w:noWrap w:val="0"/>
            <w:vAlign w:val="center"/>
          </w:tcPr>
          <w:p w14:paraId="6CBA6543">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i w:val="0"/>
                <w:iCs w:val="0"/>
                <w:color w:val="auto"/>
                <w:sz w:val="24"/>
                <w:szCs w:val="24"/>
                <w:u w:val="none"/>
              </w:rPr>
            </w:pPr>
          </w:p>
        </w:tc>
        <w:tc>
          <w:tcPr>
            <w:tcW w:w="1169" w:type="dxa"/>
            <w:tcBorders>
              <w:tl2br w:val="nil"/>
              <w:tr2bl w:val="nil"/>
            </w:tcBorders>
            <w:noWrap/>
            <w:vAlign w:val="center"/>
          </w:tcPr>
          <w:p w14:paraId="3FD45AA7">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较重</w:t>
            </w:r>
          </w:p>
        </w:tc>
        <w:tc>
          <w:tcPr>
            <w:tcW w:w="3328" w:type="dxa"/>
            <w:tcBorders>
              <w:tl2br w:val="nil"/>
              <w:tr2bl w:val="nil"/>
            </w:tcBorders>
            <w:noWrap w:val="0"/>
            <w:vAlign w:val="center"/>
          </w:tcPr>
          <w:p w14:paraId="1EA82DAE">
            <w:pPr>
              <w:keepNext w:val="0"/>
              <w:keepLines w:val="0"/>
              <w:pageBreakBefore w:val="0"/>
              <w:widowControl/>
              <w:suppressLineNumbers w:val="0"/>
              <w:kinsoku/>
              <w:wordWrap/>
              <w:overflowPunct/>
              <w:topLinePunct w:val="0"/>
              <w:autoSpaceDE/>
              <w:autoSpaceDN/>
              <w:bidi w:val="0"/>
              <w:spacing w:line="400" w:lineRule="exact"/>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违法经营额在</w:t>
            </w:r>
            <w:r>
              <w:rPr>
                <w:rFonts w:hint="default" w:ascii="宋体" w:hAnsi="宋体" w:cs="宋体"/>
                <w:i w:val="0"/>
                <w:iCs w:val="0"/>
                <w:color w:val="auto"/>
                <w:kern w:val="0"/>
                <w:sz w:val="24"/>
                <w:szCs w:val="24"/>
                <w:highlight w:val="none"/>
                <w:u w:val="none"/>
                <w:lang w:val="en" w:eastAsia="zh-CN" w:bidi="ar"/>
              </w:rPr>
              <w:t>5</w:t>
            </w:r>
            <w:r>
              <w:rPr>
                <w:rFonts w:hint="eastAsia" w:ascii="宋体" w:hAnsi="宋体" w:eastAsia="宋体" w:cs="宋体"/>
                <w:i w:val="0"/>
                <w:iCs w:val="0"/>
                <w:color w:val="auto"/>
                <w:kern w:val="0"/>
                <w:sz w:val="24"/>
                <w:szCs w:val="24"/>
                <w:highlight w:val="none"/>
                <w:u w:val="none"/>
                <w:lang w:val="en-US" w:eastAsia="zh-CN" w:bidi="ar"/>
              </w:rPr>
              <w:t>万元以上</w:t>
            </w:r>
            <w:r>
              <w:rPr>
                <w:rFonts w:hint="default" w:ascii="宋体" w:hAnsi="宋体" w:cs="宋体"/>
                <w:i w:val="0"/>
                <w:iCs w:val="0"/>
                <w:color w:val="auto"/>
                <w:kern w:val="0"/>
                <w:sz w:val="24"/>
                <w:szCs w:val="24"/>
                <w:highlight w:val="none"/>
                <w:u w:val="none"/>
                <w:lang w:val="en" w:eastAsia="zh-CN" w:bidi="ar"/>
              </w:rPr>
              <w:t>20</w:t>
            </w:r>
            <w:r>
              <w:rPr>
                <w:rFonts w:hint="eastAsia" w:ascii="宋体" w:hAnsi="宋体" w:eastAsia="宋体" w:cs="宋体"/>
                <w:i w:val="0"/>
                <w:iCs w:val="0"/>
                <w:color w:val="auto"/>
                <w:kern w:val="0"/>
                <w:sz w:val="24"/>
                <w:szCs w:val="24"/>
                <w:highlight w:val="none"/>
                <w:u w:val="none"/>
                <w:lang w:val="en-US" w:eastAsia="zh-CN" w:bidi="ar"/>
              </w:rPr>
              <w:t>万元以下的。</w:t>
            </w:r>
          </w:p>
        </w:tc>
        <w:tc>
          <w:tcPr>
            <w:tcW w:w="3233" w:type="dxa"/>
            <w:tcBorders>
              <w:tl2br w:val="nil"/>
              <w:tr2bl w:val="nil"/>
            </w:tcBorders>
            <w:noWrap w:val="0"/>
            <w:vAlign w:val="center"/>
          </w:tcPr>
          <w:p w14:paraId="2151C503">
            <w:pPr>
              <w:keepNext w:val="0"/>
              <w:keepLines w:val="0"/>
              <w:pageBreakBefore w:val="0"/>
              <w:widowControl/>
              <w:suppressLineNumbers w:val="0"/>
              <w:kinsoku/>
              <w:wordWrap/>
              <w:overflowPunct/>
              <w:topLinePunct w:val="0"/>
              <w:autoSpaceDE/>
              <w:autoSpaceDN/>
              <w:bidi w:val="0"/>
              <w:spacing w:line="400" w:lineRule="exact"/>
              <w:jc w:val="both"/>
              <w:textAlignment w:val="center"/>
              <w:rPr>
                <w:rFonts w:hint="eastAsia" w:ascii="宋体" w:hAnsi="宋体" w:eastAsia="宋体" w:cs="宋体"/>
                <w:i w:val="0"/>
                <w:iCs w:val="0"/>
                <w:color w:val="auto"/>
                <w:sz w:val="24"/>
                <w:szCs w:val="24"/>
                <w:highlight w:val="none"/>
                <w:u w:val="none"/>
              </w:rPr>
            </w:pPr>
            <w:r>
              <w:rPr>
                <w:rFonts w:hint="eastAsia" w:ascii="Calibri" w:eastAsia="宋体"/>
                <w:sz w:val="24"/>
                <w:szCs w:val="24"/>
                <w:lang w:val="en-US" w:eastAsia="zh-CN"/>
              </w:rPr>
              <w:t>责令其限期改正，并视其情节予以警告</w:t>
            </w:r>
            <w:r>
              <w:rPr>
                <w:rFonts w:hint="eastAsia" w:ascii="宋体" w:hAnsi="宋体" w:eastAsia="宋体" w:cs="宋体"/>
                <w:i w:val="0"/>
                <w:iCs w:val="0"/>
                <w:color w:val="auto"/>
                <w:kern w:val="0"/>
                <w:sz w:val="24"/>
                <w:szCs w:val="24"/>
                <w:highlight w:val="none"/>
                <w:u w:val="none"/>
                <w:lang w:val="en-US" w:eastAsia="zh-CN" w:bidi="ar"/>
              </w:rPr>
              <w:t>，处以非法所得一倍以上</w:t>
            </w:r>
            <w:r>
              <w:rPr>
                <w:rFonts w:hint="eastAsia" w:ascii="宋体" w:hAnsi="宋体" w:cs="宋体"/>
                <w:i w:val="0"/>
                <w:iCs w:val="0"/>
                <w:color w:val="auto"/>
                <w:kern w:val="0"/>
                <w:sz w:val="24"/>
                <w:szCs w:val="24"/>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倍以下的罚款，但最高不超过</w:t>
            </w:r>
            <w:r>
              <w:rPr>
                <w:rFonts w:hint="eastAsia" w:ascii="宋体" w:hAnsi="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en-US" w:eastAsia="zh-CN" w:bidi="ar"/>
              </w:rPr>
              <w:t>万元。</w:t>
            </w:r>
          </w:p>
        </w:tc>
      </w:tr>
      <w:tr w14:paraId="628F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7" w:hRule="atLeast"/>
        </w:trPr>
        <w:tc>
          <w:tcPr>
            <w:tcW w:w="759" w:type="dxa"/>
            <w:vMerge w:val="continue"/>
            <w:tcBorders>
              <w:tl2br w:val="nil"/>
              <w:tr2bl w:val="nil"/>
            </w:tcBorders>
            <w:noWrap/>
            <w:vAlign w:val="center"/>
          </w:tcPr>
          <w:p w14:paraId="6A1D2116">
            <w:pPr>
              <w:keepNext w:val="0"/>
              <w:keepLines w:val="0"/>
              <w:pageBreakBefore w:val="0"/>
              <w:kinsoku/>
              <w:wordWrap/>
              <w:overflowPunct/>
              <w:topLinePunct w:val="0"/>
              <w:autoSpaceDE/>
              <w:autoSpaceDN/>
              <w:bidi w:val="0"/>
              <w:spacing w:line="400" w:lineRule="exact"/>
              <w:jc w:val="center"/>
              <w:rPr>
                <w:rFonts w:hint="eastAsia" w:ascii="宋体" w:hAnsi="宋体" w:eastAsia="宋体" w:cs="宋体"/>
                <w:i w:val="0"/>
                <w:iCs w:val="0"/>
                <w:color w:val="auto"/>
                <w:sz w:val="24"/>
                <w:szCs w:val="24"/>
                <w:u w:val="none"/>
              </w:rPr>
            </w:pPr>
          </w:p>
        </w:tc>
        <w:tc>
          <w:tcPr>
            <w:tcW w:w="1779" w:type="dxa"/>
            <w:vMerge w:val="continue"/>
            <w:tcBorders>
              <w:tl2br w:val="nil"/>
              <w:tr2bl w:val="nil"/>
            </w:tcBorders>
            <w:noWrap w:val="0"/>
            <w:vAlign w:val="center"/>
          </w:tcPr>
          <w:p w14:paraId="10F942FE">
            <w:pPr>
              <w:keepNext w:val="0"/>
              <w:keepLines w:val="0"/>
              <w:pageBreakBefore w:val="0"/>
              <w:widowControl/>
              <w:kinsoku/>
              <w:wordWrap/>
              <w:overflowPunct/>
              <w:topLinePunct w:val="0"/>
              <w:autoSpaceDE/>
              <w:autoSpaceDN/>
              <w:bidi w:val="0"/>
              <w:spacing w:line="400" w:lineRule="exact"/>
              <w:ind w:left="42" w:leftChars="20"/>
              <w:jc w:val="both"/>
              <w:rPr>
                <w:rFonts w:hint="eastAsia" w:ascii="宋体" w:hAnsi="宋体" w:eastAsia="宋体" w:cs="宋体"/>
                <w:i w:val="0"/>
                <w:iCs w:val="0"/>
                <w:color w:val="auto"/>
                <w:sz w:val="24"/>
                <w:szCs w:val="24"/>
                <w:u w:val="none"/>
              </w:rPr>
            </w:pPr>
          </w:p>
        </w:tc>
        <w:tc>
          <w:tcPr>
            <w:tcW w:w="4098" w:type="dxa"/>
            <w:vMerge w:val="continue"/>
            <w:tcBorders>
              <w:tl2br w:val="nil"/>
              <w:tr2bl w:val="nil"/>
            </w:tcBorders>
            <w:noWrap w:val="0"/>
            <w:vAlign w:val="center"/>
          </w:tcPr>
          <w:p w14:paraId="3C7472C6">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i w:val="0"/>
                <w:iCs w:val="0"/>
                <w:color w:val="auto"/>
                <w:sz w:val="24"/>
                <w:szCs w:val="24"/>
                <w:u w:val="none"/>
              </w:rPr>
            </w:pPr>
          </w:p>
        </w:tc>
        <w:tc>
          <w:tcPr>
            <w:tcW w:w="1169" w:type="dxa"/>
            <w:tcBorders>
              <w:tl2br w:val="nil"/>
              <w:tr2bl w:val="nil"/>
            </w:tcBorders>
            <w:noWrap/>
            <w:vAlign w:val="center"/>
          </w:tcPr>
          <w:p w14:paraId="4A5A2BD1">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i w:val="0"/>
                <w:iCs w:val="0"/>
                <w:color w:val="auto"/>
                <w:sz w:val="24"/>
                <w:szCs w:val="24"/>
                <w:highlight w:val="none"/>
                <w:u w:val="none"/>
                <w:lang w:eastAsia="zh-CN"/>
              </w:rPr>
            </w:pPr>
            <w:r>
              <w:rPr>
                <w:rFonts w:hint="eastAsia" w:ascii="宋体" w:hAnsi="宋体" w:eastAsia="宋体" w:cs="宋体"/>
                <w:i w:val="0"/>
                <w:iCs w:val="0"/>
                <w:color w:val="auto"/>
                <w:sz w:val="24"/>
                <w:szCs w:val="24"/>
                <w:highlight w:val="none"/>
                <w:u w:val="none"/>
                <w:lang w:val="en-US" w:eastAsia="zh-CN"/>
              </w:rPr>
              <w:t>严重</w:t>
            </w:r>
          </w:p>
        </w:tc>
        <w:tc>
          <w:tcPr>
            <w:tcW w:w="3328" w:type="dxa"/>
            <w:tcBorders>
              <w:tl2br w:val="nil"/>
              <w:tr2bl w:val="nil"/>
            </w:tcBorders>
            <w:noWrap w:val="0"/>
            <w:vAlign w:val="center"/>
          </w:tcPr>
          <w:p w14:paraId="791F20B8">
            <w:pPr>
              <w:keepNext w:val="0"/>
              <w:keepLines w:val="0"/>
              <w:pageBreakBefore w:val="0"/>
              <w:widowControl/>
              <w:suppressLineNumbers w:val="0"/>
              <w:kinsoku/>
              <w:wordWrap/>
              <w:overflowPunct/>
              <w:topLinePunct w:val="0"/>
              <w:autoSpaceDE/>
              <w:autoSpaceDN/>
              <w:bidi w:val="0"/>
              <w:spacing w:line="400" w:lineRule="exact"/>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违法经营额在</w:t>
            </w:r>
            <w:r>
              <w:rPr>
                <w:rFonts w:hint="default" w:ascii="宋体" w:hAnsi="宋体" w:cs="宋体"/>
                <w:i w:val="0"/>
                <w:iCs w:val="0"/>
                <w:color w:val="auto"/>
                <w:kern w:val="0"/>
                <w:sz w:val="24"/>
                <w:szCs w:val="24"/>
                <w:highlight w:val="none"/>
                <w:u w:val="none"/>
                <w:lang w:val="en" w:eastAsia="zh-CN" w:bidi="ar"/>
              </w:rPr>
              <w:t>20</w:t>
            </w:r>
            <w:r>
              <w:rPr>
                <w:rFonts w:hint="eastAsia" w:ascii="宋体" w:hAnsi="宋体" w:eastAsia="宋体" w:cs="宋体"/>
                <w:i w:val="0"/>
                <w:iCs w:val="0"/>
                <w:color w:val="auto"/>
                <w:kern w:val="0"/>
                <w:sz w:val="24"/>
                <w:szCs w:val="24"/>
                <w:highlight w:val="none"/>
                <w:u w:val="none"/>
                <w:lang w:val="en-US" w:eastAsia="zh-CN" w:bidi="ar"/>
              </w:rPr>
              <w:t>万元以上的。</w:t>
            </w:r>
          </w:p>
        </w:tc>
        <w:tc>
          <w:tcPr>
            <w:tcW w:w="3233" w:type="dxa"/>
            <w:tcBorders>
              <w:tl2br w:val="nil"/>
              <w:tr2bl w:val="nil"/>
            </w:tcBorders>
            <w:noWrap w:val="0"/>
            <w:vAlign w:val="center"/>
          </w:tcPr>
          <w:p w14:paraId="4C824B9D">
            <w:pPr>
              <w:keepNext w:val="0"/>
              <w:keepLines w:val="0"/>
              <w:pageBreakBefore w:val="0"/>
              <w:widowControl/>
              <w:suppressLineNumbers w:val="0"/>
              <w:kinsoku/>
              <w:wordWrap/>
              <w:overflowPunct/>
              <w:topLinePunct w:val="0"/>
              <w:autoSpaceDE/>
              <w:autoSpaceDN/>
              <w:bidi w:val="0"/>
              <w:spacing w:line="400" w:lineRule="exact"/>
              <w:jc w:val="both"/>
              <w:textAlignment w:val="center"/>
              <w:rPr>
                <w:rFonts w:hint="eastAsia" w:ascii="宋体" w:hAnsi="宋体" w:eastAsia="宋体" w:cs="宋体"/>
                <w:i w:val="0"/>
                <w:iCs w:val="0"/>
                <w:color w:val="auto"/>
                <w:sz w:val="24"/>
                <w:szCs w:val="24"/>
                <w:highlight w:val="none"/>
                <w:u w:val="none"/>
              </w:rPr>
            </w:pPr>
            <w:r>
              <w:rPr>
                <w:rFonts w:hint="eastAsia" w:ascii="Calibri" w:eastAsia="宋体"/>
                <w:sz w:val="24"/>
                <w:szCs w:val="24"/>
                <w:lang w:val="en-US" w:eastAsia="zh-CN"/>
              </w:rPr>
              <w:t>责令其限期改正，并视其情节予以警告</w:t>
            </w:r>
            <w:r>
              <w:rPr>
                <w:rFonts w:hint="eastAsia" w:ascii="宋体" w:hAnsi="宋体" w:eastAsia="宋体" w:cs="宋体"/>
                <w:i w:val="0"/>
                <w:iCs w:val="0"/>
                <w:color w:val="auto"/>
                <w:kern w:val="0"/>
                <w:sz w:val="24"/>
                <w:szCs w:val="24"/>
                <w:highlight w:val="none"/>
                <w:u w:val="none"/>
                <w:lang w:val="en-US" w:eastAsia="zh-CN" w:bidi="ar"/>
              </w:rPr>
              <w:t>，处以</w:t>
            </w:r>
            <w:r>
              <w:rPr>
                <w:rFonts w:hint="eastAsia" w:ascii="宋体" w:hAnsi="宋体" w:cs="宋体"/>
                <w:i w:val="0"/>
                <w:iCs w:val="0"/>
                <w:color w:val="auto"/>
                <w:kern w:val="0"/>
                <w:sz w:val="24"/>
                <w:szCs w:val="24"/>
                <w:highlight w:val="none"/>
                <w:u w:val="none"/>
                <w:lang w:val="en-US" w:eastAsia="zh-CN" w:bidi="ar"/>
              </w:rPr>
              <w:t>非</w:t>
            </w:r>
            <w:r>
              <w:rPr>
                <w:rFonts w:hint="eastAsia" w:ascii="宋体" w:hAnsi="宋体" w:eastAsia="宋体" w:cs="宋体"/>
                <w:i w:val="0"/>
                <w:iCs w:val="0"/>
                <w:color w:val="auto"/>
                <w:kern w:val="0"/>
                <w:sz w:val="24"/>
                <w:szCs w:val="24"/>
                <w:highlight w:val="none"/>
                <w:u w:val="none"/>
                <w:lang w:val="en-US" w:eastAsia="zh-CN" w:bidi="ar"/>
              </w:rPr>
              <w:t>法所得</w:t>
            </w:r>
            <w:r>
              <w:rPr>
                <w:rFonts w:hint="eastAsia" w:ascii="宋体" w:hAnsi="宋体" w:cs="宋体"/>
                <w:i w:val="0"/>
                <w:iCs w:val="0"/>
                <w:color w:val="auto"/>
                <w:kern w:val="0"/>
                <w:sz w:val="24"/>
                <w:szCs w:val="24"/>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倍以上</w:t>
            </w:r>
            <w:r>
              <w:rPr>
                <w:rFonts w:hint="eastAsia" w:ascii="宋体" w:hAnsi="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en-US" w:eastAsia="zh-CN" w:bidi="ar"/>
              </w:rPr>
              <w:t>倍以下的罚款，但最高不超过</w:t>
            </w:r>
            <w:r>
              <w:rPr>
                <w:rFonts w:hint="eastAsia" w:ascii="宋体" w:hAnsi="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en-US" w:eastAsia="zh-CN" w:bidi="ar"/>
              </w:rPr>
              <w:t>万元。</w:t>
            </w:r>
          </w:p>
        </w:tc>
      </w:tr>
      <w:tr w14:paraId="7246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759" w:type="dxa"/>
            <w:vMerge w:val="restart"/>
            <w:tcBorders>
              <w:tl2br w:val="nil"/>
              <w:tr2bl w:val="nil"/>
            </w:tcBorders>
            <w:noWrap w:val="0"/>
            <w:vAlign w:val="center"/>
          </w:tcPr>
          <w:p w14:paraId="73C6F9E5">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default" w:ascii="宋体" w:hAnsi="宋体" w:eastAsia="宋体" w:cs="宋体"/>
                <w:b w:val="0"/>
                <w:bCs w:val="0"/>
                <w:i w:val="0"/>
                <w:iCs w:val="0"/>
                <w:strike w:val="0"/>
                <w:dstrike w:val="0"/>
                <w:color w:val="auto"/>
                <w:sz w:val="24"/>
                <w:szCs w:val="24"/>
                <w:highlight w:val="none"/>
                <w:u w:val="none"/>
                <w:lang w:val="en-US"/>
              </w:rPr>
            </w:pPr>
            <w:r>
              <w:rPr>
                <w:rFonts w:hint="eastAsia" w:ascii="宋体" w:hAnsi="宋体" w:eastAsia="宋体" w:cs="宋体"/>
                <w:b w:val="0"/>
                <w:bCs w:val="0"/>
                <w:i w:val="0"/>
                <w:iCs w:val="0"/>
                <w:strike w:val="0"/>
                <w:dstrike w:val="0"/>
                <w:color w:val="auto"/>
                <w:kern w:val="0"/>
                <w:sz w:val="24"/>
                <w:szCs w:val="24"/>
                <w:highlight w:val="none"/>
                <w:u w:val="none"/>
                <w:lang w:val="en-US" w:eastAsia="zh-CN" w:bidi="ar"/>
              </w:rPr>
              <w:t>3</w:t>
            </w:r>
            <w:r>
              <w:rPr>
                <w:rFonts w:hint="eastAsia" w:ascii="宋体" w:hAnsi="宋体" w:cs="宋体"/>
                <w:b w:val="0"/>
                <w:bCs w:val="0"/>
                <w:i w:val="0"/>
                <w:iCs w:val="0"/>
                <w:strike w:val="0"/>
                <w:dstrike w:val="0"/>
                <w:color w:val="auto"/>
                <w:kern w:val="0"/>
                <w:sz w:val="24"/>
                <w:szCs w:val="24"/>
                <w:highlight w:val="none"/>
                <w:u w:val="none"/>
                <w:lang w:val="en-US" w:eastAsia="zh-CN" w:bidi="ar"/>
              </w:rPr>
              <w:t>32</w:t>
            </w:r>
          </w:p>
        </w:tc>
        <w:tc>
          <w:tcPr>
            <w:tcW w:w="1779" w:type="dxa"/>
            <w:vMerge w:val="restart"/>
            <w:tcBorders>
              <w:tl2br w:val="nil"/>
              <w:tr2bl w:val="nil"/>
            </w:tcBorders>
            <w:noWrap w:val="0"/>
            <w:vAlign w:val="center"/>
          </w:tcPr>
          <w:p w14:paraId="7E7BC94D">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center"/>
              <w:textAlignment w:val="center"/>
              <w:outlineLvl w:val="2"/>
              <w:rPr>
                <w:rFonts w:hint="eastAsia" w:ascii="宋体" w:hAnsi="宋体" w:eastAsia="宋体" w:cs="宋体"/>
                <w:b w:val="0"/>
                <w:bCs w:val="0"/>
                <w:i w:val="0"/>
                <w:iCs w:val="0"/>
                <w:strike w:val="0"/>
                <w:dstrike w:val="0"/>
                <w:color w:val="auto"/>
                <w:sz w:val="24"/>
                <w:szCs w:val="24"/>
                <w:highlight w:val="none"/>
                <w:u w:val="none"/>
              </w:rPr>
            </w:pPr>
            <w:bookmarkStart w:id="396" w:name="_Toc14131"/>
            <w:bookmarkStart w:id="397" w:name="_Toc6442"/>
            <w:bookmarkStart w:id="398" w:name="_Toc2500"/>
            <w:bookmarkStart w:id="399" w:name="_Toc3956"/>
            <w:bookmarkStart w:id="400" w:name="_Toc25801"/>
            <w:r>
              <w:rPr>
                <w:rFonts w:hint="eastAsia" w:ascii="宋体" w:hAnsi="宋体" w:eastAsia="宋体" w:cs="宋体"/>
                <w:b w:val="0"/>
                <w:bCs w:val="0"/>
                <w:i w:val="0"/>
                <w:iCs w:val="0"/>
                <w:strike w:val="0"/>
                <w:dstrike w:val="0"/>
                <w:color w:val="auto"/>
                <w:kern w:val="0"/>
                <w:sz w:val="24"/>
                <w:szCs w:val="24"/>
                <w:highlight w:val="none"/>
                <w:u w:val="none"/>
                <w:lang w:val="en-US" w:eastAsia="zh-CN" w:bidi="ar"/>
              </w:rPr>
              <w:t>《吉林省专利条例》（20</w:t>
            </w:r>
            <w:r>
              <w:rPr>
                <w:rFonts w:hint="eastAsia" w:ascii="宋体" w:hAnsi="宋体" w:cs="宋体"/>
                <w:b w:val="0"/>
                <w:bCs w:val="0"/>
                <w:i w:val="0"/>
                <w:iCs w:val="0"/>
                <w:strike w:val="0"/>
                <w:dstrike w:val="0"/>
                <w:color w:val="auto"/>
                <w:kern w:val="0"/>
                <w:sz w:val="24"/>
                <w:szCs w:val="24"/>
                <w:highlight w:val="none"/>
                <w:u w:val="none"/>
                <w:lang w:val="en-US" w:eastAsia="zh-CN" w:bidi="ar"/>
              </w:rPr>
              <w:t>18</w:t>
            </w:r>
            <w:r>
              <w:rPr>
                <w:rFonts w:hint="eastAsia" w:ascii="宋体" w:hAnsi="宋体" w:eastAsia="宋体" w:cs="宋体"/>
                <w:b w:val="0"/>
                <w:bCs w:val="0"/>
                <w:i w:val="0"/>
                <w:iCs w:val="0"/>
                <w:strike w:val="0"/>
                <w:dstrike w:val="0"/>
                <w:color w:val="auto"/>
                <w:kern w:val="0"/>
                <w:sz w:val="24"/>
                <w:szCs w:val="24"/>
                <w:highlight w:val="none"/>
                <w:u w:val="none"/>
                <w:lang w:val="en-US" w:eastAsia="zh-CN" w:bidi="ar"/>
              </w:rPr>
              <w:t>年1月1日</w:t>
            </w:r>
            <w:r>
              <w:rPr>
                <w:rFonts w:hint="eastAsia" w:ascii="宋体" w:hAnsi="宋体" w:cs="宋体"/>
                <w:b w:val="0"/>
                <w:bCs w:val="0"/>
                <w:i w:val="0"/>
                <w:iCs w:val="0"/>
                <w:strike w:val="0"/>
                <w:dstrike w:val="0"/>
                <w:color w:val="auto"/>
                <w:kern w:val="0"/>
                <w:sz w:val="24"/>
                <w:szCs w:val="24"/>
                <w:highlight w:val="none"/>
                <w:u w:val="none"/>
                <w:lang w:val="en-US" w:eastAsia="zh-CN" w:bidi="ar"/>
              </w:rPr>
              <w:t>起施行</w:t>
            </w:r>
            <w:r>
              <w:rPr>
                <w:rFonts w:hint="eastAsia" w:ascii="宋体" w:hAnsi="宋体" w:eastAsia="宋体" w:cs="宋体"/>
                <w:b w:val="0"/>
                <w:bCs w:val="0"/>
                <w:i w:val="0"/>
                <w:iCs w:val="0"/>
                <w:strike w:val="0"/>
                <w:dstrike w:val="0"/>
                <w:color w:val="auto"/>
                <w:kern w:val="0"/>
                <w:sz w:val="24"/>
                <w:szCs w:val="24"/>
                <w:highlight w:val="none"/>
                <w:u w:val="none"/>
                <w:lang w:val="en-US" w:eastAsia="zh-CN" w:bidi="ar"/>
              </w:rPr>
              <w:t>）</w:t>
            </w:r>
            <w:bookmarkEnd w:id="396"/>
            <w:bookmarkEnd w:id="397"/>
            <w:bookmarkEnd w:id="398"/>
            <w:bookmarkEnd w:id="399"/>
            <w:bookmarkEnd w:id="400"/>
          </w:p>
        </w:tc>
        <w:tc>
          <w:tcPr>
            <w:tcW w:w="4098" w:type="dxa"/>
            <w:vMerge w:val="restart"/>
            <w:tcBorders>
              <w:tl2br w:val="nil"/>
              <w:tr2bl w:val="nil"/>
            </w:tcBorders>
            <w:noWrap w:val="0"/>
            <w:vAlign w:val="center"/>
          </w:tcPr>
          <w:p w14:paraId="772AB073">
            <w:pPr>
              <w:keepNext w:val="0"/>
              <w:keepLines w:val="0"/>
              <w:pageBreakBefore w:val="0"/>
              <w:widowControl/>
              <w:suppressLineNumbers w:val="0"/>
              <w:kinsoku/>
              <w:wordWrap/>
              <w:overflowPunct/>
              <w:topLinePunct w:val="0"/>
              <w:autoSpaceDE/>
              <w:autoSpaceDN/>
              <w:bidi w:val="0"/>
              <w:spacing w:line="400" w:lineRule="exact"/>
              <w:jc w:val="both"/>
              <w:textAlignment w:val="center"/>
              <w:rPr>
                <w:rFonts w:hint="eastAsia" w:ascii="宋体" w:hAnsi="宋体" w:eastAsia="宋体" w:cs="宋体"/>
                <w:i w:val="0"/>
                <w:iCs w:val="0"/>
                <w:strike w:val="0"/>
                <w:dstrike w:val="0"/>
                <w:color w:val="auto"/>
                <w:sz w:val="24"/>
                <w:szCs w:val="24"/>
                <w:highlight w:val="none"/>
                <w:u w:val="none"/>
              </w:rPr>
            </w:pPr>
            <w:r>
              <w:rPr>
                <w:rFonts w:hint="eastAsia" w:ascii="宋体" w:hAnsi="宋体" w:eastAsia="宋体" w:cs="宋体"/>
                <w:i w:val="0"/>
                <w:iCs w:val="0"/>
                <w:strike w:val="0"/>
                <w:dstrike w:val="0"/>
                <w:color w:val="auto"/>
                <w:kern w:val="0"/>
                <w:sz w:val="24"/>
                <w:szCs w:val="24"/>
                <w:highlight w:val="none"/>
                <w:u w:val="none"/>
                <w:lang w:val="en-US" w:eastAsia="zh-CN" w:bidi="ar"/>
              </w:rPr>
              <w:t>第四十四条 违反本条例规定，为明知是假冒专利提供制造、销售、运输、仓储、隐匿、展示等便利条件，由县级以上人民政府专利行政主管部门责令其停止违法行为，处五千元以上二万元以下罚款；情节严重的，处二万元以上五万元以下罚款。</w:t>
            </w:r>
          </w:p>
        </w:tc>
        <w:tc>
          <w:tcPr>
            <w:tcW w:w="1169" w:type="dxa"/>
            <w:tcBorders>
              <w:tl2br w:val="nil"/>
              <w:tr2bl w:val="nil"/>
            </w:tcBorders>
            <w:noWrap w:val="0"/>
            <w:vAlign w:val="center"/>
          </w:tcPr>
          <w:p w14:paraId="256721C0">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i w:val="0"/>
                <w:iCs w:val="0"/>
                <w:strike w:val="0"/>
                <w:dstrike w:val="0"/>
                <w:color w:val="auto"/>
                <w:sz w:val="24"/>
                <w:szCs w:val="24"/>
                <w:highlight w:val="none"/>
                <w:u w:val="none"/>
              </w:rPr>
            </w:pPr>
            <w:r>
              <w:rPr>
                <w:rFonts w:hint="eastAsia" w:ascii="宋体" w:hAnsi="宋体" w:eastAsia="宋体" w:cs="宋体"/>
                <w:i w:val="0"/>
                <w:iCs w:val="0"/>
                <w:strike w:val="0"/>
                <w:dstrike w:val="0"/>
                <w:color w:val="auto"/>
                <w:kern w:val="0"/>
                <w:sz w:val="24"/>
                <w:szCs w:val="24"/>
                <w:highlight w:val="none"/>
                <w:u w:val="none"/>
                <w:lang w:val="en-US" w:eastAsia="zh-CN" w:bidi="ar"/>
              </w:rPr>
              <w:t>较轻</w:t>
            </w:r>
          </w:p>
        </w:tc>
        <w:tc>
          <w:tcPr>
            <w:tcW w:w="3328" w:type="dxa"/>
            <w:tcBorders>
              <w:tl2br w:val="nil"/>
              <w:tr2bl w:val="nil"/>
            </w:tcBorders>
            <w:noWrap w:val="0"/>
            <w:vAlign w:val="center"/>
          </w:tcPr>
          <w:p w14:paraId="33BD137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strike w:val="0"/>
                <w:dstrike w:val="0"/>
                <w:color w:val="auto"/>
                <w:sz w:val="24"/>
                <w:szCs w:val="24"/>
                <w:highlight w:val="none"/>
                <w:u w:val="none"/>
              </w:rPr>
            </w:pPr>
            <w:r>
              <w:rPr>
                <w:rFonts w:hint="eastAsia" w:ascii="宋体" w:hAnsi="宋体" w:eastAsia="宋体" w:cs="宋体"/>
                <w:i w:val="0"/>
                <w:iCs w:val="0"/>
                <w:strike w:val="0"/>
                <w:dstrike w:val="0"/>
                <w:color w:val="auto"/>
                <w:kern w:val="0"/>
                <w:sz w:val="24"/>
                <w:szCs w:val="24"/>
                <w:highlight w:val="none"/>
                <w:u w:val="none"/>
                <w:lang w:val="en-US" w:eastAsia="zh-CN" w:bidi="ar"/>
              </w:rPr>
              <w:t>提供制造、销售、运输、仓储、隐匿、展示等便利条件在15日以下的。</w:t>
            </w:r>
          </w:p>
        </w:tc>
        <w:tc>
          <w:tcPr>
            <w:tcW w:w="3233" w:type="dxa"/>
            <w:tcBorders>
              <w:tl2br w:val="nil"/>
              <w:tr2bl w:val="nil"/>
            </w:tcBorders>
            <w:noWrap w:val="0"/>
            <w:vAlign w:val="center"/>
          </w:tcPr>
          <w:p w14:paraId="4FF57B0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strike w:val="0"/>
                <w:dstrike w:val="0"/>
                <w:color w:val="auto"/>
                <w:sz w:val="24"/>
                <w:szCs w:val="24"/>
                <w:highlight w:val="none"/>
                <w:u w:val="none"/>
              </w:rPr>
            </w:pPr>
            <w:r>
              <w:rPr>
                <w:rFonts w:hint="eastAsia" w:ascii="宋体" w:hAnsi="宋体" w:eastAsia="宋体" w:cs="宋体"/>
                <w:i w:val="0"/>
                <w:iCs w:val="0"/>
                <w:strike w:val="0"/>
                <w:dstrike w:val="0"/>
                <w:color w:val="auto"/>
                <w:kern w:val="0"/>
                <w:sz w:val="24"/>
                <w:szCs w:val="24"/>
                <w:highlight w:val="none"/>
                <w:u w:val="none"/>
                <w:lang w:val="en-US" w:eastAsia="zh-CN" w:bidi="ar"/>
              </w:rPr>
              <w:t>责令停止违法行为，处</w:t>
            </w:r>
            <w:r>
              <w:rPr>
                <w:rFonts w:hint="eastAsia" w:ascii="宋体" w:hAnsi="宋体" w:cs="宋体"/>
                <w:i w:val="0"/>
                <w:iCs w:val="0"/>
                <w:strike w:val="0"/>
                <w:dstrike w:val="0"/>
                <w:color w:val="auto"/>
                <w:kern w:val="0"/>
                <w:sz w:val="24"/>
                <w:szCs w:val="24"/>
                <w:highlight w:val="none"/>
                <w:u w:val="none"/>
                <w:lang w:val="en-US" w:eastAsia="zh-CN" w:bidi="ar"/>
              </w:rPr>
              <w:t>5000</w:t>
            </w:r>
            <w:r>
              <w:rPr>
                <w:rFonts w:hint="eastAsia" w:ascii="宋体" w:hAnsi="宋体" w:eastAsia="宋体" w:cs="宋体"/>
                <w:i w:val="0"/>
                <w:iCs w:val="0"/>
                <w:strike w:val="0"/>
                <w:dstrike w:val="0"/>
                <w:color w:val="auto"/>
                <w:kern w:val="0"/>
                <w:sz w:val="24"/>
                <w:szCs w:val="24"/>
                <w:highlight w:val="none"/>
                <w:u w:val="none"/>
                <w:lang w:val="en-US" w:eastAsia="zh-CN" w:bidi="ar"/>
              </w:rPr>
              <w:t>元罚款。</w:t>
            </w:r>
          </w:p>
        </w:tc>
      </w:tr>
      <w:tr w14:paraId="30C6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759" w:type="dxa"/>
            <w:vMerge w:val="continue"/>
            <w:tcBorders>
              <w:tl2br w:val="nil"/>
              <w:tr2bl w:val="nil"/>
            </w:tcBorders>
            <w:noWrap w:val="0"/>
            <w:vAlign w:val="center"/>
          </w:tcPr>
          <w:p w14:paraId="6A9AC941">
            <w:pPr>
              <w:keepNext w:val="0"/>
              <w:keepLines w:val="0"/>
              <w:pageBreakBefore w:val="0"/>
              <w:kinsoku/>
              <w:wordWrap/>
              <w:overflowPunct/>
              <w:topLinePunct w:val="0"/>
              <w:autoSpaceDE/>
              <w:autoSpaceDN/>
              <w:bidi w:val="0"/>
              <w:spacing w:line="400" w:lineRule="exact"/>
              <w:jc w:val="center"/>
              <w:rPr>
                <w:rFonts w:hint="eastAsia" w:ascii="宋体" w:hAnsi="宋体" w:eastAsia="宋体" w:cs="宋体"/>
                <w:b w:val="0"/>
                <w:bCs w:val="0"/>
                <w:i w:val="0"/>
                <w:iCs w:val="0"/>
                <w:strike w:val="0"/>
                <w:dstrike w:val="0"/>
                <w:color w:val="000000"/>
                <w:sz w:val="24"/>
                <w:szCs w:val="24"/>
                <w:highlight w:val="none"/>
                <w:u w:val="none"/>
              </w:rPr>
            </w:pPr>
          </w:p>
        </w:tc>
        <w:tc>
          <w:tcPr>
            <w:tcW w:w="1779" w:type="dxa"/>
            <w:vMerge w:val="continue"/>
            <w:tcBorders>
              <w:tl2br w:val="nil"/>
              <w:tr2bl w:val="nil"/>
            </w:tcBorders>
            <w:noWrap w:val="0"/>
            <w:vAlign w:val="center"/>
          </w:tcPr>
          <w:p w14:paraId="26A3AA9C">
            <w:pPr>
              <w:keepNext w:val="0"/>
              <w:keepLines w:val="0"/>
              <w:pageBreakBefore w:val="0"/>
              <w:widowControl/>
              <w:kinsoku/>
              <w:wordWrap/>
              <w:overflowPunct/>
              <w:topLinePunct w:val="0"/>
              <w:autoSpaceDE/>
              <w:autoSpaceDN/>
              <w:bidi w:val="0"/>
              <w:spacing w:line="400" w:lineRule="exact"/>
              <w:ind w:left="42" w:leftChars="20"/>
              <w:jc w:val="center"/>
              <w:rPr>
                <w:rFonts w:hint="eastAsia" w:ascii="宋体" w:hAnsi="宋体" w:eastAsia="宋体" w:cs="宋体"/>
                <w:b w:val="0"/>
                <w:bCs w:val="0"/>
                <w:i w:val="0"/>
                <w:iCs w:val="0"/>
                <w:strike w:val="0"/>
                <w:dstrike w:val="0"/>
                <w:color w:val="000000"/>
                <w:sz w:val="24"/>
                <w:szCs w:val="24"/>
                <w:highlight w:val="none"/>
                <w:u w:val="none"/>
              </w:rPr>
            </w:pPr>
          </w:p>
        </w:tc>
        <w:tc>
          <w:tcPr>
            <w:tcW w:w="4098" w:type="dxa"/>
            <w:vMerge w:val="continue"/>
            <w:tcBorders>
              <w:tl2br w:val="nil"/>
              <w:tr2bl w:val="nil"/>
            </w:tcBorders>
            <w:noWrap w:val="0"/>
            <w:vAlign w:val="center"/>
          </w:tcPr>
          <w:p w14:paraId="24984868">
            <w:pPr>
              <w:keepNext w:val="0"/>
              <w:keepLines w:val="0"/>
              <w:pageBreakBefore w:val="0"/>
              <w:widowControl/>
              <w:kinsoku/>
              <w:wordWrap/>
              <w:overflowPunct/>
              <w:topLinePunct w:val="0"/>
              <w:autoSpaceDE/>
              <w:autoSpaceDN/>
              <w:bidi w:val="0"/>
              <w:spacing w:line="400" w:lineRule="exact"/>
              <w:jc w:val="both"/>
              <w:rPr>
                <w:rFonts w:hint="eastAsia" w:ascii="宋体" w:hAnsi="宋体" w:eastAsia="宋体" w:cs="宋体"/>
                <w:i w:val="0"/>
                <w:iCs w:val="0"/>
                <w:strike w:val="0"/>
                <w:dstrike w:val="0"/>
                <w:color w:val="000000"/>
                <w:sz w:val="24"/>
                <w:szCs w:val="24"/>
                <w:highlight w:val="none"/>
                <w:u w:val="none"/>
              </w:rPr>
            </w:pPr>
          </w:p>
        </w:tc>
        <w:tc>
          <w:tcPr>
            <w:tcW w:w="1169" w:type="dxa"/>
            <w:tcBorders>
              <w:tl2br w:val="nil"/>
              <w:tr2bl w:val="nil"/>
            </w:tcBorders>
            <w:noWrap w:val="0"/>
            <w:vAlign w:val="center"/>
          </w:tcPr>
          <w:p w14:paraId="12E99E58">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i w:val="0"/>
                <w:iCs w:val="0"/>
                <w:strike w:val="0"/>
                <w:dstrike w:val="0"/>
                <w:color w:val="000000"/>
                <w:sz w:val="24"/>
                <w:szCs w:val="24"/>
                <w:highlight w:val="none"/>
                <w:u w:val="none"/>
              </w:rPr>
            </w:pPr>
            <w:r>
              <w:rPr>
                <w:rFonts w:hint="eastAsia" w:ascii="宋体" w:hAnsi="宋体" w:eastAsia="宋体" w:cs="宋体"/>
                <w:i w:val="0"/>
                <w:iCs w:val="0"/>
                <w:strike w:val="0"/>
                <w:dstrike w:val="0"/>
                <w:color w:val="000000"/>
                <w:kern w:val="0"/>
                <w:sz w:val="24"/>
                <w:szCs w:val="24"/>
                <w:highlight w:val="none"/>
                <w:u w:val="none"/>
                <w:lang w:val="en-US" w:eastAsia="zh-CN" w:bidi="ar"/>
              </w:rPr>
              <w:t>一般</w:t>
            </w:r>
          </w:p>
        </w:tc>
        <w:tc>
          <w:tcPr>
            <w:tcW w:w="3328" w:type="dxa"/>
            <w:tcBorders>
              <w:tl2br w:val="nil"/>
              <w:tr2bl w:val="nil"/>
            </w:tcBorders>
            <w:noWrap w:val="0"/>
            <w:vAlign w:val="center"/>
          </w:tcPr>
          <w:p w14:paraId="5E59C9B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strike w:val="0"/>
                <w:dstrike w:val="0"/>
                <w:color w:val="000000"/>
                <w:sz w:val="24"/>
                <w:szCs w:val="24"/>
                <w:highlight w:val="none"/>
                <w:u w:val="none"/>
              </w:rPr>
            </w:pPr>
            <w:r>
              <w:rPr>
                <w:rFonts w:hint="eastAsia" w:ascii="宋体" w:hAnsi="宋体" w:eastAsia="宋体" w:cs="宋体"/>
                <w:i w:val="0"/>
                <w:iCs w:val="0"/>
                <w:strike w:val="0"/>
                <w:dstrike w:val="0"/>
                <w:color w:val="000000"/>
                <w:kern w:val="0"/>
                <w:sz w:val="24"/>
                <w:szCs w:val="24"/>
                <w:highlight w:val="none"/>
                <w:u w:val="none"/>
                <w:lang w:val="en-US" w:eastAsia="zh-CN" w:bidi="ar"/>
              </w:rPr>
              <w:t>提供制造、销售、运输、仓储、隐匿、展示等便利条件在15日以上</w:t>
            </w:r>
            <w:r>
              <w:rPr>
                <w:rFonts w:hint="eastAsia" w:ascii="宋体" w:hAnsi="宋体" w:cs="宋体"/>
                <w:i w:val="0"/>
                <w:iCs w:val="0"/>
                <w:strike w:val="0"/>
                <w:dstrike w:val="0"/>
                <w:color w:val="000000"/>
                <w:kern w:val="0"/>
                <w:sz w:val="24"/>
                <w:szCs w:val="24"/>
                <w:highlight w:val="none"/>
                <w:u w:val="none"/>
                <w:lang w:val="en-US" w:eastAsia="zh-CN" w:bidi="ar"/>
              </w:rPr>
              <w:t>30日</w:t>
            </w:r>
            <w:r>
              <w:rPr>
                <w:rFonts w:hint="eastAsia" w:ascii="宋体" w:hAnsi="宋体" w:eastAsia="宋体" w:cs="宋体"/>
                <w:i w:val="0"/>
                <w:iCs w:val="0"/>
                <w:strike w:val="0"/>
                <w:dstrike w:val="0"/>
                <w:color w:val="000000"/>
                <w:kern w:val="0"/>
                <w:sz w:val="24"/>
                <w:szCs w:val="24"/>
                <w:highlight w:val="none"/>
                <w:u w:val="none"/>
                <w:lang w:val="en-US" w:eastAsia="zh-CN" w:bidi="ar"/>
              </w:rPr>
              <w:t>以下的。</w:t>
            </w:r>
          </w:p>
        </w:tc>
        <w:tc>
          <w:tcPr>
            <w:tcW w:w="3233" w:type="dxa"/>
            <w:tcBorders>
              <w:tl2br w:val="nil"/>
              <w:tr2bl w:val="nil"/>
            </w:tcBorders>
            <w:noWrap w:val="0"/>
            <w:vAlign w:val="center"/>
          </w:tcPr>
          <w:p w14:paraId="378EB06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strike w:val="0"/>
                <w:dstrike w:val="0"/>
                <w:color w:val="000000"/>
                <w:sz w:val="24"/>
                <w:szCs w:val="24"/>
                <w:highlight w:val="none"/>
                <w:u w:val="none"/>
              </w:rPr>
            </w:pPr>
            <w:r>
              <w:rPr>
                <w:rFonts w:hint="eastAsia" w:ascii="宋体" w:hAnsi="宋体" w:eastAsia="宋体" w:cs="宋体"/>
                <w:i w:val="0"/>
                <w:iCs w:val="0"/>
                <w:strike w:val="0"/>
                <w:dstrike w:val="0"/>
                <w:color w:val="000000"/>
                <w:kern w:val="0"/>
                <w:sz w:val="24"/>
                <w:szCs w:val="24"/>
                <w:highlight w:val="none"/>
                <w:u w:val="none"/>
                <w:lang w:val="en-US" w:eastAsia="zh-CN" w:bidi="ar"/>
              </w:rPr>
              <w:t>责令停止违法行为，处</w:t>
            </w:r>
            <w:r>
              <w:rPr>
                <w:rFonts w:hint="eastAsia" w:ascii="宋体" w:hAnsi="宋体" w:cs="宋体"/>
                <w:i w:val="0"/>
                <w:iCs w:val="0"/>
                <w:strike w:val="0"/>
                <w:dstrike w:val="0"/>
                <w:color w:val="000000"/>
                <w:kern w:val="0"/>
                <w:sz w:val="24"/>
                <w:szCs w:val="24"/>
                <w:highlight w:val="none"/>
                <w:u w:val="none"/>
                <w:lang w:val="en-US" w:eastAsia="zh-CN" w:bidi="ar"/>
              </w:rPr>
              <w:t>5000</w:t>
            </w:r>
            <w:r>
              <w:rPr>
                <w:rFonts w:hint="eastAsia" w:ascii="宋体" w:hAnsi="宋体" w:eastAsia="宋体" w:cs="宋体"/>
                <w:i w:val="0"/>
                <w:iCs w:val="0"/>
                <w:strike w:val="0"/>
                <w:dstrike w:val="0"/>
                <w:color w:val="000000"/>
                <w:kern w:val="0"/>
                <w:sz w:val="24"/>
                <w:szCs w:val="24"/>
                <w:highlight w:val="none"/>
                <w:u w:val="none"/>
                <w:lang w:val="en-US" w:eastAsia="zh-CN" w:bidi="ar"/>
              </w:rPr>
              <w:t>元以上</w:t>
            </w:r>
            <w:r>
              <w:rPr>
                <w:rFonts w:hint="eastAsia" w:ascii="宋体" w:hAnsi="宋体" w:cs="宋体"/>
                <w:i w:val="0"/>
                <w:iCs w:val="0"/>
                <w:strike w:val="0"/>
                <w:dstrike w:val="0"/>
                <w:color w:val="000000"/>
                <w:kern w:val="0"/>
                <w:sz w:val="24"/>
                <w:szCs w:val="24"/>
                <w:highlight w:val="none"/>
                <w:u w:val="none"/>
                <w:lang w:val="en-US" w:eastAsia="zh-CN" w:bidi="ar"/>
              </w:rPr>
              <w:t>2</w:t>
            </w:r>
            <w:r>
              <w:rPr>
                <w:rFonts w:hint="eastAsia" w:ascii="宋体" w:hAnsi="宋体" w:eastAsia="宋体" w:cs="宋体"/>
                <w:i w:val="0"/>
                <w:iCs w:val="0"/>
                <w:strike w:val="0"/>
                <w:dstrike w:val="0"/>
                <w:color w:val="000000"/>
                <w:kern w:val="0"/>
                <w:sz w:val="24"/>
                <w:szCs w:val="24"/>
                <w:highlight w:val="none"/>
                <w:u w:val="none"/>
                <w:lang w:val="en-US" w:eastAsia="zh-CN" w:bidi="ar"/>
              </w:rPr>
              <w:t>万元以下罚款。</w:t>
            </w:r>
          </w:p>
        </w:tc>
      </w:tr>
      <w:tr w14:paraId="26997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759" w:type="dxa"/>
            <w:vMerge w:val="continue"/>
            <w:tcBorders>
              <w:tl2br w:val="nil"/>
              <w:tr2bl w:val="nil"/>
            </w:tcBorders>
            <w:noWrap w:val="0"/>
            <w:vAlign w:val="center"/>
          </w:tcPr>
          <w:p w14:paraId="3E1D1F8F">
            <w:pPr>
              <w:keepNext w:val="0"/>
              <w:keepLines w:val="0"/>
              <w:pageBreakBefore w:val="0"/>
              <w:kinsoku/>
              <w:wordWrap/>
              <w:overflowPunct/>
              <w:topLinePunct w:val="0"/>
              <w:autoSpaceDE/>
              <w:autoSpaceDN/>
              <w:bidi w:val="0"/>
              <w:spacing w:line="400" w:lineRule="exact"/>
              <w:jc w:val="center"/>
              <w:rPr>
                <w:rFonts w:hint="eastAsia" w:ascii="宋体" w:hAnsi="宋体" w:eastAsia="宋体" w:cs="宋体"/>
                <w:b w:val="0"/>
                <w:bCs w:val="0"/>
                <w:i w:val="0"/>
                <w:iCs w:val="0"/>
                <w:strike w:val="0"/>
                <w:dstrike w:val="0"/>
                <w:color w:val="000000"/>
                <w:sz w:val="24"/>
                <w:szCs w:val="24"/>
                <w:highlight w:val="none"/>
                <w:u w:val="none"/>
              </w:rPr>
            </w:pPr>
          </w:p>
        </w:tc>
        <w:tc>
          <w:tcPr>
            <w:tcW w:w="1779" w:type="dxa"/>
            <w:vMerge w:val="continue"/>
            <w:tcBorders>
              <w:tl2br w:val="nil"/>
              <w:tr2bl w:val="nil"/>
            </w:tcBorders>
            <w:noWrap w:val="0"/>
            <w:vAlign w:val="center"/>
          </w:tcPr>
          <w:p w14:paraId="57D793EE">
            <w:pPr>
              <w:keepNext w:val="0"/>
              <w:keepLines w:val="0"/>
              <w:pageBreakBefore w:val="0"/>
              <w:kinsoku/>
              <w:wordWrap/>
              <w:overflowPunct/>
              <w:topLinePunct w:val="0"/>
              <w:autoSpaceDE/>
              <w:autoSpaceDN/>
              <w:bidi w:val="0"/>
              <w:spacing w:line="400" w:lineRule="exact"/>
              <w:ind w:left="42" w:leftChars="20"/>
              <w:jc w:val="center"/>
              <w:rPr>
                <w:rFonts w:hint="eastAsia" w:ascii="宋体" w:hAnsi="宋体" w:eastAsia="宋体" w:cs="宋体"/>
                <w:b w:val="0"/>
                <w:bCs w:val="0"/>
                <w:i w:val="0"/>
                <w:iCs w:val="0"/>
                <w:strike w:val="0"/>
                <w:dstrike w:val="0"/>
                <w:color w:val="000000"/>
                <w:sz w:val="24"/>
                <w:szCs w:val="24"/>
                <w:highlight w:val="none"/>
                <w:u w:val="none"/>
              </w:rPr>
            </w:pPr>
          </w:p>
        </w:tc>
        <w:tc>
          <w:tcPr>
            <w:tcW w:w="4098" w:type="dxa"/>
            <w:vMerge w:val="continue"/>
            <w:tcBorders>
              <w:tl2br w:val="nil"/>
              <w:tr2bl w:val="nil"/>
            </w:tcBorders>
            <w:noWrap w:val="0"/>
            <w:vAlign w:val="center"/>
          </w:tcPr>
          <w:p w14:paraId="4C3FAFB2">
            <w:pPr>
              <w:keepNext w:val="0"/>
              <w:keepLines w:val="0"/>
              <w:pageBreakBefore w:val="0"/>
              <w:kinsoku/>
              <w:wordWrap/>
              <w:overflowPunct/>
              <w:topLinePunct w:val="0"/>
              <w:autoSpaceDE/>
              <w:autoSpaceDN/>
              <w:bidi w:val="0"/>
              <w:spacing w:line="400" w:lineRule="exact"/>
              <w:jc w:val="both"/>
              <w:rPr>
                <w:rFonts w:hint="eastAsia" w:ascii="宋体" w:hAnsi="宋体" w:eastAsia="宋体" w:cs="宋体"/>
                <w:i w:val="0"/>
                <w:iCs w:val="0"/>
                <w:strike w:val="0"/>
                <w:dstrike w:val="0"/>
                <w:color w:val="000000"/>
                <w:sz w:val="24"/>
                <w:szCs w:val="24"/>
                <w:highlight w:val="none"/>
                <w:u w:val="none"/>
              </w:rPr>
            </w:pPr>
          </w:p>
        </w:tc>
        <w:tc>
          <w:tcPr>
            <w:tcW w:w="1169" w:type="dxa"/>
            <w:tcBorders>
              <w:tl2br w:val="nil"/>
              <w:tr2bl w:val="nil"/>
            </w:tcBorders>
            <w:noWrap w:val="0"/>
            <w:vAlign w:val="center"/>
          </w:tcPr>
          <w:p w14:paraId="34E5FE7B">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i w:val="0"/>
                <w:iCs w:val="0"/>
                <w:strike w:val="0"/>
                <w:dstrike w:val="0"/>
                <w:color w:val="000000"/>
                <w:sz w:val="24"/>
                <w:szCs w:val="24"/>
                <w:highlight w:val="none"/>
                <w:u w:val="none"/>
              </w:rPr>
            </w:pPr>
            <w:r>
              <w:rPr>
                <w:rFonts w:hint="eastAsia" w:ascii="宋体" w:hAnsi="宋体" w:eastAsia="宋体" w:cs="宋体"/>
                <w:i w:val="0"/>
                <w:iCs w:val="0"/>
                <w:strike w:val="0"/>
                <w:dstrike w:val="0"/>
                <w:color w:val="000000"/>
                <w:kern w:val="0"/>
                <w:sz w:val="24"/>
                <w:szCs w:val="24"/>
                <w:highlight w:val="none"/>
                <w:u w:val="none"/>
                <w:lang w:val="en-US" w:eastAsia="zh-CN" w:bidi="ar"/>
              </w:rPr>
              <w:t>较重</w:t>
            </w:r>
          </w:p>
        </w:tc>
        <w:tc>
          <w:tcPr>
            <w:tcW w:w="3328" w:type="dxa"/>
            <w:tcBorders>
              <w:tl2br w:val="nil"/>
              <w:tr2bl w:val="nil"/>
            </w:tcBorders>
            <w:noWrap w:val="0"/>
            <w:vAlign w:val="center"/>
          </w:tcPr>
          <w:p w14:paraId="086BF549">
            <w:pPr>
              <w:keepNext w:val="0"/>
              <w:keepLines w:val="0"/>
              <w:pageBreakBefore w:val="0"/>
              <w:widowControl/>
              <w:suppressLineNumbers w:val="0"/>
              <w:kinsoku/>
              <w:wordWrap/>
              <w:overflowPunct/>
              <w:topLinePunct w:val="0"/>
              <w:autoSpaceDE/>
              <w:autoSpaceDN/>
              <w:bidi w:val="0"/>
              <w:adjustRightInd/>
              <w:snapToGrid/>
              <w:spacing w:line="316" w:lineRule="exact"/>
              <w:jc w:val="both"/>
              <w:textAlignment w:val="center"/>
              <w:rPr>
                <w:rFonts w:hint="eastAsia" w:ascii="宋体" w:hAnsi="宋体" w:eastAsia="宋体" w:cs="宋体"/>
                <w:i w:val="0"/>
                <w:iCs w:val="0"/>
                <w:strike w:val="0"/>
                <w:dstrike w:val="0"/>
                <w:color w:val="000000"/>
                <w:sz w:val="24"/>
                <w:szCs w:val="24"/>
                <w:highlight w:val="none"/>
                <w:u w:val="none"/>
              </w:rPr>
            </w:pPr>
            <w:r>
              <w:rPr>
                <w:rFonts w:hint="eastAsia" w:ascii="宋体" w:hAnsi="宋体" w:eastAsia="宋体" w:cs="宋体"/>
                <w:i w:val="0"/>
                <w:iCs w:val="0"/>
                <w:strike w:val="0"/>
                <w:dstrike w:val="0"/>
                <w:color w:val="000000"/>
                <w:kern w:val="0"/>
                <w:sz w:val="24"/>
                <w:szCs w:val="24"/>
                <w:highlight w:val="none"/>
                <w:u w:val="none"/>
                <w:lang w:val="en-US" w:eastAsia="zh-CN" w:bidi="ar"/>
              </w:rPr>
              <w:t>提供制造、销售、运输、仓储、隐匿、展示等便利条件在</w:t>
            </w:r>
            <w:r>
              <w:rPr>
                <w:rFonts w:hint="eastAsia" w:ascii="宋体" w:hAnsi="宋体" w:cs="宋体"/>
                <w:i w:val="0"/>
                <w:iCs w:val="0"/>
                <w:strike w:val="0"/>
                <w:dstrike w:val="0"/>
                <w:color w:val="000000"/>
                <w:kern w:val="0"/>
                <w:sz w:val="24"/>
                <w:szCs w:val="24"/>
                <w:highlight w:val="none"/>
                <w:u w:val="none"/>
                <w:lang w:val="en-US" w:eastAsia="zh-CN" w:bidi="ar"/>
              </w:rPr>
              <w:t>30日</w:t>
            </w:r>
            <w:r>
              <w:rPr>
                <w:rFonts w:hint="eastAsia" w:ascii="宋体" w:hAnsi="宋体" w:eastAsia="宋体" w:cs="宋体"/>
                <w:i w:val="0"/>
                <w:iCs w:val="0"/>
                <w:strike w:val="0"/>
                <w:dstrike w:val="0"/>
                <w:color w:val="000000"/>
                <w:kern w:val="0"/>
                <w:sz w:val="24"/>
                <w:szCs w:val="24"/>
                <w:highlight w:val="none"/>
                <w:u w:val="none"/>
                <w:lang w:val="en-US" w:eastAsia="zh-CN" w:bidi="ar"/>
              </w:rPr>
              <w:t>以上的。</w:t>
            </w:r>
          </w:p>
        </w:tc>
        <w:tc>
          <w:tcPr>
            <w:tcW w:w="3233" w:type="dxa"/>
            <w:tcBorders>
              <w:tl2br w:val="nil"/>
              <w:tr2bl w:val="nil"/>
            </w:tcBorders>
            <w:noWrap w:val="0"/>
            <w:vAlign w:val="center"/>
          </w:tcPr>
          <w:p w14:paraId="3912CF2B">
            <w:pPr>
              <w:keepNext w:val="0"/>
              <w:keepLines w:val="0"/>
              <w:pageBreakBefore w:val="0"/>
              <w:widowControl/>
              <w:suppressLineNumbers w:val="0"/>
              <w:kinsoku/>
              <w:wordWrap/>
              <w:overflowPunct/>
              <w:topLinePunct w:val="0"/>
              <w:autoSpaceDE/>
              <w:autoSpaceDN/>
              <w:bidi w:val="0"/>
              <w:adjustRightInd/>
              <w:snapToGrid/>
              <w:spacing w:line="328" w:lineRule="exact"/>
              <w:jc w:val="both"/>
              <w:textAlignment w:val="center"/>
              <w:rPr>
                <w:rFonts w:hint="eastAsia" w:ascii="宋体" w:hAnsi="宋体" w:eastAsia="宋体" w:cs="宋体"/>
                <w:i w:val="0"/>
                <w:iCs w:val="0"/>
                <w:strike w:val="0"/>
                <w:dstrike w:val="0"/>
                <w:color w:val="000000"/>
                <w:sz w:val="24"/>
                <w:szCs w:val="24"/>
                <w:highlight w:val="none"/>
                <w:u w:val="none"/>
              </w:rPr>
            </w:pPr>
            <w:r>
              <w:rPr>
                <w:rFonts w:hint="eastAsia" w:ascii="宋体" w:hAnsi="宋体" w:eastAsia="宋体" w:cs="宋体"/>
                <w:i w:val="0"/>
                <w:iCs w:val="0"/>
                <w:strike w:val="0"/>
                <w:dstrike w:val="0"/>
                <w:color w:val="000000"/>
                <w:kern w:val="0"/>
                <w:sz w:val="24"/>
                <w:szCs w:val="24"/>
                <w:highlight w:val="none"/>
                <w:u w:val="none"/>
                <w:lang w:val="en-US" w:eastAsia="zh-CN" w:bidi="ar"/>
              </w:rPr>
              <w:t>责令停止违法行为，处</w:t>
            </w:r>
            <w:r>
              <w:rPr>
                <w:rFonts w:hint="eastAsia" w:ascii="宋体" w:hAnsi="宋体" w:cs="宋体"/>
                <w:i w:val="0"/>
                <w:iCs w:val="0"/>
                <w:strike w:val="0"/>
                <w:dstrike w:val="0"/>
                <w:color w:val="000000"/>
                <w:kern w:val="0"/>
                <w:sz w:val="24"/>
                <w:szCs w:val="24"/>
                <w:highlight w:val="none"/>
                <w:u w:val="none"/>
                <w:lang w:val="en-US" w:eastAsia="zh-CN" w:bidi="ar"/>
              </w:rPr>
              <w:t>2</w:t>
            </w:r>
            <w:r>
              <w:rPr>
                <w:rFonts w:hint="eastAsia" w:ascii="宋体" w:hAnsi="宋体" w:eastAsia="宋体" w:cs="宋体"/>
                <w:i w:val="0"/>
                <w:iCs w:val="0"/>
                <w:strike w:val="0"/>
                <w:dstrike w:val="0"/>
                <w:color w:val="000000"/>
                <w:kern w:val="0"/>
                <w:sz w:val="24"/>
                <w:szCs w:val="24"/>
                <w:highlight w:val="none"/>
                <w:u w:val="none"/>
                <w:lang w:val="en-US" w:eastAsia="zh-CN" w:bidi="ar"/>
              </w:rPr>
              <w:t>万元以上</w:t>
            </w:r>
            <w:r>
              <w:rPr>
                <w:rFonts w:hint="eastAsia" w:ascii="宋体" w:hAnsi="宋体" w:cs="宋体"/>
                <w:i w:val="0"/>
                <w:iCs w:val="0"/>
                <w:strike w:val="0"/>
                <w:dstrike w:val="0"/>
                <w:color w:val="000000"/>
                <w:kern w:val="0"/>
                <w:sz w:val="24"/>
                <w:szCs w:val="24"/>
                <w:highlight w:val="none"/>
                <w:u w:val="none"/>
                <w:lang w:val="en-US" w:eastAsia="zh-CN" w:bidi="ar"/>
              </w:rPr>
              <w:t>5</w:t>
            </w:r>
            <w:r>
              <w:rPr>
                <w:rFonts w:hint="eastAsia" w:ascii="宋体" w:hAnsi="宋体" w:eastAsia="宋体" w:cs="宋体"/>
                <w:i w:val="0"/>
                <w:iCs w:val="0"/>
                <w:strike w:val="0"/>
                <w:dstrike w:val="0"/>
                <w:color w:val="000000"/>
                <w:kern w:val="0"/>
                <w:sz w:val="24"/>
                <w:szCs w:val="24"/>
                <w:highlight w:val="none"/>
                <w:u w:val="none"/>
                <w:lang w:val="en-US" w:eastAsia="zh-CN" w:bidi="ar"/>
              </w:rPr>
              <w:t>万元以下罚款。</w:t>
            </w:r>
          </w:p>
        </w:tc>
      </w:tr>
      <w:tr w14:paraId="01406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trPr>
        <w:tc>
          <w:tcPr>
            <w:tcW w:w="759" w:type="dxa"/>
            <w:vMerge w:val="restart"/>
            <w:tcBorders>
              <w:tl2br w:val="nil"/>
              <w:tr2bl w:val="nil"/>
            </w:tcBorders>
            <w:noWrap w:val="0"/>
            <w:vAlign w:val="center"/>
          </w:tcPr>
          <w:p w14:paraId="35586E52">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default" w:ascii="宋体" w:hAnsi="宋体" w:eastAsia="宋体" w:cs="宋体"/>
                <w:b w:val="0"/>
                <w:bCs w:val="0"/>
                <w:i w:val="0"/>
                <w:iCs w:val="0"/>
                <w:strike w:val="0"/>
                <w:dstrike w:val="0"/>
                <w:color w:val="000000"/>
                <w:sz w:val="24"/>
                <w:szCs w:val="24"/>
                <w:highlight w:val="none"/>
                <w:u w:val="none"/>
                <w:lang w:val="en-US"/>
              </w:rPr>
            </w:pPr>
            <w:r>
              <w:rPr>
                <w:rFonts w:hint="eastAsia" w:ascii="宋体" w:hAnsi="宋体" w:eastAsia="宋体" w:cs="宋体"/>
                <w:b w:val="0"/>
                <w:bCs w:val="0"/>
                <w:i w:val="0"/>
                <w:iCs w:val="0"/>
                <w:strike w:val="0"/>
                <w:dstrike w:val="0"/>
                <w:color w:val="000000"/>
                <w:kern w:val="0"/>
                <w:sz w:val="24"/>
                <w:szCs w:val="24"/>
                <w:highlight w:val="none"/>
                <w:u w:val="none"/>
                <w:lang w:val="en-US" w:eastAsia="zh-CN" w:bidi="ar"/>
              </w:rPr>
              <w:t>3</w:t>
            </w:r>
            <w:r>
              <w:rPr>
                <w:rFonts w:hint="eastAsia" w:ascii="宋体" w:hAnsi="宋体" w:cs="宋体"/>
                <w:b w:val="0"/>
                <w:bCs w:val="0"/>
                <w:i w:val="0"/>
                <w:iCs w:val="0"/>
                <w:strike w:val="0"/>
                <w:dstrike w:val="0"/>
                <w:color w:val="000000"/>
                <w:kern w:val="0"/>
                <w:sz w:val="24"/>
                <w:szCs w:val="24"/>
                <w:highlight w:val="none"/>
                <w:u w:val="none"/>
                <w:lang w:val="en-US" w:eastAsia="zh-CN" w:bidi="ar"/>
              </w:rPr>
              <w:t>33</w:t>
            </w:r>
          </w:p>
        </w:tc>
        <w:tc>
          <w:tcPr>
            <w:tcW w:w="1779" w:type="dxa"/>
            <w:vMerge w:val="restart"/>
            <w:tcBorders>
              <w:tl2br w:val="nil"/>
              <w:tr2bl w:val="nil"/>
            </w:tcBorders>
            <w:noWrap w:val="0"/>
            <w:vAlign w:val="center"/>
          </w:tcPr>
          <w:p w14:paraId="2C1C1D2A">
            <w:pPr>
              <w:keepNext w:val="0"/>
              <w:keepLines w:val="0"/>
              <w:pageBreakBefore w:val="0"/>
              <w:widowControl/>
              <w:suppressLineNumbers w:val="0"/>
              <w:kinsoku/>
              <w:wordWrap/>
              <w:overflowPunct/>
              <w:topLinePunct w:val="0"/>
              <w:autoSpaceDE/>
              <w:autoSpaceDN/>
              <w:bidi w:val="0"/>
              <w:spacing w:line="400" w:lineRule="exact"/>
              <w:ind w:left="42" w:leftChars="20"/>
              <w:jc w:val="center"/>
              <w:textAlignment w:val="center"/>
              <w:rPr>
                <w:rFonts w:hint="eastAsia" w:ascii="宋体" w:hAnsi="宋体" w:eastAsia="宋体" w:cs="宋体"/>
                <w:b w:val="0"/>
                <w:bCs w:val="0"/>
                <w:i w:val="0"/>
                <w:iCs w:val="0"/>
                <w:strike w:val="0"/>
                <w:dstrike w:val="0"/>
                <w:color w:val="000000"/>
                <w:sz w:val="24"/>
                <w:szCs w:val="24"/>
                <w:highlight w:val="none"/>
                <w:u w:val="none"/>
              </w:rPr>
            </w:pPr>
            <w:r>
              <w:rPr>
                <w:rFonts w:hint="eastAsia" w:ascii="宋体" w:hAnsi="宋体" w:eastAsia="宋体" w:cs="宋体"/>
                <w:b w:val="0"/>
                <w:bCs w:val="0"/>
                <w:i w:val="0"/>
                <w:iCs w:val="0"/>
                <w:strike w:val="0"/>
                <w:dstrike w:val="0"/>
                <w:color w:val="000000"/>
                <w:kern w:val="0"/>
                <w:sz w:val="24"/>
                <w:szCs w:val="24"/>
                <w:highlight w:val="none"/>
                <w:u w:val="none"/>
                <w:lang w:val="en-US" w:eastAsia="zh-CN" w:bidi="ar"/>
              </w:rPr>
              <w:t>《吉林省专利条例》</w:t>
            </w:r>
          </w:p>
        </w:tc>
        <w:tc>
          <w:tcPr>
            <w:tcW w:w="4098" w:type="dxa"/>
            <w:vMerge w:val="restart"/>
            <w:tcBorders>
              <w:tl2br w:val="nil"/>
              <w:tr2bl w:val="nil"/>
            </w:tcBorders>
            <w:noWrap w:val="0"/>
            <w:vAlign w:val="center"/>
          </w:tcPr>
          <w:p w14:paraId="1C5F8FDD">
            <w:pPr>
              <w:keepNext w:val="0"/>
              <w:keepLines w:val="0"/>
              <w:pageBreakBefore w:val="0"/>
              <w:widowControl/>
              <w:suppressLineNumbers w:val="0"/>
              <w:kinsoku/>
              <w:wordWrap/>
              <w:overflowPunct/>
              <w:topLinePunct w:val="0"/>
              <w:autoSpaceDE/>
              <w:autoSpaceDN/>
              <w:bidi w:val="0"/>
              <w:spacing w:line="400" w:lineRule="exact"/>
              <w:jc w:val="both"/>
              <w:textAlignment w:val="center"/>
              <w:rPr>
                <w:rFonts w:hint="eastAsia" w:ascii="宋体" w:hAnsi="宋体" w:eastAsia="宋体" w:cs="宋体"/>
                <w:i w:val="0"/>
                <w:iCs w:val="0"/>
                <w:strike w:val="0"/>
                <w:dstrike w:val="0"/>
                <w:color w:val="000000"/>
                <w:sz w:val="24"/>
                <w:szCs w:val="24"/>
                <w:highlight w:val="none"/>
                <w:u w:val="none"/>
              </w:rPr>
            </w:pPr>
            <w:r>
              <w:rPr>
                <w:rFonts w:hint="eastAsia" w:ascii="宋体" w:hAnsi="宋体" w:eastAsia="宋体" w:cs="宋体"/>
                <w:i w:val="0"/>
                <w:iCs w:val="0"/>
                <w:strike w:val="0"/>
                <w:dstrike w:val="0"/>
                <w:color w:val="000000"/>
                <w:kern w:val="0"/>
                <w:sz w:val="24"/>
                <w:szCs w:val="24"/>
                <w:highlight w:val="none"/>
                <w:u w:val="none"/>
                <w:lang w:val="en-US" w:eastAsia="zh-CN" w:bidi="ar"/>
              </w:rPr>
              <w:t>第四十七条 违反本条例规定，专利中介服务机构及其工作人员出具虚假报告，与当事人串通牟取不正当利益的，由县级以上人民政府专利行政主管部门责令改正，处五千元以上二万元以下罚款；有违法所得的，没收违法所得。</w:t>
            </w:r>
          </w:p>
        </w:tc>
        <w:tc>
          <w:tcPr>
            <w:tcW w:w="1169" w:type="dxa"/>
            <w:tcBorders>
              <w:tl2br w:val="nil"/>
              <w:tr2bl w:val="nil"/>
            </w:tcBorders>
            <w:noWrap w:val="0"/>
            <w:vAlign w:val="center"/>
          </w:tcPr>
          <w:p w14:paraId="23FA2081">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i w:val="0"/>
                <w:iCs w:val="0"/>
                <w:strike w:val="0"/>
                <w:dstrike w:val="0"/>
                <w:color w:val="000000"/>
                <w:sz w:val="24"/>
                <w:szCs w:val="24"/>
                <w:highlight w:val="none"/>
                <w:u w:val="none"/>
              </w:rPr>
            </w:pPr>
            <w:r>
              <w:rPr>
                <w:rFonts w:hint="eastAsia" w:ascii="宋体" w:hAnsi="宋体" w:eastAsia="宋体" w:cs="宋体"/>
                <w:i w:val="0"/>
                <w:iCs w:val="0"/>
                <w:strike w:val="0"/>
                <w:dstrike w:val="0"/>
                <w:color w:val="000000"/>
                <w:kern w:val="0"/>
                <w:sz w:val="24"/>
                <w:szCs w:val="24"/>
                <w:highlight w:val="none"/>
                <w:u w:val="none"/>
                <w:lang w:val="en-US" w:eastAsia="zh-CN" w:bidi="ar"/>
              </w:rPr>
              <w:t>较轻</w:t>
            </w:r>
          </w:p>
        </w:tc>
        <w:tc>
          <w:tcPr>
            <w:tcW w:w="3328" w:type="dxa"/>
            <w:tcBorders>
              <w:tl2br w:val="nil"/>
              <w:tr2bl w:val="nil"/>
            </w:tcBorders>
            <w:noWrap w:val="0"/>
            <w:vAlign w:val="center"/>
          </w:tcPr>
          <w:p w14:paraId="2531B090">
            <w:pPr>
              <w:keepNext w:val="0"/>
              <w:keepLines w:val="0"/>
              <w:pageBreakBefore w:val="0"/>
              <w:widowControl/>
              <w:suppressLineNumbers w:val="0"/>
              <w:kinsoku/>
              <w:wordWrap/>
              <w:overflowPunct/>
              <w:topLinePunct w:val="0"/>
              <w:autoSpaceDE/>
              <w:autoSpaceDN/>
              <w:bidi w:val="0"/>
              <w:adjustRightInd/>
              <w:snapToGrid/>
              <w:spacing w:line="316" w:lineRule="exact"/>
              <w:jc w:val="both"/>
              <w:textAlignment w:val="center"/>
              <w:rPr>
                <w:rFonts w:hint="eastAsia" w:ascii="宋体" w:hAnsi="宋体" w:eastAsia="宋体" w:cs="宋体"/>
                <w:i w:val="0"/>
                <w:iCs w:val="0"/>
                <w:strike w:val="0"/>
                <w:dstrike w:val="0"/>
                <w:color w:val="000000"/>
                <w:sz w:val="24"/>
                <w:szCs w:val="24"/>
                <w:highlight w:val="none"/>
                <w:u w:val="none"/>
              </w:rPr>
            </w:pPr>
            <w:r>
              <w:rPr>
                <w:rFonts w:hint="eastAsia" w:ascii="宋体" w:hAnsi="宋体" w:cs="宋体"/>
                <w:i w:val="0"/>
                <w:iCs w:val="0"/>
                <w:strike w:val="0"/>
                <w:dstrike w:val="0"/>
                <w:color w:val="000000"/>
                <w:kern w:val="0"/>
                <w:sz w:val="24"/>
                <w:szCs w:val="24"/>
                <w:highlight w:val="none"/>
                <w:u w:val="none"/>
                <w:lang w:val="en-US" w:eastAsia="zh-CN" w:bidi="ar"/>
              </w:rPr>
              <w:t>违法行为</w:t>
            </w:r>
            <w:r>
              <w:rPr>
                <w:rFonts w:hint="eastAsia" w:ascii="宋体" w:hAnsi="宋体" w:eastAsia="宋体" w:cs="宋体"/>
                <w:i w:val="0"/>
                <w:iCs w:val="0"/>
                <w:strike w:val="0"/>
                <w:dstrike w:val="0"/>
                <w:color w:val="000000"/>
                <w:kern w:val="0"/>
                <w:sz w:val="24"/>
                <w:szCs w:val="24"/>
                <w:highlight w:val="none"/>
                <w:u w:val="none"/>
                <w:lang w:val="en-US" w:eastAsia="zh-CN" w:bidi="ar"/>
              </w:rPr>
              <w:t>1次，且未造成危害后果的。</w:t>
            </w:r>
          </w:p>
        </w:tc>
        <w:tc>
          <w:tcPr>
            <w:tcW w:w="3233" w:type="dxa"/>
            <w:tcBorders>
              <w:tl2br w:val="nil"/>
              <w:tr2bl w:val="nil"/>
            </w:tcBorders>
            <w:noWrap w:val="0"/>
            <w:vAlign w:val="center"/>
          </w:tcPr>
          <w:p w14:paraId="5224CBF3">
            <w:pPr>
              <w:keepNext w:val="0"/>
              <w:keepLines w:val="0"/>
              <w:pageBreakBefore w:val="0"/>
              <w:widowControl/>
              <w:suppressLineNumbers w:val="0"/>
              <w:kinsoku/>
              <w:wordWrap/>
              <w:overflowPunct/>
              <w:topLinePunct w:val="0"/>
              <w:autoSpaceDE/>
              <w:autoSpaceDN/>
              <w:bidi w:val="0"/>
              <w:adjustRightInd/>
              <w:snapToGrid/>
              <w:spacing w:line="328" w:lineRule="exact"/>
              <w:jc w:val="both"/>
              <w:textAlignment w:val="center"/>
              <w:rPr>
                <w:rFonts w:hint="eastAsia" w:ascii="宋体" w:hAnsi="宋体" w:eastAsia="宋体" w:cs="宋体"/>
                <w:i w:val="0"/>
                <w:iCs w:val="0"/>
                <w:strike w:val="0"/>
                <w:dstrike w:val="0"/>
                <w:color w:val="000000"/>
                <w:sz w:val="24"/>
                <w:szCs w:val="24"/>
                <w:highlight w:val="none"/>
                <w:u w:val="none"/>
              </w:rPr>
            </w:pPr>
            <w:r>
              <w:rPr>
                <w:rFonts w:hint="eastAsia" w:ascii="宋体" w:hAnsi="宋体" w:eastAsia="宋体" w:cs="宋体"/>
                <w:i w:val="0"/>
                <w:iCs w:val="0"/>
                <w:strike w:val="0"/>
                <w:dstrike w:val="0"/>
                <w:color w:val="000000"/>
                <w:kern w:val="0"/>
                <w:sz w:val="24"/>
                <w:szCs w:val="24"/>
                <w:highlight w:val="none"/>
                <w:u w:val="none"/>
                <w:lang w:val="en-US" w:eastAsia="zh-CN" w:bidi="ar"/>
              </w:rPr>
              <w:t>处5000元以上9500元以下罚款；有违法所得的，没收违法所得。</w:t>
            </w:r>
          </w:p>
        </w:tc>
      </w:tr>
      <w:tr w14:paraId="729B3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759" w:type="dxa"/>
            <w:vMerge w:val="continue"/>
            <w:tcBorders>
              <w:tl2br w:val="nil"/>
              <w:tr2bl w:val="nil"/>
            </w:tcBorders>
            <w:noWrap w:val="0"/>
            <w:vAlign w:val="center"/>
          </w:tcPr>
          <w:p w14:paraId="314A08D4">
            <w:pPr>
              <w:keepNext w:val="0"/>
              <w:keepLines w:val="0"/>
              <w:pageBreakBefore w:val="0"/>
              <w:kinsoku/>
              <w:wordWrap/>
              <w:overflowPunct/>
              <w:topLinePunct w:val="0"/>
              <w:autoSpaceDE/>
              <w:autoSpaceDN/>
              <w:bidi w:val="0"/>
              <w:spacing w:line="400" w:lineRule="exact"/>
              <w:jc w:val="center"/>
              <w:rPr>
                <w:rFonts w:hint="eastAsia" w:ascii="宋体" w:hAnsi="宋体" w:eastAsia="宋体" w:cs="宋体"/>
                <w:b/>
                <w:bCs/>
                <w:i w:val="0"/>
                <w:iCs w:val="0"/>
                <w:strike w:val="0"/>
                <w:dstrike w:val="0"/>
                <w:color w:val="000000"/>
                <w:sz w:val="24"/>
                <w:szCs w:val="24"/>
                <w:highlight w:val="none"/>
                <w:u w:val="none"/>
              </w:rPr>
            </w:pPr>
          </w:p>
        </w:tc>
        <w:tc>
          <w:tcPr>
            <w:tcW w:w="1779" w:type="dxa"/>
            <w:vMerge w:val="continue"/>
            <w:tcBorders>
              <w:tl2br w:val="nil"/>
              <w:tr2bl w:val="nil"/>
            </w:tcBorders>
            <w:noWrap w:val="0"/>
            <w:vAlign w:val="center"/>
          </w:tcPr>
          <w:p w14:paraId="7DD23568">
            <w:pPr>
              <w:keepNext w:val="0"/>
              <w:keepLines w:val="0"/>
              <w:pageBreakBefore w:val="0"/>
              <w:kinsoku/>
              <w:wordWrap/>
              <w:overflowPunct/>
              <w:topLinePunct w:val="0"/>
              <w:autoSpaceDE/>
              <w:autoSpaceDN/>
              <w:bidi w:val="0"/>
              <w:spacing w:line="400" w:lineRule="exact"/>
              <w:ind w:left="42" w:leftChars="20"/>
              <w:jc w:val="center"/>
              <w:rPr>
                <w:rFonts w:hint="eastAsia" w:ascii="宋体" w:hAnsi="宋体" w:eastAsia="宋体" w:cs="宋体"/>
                <w:b/>
                <w:bCs/>
                <w:i w:val="0"/>
                <w:iCs w:val="0"/>
                <w:strike w:val="0"/>
                <w:dstrike w:val="0"/>
                <w:color w:val="000000"/>
                <w:sz w:val="24"/>
                <w:szCs w:val="24"/>
                <w:highlight w:val="none"/>
                <w:u w:val="none"/>
              </w:rPr>
            </w:pPr>
          </w:p>
        </w:tc>
        <w:tc>
          <w:tcPr>
            <w:tcW w:w="4098" w:type="dxa"/>
            <w:vMerge w:val="continue"/>
            <w:tcBorders>
              <w:tl2br w:val="nil"/>
              <w:tr2bl w:val="nil"/>
            </w:tcBorders>
            <w:noWrap w:val="0"/>
            <w:vAlign w:val="center"/>
          </w:tcPr>
          <w:p w14:paraId="0F8ED442">
            <w:pPr>
              <w:keepNext w:val="0"/>
              <w:keepLines w:val="0"/>
              <w:pageBreakBefore w:val="0"/>
              <w:kinsoku/>
              <w:wordWrap/>
              <w:overflowPunct/>
              <w:topLinePunct w:val="0"/>
              <w:autoSpaceDE/>
              <w:autoSpaceDN/>
              <w:bidi w:val="0"/>
              <w:spacing w:line="400" w:lineRule="exact"/>
              <w:jc w:val="both"/>
              <w:rPr>
                <w:rFonts w:hint="eastAsia" w:ascii="宋体" w:hAnsi="宋体" w:eastAsia="宋体" w:cs="宋体"/>
                <w:i w:val="0"/>
                <w:iCs w:val="0"/>
                <w:strike w:val="0"/>
                <w:dstrike w:val="0"/>
                <w:color w:val="000000"/>
                <w:sz w:val="24"/>
                <w:szCs w:val="24"/>
                <w:highlight w:val="none"/>
                <w:u w:val="none"/>
              </w:rPr>
            </w:pPr>
          </w:p>
        </w:tc>
        <w:tc>
          <w:tcPr>
            <w:tcW w:w="1169" w:type="dxa"/>
            <w:tcBorders>
              <w:tl2br w:val="nil"/>
              <w:tr2bl w:val="nil"/>
            </w:tcBorders>
            <w:noWrap w:val="0"/>
            <w:vAlign w:val="center"/>
          </w:tcPr>
          <w:p w14:paraId="272EF5E3">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i w:val="0"/>
                <w:iCs w:val="0"/>
                <w:strike w:val="0"/>
                <w:dstrike w:val="0"/>
                <w:color w:val="000000"/>
                <w:sz w:val="24"/>
                <w:szCs w:val="24"/>
                <w:highlight w:val="none"/>
                <w:u w:val="none"/>
              </w:rPr>
            </w:pPr>
            <w:r>
              <w:rPr>
                <w:rFonts w:hint="eastAsia" w:ascii="宋体" w:hAnsi="宋体" w:eastAsia="宋体" w:cs="宋体"/>
                <w:i w:val="0"/>
                <w:iCs w:val="0"/>
                <w:strike w:val="0"/>
                <w:dstrike w:val="0"/>
                <w:color w:val="000000"/>
                <w:kern w:val="0"/>
                <w:sz w:val="24"/>
                <w:szCs w:val="24"/>
                <w:highlight w:val="none"/>
                <w:u w:val="none"/>
                <w:lang w:val="en-US" w:eastAsia="zh-CN" w:bidi="ar"/>
              </w:rPr>
              <w:t>一般</w:t>
            </w:r>
          </w:p>
        </w:tc>
        <w:tc>
          <w:tcPr>
            <w:tcW w:w="3328" w:type="dxa"/>
            <w:tcBorders>
              <w:tl2br w:val="nil"/>
              <w:tr2bl w:val="nil"/>
            </w:tcBorders>
            <w:noWrap w:val="0"/>
            <w:vAlign w:val="center"/>
          </w:tcPr>
          <w:p w14:paraId="4623B3F7">
            <w:pPr>
              <w:keepNext w:val="0"/>
              <w:keepLines w:val="0"/>
              <w:pageBreakBefore w:val="0"/>
              <w:widowControl/>
              <w:suppressLineNumbers w:val="0"/>
              <w:kinsoku/>
              <w:wordWrap/>
              <w:overflowPunct/>
              <w:topLinePunct w:val="0"/>
              <w:autoSpaceDE/>
              <w:autoSpaceDN/>
              <w:bidi w:val="0"/>
              <w:adjustRightInd/>
              <w:snapToGrid/>
              <w:spacing w:line="316" w:lineRule="exact"/>
              <w:jc w:val="both"/>
              <w:textAlignment w:val="center"/>
              <w:rPr>
                <w:rFonts w:hint="eastAsia" w:ascii="宋体" w:hAnsi="宋体" w:eastAsia="宋体" w:cs="宋体"/>
                <w:i w:val="0"/>
                <w:iCs w:val="0"/>
                <w:strike w:val="0"/>
                <w:dstrike w:val="0"/>
                <w:color w:val="000000"/>
                <w:sz w:val="24"/>
                <w:szCs w:val="24"/>
                <w:highlight w:val="none"/>
                <w:u w:val="none"/>
              </w:rPr>
            </w:pPr>
            <w:r>
              <w:rPr>
                <w:rFonts w:hint="eastAsia" w:ascii="宋体" w:hAnsi="宋体" w:cs="宋体"/>
                <w:i w:val="0"/>
                <w:iCs w:val="0"/>
                <w:strike w:val="0"/>
                <w:dstrike w:val="0"/>
                <w:color w:val="000000"/>
                <w:kern w:val="0"/>
                <w:sz w:val="24"/>
                <w:szCs w:val="24"/>
                <w:highlight w:val="none"/>
                <w:u w:val="none"/>
                <w:lang w:val="en-US" w:eastAsia="zh-CN" w:bidi="ar"/>
              </w:rPr>
              <w:t>违法行为</w:t>
            </w:r>
            <w:r>
              <w:rPr>
                <w:rFonts w:hint="eastAsia" w:ascii="宋体" w:hAnsi="宋体" w:eastAsia="宋体" w:cs="宋体"/>
                <w:i w:val="0"/>
                <w:iCs w:val="0"/>
                <w:strike w:val="0"/>
                <w:dstrike w:val="0"/>
                <w:color w:val="000000"/>
                <w:kern w:val="0"/>
                <w:sz w:val="24"/>
                <w:szCs w:val="24"/>
                <w:highlight w:val="none"/>
                <w:u w:val="none"/>
                <w:lang w:val="en-US" w:eastAsia="zh-CN" w:bidi="ar"/>
              </w:rPr>
              <w:t>2次，或造成危害后果的。</w:t>
            </w:r>
          </w:p>
        </w:tc>
        <w:tc>
          <w:tcPr>
            <w:tcW w:w="3233" w:type="dxa"/>
            <w:tcBorders>
              <w:tl2br w:val="nil"/>
              <w:tr2bl w:val="nil"/>
            </w:tcBorders>
            <w:noWrap w:val="0"/>
            <w:vAlign w:val="center"/>
          </w:tcPr>
          <w:p w14:paraId="50F21155">
            <w:pPr>
              <w:keepNext w:val="0"/>
              <w:keepLines w:val="0"/>
              <w:pageBreakBefore w:val="0"/>
              <w:widowControl/>
              <w:suppressLineNumbers w:val="0"/>
              <w:kinsoku/>
              <w:wordWrap/>
              <w:overflowPunct/>
              <w:topLinePunct w:val="0"/>
              <w:autoSpaceDE/>
              <w:autoSpaceDN/>
              <w:bidi w:val="0"/>
              <w:adjustRightInd/>
              <w:snapToGrid/>
              <w:spacing w:line="328" w:lineRule="exact"/>
              <w:jc w:val="both"/>
              <w:textAlignment w:val="center"/>
              <w:rPr>
                <w:rFonts w:hint="eastAsia" w:ascii="宋体" w:hAnsi="宋体" w:eastAsia="宋体" w:cs="宋体"/>
                <w:i w:val="0"/>
                <w:iCs w:val="0"/>
                <w:strike w:val="0"/>
                <w:dstrike w:val="0"/>
                <w:color w:val="000000"/>
                <w:sz w:val="24"/>
                <w:szCs w:val="24"/>
                <w:highlight w:val="none"/>
                <w:u w:val="none"/>
              </w:rPr>
            </w:pPr>
            <w:r>
              <w:rPr>
                <w:rFonts w:hint="eastAsia" w:ascii="宋体" w:hAnsi="宋体" w:eastAsia="宋体" w:cs="宋体"/>
                <w:i w:val="0"/>
                <w:iCs w:val="0"/>
                <w:strike w:val="0"/>
                <w:dstrike w:val="0"/>
                <w:color w:val="000000"/>
                <w:kern w:val="0"/>
                <w:sz w:val="24"/>
                <w:szCs w:val="24"/>
                <w:highlight w:val="none"/>
                <w:u w:val="none"/>
                <w:lang w:val="en-US" w:eastAsia="zh-CN" w:bidi="ar"/>
              </w:rPr>
              <w:t>处9500元以上</w:t>
            </w:r>
            <w:r>
              <w:rPr>
                <w:rFonts w:hint="eastAsia" w:ascii="宋体" w:hAnsi="宋体" w:cs="宋体"/>
                <w:i w:val="0"/>
                <w:iCs w:val="0"/>
                <w:strike w:val="0"/>
                <w:dstrike w:val="0"/>
                <w:color w:val="000000"/>
                <w:kern w:val="0"/>
                <w:sz w:val="24"/>
                <w:szCs w:val="24"/>
                <w:highlight w:val="none"/>
                <w:u w:val="none"/>
                <w:lang w:val="en-US" w:eastAsia="zh-CN" w:bidi="ar"/>
              </w:rPr>
              <w:t>1.55万</w:t>
            </w:r>
            <w:r>
              <w:rPr>
                <w:rFonts w:hint="eastAsia" w:ascii="宋体" w:hAnsi="宋体" w:eastAsia="宋体" w:cs="宋体"/>
                <w:i w:val="0"/>
                <w:iCs w:val="0"/>
                <w:strike w:val="0"/>
                <w:dstrike w:val="0"/>
                <w:color w:val="000000"/>
                <w:kern w:val="0"/>
                <w:sz w:val="24"/>
                <w:szCs w:val="24"/>
                <w:highlight w:val="none"/>
                <w:u w:val="none"/>
                <w:lang w:val="en-US" w:eastAsia="zh-CN" w:bidi="ar"/>
              </w:rPr>
              <w:t>元以下罚款；有违法所得的，没收违法所得。</w:t>
            </w:r>
          </w:p>
        </w:tc>
      </w:tr>
      <w:tr w14:paraId="4476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759" w:type="dxa"/>
            <w:vMerge w:val="continue"/>
            <w:tcBorders>
              <w:tl2br w:val="nil"/>
              <w:tr2bl w:val="nil"/>
            </w:tcBorders>
            <w:noWrap w:val="0"/>
            <w:vAlign w:val="center"/>
          </w:tcPr>
          <w:p w14:paraId="01C68FC3">
            <w:pPr>
              <w:keepNext w:val="0"/>
              <w:keepLines w:val="0"/>
              <w:pageBreakBefore w:val="0"/>
              <w:kinsoku/>
              <w:wordWrap/>
              <w:overflowPunct/>
              <w:topLinePunct w:val="0"/>
              <w:autoSpaceDE/>
              <w:autoSpaceDN/>
              <w:bidi w:val="0"/>
              <w:spacing w:line="400" w:lineRule="exact"/>
              <w:jc w:val="center"/>
              <w:rPr>
                <w:rFonts w:hint="eastAsia" w:ascii="宋体" w:hAnsi="宋体" w:eastAsia="宋体" w:cs="宋体"/>
                <w:b/>
                <w:bCs/>
                <w:i w:val="0"/>
                <w:iCs w:val="0"/>
                <w:strike w:val="0"/>
                <w:dstrike w:val="0"/>
                <w:color w:val="000000"/>
                <w:sz w:val="24"/>
                <w:szCs w:val="24"/>
                <w:highlight w:val="none"/>
                <w:u w:val="none"/>
              </w:rPr>
            </w:pPr>
          </w:p>
        </w:tc>
        <w:tc>
          <w:tcPr>
            <w:tcW w:w="1779" w:type="dxa"/>
            <w:vMerge w:val="continue"/>
            <w:tcBorders>
              <w:tl2br w:val="nil"/>
              <w:tr2bl w:val="nil"/>
            </w:tcBorders>
            <w:noWrap w:val="0"/>
            <w:vAlign w:val="center"/>
          </w:tcPr>
          <w:p w14:paraId="3DEF9E1F">
            <w:pPr>
              <w:keepNext w:val="0"/>
              <w:keepLines w:val="0"/>
              <w:pageBreakBefore w:val="0"/>
              <w:kinsoku/>
              <w:wordWrap/>
              <w:overflowPunct/>
              <w:topLinePunct w:val="0"/>
              <w:autoSpaceDE/>
              <w:autoSpaceDN/>
              <w:bidi w:val="0"/>
              <w:spacing w:line="400" w:lineRule="exact"/>
              <w:ind w:left="42" w:leftChars="20"/>
              <w:jc w:val="center"/>
              <w:rPr>
                <w:rFonts w:hint="eastAsia" w:ascii="宋体" w:hAnsi="宋体" w:eastAsia="宋体" w:cs="宋体"/>
                <w:b/>
                <w:bCs/>
                <w:i w:val="0"/>
                <w:iCs w:val="0"/>
                <w:strike w:val="0"/>
                <w:dstrike w:val="0"/>
                <w:color w:val="000000"/>
                <w:sz w:val="24"/>
                <w:szCs w:val="24"/>
                <w:highlight w:val="none"/>
                <w:u w:val="none"/>
              </w:rPr>
            </w:pPr>
          </w:p>
        </w:tc>
        <w:tc>
          <w:tcPr>
            <w:tcW w:w="4098" w:type="dxa"/>
            <w:vMerge w:val="continue"/>
            <w:tcBorders>
              <w:tl2br w:val="nil"/>
              <w:tr2bl w:val="nil"/>
            </w:tcBorders>
            <w:noWrap w:val="0"/>
            <w:vAlign w:val="center"/>
          </w:tcPr>
          <w:p w14:paraId="2DAA8D16">
            <w:pPr>
              <w:keepNext w:val="0"/>
              <w:keepLines w:val="0"/>
              <w:pageBreakBefore w:val="0"/>
              <w:kinsoku/>
              <w:wordWrap/>
              <w:overflowPunct/>
              <w:topLinePunct w:val="0"/>
              <w:autoSpaceDE/>
              <w:autoSpaceDN/>
              <w:bidi w:val="0"/>
              <w:spacing w:line="400" w:lineRule="exact"/>
              <w:jc w:val="both"/>
              <w:rPr>
                <w:rFonts w:hint="eastAsia" w:ascii="宋体" w:hAnsi="宋体" w:eastAsia="宋体" w:cs="宋体"/>
                <w:i w:val="0"/>
                <w:iCs w:val="0"/>
                <w:strike w:val="0"/>
                <w:dstrike w:val="0"/>
                <w:color w:val="000000"/>
                <w:sz w:val="24"/>
                <w:szCs w:val="24"/>
                <w:highlight w:val="none"/>
                <w:u w:val="none"/>
              </w:rPr>
            </w:pPr>
          </w:p>
        </w:tc>
        <w:tc>
          <w:tcPr>
            <w:tcW w:w="1169" w:type="dxa"/>
            <w:tcBorders>
              <w:tl2br w:val="nil"/>
              <w:tr2bl w:val="nil"/>
            </w:tcBorders>
            <w:noWrap w:val="0"/>
            <w:vAlign w:val="center"/>
          </w:tcPr>
          <w:p w14:paraId="4C7273F8">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i w:val="0"/>
                <w:iCs w:val="0"/>
                <w:strike w:val="0"/>
                <w:dstrike w:val="0"/>
                <w:color w:val="000000"/>
                <w:sz w:val="24"/>
                <w:szCs w:val="24"/>
                <w:highlight w:val="none"/>
                <w:u w:val="none"/>
              </w:rPr>
            </w:pPr>
            <w:r>
              <w:rPr>
                <w:rFonts w:hint="eastAsia" w:ascii="宋体" w:hAnsi="宋体" w:eastAsia="宋体" w:cs="宋体"/>
                <w:i w:val="0"/>
                <w:iCs w:val="0"/>
                <w:strike w:val="0"/>
                <w:dstrike w:val="0"/>
                <w:color w:val="000000"/>
                <w:kern w:val="0"/>
                <w:sz w:val="24"/>
                <w:szCs w:val="24"/>
                <w:highlight w:val="none"/>
                <w:u w:val="none"/>
                <w:lang w:val="en-US" w:eastAsia="zh-CN" w:bidi="ar"/>
              </w:rPr>
              <w:t>较重</w:t>
            </w:r>
          </w:p>
        </w:tc>
        <w:tc>
          <w:tcPr>
            <w:tcW w:w="3328" w:type="dxa"/>
            <w:tcBorders>
              <w:tl2br w:val="nil"/>
              <w:tr2bl w:val="nil"/>
            </w:tcBorders>
            <w:noWrap/>
            <w:vAlign w:val="center"/>
          </w:tcPr>
          <w:p w14:paraId="1791D3B6">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strike w:val="0"/>
                <w:dstrike w:val="0"/>
                <w:color w:val="000000"/>
                <w:sz w:val="24"/>
                <w:szCs w:val="24"/>
                <w:highlight w:val="none"/>
                <w:u w:val="none"/>
              </w:rPr>
            </w:pPr>
            <w:r>
              <w:rPr>
                <w:rFonts w:hint="eastAsia" w:ascii="宋体" w:hAnsi="宋体" w:cs="宋体"/>
                <w:i w:val="0"/>
                <w:iCs w:val="0"/>
                <w:strike w:val="0"/>
                <w:dstrike w:val="0"/>
                <w:color w:val="000000"/>
                <w:kern w:val="0"/>
                <w:sz w:val="24"/>
                <w:szCs w:val="24"/>
                <w:highlight w:val="none"/>
                <w:u w:val="none"/>
                <w:lang w:val="en-US" w:eastAsia="zh-CN" w:bidi="ar"/>
              </w:rPr>
              <w:t>违法行为</w:t>
            </w:r>
            <w:r>
              <w:rPr>
                <w:rFonts w:hint="eastAsia" w:ascii="宋体" w:hAnsi="宋体" w:eastAsia="宋体" w:cs="宋体"/>
                <w:i w:val="0"/>
                <w:iCs w:val="0"/>
                <w:strike w:val="0"/>
                <w:dstrike w:val="0"/>
                <w:color w:val="000000"/>
                <w:kern w:val="0"/>
                <w:sz w:val="24"/>
                <w:szCs w:val="24"/>
                <w:highlight w:val="none"/>
                <w:u w:val="none"/>
                <w:lang w:val="en-US" w:eastAsia="zh-CN" w:bidi="ar"/>
              </w:rPr>
              <w:t>3次以上，或造成严重危害后果的。</w:t>
            </w:r>
          </w:p>
        </w:tc>
        <w:tc>
          <w:tcPr>
            <w:tcW w:w="3233" w:type="dxa"/>
            <w:tcBorders>
              <w:tl2br w:val="nil"/>
              <w:tr2bl w:val="nil"/>
            </w:tcBorders>
            <w:noWrap w:val="0"/>
            <w:vAlign w:val="center"/>
          </w:tcPr>
          <w:p w14:paraId="7E199D04">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strike w:val="0"/>
                <w:dstrike w:val="0"/>
                <w:color w:val="000000"/>
                <w:sz w:val="24"/>
                <w:szCs w:val="24"/>
                <w:highlight w:val="none"/>
                <w:u w:val="none"/>
              </w:rPr>
            </w:pPr>
            <w:r>
              <w:rPr>
                <w:rFonts w:hint="eastAsia" w:ascii="宋体" w:hAnsi="宋体" w:eastAsia="宋体" w:cs="宋体"/>
                <w:i w:val="0"/>
                <w:iCs w:val="0"/>
                <w:strike w:val="0"/>
                <w:dstrike w:val="0"/>
                <w:color w:val="000000"/>
                <w:kern w:val="0"/>
                <w:sz w:val="24"/>
                <w:szCs w:val="24"/>
                <w:highlight w:val="none"/>
                <w:u w:val="none"/>
                <w:lang w:val="en-US" w:eastAsia="zh-CN" w:bidi="ar"/>
              </w:rPr>
              <w:t>处</w:t>
            </w:r>
            <w:r>
              <w:rPr>
                <w:rFonts w:hint="eastAsia" w:ascii="宋体" w:hAnsi="宋体" w:cs="宋体"/>
                <w:i w:val="0"/>
                <w:iCs w:val="0"/>
                <w:strike w:val="0"/>
                <w:dstrike w:val="0"/>
                <w:color w:val="000000"/>
                <w:kern w:val="0"/>
                <w:sz w:val="24"/>
                <w:szCs w:val="24"/>
                <w:highlight w:val="none"/>
                <w:u w:val="none"/>
                <w:lang w:val="en-US" w:eastAsia="zh-CN" w:bidi="ar"/>
              </w:rPr>
              <w:t>1.55万</w:t>
            </w:r>
            <w:r>
              <w:rPr>
                <w:rFonts w:hint="eastAsia" w:ascii="宋体" w:hAnsi="宋体" w:eastAsia="宋体" w:cs="宋体"/>
                <w:i w:val="0"/>
                <w:iCs w:val="0"/>
                <w:strike w:val="0"/>
                <w:dstrike w:val="0"/>
                <w:color w:val="000000"/>
                <w:kern w:val="0"/>
                <w:sz w:val="24"/>
                <w:szCs w:val="24"/>
                <w:highlight w:val="none"/>
                <w:u w:val="none"/>
                <w:lang w:val="en-US" w:eastAsia="zh-CN" w:bidi="ar"/>
              </w:rPr>
              <w:t>元以上2</w:t>
            </w:r>
            <w:r>
              <w:rPr>
                <w:rFonts w:hint="eastAsia" w:ascii="宋体" w:hAnsi="宋体" w:cs="宋体"/>
                <w:i w:val="0"/>
                <w:iCs w:val="0"/>
                <w:strike w:val="0"/>
                <w:dstrike w:val="0"/>
                <w:color w:val="000000"/>
                <w:kern w:val="0"/>
                <w:sz w:val="24"/>
                <w:szCs w:val="24"/>
                <w:highlight w:val="none"/>
                <w:u w:val="none"/>
                <w:lang w:val="en-US" w:eastAsia="zh-CN" w:bidi="ar"/>
              </w:rPr>
              <w:t>万</w:t>
            </w:r>
            <w:r>
              <w:rPr>
                <w:rFonts w:hint="eastAsia" w:ascii="宋体" w:hAnsi="宋体" w:eastAsia="宋体" w:cs="宋体"/>
                <w:i w:val="0"/>
                <w:iCs w:val="0"/>
                <w:strike w:val="0"/>
                <w:dstrike w:val="0"/>
                <w:color w:val="000000"/>
                <w:kern w:val="0"/>
                <w:sz w:val="24"/>
                <w:szCs w:val="24"/>
                <w:highlight w:val="none"/>
                <w:u w:val="none"/>
                <w:lang w:val="en-US" w:eastAsia="zh-CN" w:bidi="ar"/>
              </w:rPr>
              <w:t>元以下罚款；有违法所得的，没收违法所得。</w:t>
            </w:r>
          </w:p>
        </w:tc>
      </w:tr>
      <w:tr w14:paraId="48A46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atLeast"/>
        </w:trPr>
        <w:tc>
          <w:tcPr>
            <w:tcW w:w="759" w:type="dxa"/>
            <w:vMerge w:val="restart"/>
            <w:tcBorders>
              <w:tl2br w:val="nil"/>
              <w:tr2bl w:val="nil"/>
            </w:tcBorders>
            <w:noWrap/>
            <w:vAlign w:val="center"/>
          </w:tcPr>
          <w:p w14:paraId="33EE037E">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color w:val="auto"/>
                <w:kern w:val="0"/>
                <w:sz w:val="24"/>
                <w:szCs w:val="24"/>
                <w:u w:val="none"/>
                <w:lang w:val="en-US" w:eastAsia="zh-CN" w:bidi="ar"/>
              </w:rPr>
              <w:t>3</w:t>
            </w:r>
            <w:r>
              <w:rPr>
                <w:rFonts w:hint="eastAsia" w:ascii="宋体" w:hAnsi="宋体" w:cs="宋体"/>
                <w:b w:val="0"/>
                <w:bCs w:val="0"/>
                <w:i w:val="0"/>
                <w:iCs w:val="0"/>
                <w:color w:val="auto"/>
                <w:kern w:val="0"/>
                <w:sz w:val="24"/>
                <w:szCs w:val="24"/>
                <w:u w:val="none"/>
                <w:lang w:val="en-US" w:eastAsia="zh-CN" w:bidi="ar"/>
              </w:rPr>
              <w:t>34</w:t>
            </w:r>
          </w:p>
        </w:tc>
        <w:tc>
          <w:tcPr>
            <w:tcW w:w="1779" w:type="dxa"/>
            <w:vMerge w:val="restart"/>
            <w:tcBorders>
              <w:tl2br w:val="nil"/>
              <w:tr2bl w:val="nil"/>
            </w:tcBorders>
            <w:noWrap w:val="0"/>
            <w:vAlign w:val="center"/>
          </w:tcPr>
          <w:p w14:paraId="39D62275">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left"/>
              <w:textAlignment w:val="center"/>
              <w:outlineLvl w:val="2"/>
              <w:rPr>
                <w:rFonts w:hint="eastAsia" w:ascii="宋体" w:hAnsi="宋体" w:eastAsia="宋体" w:cs="宋体"/>
                <w:b w:val="0"/>
                <w:bCs w:val="0"/>
                <w:i w:val="0"/>
                <w:iCs w:val="0"/>
                <w:color w:val="auto"/>
                <w:sz w:val="24"/>
                <w:szCs w:val="24"/>
                <w:u w:val="none"/>
              </w:rPr>
            </w:pPr>
            <w:bookmarkStart w:id="401" w:name="_Toc19489"/>
            <w:bookmarkStart w:id="402" w:name="_Toc23870"/>
            <w:bookmarkStart w:id="403" w:name="_Toc10143"/>
            <w:bookmarkStart w:id="404" w:name="_Toc3671"/>
            <w:bookmarkStart w:id="405" w:name="_Toc10414"/>
            <w:r>
              <w:rPr>
                <w:rFonts w:hint="eastAsia" w:ascii="宋体" w:hAnsi="宋体" w:eastAsia="宋体" w:cs="宋体"/>
                <w:b w:val="0"/>
                <w:bCs w:val="0"/>
                <w:i w:val="0"/>
                <w:iCs w:val="0"/>
                <w:color w:val="auto"/>
                <w:kern w:val="0"/>
                <w:sz w:val="24"/>
                <w:szCs w:val="24"/>
                <w:u w:val="none"/>
                <w:lang w:val="en-US" w:eastAsia="zh-CN" w:bidi="ar"/>
              </w:rPr>
              <w:t>《奥林匹克标志保护条例》（2018年</w:t>
            </w:r>
            <w:r>
              <w:rPr>
                <w:rFonts w:hint="eastAsia" w:ascii="宋体" w:hAnsi="宋体" w:cs="宋体"/>
                <w:b w:val="0"/>
                <w:bCs w:val="0"/>
                <w:i w:val="0"/>
                <w:iCs w:val="0"/>
                <w:color w:val="auto"/>
                <w:kern w:val="0"/>
                <w:sz w:val="24"/>
                <w:szCs w:val="24"/>
                <w:u w:val="none"/>
                <w:lang w:val="en-US" w:eastAsia="zh-CN" w:bidi="ar"/>
              </w:rPr>
              <w:t>7</w:t>
            </w:r>
            <w:r>
              <w:rPr>
                <w:rFonts w:hint="eastAsia" w:ascii="宋体" w:hAnsi="宋体" w:eastAsia="宋体" w:cs="宋体"/>
                <w:b w:val="0"/>
                <w:bCs w:val="0"/>
                <w:i w:val="0"/>
                <w:iCs w:val="0"/>
                <w:color w:val="auto"/>
                <w:kern w:val="0"/>
                <w:sz w:val="24"/>
                <w:szCs w:val="24"/>
                <w:u w:val="none"/>
                <w:lang w:val="en-US" w:eastAsia="zh-CN" w:bidi="ar"/>
              </w:rPr>
              <w:t>月</w:t>
            </w:r>
            <w:r>
              <w:rPr>
                <w:rFonts w:hint="eastAsia" w:ascii="宋体" w:hAnsi="宋体" w:cs="宋体"/>
                <w:b w:val="0"/>
                <w:bCs w:val="0"/>
                <w:i w:val="0"/>
                <w:iCs w:val="0"/>
                <w:color w:val="auto"/>
                <w:kern w:val="0"/>
                <w:sz w:val="24"/>
                <w:szCs w:val="24"/>
                <w:u w:val="none"/>
                <w:lang w:val="en-US" w:eastAsia="zh-CN" w:bidi="ar"/>
              </w:rPr>
              <w:t>31</w:t>
            </w:r>
            <w:r>
              <w:rPr>
                <w:rFonts w:hint="eastAsia" w:ascii="宋体" w:hAnsi="宋体" w:eastAsia="宋体" w:cs="宋体"/>
                <w:b w:val="0"/>
                <w:bCs w:val="0"/>
                <w:i w:val="0"/>
                <w:iCs w:val="0"/>
                <w:color w:val="auto"/>
                <w:kern w:val="0"/>
                <w:sz w:val="24"/>
                <w:szCs w:val="24"/>
                <w:u w:val="none"/>
                <w:lang w:val="en-US" w:eastAsia="zh-CN" w:bidi="ar"/>
              </w:rPr>
              <w:t>日</w:t>
            </w:r>
            <w:r>
              <w:rPr>
                <w:rFonts w:hint="eastAsia" w:ascii="宋体" w:hAnsi="宋体" w:cs="宋体"/>
                <w:b w:val="0"/>
                <w:bCs w:val="0"/>
                <w:i w:val="0"/>
                <w:iCs w:val="0"/>
                <w:color w:val="auto"/>
                <w:kern w:val="0"/>
                <w:sz w:val="24"/>
                <w:szCs w:val="24"/>
                <w:u w:val="none"/>
                <w:lang w:val="en-US" w:eastAsia="zh-CN" w:bidi="ar"/>
              </w:rPr>
              <w:t>起施行</w:t>
            </w:r>
            <w:r>
              <w:rPr>
                <w:rFonts w:hint="eastAsia" w:ascii="宋体" w:hAnsi="宋体" w:eastAsia="宋体" w:cs="宋体"/>
                <w:b w:val="0"/>
                <w:bCs w:val="0"/>
                <w:i w:val="0"/>
                <w:iCs w:val="0"/>
                <w:color w:val="auto"/>
                <w:kern w:val="0"/>
                <w:sz w:val="24"/>
                <w:szCs w:val="24"/>
                <w:u w:val="none"/>
                <w:lang w:val="en-US" w:eastAsia="zh-CN" w:bidi="ar"/>
              </w:rPr>
              <w:t>）</w:t>
            </w:r>
            <w:bookmarkEnd w:id="401"/>
            <w:bookmarkEnd w:id="402"/>
            <w:bookmarkEnd w:id="403"/>
            <w:bookmarkEnd w:id="404"/>
            <w:bookmarkEnd w:id="405"/>
          </w:p>
        </w:tc>
        <w:tc>
          <w:tcPr>
            <w:tcW w:w="4098" w:type="dxa"/>
            <w:vMerge w:val="restart"/>
            <w:tcBorders>
              <w:tl2br w:val="nil"/>
              <w:tr2bl w:val="nil"/>
            </w:tcBorders>
            <w:noWrap w:val="0"/>
            <w:vAlign w:val="center"/>
          </w:tcPr>
          <w:p w14:paraId="659C76D8">
            <w:pPr>
              <w:keepNext w:val="0"/>
              <w:keepLines w:val="0"/>
              <w:pageBreakBefore w:val="0"/>
              <w:widowControl/>
              <w:suppressLineNumbers w:val="0"/>
              <w:kinsoku/>
              <w:wordWrap/>
              <w:overflowPunct/>
              <w:topLinePunct w:val="0"/>
              <w:autoSpaceDE/>
              <w:autoSpaceDN/>
              <w:bidi w:val="0"/>
              <w:adjustRightInd/>
              <w:snapToGrid/>
              <w:spacing w:line="290" w:lineRule="exact"/>
              <w:ind w:right="-63" w:rightChars="-30"/>
              <w:jc w:val="both"/>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第十二条 未经奥林匹克标志权利人许可，为商业目的擅自使用奥林匹克标志，或者使用足以引人误认的近似标志，即侵犯奥林匹克标志专有权，引起纠纷的，由当事人协商解决；不愿协商或者协商不成的，奥林匹克标志权利人或者利害关系人可以向人民法院提起诉讼，也可以请求市场监督管理部门处理。市场监督管理部门处理时，认定侵权行为成立的，责令立即停止侵权行为，没收、销毁侵权商品和主要用于制造侵权商品或者为商业目的擅自制造奥林匹克标志的工具。违法经营额5万元以上的，可以并处违法经营额5倍以下的罚款，没有违法经营额或者违法经营额不足5万元的，可以并处25万元以下的罚款。当事人对处理决定不服的，可以依照《中华人民共和国行政复议法》申请行政复议，也可以直接依照《中华人民共和国行政诉讼法》向人民法院提起诉讼。进行处理的市场监督管理部门应当事人的请求，可以就侵犯奥林匹克标志专有权的赔偿数额进行调解；调解不成的，当事人可以依照《中华人民共和国民事诉讼法》向人民法院提起诉讼。利用奥林匹克标志进行诈骗等活动，构成犯罪的，依法追究刑事责任。</w:t>
            </w:r>
          </w:p>
        </w:tc>
        <w:tc>
          <w:tcPr>
            <w:tcW w:w="1169" w:type="dxa"/>
            <w:tcBorders>
              <w:tl2br w:val="nil"/>
              <w:tr2bl w:val="nil"/>
            </w:tcBorders>
            <w:noWrap/>
            <w:vAlign w:val="center"/>
          </w:tcPr>
          <w:p w14:paraId="7B2715AC">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较轻</w:t>
            </w:r>
          </w:p>
        </w:tc>
        <w:tc>
          <w:tcPr>
            <w:tcW w:w="3328" w:type="dxa"/>
            <w:tcBorders>
              <w:tl2br w:val="nil"/>
              <w:tr2bl w:val="nil"/>
            </w:tcBorders>
            <w:noWrap w:val="0"/>
            <w:vAlign w:val="center"/>
          </w:tcPr>
          <w:p w14:paraId="36CB25FC">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b w:val="0"/>
                <w:bCs w:val="0"/>
                <w:i w:val="0"/>
                <w:iCs w:val="0"/>
                <w:color w:val="auto"/>
                <w:kern w:val="2"/>
                <w:sz w:val="24"/>
                <w:szCs w:val="24"/>
                <w:u w:val="none"/>
                <w:lang w:val="en-US" w:eastAsia="zh-CN" w:bidi="ar-SA"/>
              </w:rPr>
            </w:pPr>
            <w:r>
              <w:rPr>
                <w:rFonts w:hint="eastAsia" w:ascii="宋体" w:hAnsi="宋体" w:eastAsia="宋体" w:cs="宋体"/>
                <w:kern w:val="0"/>
                <w:sz w:val="24"/>
                <w:szCs w:val="24"/>
              </w:rPr>
              <w:t>没有违法经营额或者违法经营额5万元以下的。</w:t>
            </w:r>
          </w:p>
        </w:tc>
        <w:tc>
          <w:tcPr>
            <w:tcW w:w="3233" w:type="dxa"/>
            <w:tcBorders>
              <w:tl2br w:val="nil"/>
              <w:tr2bl w:val="nil"/>
            </w:tcBorders>
            <w:noWrap w:val="0"/>
            <w:vAlign w:val="center"/>
          </w:tcPr>
          <w:p w14:paraId="3BF8E45E">
            <w:pPr>
              <w:keepNext w:val="0"/>
              <w:keepLines w:val="0"/>
              <w:pageBreakBefore w:val="0"/>
              <w:widowControl/>
              <w:kinsoku/>
              <w:wordWrap/>
              <w:overflowPunct/>
              <w:topLinePunct w:val="0"/>
              <w:autoSpaceDE/>
              <w:autoSpaceDN/>
              <w:bidi w:val="0"/>
              <w:adjustRightInd w:val="0"/>
              <w:snapToGrid w:val="0"/>
              <w:spacing w:line="340" w:lineRule="exact"/>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color w:val="auto"/>
                <w:kern w:val="0"/>
                <w:sz w:val="24"/>
                <w:szCs w:val="24"/>
                <w:lang w:bidi="ar"/>
              </w:rPr>
              <w:t>没收、销毁侵权商品和主要用于制造侵权商品或者为商业目的擅自制造奥林匹克标志的工具</w:t>
            </w:r>
            <w:r>
              <w:rPr>
                <w:rFonts w:hint="eastAsia" w:ascii="宋体" w:hAnsi="宋体" w:eastAsia="宋体" w:cs="宋体"/>
                <w:b w:val="0"/>
                <w:bCs w:val="0"/>
                <w:color w:val="auto"/>
                <w:kern w:val="0"/>
                <w:sz w:val="24"/>
                <w:szCs w:val="24"/>
                <w:lang w:eastAsia="zh-CN" w:bidi="ar"/>
              </w:rPr>
              <w:t>；</w:t>
            </w:r>
            <w:r>
              <w:rPr>
                <w:rFonts w:hint="eastAsia" w:ascii="宋体" w:hAnsi="宋体" w:eastAsia="宋体" w:cs="宋体"/>
                <w:b w:val="0"/>
                <w:bCs w:val="0"/>
                <w:color w:val="auto"/>
                <w:kern w:val="0"/>
                <w:sz w:val="24"/>
                <w:szCs w:val="24"/>
                <w:lang w:bidi="ar"/>
              </w:rPr>
              <w:t>可以处</w:t>
            </w:r>
            <w:r>
              <w:rPr>
                <w:rFonts w:hint="eastAsia" w:ascii="宋体" w:hAnsi="宋体" w:eastAsia="宋体" w:cs="宋体"/>
                <w:b w:val="0"/>
                <w:bCs w:val="0"/>
                <w:color w:val="auto"/>
                <w:kern w:val="0"/>
                <w:sz w:val="24"/>
                <w:szCs w:val="24"/>
                <w:lang w:val="en-US" w:eastAsia="zh-CN" w:bidi="ar"/>
              </w:rPr>
              <w:t>25</w:t>
            </w:r>
            <w:r>
              <w:rPr>
                <w:rFonts w:hint="eastAsia" w:ascii="宋体" w:hAnsi="宋体" w:eastAsia="宋体" w:cs="宋体"/>
                <w:b w:val="0"/>
                <w:bCs w:val="0"/>
                <w:color w:val="auto"/>
                <w:kern w:val="0"/>
                <w:sz w:val="24"/>
                <w:szCs w:val="24"/>
                <w:lang w:bidi="ar"/>
              </w:rPr>
              <w:t>万元以下的罚款。</w:t>
            </w:r>
          </w:p>
        </w:tc>
      </w:tr>
      <w:tr w14:paraId="0D9B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trPr>
        <w:tc>
          <w:tcPr>
            <w:tcW w:w="759" w:type="dxa"/>
            <w:vMerge w:val="continue"/>
            <w:tcBorders>
              <w:tl2br w:val="nil"/>
              <w:tr2bl w:val="nil"/>
            </w:tcBorders>
            <w:noWrap/>
            <w:vAlign w:val="center"/>
          </w:tcPr>
          <w:p w14:paraId="396947A2">
            <w:pPr>
              <w:keepNext w:val="0"/>
              <w:keepLines w:val="0"/>
              <w:pageBreakBefore w:val="0"/>
              <w:kinsoku/>
              <w:wordWrap/>
              <w:overflowPunct/>
              <w:topLinePunct w:val="0"/>
              <w:autoSpaceDE/>
              <w:autoSpaceDN/>
              <w:bidi w:val="0"/>
              <w:spacing w:line="400" w:lineRule="exact"/>
              <w:jc w:val="center"/>
              <w:rPr>
                <w:rFonts w:hint="eastAsia" w:ascii="宋体" w:hAnsi="宋体" w:eastAsia="宋体" w:cs="宋体"/>
                <w:b w:val="0"/>
                <w:bCs w:val="0"/>
                <w:i w:val="0"/>
                <w:iCs w:val="0"/>
                <w:color w:val="auto"/>
                <w:sz w:val="24"/>
                <w:szCs w:val="24"/>
                <w:u w:val="none"/>
              </w:rPr>
            </w:pPr>
          </w:p>
        </w:tc>
        <w:tc>
          <w:tcPr>
            <w:tcW w:w="1779" w:type="dxa"/>
            <w:vMerge w:val="continue"/>
            <w:tcBorders>
              <w:tl2br w:val="nil"/>
              <w:tr2bl w:val="nil"/>
            </w:tcBorders>
            <w:noWrap w:val="0"/>
            <w:vAlign w:val="center"/>
          </w:tcPr>
          <w:p w14:paraId="484061CD">
            <w:pPr>
              <w:keepNext w:val="0"/>
              <w:keepLines w:val="0"/>
              <w:pageBreakBefore w:val="0"/>
              <w:kinsoku/>
              <w:wordWrap/>
              <w:overflowPunct/>
              <w:topLinePunct w:val="0"/>
              <w:autoSpaceDE/>
              <w:autoSpaceDN/>
              <w:bidi w:val="0"/>
              <w:spacing w:line="400" w:lineRule="exact"/>
              <w:ind w:left="42" w:leftChars="20"/>
              <w:jc w:val="left"/>
              <w:rPr>
                <w:rFonts w:hint="eastAsia" w:ascii="宋体" w:hAnsi="宋体" w:eastAsia="宋体" w:cs="宋体"/>
                <w:b w:val="0"/>
                <w:bCs w:val="0"/>
                <w:i w:val="0"/>
                <w:iCs w:val="0"/>
                <w:color w:val="auto"/>
                <w:sz w:val="24"/>
                <w:szCs w:val="24"/>
                <w:u w:val="none"/>
              </w:rPr>
            </w:pPr>
          </w:p>
        </w:tc>
        <w:tc>
          <w:tcPr>
            <w:tcW w:w="4098" w:type="dxa"/>
            <w:vMerge w:val="continue"/>
            <w:tcBorders>
              <w:tl2br w:val="nil"/>
              <w:tr2bl w:val="nil"/>
            </w:tcBorders>
            <w:noWrap w:val="0"/>
            <w:vAlign w:val="center"/>
          </w:tcPr>
          <w:p w14:paraId="03F49E88">
            <w:pPr>
              <w:keepNext w:val="0"/>
              <w:keepLines w:val="0"/>
              <w:pageBreakBefore w:val="0"/>
              <w:kinsoku/>
              <w:wordWrap/>
              <w:overflowPunct/>
              <w:topLinePunct w:val="0"/>
              <w:autoSpaceDE/>
              <w:autoSpaceDN/>
              <w:bidi w:val="0"/>
              <w:spacing w:line="400" w:lineRule="exact"/>
              <w:jc w:val="both"/>
              <w:rPr>
                <w:rFonts w:hint="eastAsia" w:ascii="宋体" w:hAnsi="宋体" w:eastAsia="宋体" w:cs="宋体"/>
                <w:b w:val="0"/>
                <w:bCs w:val="0"/>
                <w:i w:val="0"/>
                <w:iCs w:val="0"/>
                <w:color w:val="auto"/>
                <w:sz w:val="24"/>
                <w:szCs w:val="24"/>
                <w:u w:val="none"/>
              </w:rPr>
            </w:pPr>
          </w:p>
        </w:tc>
        <w:tc>
          <w:tcPr>
            <w:tcW w:w="1169" w:type="dxa"/>
            <w:tcBorders>
              <w:tl2br w:val="nil"/>
              <w:tr2bl w:val="nil"/>
            </w:tcBorders>
            <w:noWrap/>
            <w:vAlign w:val="center"/>
          </w:tcPr>
          <w:p w14:paraId="61F2FC8A">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一般</w:t>
            </w:r>
          </w:p>
        </w:tc>
        <w:tc>
          <w:tcPr>
            <w:tcW w:w="3328" w:type="dxa"/>
            <w:tcBorders>
              <w:tl2br w:val="nil"/>
              <w:tr2bl w:val="nil"/>
            </w:tcBorders>
            <w:noWrap w:val="0"/>
            <w:vAlign w:val="center"/>
          </w:tcPr>
          <w:p w14:paraId="655C5716">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b w:val="0"/>
                <w:bCs w:val="0"/>
                <w:i w:val="0"/>
                <w:iCs w:val="0"/>
                <w:color w:val="auto"/>
                <w:kern w:val="2"/>
                <w:sz w:val="24"/>
                <w:szCs w:val="24"/>
                <w:u w:val="none"/>
                <w:lang w:val="en-US" w:eastAsia="zh-CN" w:bidi="ar-SA"/>
              </w:rPr>
            </w:pPr>
            <w:r>
              <w:rPr>
                <w:rFonts w:hint="eastAsia" w:ascii="宋体" w:hAnsi="宋体" w:eastAsia="宋体" w:cs="宋体"/>
                <w:kern w:val="0"/>
                <w:sz w:val="24"/>
                <w:szCs w:val="24"/>
              </w:rPr>
              <w:t>违法经营额5万元以上20万元以下的。</w:t>
            </w:r>
          </w:p>
        </w:tc>
        <w:tc>
          <w:tcPr>
            <w:tcW w:w="3233" w:type="dxa"/>
            <w:tcBorders>
              <w:tl2br w:val="nil"/>
              <w:tr2bl w:val="nil"/>
            </w:tcBorders>
            <w:noWrap w:val="0"/>
            <w:vAlign w:val="center"/>
          </w:tcPr>
          <w:p w14:paraId="4C999EDC">
            <w:pPr>
              <w:keepNext w:val="0"/>
              <w:keepLines w:val="0"/>
              <w:pageBreakBefore w:val="0"/>
              <w:widowControl/>
              <w:kinsoku/>
              <w:wordWrap/>
              <w:overflowPunct/>
              <w:topLinePunct w:val="0"/>
              <w:autoSpaceDE/>
              <w:autoSpaceDN/>
              <w:bidi w:val="0"/>
              <w:adjustRightInd w:val="0"/>
              <w:snapToGrid w:val="0"/>
              <w:spacing w:line="340" w:lineRule="exact"/>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color w:val="auto"/>
                <w:kern w:val="0"/>
                <w:sz w:val="24"/>
                <w:szCs w:val="24"/>
                <w:lang w:bidi="ar"/>
              </w:rPr>
              <w:t>没收、销毁侵权商品和主要用于制造侵权商品或者为商业目的擅自制造奥林匹克标志的工具；处违法经营额1.5倍以下的罚款</w:t>
            </w:r>
            <w:r>
              <w:rPr>
                <w:rFonts w:hint="eastAsia" w:ascii="宋体" w:hAnsi="宋体" w:cs="宋体"/>
                <w:b w:val="0"/>
                <w:bCs w:val="0"/>
                <w:color w:val="auto"/>
                <w:kern w:val="0"/>
                <w:sz w:val="24"/>
                <w:szCs w:val="24"/>
                <w:lang w:eastAsia="zh-CN" w:bidi="ar"/>
              </w:rPr>
              <w:t>。</w:t>
            </w:r>
          </w:p>
        </w:tc>
      </w:tr>
      <w:tr w14:paraId="624F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4" w:hRule="atLeast"/>
        </w:trPr>
        <w:tc>
          <w:tcPr>
            <w:tcW w:w="759" w:type="dxa"/>
            <w:vMerge w:val="continue"/>
            <w:tcBorders>
              <w:tl2br w:val="nil"/>
              <w:tr2bl w:val="nil"/>
            </w:tcBorders>
            <w:noWrap/>
            <w:vAlign w:val="center"/>
          </w:tcPr>
          <w:p w14:paraId="10DB6FCE">
            <w:pPr>
              <w:keepNext w:val="0"/>
              <w:keepLines w:val="0"/>
              <w:pageBreakBefore w:val="0"/>
              <w:kinsoku/>
              <w:wordWrap/>
              <w:overflowPunct/>
              <w:topLinePunct w:val="0"/>
              <w:autoSpaceDE/>
              <w:autoSpaceDN/>
              <w:bidi w:val="0"/>
              <w:spacing w:line="400" w:lineRule="exact"/>
              <w:jc w:val="center"/>
              <w:rPr>
                <w:rFonts w:hint="eastAsia" w:ascii="宋体" w:hAnsi="宋体" w:eastAsia="宋体" w:cs="宋体"/>
                <w:b w:val="0"/>
                <w:bCs w:val="0"/>
                <w:i w:val="0"/>
                <w:iCs w:val="0"/>
                <w:color w:val="auto"/>
                <w:sz w:val="24"/>
                <w:szCs w:val="24"/>
                <w:u w:val="none"/>
              </w:rPr>
            </w:pPr>
          </w:p>
        </w:tc>
        <w:tc>
          <w:tcPr>
            <w:tcW w:w="1779" w:type="dxa"/>
            <w:vMerge w:val="continue"/>
            <w:tcBorders>
              <w:tl2br w:val="nil"/>
              <w:tr2bl w:val="nil"/>
            </w:tcBorders>
            <w:noWrap w:val="0"/>
            <w:vAlign w:val="center"/>
          </w:tcPr>
          <w:p w14:paraId="407AF7BE">
            <w:pPr>
              <w:keepNext w:val="0"/>
              <w:keepLines w:val="0"/>
              <w:pageBreakBefore w:val="0"/>
              <w:kinsoku/>
              <w:wordWrap/>
              <w:overflowPunct/>
              <w:topLinePunct w:val="0"/>
              <w:autoSpaceDE/>
              <w:autoSpaceDN/>
              <w:bidi w:val="0"/>
              <w:spacing w:line="400" w:lineRule="exact"/>
              <w:ind w:left="42" w:leftChars="20"/>
              <w:jc w:val="left"/>
              <w:rPr>
                <w:rFonts w:hint="eastAsia" w:ascii="宋体" w:hAnsi="宋体" w:eastAsia="宋体" w:cs="宋体"/>
                <w:b w:val="0"/>
                <w:bCs w:val="0"/>
                <w:i w:val="0"/>
                <w:iCs w:val="0"/>
                <w:color w:val="auto"/>
                <w:sz w:val="24"/>
                <w:szCs w:val="24"/>
                <w:u w:val="none"/>
              </w:rPr>
            </w:pPr>
          </w:p>
        </w:tc>
        <w:tc>
          <w:tcPr>
            <w:tcW w:w="4098" w:type="dxa"/>
            <w:vMerge w:val="continue"/>
            <w:tcBorders>
              <w:tl2br w:val="nil"/>
              <w:tr2bl w:val="nil"/>
            </w:tcBorders>
            <w:noWrap w:val="0"/>
            <w:vAlign w:val="center"/>
          </w:tcPr>
          <w:p w14:paraId="161F41E8">
            <w:pPr>
              <w:keepNext w:val="0"/>
              <w:keepLines w:val="0"/>
              <w:pageBreakBefore w:val="0"/>
              <w:kinsoku/>
              <w:wordWrap/>
              <w:overflowPunct/>
              <w:topLinePunct w:val="0"/>
              <w:autoSpaceDE/>
              <w:autoSpaceDN/>
              <w:bidi w:val="0"/>
              <w:spacing w:line="400" w:lineRule="exact"/>
              <w:jc w:val="both"/>
              <w:rPr>
                <w:rFonts w:hint="eastAsia" w:ascii="宋体" w:hAnsi="宋体" w:eastAsia="宋体" w:cs="宋体"/>
                <w:b w:val="0"/>
                <w:bCs w:val="0"/>
                <w:i w:val="0"/>
                <w:iCs w:val="0"/>
                <w:color w:val="auto"/>
                <w:sz w:val="24"/>
                <w:szCs w:val="24"/>
                <w:u w:val="none"/>
              </w:rPr>
            </w:pPr>
          </w:p>
        </w:tc>
        <w:tc>
          <w:tcPr>
            <w:tcW w:w="1169" w:type="dxa"/>
            <w:tcBorders>
              <w:tl2br w:val="nil"/>
              <w:tr2bl w:val="nil"/>
            </w:tcBorders>
            <w:noWrap/>
            <w:vAlign w:val="center"/>
          </w:tcPr>
          <w:p w14:paraId="5BE4AD7F">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较重</w:t>
            </w:r>
          </w:p>
        </w:tc>
        <w:tc>
          <w:tcPr>
            <w:tcW w:w="3328" w:type="dxa"/>
            <w:tcBorders>
              <w:tl2br w:val="nil"/>
              <w:tr2bl w:val="nil"/>
            </w:tcBorders>
            <w:noWrap w:val="0"/>
            <w:vAlign w:val="center"/>
          </w:tcPr>
          <w:p w14:paraId="0F7A6F6B">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sz w:val="24"/>
                <w:szCs w:val="24"/>
                <w:lang w:val="en-US" w:eastAsia="zh-CN"/>
              </w:rPr>
            </w:pPr>
            <w:r>
              <w:rPr>
                <w:rFonts w:hint="eastAsia" w:ascii="宋体" w:hAnsi="宋体" w:eastAsia="宋体" w:cs="宋体"/>
                <w:kern w:val="0"/>
                <w:sz w:val="24"/>
                <w:szCs w:val="24"/>
              </w:rPr>
              <w:t>违法经营额20万元以上50万元以下的。</w:t>
            </w:r>
          </w:p>
        </w:tc>
        <w:tc>
          <w:tcPr>
            <w:tcW w:w="3233" w:type="dxa"/>
            <w:tcBorders>
              <w:tl2br w:val="nil"/>
              <w:tr2bl w:val="nil"/>
            </w:tcBorders>
            <w:noWrap w:val="0"/>
            <w:vAlign w:val="center"/>
          </w:tcPr>
          <w:p w14:paraId="10BD692C">
            <w:pPr>
              <w:keepNext w:val="0"/>
              <w:keepLines w:val="0"/>
              <w:pageBreakBefore w:val="0"/>
              <w:widowControl/>
              <w:kinsoku/>
              <w:wordWrap/>
              <w:overflowPunct/>
              <w:topLinePunct w:val="0"/>
              <w:autoSpaceDE/>
              <w:autoSpaceDN/>
              <w:bidi w:val="0"/>
              <w:adjustRightInd w:val="0"/>
              <w:snapToGrid w:val="0"/>
              <w:spacing w:line="340" w:lineRule="exact"/>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color w:val="auto"/>
                <w:kern w:val="0"/>
                <w:sz w:val="24"/>
                <w:szCs w:val="24"/>
                <w:lang w:bidi="ar"/>
              </w:rPr>
              <w:t>没收、销毁侵权商品和主要用于制造侵权商品或者为商业目的擅自制造奥林匹克标志的工具；处违法经营额</w:t>
            </w:r>
            <w:r>
              <w:rPr>
                <w:rFonts w:hint="eastAsia" w:ascii="宋体" w:hAnsi="宋体" w:eastAsia="宋体" w:cs="宋体"/>
                <w:b w:val="0"/>
                <w:bCs w:val="0"/>
                <w:color w:val="auto"/>
                <w:kern w:val="0"/>
                <w:sz w:val="24"/>
                <w:szCs w:val="24"/>
                <w:lang w:val="en-US" w:eastAsia="zh-CN" w:bidi="ar"/>
              </w:rPr>
              <w:t>1</w:t>
            </w:r>
            <w:r>
              <w:rPr>
                <w:rFonts w:hint="eastAsia" w:ascii="宋体" w:hAnsi="宋体" w:eastAsia="宋体" w:cs="宋体"/>
                <w:b w:val="0"/>
                <w:bCs w:val="0"/>
                <w:color w:val="auto"/>
                <w:kern w:val="0"/>
                <w:sz w:val="24"/>
                <w:szCs w:val="24"/>
                <w:lang w:bidi="ar"/>
              </w:rPr>
              <w:t>.5倍以上</w:t>
            </w:r>
            <w:r>
              <w:rPr>
                <w:rFonts w:hint="eastAsia" w:ascii="宋体" w:hAnsi="宋体" w:eastAsia="宋体" w:cs="宋体"/>
                <w:b w:val="0"/>
                <w:bCs w:val="0"/>
                <w:color w:val="auto"/>
                <w:kern w:val="0"/>
                <w:sz w:val="24"/>
                <w:szCs w:val="24"/>
                <w:lang w:val="en-US" w:eastAsia="zh-CN" w:bidi="ar"/>
              </w:rPr>
              <w:t>3.</w:t>
            </w:r>
            <w:r>
              <w:rPr>
                <w:rFonts w:hint="eastAsia" w:ascii="宋体" w:hAnsi="宋体" w:eastAsia="宋体" w:cs="宋体"/>
                <w:b w:val="0"/>
                <w:bCs w:val="0"/>
                <w:color w:val="auto"/>
                <w:kern w:val="0"/>
                <w:sz w:val="24"/>
                <w:szCs w:val="24"/>
                <w:lang w:bidi="ar"/>
              </w:rPr>
              <w:t>5倍以下的罚款</w:t>
            </w:r>
            <w:r>
              <w:rPr>
                <w:rFonts w:hint="eastAsia" w:ascii="宋体" w:hAnsi="宋体" w:cs="宋体"/>
                <w:b w:val="0"/>
                <w:bCs w:val="0"/>
                <w:color w:val="auto"/>
                <w:kern w:val="0"/>
                <w:sz w:val="24"/>
                <w:szCs w:val="24"/>
                <w:lang w:eastAsia="zh-CN" w:bidi="ar"/>
              </w:rPr>
              <w:t>。</w:t>
            </w:r>
          </w:p>
        </w:tc>
      </w:tr>
      <w:tr w14:paraId="774D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9" w:hRule="atLeast"/>
        </w:trPr>
        <w:tc>
          <w:tcPr>
            <w:tcW w:w="759" w:type="dxa"/>
            <w:vMerge w:val="continue"/>
            <w:tcBorders>
              <w:tl2br w:val="nil"/>
              <w:tr2bl w:val="nil"/>
            </w:tcBorders>
            <w:noWrap/>
            <w:vAlign w:val="center"/>
          </w:tcPr>
          <w:p w14:paraId="436C318A">
            <w:pPr>
              <w:keepNext w:val="0"/>
              <w:keepLines w:val="0"/>
              <w:pageBreakBefore w:val="0"/>
              <w:kinsoku/>
              <w:wordWrap/>
              <w:overflowPunct/>
              <w:topLinePunct w:val="0"/>
              <w:autoSpaceDE/>
              <w:autoSpaceDN/>
              <w:bidi w:val="0"/>
              <w:spacing w:line="400" w:lineRule="exact"/>
              <w:jc w:val="center"/>
              <w:rPr>
                <w:rFonts w:hint="eastAsia" w:ascii="宋体" w:hAnsi="宋体" w:eastAsia="宋体" w:cs="宋体"/>
                <w:b w:val="0"/>
                <w:bCs w:val="0"/>
                <w:i w:val="0"/>
                <w:iCs w:val="0"/>
                <w:color w:val="auto"/>
                <w:sz w:val="24"/>
                <w:szCs w:val="24"/>
                <w:u w:val="none"/>
              </w:rPr>
            </w:pPr>
          </w:p>
        </w:tc>
        <w:tc>
          <w:tcPr>
            <w:tcW w:w="1779" w:type="dxa"/>
            <w:vMerge w:val="continue"/>
            <w:tcBorders>
              <w:tl2br w:val="nil"/>
              <w:tr2bl w:val="nil"/>
            </w:tcBorders>
            <w:noWrap w:val="0"/>
            <w:vAlign w:val="center"/>
          </w:tcPr>
          <w:p w14:paraId="4463641D">
            <w:pPr>
              <w:keepNext w:val="0"/>
              <w:keepLines w:val="0"/>
              <w:pageBreakBefore w:val="0"/>
              <w:kinsoku/>
              <w:wordWrap/>
              <w:overflowPunct/>
              <w:topLinePunct w:val="0"/>
              <w:autoSpaceDE/>
              <w:autoSpaceDN/>
              <w:bidi w:val="0"/>
              <w:spacing w:line="400" w:lineRule="exact"/>
              <w:ind w:left="42" w:leftChars="20"/>
              <w:jc w:val="left"/>
              <w:rPr>
                <w:rFonts w:hint="eastAsia" w:ascii="宋体" w:hAnsi="宋体" w:eastAsia="宋体" w:cs="宋体"/>
                <w:b w:val="0"/>
                <w:bCs w:val="0"/>
                <w:i w:val="0"/>
                <w:iCs w:val="0"/>
                <w:color w:val="auto"/>
                <w:sz w:val="24"/>
                <w:szCs w:val="24"/>
                <w:u w:val="none"/>
              </w:rPr>
            </w:pPr>
          </w:p>
        </w:tc>
        <w:tc>
          <w:tcPr>
            <w:tcW w:w="4098" w:type="dxa"/>
            <w:vMerge w:val="continue"/>
            <w:tcBorders>
              <w:tl2br w:val="nil"/>
              <w:tr2bl w:val="nil"/>
            </w:tcBorders>
            <w:noWrap w:val="0"/>
            <w:vAlign w:val="center"/>
          </w:tcPr>
          <w:p w14:paraId="04F0A57E">
            <w:pPr>
              <w:keepNext w:val="0"/>
              <w:keepLines w:val="0"/>
              <w:pageBreakBefore w:val="0"/>
              <w:kinsoku/>
              <w:wordWrap/>
              <w:overflowPunct/>
              <w:topLinePunct w:val="0"/>
              <w:autoSpaceDE/>
              <w:autoSpaceDN/>
              <w:bidi w:val="0"/>
              <w:spacing w:line="400" w:lineRule="exact"/>
              <w:jc w:val="both"/>
              <w:rPr>
                <w:rFonts w:hint="eastAsia" w:ascii="宋体" w:hAnsi="宋体" w:eastAsia="宋体" w:cs="宋体"/>
                <w:b w:val="0"/>
                <w:bCs w:val="0"/>
                <w:i w:val="0"/>
                <w:iCs w:val="0"/>
                <w:color w:val="auto"/>
                <w:sz w:val="24"/>
                <w:szCs w:val="24"/>
                <w:u w:val="none"/>
              </w:rPr>
            </w:pPr>
          </w:p>
        </w:tc>
        <w:tc>
          <w:tcPr>
            <w:tcW w:w="1169" w:type="dxa"/>
            <w:tcBorders>
              <w:tl2br w:val="nil"/>
              <w:tr2bl w:val="nil"/>
            </w:tcBorders>
            <w:noWrap/>
            <w:vAlign w:val="center"/>
          </w:tcPr>
          <w:p w14:paraId="49730F78">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严重</w:t>
            </w:r>
          </w:p>
        </w:tc>
        <w:tc>
          <w:tcPr>
            <w:tcW w:w="3328" w:type="dxa"/>
            <w:tcBorders>
              <w:tl2br w:val="nil"/>
              <w:tr2bl w:val="nil"/>
            </w:tcBorders>
            <w:noWrap w:val="0"/>
            <w:vAlign w:val="center"/>
          </w:tcPr>
          <w:p w14:paraId="6B3BAF25">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b w:val="0"/>
                <w:bCs w:val="0"/>
                <w:i w:val="0"/>
                <w:iCs w:val="0"/>
                <w:color w:val="auto"/>
                <w:kern w:val="2"/>
                <w:sz w:val="24"/>
                <w:szCs w:val="24"/>
                <w:u w:val="none"/>
                <w:lang w:val="en-US" w:eastAsia="zh-CN" w:bidi="ar-SA"/>
              </w:rPr>
            </w:pPr>
            <w:r>
              <w:rPr>
                <w:rFonts w:hint="eastAsia" w:ascii="宋体" w:hAnsi="宋体" w:eastAsia="宋体" w:cs="宋体"/>
                <w:kern w:val="0"/>
                <w:sz w:val="24"/>
                <w:szCs w:val="24"/>
              </w:rPr>
              <w:t>违法经营额50万元以上的。</w:t>
            </w:r>
          </w:p>
        </w:tc>
        <w:tc>
          <w:tcPr>
            <w:tcW w:w="3233" w:type="dxa"/>
            <w:tcBorders>
              <w:tl2br w:val="nil"/>
              <w:tr2bl w:val="nil"/>
            </w:tcBorders>
            <w:noWrap w:val="0"/>
            <w:vAlign w:val="center"/>
          </w:tcPr>
          <w:p w14:paraId="1051C0DE">
            <w:pPr>
              <w:keepNext w:val="0"/>
              <w:keepLines w:val="0"/>
              <w:pageBreakBefore w:val="0"/>
              <w:widowControl/>
              <w:suppressLineNumbers w:val="0"/>
              <w:kinsoku/>
              <w:wordWrap/>
              <w:overflowPunct/>
              <w:topLinePunct w:val="0"/>
              <w:autoSpaceDE/>
              <w:autoSpaceDN/>
              <w:bidi w:val="0"/>
              <w:spacing w:line="360" w:lineRule="exact"/>
              <w:jc w:val="both"/>
              <w:textAlignment w:val="center"/>
              <w:rPr>
                <w:rFonts w:hint="eastAsia" w:ascii="宋体" w:hAnsi="宋体" w:eastAsia="宋体" w:cs="宋体"/>
                <w:b w:val="0"/>
                <w:bCs w:val="0"/>
                <w:color w:val="auto"/>
                <w:kern w:val="0"/>
                <w:sz w:val="24"/>
                <w:szCs w:val="24"/>
                <w:lang w:eastAsia="zh-CN" w:bidi="ar"/>
              </w:rPr>
            </w:pPr>
            <w:r>
              <w:rPr>
                <w:rFonts w:hint="eastAsia" w:ascii="宋体" w:hAnsi="宋体" w:eastAsia="宋体" w:cs="宋体"/>
                <w:b w:val="0"/>
                <w:bCs w:val="0"/>
                <w:color w:val="auto"/>
                <w:kern w:val="0"/>
                <w:sz w:val="24"/>
                <w:szCs w:val="24"/>
                <w:lang w:bidi="ar"/>
              </w:rPr>
              <w:t>没收、销毁侵权商品和主要用于制造侵权商品或者为商业目的擅自制造奥林匹克标志的工具；处违法经营额</w:t>
            </w:r>
            <w:r>
              <w:rPr>
                <w:rFonts w:hint="eastAsia" w:ascii="宋体" w:hAnsi="宋体" w:eastAsia="宋体" w:cs="宋体"/>
                <w:b w:val="0"/>
                <w:bCs w:val="0"/>
                <w:color w:val="auto"/>
                <w:kern w:val="0"/>
                <w:sz w:val="24"/>
                <w:szCs w:val="24"/>
                <w:lang w:val="en-US" w:eastAsia="zh-CN" w:bidi="ar"/>
              </w:rPr>
              <w:t>3</w:t>
            </w:r>
            <w:r>
              <w:rPr>
                <w:rFonts w:hint="eastAsia" w:ascii="宋体" w:hAnsi="宋体" w:eastAsia="宋体" w:cs="宋体"/>
                <w:b w:val="0"/>
                <w:bCs w:val="0"/>
                <w:color w:val="auto"/>
                <w:kern w:val="0"/>
                <w:sz w:val="24"/>
                <w:szCs w:val="24"/>
                <w:lang w:bidi="ar"/>
              </w:rPr>
              <w:t>.5倍以上5倍以下的罚款</w:t>
            </w:r>
            <w:r>
              <w:rPr>
                <w:rFonts w:hint="eastAsia" w:ascii="宋体" w:hAnsi="宋体" w:cs="宋体"/>
                <w:b w:val="0"/>
                <w:bCs w:val="0"/>
                <w:color w:val="auto"/>
                <w:kern w:val="0"/>
                <w:sz w:val="24"/>
                <w:szCs w:val="24"/>
                <w:lang w:eastAsia="zh-CN" w:bidi="ar"/>
              </w:rPr>
              <w:t>。</w:t>
            </w:r>
          </w:p>
        </w:tc>
      </w:tr>
      <w:tr w14:paraId="12E6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trPr>
        <w:tc>
          <w:tcPr>
            <w:tcW w:w="759" w:type="dxa"/>
            <w:vMerge w:val="restart"/>
            <w:tcBorders>
              <w:tl2br w:val="nil"/>
              <w:tr2bl w:val="nil"/>
            </w:tcBorders>
            <w:noWrap/>
            <w:vAlign w:val="center"/>
          </w:tcPr>
          <w:p w14:paraId="4556B98E">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default" w:ascii="宋体" w:hAnsi="宋体" w:eastAsia="宋体" w:cs="宋体"/>
                <w:b w:val="0"/>
                <w:bCs w:val="0"/>
                <w:i w:val="0"/>
                <w:iCs w:val="0"/>
                <w:color w:val="auto"/>
                <w:sz w:val="24"/>
                <w:szCs w:val="24"/>
                <w:u w:val="none"/>
                <w:lang w:val="en-US"/>
              </w:rPr>
            </w:pPr>
            <w:r>
              <w:rPr>
                <w:rFonts w:hint="eastAsia" w:ascii="宋体" w:hAnsi="宋体" w:eastAsia="宋体" w:cs="宋体"/>
                <w:b w:val="0"/>
                <w:bCs w:val="0"/>
                <w:i w:val="0"/>
                <w:iCs w:val="0"/>
                <w:color w:val="auto"/>
                <w:kern w:val="0"/>
                <w:sz w:val="24"/>
                <w:szCs w:val="24"/>
                <w:u w:val="none"/>
                <w:lang w:val="en-US" w:eastAsia="zh-CN" w:bidi="ar"/>
              </w:rPr>
              <w:t>3</w:t>
            </w:r>
            <w:r>
              <w:rPr>
                <w:rFonts w:hint="eastAsia" w:ascii="宋体" w:hAnsi="宋体" w:cs="宋体"/>
                <w:b w:val="0"/>
                <w:bCs w:val="0"/>
                <w:i w:val="0"/>
                <w:iCs w:val="0"/>
                <w:color w:val="auto"/>
                <w:kern w:val="0"/>
                <w:sz w:val="24"/>
                <w:szCs w:val="24"/>
                <w:u w:val="none"/>
                <w:lang w:val="en-US" w:eastAsia="zh-CN" w:bidi="ar"/>
              </w:rPr>
              <w:t>35</w:t>
            </w:r>
          </w:p>
        </w:tc>
        <w:tc>
          <w:tcPr>
            <w:tcW w:w="1779" w:type="dxa"/>
            <w:vMerge w:val="restart"/>
            <w:tcBorders>
              <w:tl2br w:val="nil"/>
              <w:tr2bl w:val="nil"/>
            </w:tcBorders>
            <w:noWrap w:val="0"/>
            <w:vAlign w:val="center"/>
          </w:tcPr>
          <w:p w14:paraId="1DE2FC28">
            <w:pPr>
              <w:keepNext w:val="0"/>
              <w:keepLines w:val="0"/>
              <w:pageBreakBefore w:val="0"/>
              <w:widowControl/>
              <w:suppressLineNumbers w:val="0"/>
              <w:kinsoku/>
              <w:wordWrap/>
              <w:overflowPunct/>
              <w:topLinePunct w:val="0"/>
              <w:autoSpaceDE/>
              <w:autoSpaceDN/>
              <w:bidi w:val="0"/>
              <w:adjustRightInd/>
              <w:snapToGrid/>
              <w:spacing w:line="400" w:lineRule="exact"/>
              <w:ind w:left="42" w:leftChars="20"/>
              <w:jc w:val="left"/>
              <w:textAlignment w:val="center"/>
              <w:outlineLvl w:val="2"/>
              <w:rPr>
                <w:rFonts w:hint="eastAsia" w:ascii="宋体" w:hAnsi="宋体" w:eastAsia="宋体" w:cs="宋体"/>
                <w:b w:val="0"/>
                <w:bCs w:val="0"/>
                <w:i w:val="0"/>
                <w:iCs w:val="0"/>
                <w:color w:val="auto"/>
                <w:sz w:val="24"/>
                <w:szCs w:val="24"/>
                <w:u w:val="none"/>
              </w:rPr>
            </w:pPr>
            <w:bookmarkStart w:id="406" w:name="_Toc7578"/>
            <w:bookmarkStart w:id="407" w:name="_Toc9528"/>
            <w:bookmarkStart w:id="408" w:name="_Toc15743"/>
            <w:bookmarkStart w:id="409" w:name="_Toc5959"/>
            <w:bookmarkStart w:id="410" w:name="_Toc30888"/>
            <w:r>
              <w:rPr>
                <w:rFonts w:hint="eastAsia" w:ascii="宋体" w:hAnsi="宋体" w:eastAsia="宋体" w:cs="宋体"/>
                <w:b w:val="0"/>
                <w:bCs w:val="0"/>
                <w:i w:val="0"/>
                <w:iCs w:val="0"/>
                <w:color w:val="auto"/>
                <w:kern w:val="0"/>
                <w:sz w:val="24"/>
                <w:szCs w:val="24"/>
                <w:u w:val="none"/>
                <w:lang w:val="en-US" w:eastAsia="zh-CN" w:bidi="ar"/>
              </w:rPr>
              <w:t>《世界博览会标志保护条例》（2004年1</w:t>
            </w:r>
            <w:r>
              <w:rPr>
                <w:rFonts w:hint="eastAsia" w:ascii="宋体" w:hAnsi="宋体" w:cs="宋体"/>
                <w:b w:val="0"/>
                <w:bCs w:val="0"/>
                <w:i w:val="0"/>
                <w:iCs w:val="0"/>
                <w:color w:val="auto"/>
                <w:kern w:val="0"/>
                <w:sz w:val="24"/>
                <w:szCs w:val="24"/>
                <w:u w:val="none"/>
                <w:lang w:val="en-US" w:eastAsia="zh-CN" w:bidi="ar"/>
              </w:rPr>
              <w:t>2</w:t>
            </w:r>
            <w:r>
              <w:rPr>
                <w:rFonts w:hint="eastAsia" w:ascii="宋体" w:hAnsi="宋体" w:eastAsia="宋体" w:cs="宋体"/>
                <w:b w:val="0"/>
                <w:bCs w:val="0"/>
                <w:i w:val="0"/>
                <w:iCs w:val="0"/>
                <w:color w:val="auto"/>
                <w:kern w:val="0"/>
                <w:sz w:val="24"/>
                <w:szCs w:val="24"/>
                <w:u w:val="none"/>
                <w:lang w:val="en-US" w:eastAsia="zh-CN" w:bidi="ar"/>
              </w:rPr>
              <w:t>月1日</w:t>
            </w:r>
            <w:r>
              <w:rPr>
                <w:rFonts w:hint="eastAsia" w:ascii="宋体" w:hAnsi="宋体" w:cs="宋体"/>
                <w:b w:val="0"/>
                <w:bCs w:val="0"/>
                <w:i w:val="0"/>
                <w:iCs w:val="0"/>
                <w:color w:val="auto"/>
                <w:kern w:val="0"/>
                <w:sz w:val="24"/>
                <w:szCs w:val="24"/>
                <w:u w:val="none"/>
                <w:lang w:val="en-US" w:eastAsia="zh-CN" w:bidi="ar"/>
              </w:rPr>
              <w:t>起施行</w:t>
            </w:r>
            <w:r>
              <w:rPr>
                <w:rFonts w:hint="eastAsia" w:ascii="宋体" w:hAnsi="宋体" w:eastAsia="宋体" w:cs="宋体"/>
                <w:b w:val="0"/>
                <w:bCs w:val="0"/>
                <w:i w:val="0"/>
                <w:iCs w:val="0"/>
                <w:color w:val="auto"/>
                <w:kern w:val="0"/>
                <w:sz w:val="24"/>
                <w:szCs w:val="24"/>
                <w:u w:val="none"/>
                <w:lang w:val="en-US" w:eastAsia="zh-CN" w:bidi="ar"/>
              </w:rPr>
              <w:t>）</w:t>
            </w:r>
            <w:bookmarkEnd w:id="406"/>
            <w:bookmarkEnd w:id="407"/>
            <w:bookmarkEnd w:id="408"/>
            <w:bookmarkEnd w:id="409"/>
            <w:bookmarkEnd w:id="410"/>
          </w:p>
        </w:tc>
        <w:tc>
          <w:tcPr>
            <w:tcW w:w="4098" w:type="dxa"/>
            <w:vMerge w:val="restart"/>
            <w:tcBorders>
              <w:tl2br w:val="nil"/>
              <w:tr2bl w:val="nil"/>
            </w:tcBorders>
            <w:noWrap w:val="0"/>
            <w:vAlign w:val="center"/>
          </w:tcPr>
          <w:p w14:paraId="088EE770">
            <w:pPr>
              <w:keepNext w:val="0"/>
              <w:keepLines w:val="0"/>
              <w:pageBreakBefore w:val="0"/>
              <w:widowControl/>
              <w:suppressLineNumbers w:val="0"/>
              <w:kinsoku/>
              <w:wordWrap/>
              <w:overflowPunct/>
              <w:topLinePunct w:val="0"/>
              <w:autoSpaceDE/>
              <w:autoSpaceDN/>
              <w:bidi w:val="0"/>
              <w:adjustRightInd/>
              <w:snapToGrid/>
              <w:spacing w:line="380" w:lineRule="exact"/>
              <w:jc w:val="both"/>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第十一条</w:t>
            </w:r>
            <w:r>
              <w:rPr>
                <w:rFonts w:hint="eastAsia" w:ascii="宋体" w:hAnsi="宋体" w:cs="宋体"/>
                <w:b w:val="0"/>
                <w:bCs w:val="0"/>
                <w:i w:val="0"/>
                <w:iCs w:val="0"/>
                <w:color w:val="auto"/>
                <w:kern w:val="0"/>
                <w:sz w:val="24"/>
                <w:szCs w:val="24"/>
                <w:u w:val="none"/>
                <w:lang w:val="en-US" w:eastAsia="zh-CN" w:bidi="ar"/>
              </w:rPr>
              <w:t>第一款</w:t>
            </w:r>
            <w:r>
              <w:rPr>
                <w:rFonts w:hint="eastAsia" w:ascii="宋体" w:hAnsi="宋体" w:eastAsia="宋体" w:cs="宋体"/>
                <w:b w:val="0"/>
                <w:bCs w:val="0"/>
                <w:i w:val="0"/>
                <w:iCs w:val="0"/>
                <w:color w:val="auto"/>
                <w:kern w:val="0"/>
                <w:sz w:val="24"/>
                <w:szCs w:val="24"/>
                <w:u w:val="none"/>
                <w:lang w:val="en-US" w:eastAsia="zh-CN" w:bidi="ar"/>
              </w:rPr>
              <w:t xml:space="preserve"> 工商行政管理部门处理侵犯世界博览会标志专有权行为时，认定侵权行为成立的，责令立即停止侵权行为，没收、销毁侵权商品和专门用于制造侵权商品或者为商业目的擅自制造世界博览会标志的工具，有违法所得的，没收违法所得，可以并处违法所得5倍以下的罚款；没有违法所得的，可以并处5万元以下的罚款。</w:t>
            </w:r>
          </w:p>
        </w:tc>
        <w:tc>
          <w:tcPr>
            <w:tcW w:w="1169" w:type="dxa"/>
            <w:tcBorders>
              <w:tl2br w:val="nil"/>
              <w:tr2bl w:val="nil"/>
            </w:tcBorders>
            <w:noWrap/>
            <w:vAlign w:val="center"/>
          </w:tcPr>
          <w:p w14:paraId="438D8521">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较轻</w:t>
            </w:r>
          </w:p>
        </w:tc>
        <w:tc>
          <w:tcPr>
            <w:tcW w:w="3328" w:type="dxa"/>
            <w:tcBorders>
              <w:tl2br w:val="nil"/>
              <w:tr2bl w:val="nil"/>
            </w:tcBorders>
            <w:noWrap w:val="0"/>
            <w:vAlign w:val="center"/>
          </w:tcPr>
          <w:p w14:paraId="5B58882D">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b w:val="0"/>
                <w:bCs w:val="0"/>
                <w:i w:val="0"/>
                <w:iCs w:val="0"/>
                <w:color w:val="auto"/>
                <w:kern w:val="2"/>
                <w:sz w:val="24"/>
                <w:szCs w:val="24"/>
                <w:u w:val="none"/>
                <w:lang w:val="en-US" w:eastAsia="zh-CN" w:bidi="ar-SA"/>
              </w:rPr>
            </w:pPr>
            <w:r>
              <w:rPr>
                <w:rFonts w:hint="eastAsia" w:ascii="宋体" w:hAnsi="宋体" w:eastAsia="宋体" w:cs="宋体"/>
                <w:kern w:val="0"/>
                <w:sz w:val="24"/>
                <w:szCs w:val="24"/>
              </w:rPr>
              <w:t>没有违法经营额或者违法经营额5万元以下的。</w:t>
            </w:r>
          </w:p>
        </w:tc>
        <w:tc>
          <w:tcPr>
            <w:tcW w:w="3233" w:type="dxa"/>
            <w:tcBorders>
              <w:tl2br w:val="nil"/>
              <w:tr2bl w:val="nil"/>
            </w:tcBorders>
            <w:noWrap w:val="0"/>
            <w:vAlign w:val="center"/>
          </w:tcPr>
          <w:p w14:paraId="4BFCFECC">
            <w:pPr>
              <w:keepNext w:val="0"/>
              <w:keepLines w:val="0"/>
              <w:pageBreakBefore w:val="0"/>
              <w:widowControl/>
              <w:kinsoku/>
              <w:wordWrap/>
              <w:overflowPunct/>
              <w:topLinePunct w:val="0"/>
              <w:autoSpaceDE/>
              <w:autoSpaceDN/>
              <w:bidi w:val="0"/>
              <w:adjustRightInd w:val="0"/>
              <w:snapToGrid w:val="0"/>
              <w:spacing w:line="380" w:lineRule="exact"/>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color w:val="auto"/>
                <w:kern w:val="0"/>
                <w:sz w:val="24"/>
                <w:szCs w:val="24"/>
                <w:lang w:bidi="ar"/>
              </w:rPr>
              <w:t>没收、销毁侵权商品和主要用于制造侵权商品或者为商业目的擅自制造</w:t>
            </w:r>
            <w:r>
              <w:rPr>
                <w:rFonts w:hint="eastAsia" w:ascii="宋体" w:hAnsi="宋体" w:eastAsia="宋体" w:cs="宋体"/>
                <w:b w:val="0"/>
                <w:bCs w:val="0"/>
                <w:i w:val="0"/>
                <w:iCs w:val="0"/>
                <w:color w:val="auto"/>
                <w:kern w:val="0"/>
                <w:sz w:val="24"/>
                <w:szCs w:val="24"/>
                <w:u w:val="none"/>
                <w:lang w:val="en-US" w:eastAsia="zh-CN" w:bidi="ar"/>
              </w:rPr>
              <w:t>世界博览会</w:t>
            </w:r>
            <w:r>
              <w:rPr>
                <w:rFonts w:hint="eastAsia" w:ascii="宋体" w:hAnsi="宋体" w:eastAsia="宋体" w:cs="宋体"/>
                <w:b w:val="0"/>
                <w:bCs w:val="0"/>
                <w:color w:val="auto"/>
                <w:kern w:val="0"/>
                <w:sz w:val="24"/>
                <w:szCs w:val="24"/>
                <w:lang w:bidi="ar"/>
              </w:rPr>
              <w:t>标志的工具</w:t>
            </w:r>
            <w:r>
              <w:rPr>
                <w:rFonts w:hint="eastAsia" w:ascii="宋体" w:hAnsi="宋体" w:eastAsia="宋体" w:cs="宋体"/>
                <w:b w:val="0"/>
                <w:bCs w:val="0"/>
                <w:color w:val="auto"/>
                <w:kern w:val="0"/>
                <w:sz w:val="24"/>
                <w:szCs w:val="24"/>
                <w:lang w:eastAsia="zh-CN" w:bidi="ar"/>
              </w:rPr>
              <w:t>；</w:t>
            </w:r>
            <w:r>
              <w:rPr>
                <w:rFonts w:hint="eastAsia" w:ascii="宋体" w:hAnsi="宋体" w:eastAsia="宋体" w:cs="宋体"/>
                <w:b w:val="0"/>
                <w:bCs w:val="0"/>
                <w:color w:val="auto"/>
                <w:kern w:val="0"/>
                <w:sz w:val="24"/>
                <w:szCs w:val="24"/>
                <w:lang w:bidi="ar"/>
              </w:rPr>
              <w:t>可以处</w:t>
            </w:r>
            <w:r>
              <w:rPr>
                <w:rFonts w:hint="eastAsia" w:ascii="宋体" w:hAnsi="宋体" w:cs="宋体"/>
                <w:b w:val="0"/>
                <w:bCs w:val="0"/>
                <w:color w:val="auto"/>
                <w:kern w:val="0"/>
                <w:sz w:val="24"/>
                <w:szCs w:val="24"/>
                <w:lang w:val="en-US" w:eastAsia="zh-CN" w:bidi="ar"/>
              </w:rPr>
              <w:t>5</w:t>
            </w:r>
            <w:r>
              <w:rPr>
                <w:rFonts w:hint="eastAsia" w:ascii="宋体" w:hAnsi="宋体" w:eastAsia="宋体" w:cs="宋体"/>
                <w:b w:val="0"/>
                <w:bCs w:val="0"/>
                <w:color w:val="auto"/>
                <w:kern w:val="0"/>
                <w:sz w:val="24"/>
                <w:szCs w:val="24"/>
                <w:lang w:bidi="ar"/>
              </w:rPr>
              <w:t>万元以下的罚款。</w:t>
            </w:r>
          </w:p>
        </w:tc>
      </w:tr>
      <w:tr w14:paraId="29246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1" w:hRule="atLeast"/>
        </w:trPr>
        <w:tc>
          <w:tcPr>
            <w:tcW w:w="759" w:type="dxa"/>
            <w:vMerge w:val="continue"/>
            <w:tcBorders>
              <w:tl2br w:val="nil"/>
              <w:tr2bl w:val="nil"/>
            </w:tcBorders>
            <w:noWrap/>
            <w:vAlign w:val="center"/>
          </w:tcPr>
          <w:p w14:paraId="76D831E5">
            <w:pPr>
              <w:keepNext w:val="0"/>
              <w:keepLines w:val="0"/>
              <w:pageBreakBefore w:val="0"/>
              <w:kinsoku/>
              <w:wordWrap/>
              <w:overflowPunct/>
              <w:topLinePunct w:val="0"/>
              <w:autoSpaceDE/>
              <w:autoSpaceDN/>
              <w:bidi w:val="0"/>
              <w:spacing w:line="400" w:lineRule="exact"/>
              <w:jc w:val="center"/>
              <w:rPr>
                <w:rFonts w:hint="eastAsia" w:ascii="宋体" w:hAnsi="宋体" w:eastAsia="宋体" w:cs="宋体"/>
                <w:b w:val="0"/>
                <w:bCs w:val="0"/>
                <w:i w:val="0"/>
                <w:iCs w:val="0"/>
                <w:color w:val="auto"/>
                <w:sz w:val="24"/>
                <w:szCs w:val="24"/>
                <w:u w:val="none"/>
              </w:rPr>
            </w:pPr>
          </w:p>
        </w:tc>
        <w:tc>
          <w:tcPr>
            <w:tcW w:w="1779" w:type="dxa"/>
            <w:vMerge w:val="continue"/>
            <w:tcBorders>
              <w:tl2br w:val="nil"/>
              <w:tr2bl w:val="nil"/>
            </w:tcBorders>
            <w:noWrap w:val="0"/>
            <w:vAlign w:val="center"/>
          </w:tcPr>
          <w:p w14:paraId="094DCD8B">
            <w:pPr>
              <w:keepNext w:val="0"/>
              <w:keepLines w:val="0"/>
              <w:pageBreakBefore w:val="0"/>
              <w:kinsoku/>
              <w:wordWrap/>
              <w:overflowPunct/>
              <w:topLinePunct w:val="0"/>
              <w:autoSpaceDE/>
              <w:autoSpaceDN/>
              <w:bidi w:val="0"/>
              <w:spacing w:line="400" w:lineRule="exact"/>
              <w:ind w:left="42" w:leftChars="20"/>
              <w:jc w:val="left"/>
              <w:rPr>
                <w:rFonts w:hint="eastAsia" w:ascii="宋体" w:hAnsi="宋体" w:eastAsia="宋体" w:cs="宋体"/>
                <w:b w:val="0"/>
                <w:bCs w:val="0"/>
                <w:i w:val="0"/>
                <w:iCs w:val="0"/>
                <w:color w:val="auto"/>
                <w:sz w:val="24"/>
                <w:szCs w:val="24"/>
                <w:u w:val="none"/>
              </w:rPr>
            </w:pPr>
          </w:p>
        </w:tc>
        <w:tc>
          <w:tcPr>
            <w:tcW w:w="4098" w:type="dxa"/>
            <w:vMerge w:val="continue"/>
            <w:tcBorders>
              <w:tl2br w:val="nil"/>
              <w:tr2bl w:val="nil"/>
            </w:tcBorders>
            <w:noWrap w:val="0"/>
            <w:vAlign w:val="center"/>
          </w:tcPr>
          <w:p w14:paraId="17CD01E3">
            <w:pPr>
              <w:keepNext w:val="0"/>
              <w:keepLines w:val="0"/>
              <w:pageBreakBefore w:val="0"/>
              <w:kinsoku/>
              <w:wordWrap/>
              <w:overflowPunct/>
              <w:topLinePunct w:val="0"/>
              <w:autoSpaceDE/>
              <w:autoSpaceDN/>
              <w:bidi w:val="0"/>
              <w:spacing w:line="400" w:lineRule="exact"/>
              <w:jc w:val="both"/>
              <w:rPr>
                <w:rFonts w:hint="eastAsia" w:ascii="宋体" w:hAnsi="宋体" w:eastAsia="宋体" w:cs="宋体"/>
                <w:b w:val="0"/>
                <w:bCs w:val="0"/>
                <w:i w:val="0"/>
                <w:iCs w:val="0"/>
                <w:color w:val="auto"/>
                <w:sz w:val="24"/>
                <w:szCs w:val="24"/>
                <w:u w:val="none"/>
              </w:rPr>
            </w:pPr>
          </w:p>
        </w:tc>
        <w:tc>
          <w:tcPr>
            <w:tcW w:w="1169" w:type="dxa"/>
            <w:tcBorders>
              <w:tl2br w:val="nil"/>
              <w:tr2bl w:val="nil"/>
            </w:tcBorders>
            <w:noWrap/>
            <w:vAlign w:val="center"/>
          </w:tcPr>
          <w:p w14:paraId="5E368957">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一般</w:t>
            </w:r>
          </w:p>
        </w:tc>
        <w:tc>
          <w:tcPr>
            <w:tcW w:w="3328" w:type="dxa"/>
            <w:tcBorders>
              <w:tl2br w:val="nil"/>
              <w:tr2bl w:val="nil"/>
            </w:tcBorders>
            <w:noWrap w:val="0"/>
            <w:vAlign w:val="center"/>
          </w:tcPr>
          <w:p w14:paraId="1D3509A2">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b w:val="0"/>
                <w:bCs w:val="0"/>
                <w:i w:val="0"/>
                <w:iCs w:val="0"/>
                <w:color w:val="auto"/>
                <w:kern w:val="2"/>
                <w:sz w:val="24"/>
                <w:szCs w:val="24"/>
                <w:u w:val="none"/>
                <w:lang w:val="en-US" w:eastAsia="zh-CN" w:bidi="ar-SA"/>
              </w:rPr>
            </w:pPr>
            <w:r>
              <w:rPr>
                <w:rFonts w:hint="eastAsia" w:ascii="宋体" w:hAnsi="宋体" w:eastAsia="宋体" w:cs="宋体"/>
                <w:kern w:val="0"/>
                <w:sz w:val="24"/>
                <w:szCs w:val="24"/>
              </w:rPr>
              <w:t>违法经营额5万元以上20万元以下的。</w:t>
            </w:r>
          </w:p>
        </w:tc>
        <w:tc>
          <w:tcPr>
            <w:tcW w:w="3233" w:type="dxa"/>
            <w:tcBorders>
              <w:tl2br w:val="nil"/>
              <w:tr2bl w:val="nil"/>
            </w:tcBorders>
            <w:noWrap w:val="0"/>
            <w:vAlign w:val="center"/>
          </w:tcPr>
          <w:p w14:paraId="03FB844F">
            <w:pPr>
              <w:keepNext w:val="0"/>
              <w:keepLines w:val="0"/>
              <w:pageBreakBefore w:val="0"/>
              <w:widowControl/>
              <w:kinsoku/>
              <w:wordWrap/>
              <w:overflowPunct/>
              <w:topLinePunct w:val="0"/>
              <w:autoSpaceDE/>
              <w:autoSpaceDN/>
              <w:bidi w:val="0"/>
              <w:adjustRightInd w:val="0"/>
              <w:snapToGrid w:val="0"/>
              <w:spacing w:line="380" w:lineRule="exact"/>
              <w:rPr>
                <w:rFonts w:hint="eastAsia" w:ascii="宋体" w:hAnsi="宋体" w:eastAsia="宋体" w:cs="宋体"/>
                <w:b w:val="0"/>
                <w:bCs w:val="0"/>
                <w:i w:val="0"/>
                <w:iCs w:val="0"/>
                <w:color w:val="auto"/>
                <w:sz w:val="24"/>
                <w:szCs w:val="24"/>
                <w:u w:val="none"/>
                <w:lang w:val="en-US" w:eastAsia="zh-CN"/>
              </w:rPr>
            </w:pPr>
            <w:r>
              <w:rPr>
                <w:rFonts w:hint="eastAsia" w:ascii="宋体" w:hAnsi="宋体" w:eastAsia="宋体" w:cs="宋体"/>
                <w:b w:val="0"/>
                <w:bCs w:val="0"/>
                <w:color w:val="auto"/>
                <w:kern w:val="0"/>
                <w:sz w:val="24"/>
                <w:szCs w:val="24"/>
                <w:lang w:bidi="ar"/>
              </w:rPr>
              <w:t>没收、销毁侵权商品和主要用于制造侵权商品或者为商业目的擅自制造</w:t>
            </w:r>
            <w:r>
              <w:rPr>
                <w:rFonts w:hint="eastAsia" w:ascii="宋体" w:hAnsi="宋体" w:eastAsia="宋体" w:cs="宋体"/>
                <w:b w:val="0"/>
                <w:bCs w:val="0"/>
                <w:i w:val="0"/>
                <w:iCs w:val="0"/>
                <w:color w:val="auto"/>
                <w:kern w:val="0"/>
                <w:sz w:val="24"/>
                <w:szCs w:val="24"/>
                <w:u w:val="none"/>
                <w:lang w:val="en-US" w:eastAsia="zh-CN" w:bidi="ar"/>
              </w:rPr>
              <w:t>世界博览会</w:t>
            </w:r>
            <w:r>
              <w:rPr>
                <w:rFonts w:hint="eastAsia" w:ascii="宋体" w:hAnsi="宋体" w:eastAsia="宋体" w:cs="宋体"/>
                <w:b w:val="0"/>
                <w:bCs w:val="0"/>
                <w:color w:val="auto"/>
                <w:kern w:val="0"/>
                <w:sz w:val="24"/>
                <w:szCs w:val="24"/>
                <w:lang w:bidi="ar"/>
              </w:rPr>
              <w:t>标志的工具；处违法经营额1.5倍以下的罚款</w:t>
            </w:r>
            <w:r>
              <w:rPr>
                <w:rFonts w:hint="eastAsia" w:ascii="宋体" w:hAnsi="宋体" w:eastAsia="宋体" w:cs="宋体"/>
                <w:b w:val="0"/>
                <w:bCs w:val="0"/>
                <w:color w:val="auto"/>
                <w:kern w:val="0"/>
                <w:sz w:val="24"/>
                <w:szCs w:val="24"/>
                <w:lang w:eastAsia="zh-CN" w:bidi="ar"/>
              </w:rPr>
              <w:t>。</w:t>
            </w:r>
          </w:p>
        </w:tc>
      </w:tr>
      <w:tr w14:paraId="155E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1" w:hRule="atLeast"/>
        </w:trPr>
        <w:tc>
          <w:tcPr>
            <w:tcW w:w="759" w:type="dxa"/>
            <w:vMerge w:val="continue"/>
            <w:tcBorders>
              <w:tl2br w:val="nil"/>
              <w:tr2bl w:val="nil"/>
            </w:tcBorders>
            <w:noWrap/>
            <w:vAlign w:val="center"/>
          </w:tcPr>
          <w:p w14:paraId="46846540">
            <w:pPr>
              <w:keepNext w:val="0"/>
              <w:keepLines w:val="0"/>
              <w:pageBreakBefore w:val="0"/>
              <w:kinsoku/>
              <w:wordWrap/>
              <w:overflowPunct/>
              <w:topLinePunct w:val="0"/>
              <w:autoSpaceDE/>
              <w:autoSpaceDN/>
              <w:bidi w:val="0"/>
              <w:spacing w:line="400" w:lineRule="exact"/>
              <w:jc w:val="center"/>
              <w:rPr>
                <w:rFonts w:hint="eastAsia" w:ascii="宋体" w:hAnsi="宋体" w:eastAsia="宋体" w:cs="宋体"/>
                <w:b w:val="0"/>
                <w:bCs w:val="0"/>
                <w:i w:val="0"/>
                <w:iCs w:val="0"/>
                <w:color w:val="auto"/>
                <w:sz w:val="24"/>
                <w:szCs w:val="24"/>
                <w:u w:val="none"/>
              </w:rPr>
            </w:pPr>
          </w:p>
        </w:tc>
        <w:tc>
          <w:tcPr>
            <w:tcW w:w="1779" w:type="dxa"/>
            <w:vMerge w:val="continue"/>
            <w:tcBorders>
              <w:tl2br w:val="nil"/>
              <w:tr2bl w:val="nil"/>
            </w:tcBorders>
            <w:noWrap w:val="0"/>
            <w:vAlign w:val="center"/>
          </w:tcPr>
          <w:p w14:paraId="43D94BF7">
            <w:pPr>
              <w:keepNext w:val="0"/>
              <w:keepLines w:val="0"/>
              <w:pageBreakBefore w:val="0"/>
              <w:kinsoku/>
              <w:wordWrap/>
              <w:overflowPunct/>
              <w:topLinePunct w:val="0"/>
              <w:autoSpaceDE/>
              <w:autoSpaceDN/>
              <w:bidi w:val="0"/>
              <w:spacing w:line="400" w:lineRule="exact"/>
              <w:ind w:left="42" w:leftChars="20"/>
              <w:jc w:val="left"/>
              <w:rPr>
                <w:rFonts w:hint="eastAsia" w:ascii="宋体" w:hAnsi="宋体" w:eastAsia="宋体" w:cs="宋体"/>
                <w:b w:val="0"/>
                <w:bCs w:val="0"/>
                <w:i w:val="0"/>
                <w:iCs w:val="0"/>
                <w:color w:val="auto"/>
                <w:sz w:val="24"/>
                <w:szCs w:val="24"/>
                <w:u w:val="none"/>
              </w:rPr>
            </w:pPr>
          </w:p>
        </w:tc>
        <w:tc>
          <w:tcPr>
            <w:tcW w:w="4098" w:type="dxa"/>
            <w:vMerge w:val="continue"/>
            <w:tcBorders>
              <w:tl2br w:val="nil"/>
              <w:tr2bl w:val="nil"/>
            </w:tcBorders>
            <w:noWrap w:val="0"/>
            <w:vAlign w:val="center"/>
          </w:tcPr>
          <w:p w14:paraId="1336805A">
            <w:pPr>
              <w:keepNext w:val="0"/>
              <w:keepLines w:val="0"/>
              <w:pageBreakBefore w:val="0"/>
              <w:kinsoku/>
              <w:wordWrap/>
              <w:overflowPunct/>
              <w:topLinePunct w:val="0"/>
              <w:autoSpaceDE/>
              <w:autoSpaceDN/>
              <w:bidi w:val="0"/>
              <w:spacing w:line="400" w:lineRule="exact"/>
              <w:jc w:val="both"/>
              <w:rPr>
                <w:rFonts w:hint="eastAsia" w:ascii="宋体" w:hAnsi="宋体" w:eastAsia="宋体" w:cs="宋体"/>
                <w:b w:val="0"/>
                <w:bCs w:val="0"/>
                <w:i w:val="0"/>
                <w:iCs w:val="0"/>
                <w:color w:val="auto"/>
                <w:sz w:val="24"/>
                <w:szCs w:val="24"/>
                <w:u w:val="none"/>
              </w:rPr>
            </w:pPr>
          </w:p>
        </w:tc>
        <w:tc>
          <w:tcPr>
            <w:tcW w:w="1169" w:type="dxa"/>
            <w:tcBorders>
              <w:tl2br w:val="nil"/>
              <w:tr2bl w:val="nil"/>
            </w:tcBorders>
            <w:noWrap/>
            <w:vAlign w:val="center"/>
          </w:tcPr>
          <w:p w14:paraId="4E430F29">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较重</w:t>
            </w:r>
          </w:p>
        </w:tc>
        <w:tc>
          <w:tcPr>
            <w:tcW w:w="3328" w:type="dxa"/>
            <w:tcBorders>
              <w:tl2br w:val="nil"/>
              <w:tr2bl w:val="nil"/>
            </w:tcBorders>
            <w:noWrap w:val="0"/>
            <w:vAlign w:val="center"/>
          </w:tcPr>
          <w:p w14:paraId="6280AE47">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b/>
                <w:kern w:val="2"/>
                <w:sz w:val="24"/>
                <w:szCs w:val="24"/>
                <w:lang w:val="en-US" w:eastAsia="zh-CN" w:bidi="ar-SA"/>
              </w:rPr>
            </w:pPr>
            <w:r>
              <w:rPr>
                <w:rFonts w:hint="eastAsia" w:ascii="宋体" w:hAnsi="宋体" w:eastAsia="宋体" w:cs="宋体"/>
                <w:kern w:val="0"/>
                <w:sz w:val="24"/>
                <w:szCs w:val="24"/>
              </w:rPr>
              <w:t>违法经营额20万元以上50万元以下的。</w:t>
            </w:r>
          </w:p>
        </w:tc>
        <w:tc>
          <w:tcPr>
            <w:tcW w:w="3233" w:type="dxa"/>
            <w:tcBorders>
              <w:tl2br w:val="nil"/>
              <w:tr2bl w:val="nil"/>
            </w:tcBorders>
            <w:noWrap w:val="0"/>
            <w:vAlign w:val="center"/>
          </w:tcPr>
          <w:p w14:paraId="5EB1A1D4">
            <w:pPr>
              <w:keepNext w:val="0"/>
              <w:keepLines w:val="0"/>
              <w:pageBreakBefore w:val="0"/>
              <w:widowControl/>
              <w:kinsoku/>
              <w:wordWrap/>
              <w:overflowPunct/>
              <w:topLinePunct w:val="0"/>
              <w:autoSpaceDE/>
              <w:autoSpaceDN/>
              <w:bidi w:val="0"/>
              <w:adjustRightInd w:val="0"/>
              <w:snapToGrid w:val="0"/>
              <w:spacing w:line="380" w:lineRule="exact"/>
              <w:rPr>
                <w:rFonts w:hint="eastAsia" w:ascii="宋体" w:hAnsi="宋体" w:eastAsia="宋体" w:cs="宋体"/>
                <w:b w:val="0"/>
                <w:bCs w:val="0"/>
                <w:i w:val="0"/>
                <w:iCs w:val="0"/>
                <w:color w:val="auto"/>
                <w:sz w:val="24"/>
                <w:szCs w:val="24"/>
                <w:u w:val="none"/>
                <w:lang w:eastAsia="zh-CN"/>
              </w:rPr>
            </w:pPr>
            <w:r>
              <w:rPr>
                <w:rFonts w:hint="eastAsia" w:ascii="宋体" w:hAnsi="宋体" w:eastAsia="宋体" w:cs="宋体"/>
                <w:b w:val="0"/>
                <w:bCs w:val="0"/>
                <w:color w:val="auto"/>
                <w:kern w:val="0"/>
                <w:sz w:val="24"/>
                <w:szCs w:val="24"/>
                <w:lang w:bidi="ar"/>
              </w:rPr>
              <w:t>没收、销毁侵权商品和主要用于制造侵权商品或者为商业目的擅自制造</w:t>
            </w:r>
            <w:r>
              <w:rPr>
                <w:rFonts w:hint="eastAsia" w:ascii="宋体" w:hAnsi="宋体" w:eastAsia="宋体" w:cs="宋体"/>
                <w:b w:val="0"/>
                <w:bCs w:val="0"/>
                <w:i w:val="0"/>
                <w:iCs w:val="0"/>
                <w:color w:val="auto"/>
                <w:kern w:val="0"/>
                <w:sz w:val="24"/>
                <w:szCs w:val="24"/>
                <w:u w:val="none"/>
                <w:lang w:val="en-US" w:eastAsia="zh-CN" w:bidi="ar"/>
              </w:rPr>
              <w:t>世界博览会</w:t>
            </w:r>
            <w:r>
              <w:rPr>
                <w:rFonts w:hint="eastAsia" w:ascii="宋体" w:hAnsi="宋体" w:eastAsia="宋体" w:cs="宋体"/>
                <w:b w:val="0"/>
                <w:bCs w:val="0"/>
                <w:color w:val="auto"/>
                <w:kern w:val="0"/>
                <w:sz w:val="24"/>
                <w:szCs w:val="24"/>
                <w:lang w:bidi="ar"/>
              </w:rPr>
              <w:t>标志的工具；处违法经营额</w:t>
            </w:r>
            <w:r>
              <w:rPr>
                <w:rFonts w:hint="eastAsia" w:ascii="宋体" w:hAnsi="宋体" w:eastAsia="宋体" w:cs="宋体"/>
                <w:b w:val="0"/>
                <w:bCs w:val="0"/>
                <w:color w:val="auto"/>
                <w:kern w:val="0"/>
                <w:sz w:val="24"/>
                <w:szCs w:val="24"/>
                <w:lang w:val="en-US" w:eastAsia="zh-CN" w:bidi="ar"/>
              </w:rPr>
              <w:t>1</w:t>
            </w:r>
            <w:r>
              <w:rPr>
                <w:rFonts w:hint="eastAsia" w:ascii="宋体" w:hAnsi="宋体" w:eastAsia="宋体" w:cs="宋体"/>
                <w:b w:val="0"/>
                <w:bCs w:val="0"/>
                <w:color w:val="auto"/>
                <w:kern w:val="0"/>
                <w:sz w:val="24"/>
                <w:szCs w:val="24"/>
                <w:lang w:bidi="ar"/>
              </w:rPr>
              <w:t>.5倍以上</w:t>
            </w:r>
            <w:r>
              <w:rPr>
                <w:rFonts w:hint="eastAsia" w:ascii="宋体" w:hAnsi="宋体" w:eastAsia="宋体" w:cs="宋体"/>
                <w:b w:val="0"/>
                <w:bCs w:val="0"/>
                <w:color w:val="auto"/>
                <w:kern w:val="0"/>
                <w:sz w:val="24"/>
                <w:szCs w:val="24"/>
                <w:lang w:val="en-US" w:eastAsia="zh-CN" w:bidi="ar"/>
              </w:rPr>
              <w:t>3.</w:t>
            </w:r>
            <w:r>
              <w:rPr>
                <w:rFonts w:hint="eastAsia" w:ascii="宋体" w:hAnsi="宋体" w:eastAsia="宋体" w:cs="宋体"/>
                <w:b w:val="0"/>
                <w:bCs w:val="0"/>
                <w:color w:val="auto"/>
                <w:kern w:val="0"/>
                <w:sz w:val="24"/>
                <w:szCs w:val="24"/>
                <w:lang w:bidi="ar"/>
              </w:rPr>
              <w:t>5倍以下的罚款</w:t>
            </w:r>
            <w:r>
              <w:rPr>
                <w:rFonts w:hint="eastAsia" w:ascii="宋体" w:hAnsi="宋体" w:eastAsia="宋体" w:cs="宋体"/>
                <w:b w:val="0"/>
                <w:bCs w:val="0"/>
                <w:color w:val="auto"/>
                <w:kern w:val="0"/>
                <w:sz w:val="24"/>
                <w:szCs w:val="24"/>
                <w:lang w:eastAsia="zh-CN" w:bidi="ar"/>
              </w:rPr>
              <w:t>。</w:t>
            </w:r>
          </w:p>
        </w:tc>
      </w:tr>
      <w:tr w14:paraId="0824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trPr>
        <w:tc>
          <w:tcPr>
            <w:tcW w:w="759" w:type="dxa"/>
            <w:vMerge w:val="continue"/>
            <w:tcBorders>
              <w:tl2br w:val="nil"/>
              <w:tr2bl w:val="nil"/>
            </w:tcBorders>
            <w:noWrap/>
            <w:vAlign w:val="center"/>
          </w:tcPr>
          <w:p w14:paraId="35B0DD6D">
            <w:pPr>
              <w:keepNext w:val="0"/>
              <w:keepLines w:val="0"/>
              <w:pageBreakBefore w:val="0"/>
              <w:kinsoku/>
              <w:wordWrap/>
              <w:overflowPunct/>
              <w:topLinePunct w:val="0"/>
              <w:autoSpaceDE/>
              <w:autoSpaceDN/>
              <w:bidi w:val="0"/>
              <w:spacing w:line="400" w:lineRule="exact"/>
              <w:jc w:val="center"/>
              <w:rPr>
                <w:rFonts w:hint="eastAsia" w:ascii="宋体" w:hAnsi="宋体" w:eastAsia="宋体" w:cs="宋体"/>
                <w:b w:val="0"/>
                <w:bCs w:val="0"/>
                <w:i w:val="0"/>
                <w:iCs w:val="0"/>
                <w:color w:val="auto"/>
                <w:sz w:val="24"/>
                <w:szCs w:val="24"/>
                <w:u w:val="none"/>
              </w:rPr>
            </w:pPr>
          </w:p>
        </w:tc>
        <w:tc>
          <w:tcPr>
            <w:tcW w:w="1779" w:type="dxa"/>
            <w:vMerge w:val="continue"/>
            <w:tcBorders>
              <w:tl2br w:val="nil"/>
              <w:tr2bl w:val="nil"/>
            </w:tcBorders>
            <w:noWrap w:val="0"/>
            <w:vAlign w:val="center"/>
          </w:tcPr>
          <w:p w14:paraId="6AA77580">
            <w:pPr>
              <w:keepNext w:val="0"/>
              <w:keepLines w:val="0"/>
              <w:pageBreakBefore w:val="0"/>
              <w:kinsoku/>
              <w:wordWrap/>
              <w:overflowPunct/>
              <w:topLinePunct w:val="0"/>
              <w:autoSpaceDE/>
              <w:autoSpaceDN/>
              <w:bidi w:val="0"/>
              <w:spacing w:line="400" w:lineRule="exact"/>
              <w:ind w:left="42" w:leftChars="20"/>
              <w:jc w:val="left"/>
              <w:rPr>
                <w:rFonts w:hint="eastAsia" w:ascii="宋体" w:hAnsi="宋体" w:eastAsia="宋体" w:cs="宋体"/>
                <w:b w:val="0"/>
                <w:bCs w:val="0"/>
                <w:i w:val="0"/>
                <w:iCs w:val="0"/>
                <w:color w:val="auto"/>
                <w:sz w:val="24"/>
                <w:szCs w:val="24"/>
                <w:u w:val="none"/>
              </w:rPr>
            </w:pPr>
          </w:p>
        </w:tc>
        <w:tc>
          <w:tcPr>
            <w:tcW w:w="4098" w:type="dxa"/>
            <w:vMerge w:val="continue"/>
            <w:tcBorders>
              <w:tl2br w:val="nil"/>
              <w:tr2bl w:val="nil"/>
            </w:tcBorders>
            <w:noWrap w:val="0"/>
            <w:vAlign w:val="center"/>
          </w:tcPr>
          <w:p w14:paraId="27526F65">
            <w:pPr>
              <w:keepNext w:val="0"/>
              <w:keepLines w:val="0"/>
              <w:pageBreakBefore w:val="0"/>
              <w:kinsoku/>
              <w:wordWrap/>
              <w:overflowPunct/>
              <w:topLinePunct w:val="0"/>
              <w:autoSpaceDE/>
              <w:autoSpaceDN/>
              <w:bidi w:val="0"/>
              <w:spacing w:line="400" w:lineRule="exact"/>
              <w:jc w:val="both"/>
              <w:rPr>
                <w:rFonts w:hint="eastAsia" w:ascii="宋体" w:hAnsi="宋体" w:eastAsia="宋体" w:cs="宋体"/>
                <w:b w:val="0"/>
                <w:bCs w:val="0"/>
                <w:i w:val="0"/>
                <w:iCs w:val="0"/>
                <w:color w:val="auto"/>
                <w:sz w:val="24"/>
                <w:szCs w:val="24"/>
                <w:u w:val="none"/>
              </w:rPr>
            </w:pPr>
          </w:p>
        </w:tc>
        <w:tc>
          <w:tcPr>
            <w:tcW w:w="1169" w:type="dxa"/>
            <w:tcBorders>
              <w:tl2br w:val="nil"/>
              <w:tr2bl w:val="nil"/>
            </w:tcBorders>
            <w:noWrap/>
            <w:vAlign w:val="center"/>
          </w:tcPr>
          <w:p w14:paraId="130D2FB1">
            <w:pPr>
              <w:keepNext w:val="0"/>
              <w:keepLines w:val="0"/>
              <w:pageBreakBefore w:val="0"/>
              <w:widowControl/>
              <w:suppressLineNumbers w:val="0"/>
              <w:kinsoku/>
              <w:wordWrap/>
              <w:overflowPunct/>
              <w:topLinePunct w:val="0"/>
              <w:autoSpaceDE/>
              <w:autoSpaceDN/>
              <w:bidi w:val="0"/>
              <w:spacing w:line="400" w:lineRule="exact"/>
              <w:jc w:val="center"/>
              <w:textAlignment w:val="center"/>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i w:val="0"/>
                <w:iCs w:val="0"/>
                <w:color w:val="auto"/>
                <w:kern w:val="0"/>
                <w:sz w:val="24"/>
                <w:szCs w:val="24"/>
                <w:u w:val="none"/>
                <w:lang w:val="en-US" w:eastAsia="zh-CN" w:bidi="ar"/>
              </w:rPr>
              <w:t>严重</w:t>
            </w:r>
          </w:p>
        </w:tc>
        <w:tc>
          <w:tcPr>
            <w:tcW w:w="3328" w:type="dxa"/>
            <w:tcBorders>
              <w:tl2br w:val="nil"/>
              <w:tr2bl w:val="nil"/>
            </w:tcBorders>
            <w:noWrap w:val="0"/>
            <w:vAlign w:val="center"/>
          </w:tcPr>
          <w:p w14:paraId="6A707FF0">
            <w:pPr>
              <w:keepNext w:val="0"/>
              <w:keepLines w:val="0"/>
              <w:pageBreakBefore w:val="0"/>
              <w:widowControl/>
              <w:kinsoku/>
              <w:wordWrap/>
              <w:overflowPunct/>
              <w:topLinePunct w:val="0"/>
              <w:autoSpaceDE/>
              <w:autoSpaceDN/>
              <w:bidi w:val="0"/>
              <w:spacing w:line="400" w:lineRule="exact"/>
              <w:rPr>
                <w:rFonts w:hint="eastAsia" w:ascii="宋体" w:hAnsi="宋体" w:eastAsia="宋体" w:cs="宋体"/>
                <w:b w:val="0"/>
                <w:bCs w:val="0"/>
                <w:i w:val="0"/>
                <w:iCs w:val="0"/>
                <w:color w:val="auto"/>
                <w:kern w:val="2"/>
                <w:sz w:val="24"/>
                <w:szCs w:val="24"/>
                <w:u w:val="none"/>
                <w:lang w:val="en-US" w:eastAsia="zh-CN" w:bidi="ar-SA"/>
              </w:rPr>
            </w:pPr>
            <w:r>
              <w:rPr>
                <w:rFonts w:hint="eastAsia" w:ascii="宋体" w:hAnsi="宋体" w:eastAsia="宋体" w:cs="宋体"/>
                <w:kern w:val="0"/>
                <w:sz w:val="24"/>
                <w:szCs w:val="24"/>
              </w:rPr>
              <w:t>违法经营额50万元以上的。</w:t>
            </w:r>
          </w:p>
        </w:tc>
        <w:tc>
          <w:tcPr>
            <w:tcW w:w="3233" w:type="dxa"/>
            <w:tcBorders>
              <w:tl2br w:val="nil"/>
              <w:tr2bl w:val="nil"/>
            </w:tcBorders>
            <w:noWrap w:val="0"/>
            <w:vAlign w:val="center"/>
          </w:tcPr>
          <w:p w14:paraId="3EEC970B">
            <w:pPr>
              <w:keepNext w:val="0"/>
              <w:keepLines w:val="0"/>
              <w:pageBreakBefore w:val="0"/>
              <w:widowControl/>
              <w:suppressLineNumbers w:val="0"/>
              <w:kinsoku/>
              <w:wordWrap/>
              <w:overflowPunct/>
              <w:topLinePunct w:val="0"/>
              <w:autoSpaceDE/>
              <w:autoSpaceDN/>
              <w:bidi w:val="0"/>
              <w:spacing w:line="380" w:lineRule="exact"/>
              <w:jc w:val="left"/>
              <w:textAlignment w:val="center"/>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bidi="ar"/>
              </w:rPr>
              <w:t>没收、销毁侵权商品和主要用于制造侵权商品或者为商业目的擅自制造</w:t>
            </w:r>
            <w:r>
              <w:rPr>
                <w:rFonts w:hint="eastAsia" w:ascii="宋体" w:hAnsi="宋体" w:eastAsia="宋体" w:cs="宋体"/>
                <w:b w:val="0"/>
                <w:bCs w:val="0"/>
                <w:i w:val="0"/>
                <w:iCs w:val="0"/>
                <w:color w:val="auto"/>
                <w:kern w:val="0"/>
                <w:sz w:val="24"/>
                <w:szCs w:val="24"/>
                <w:u w:val="none"/>
                <w:lang w:val="en-US" w:eastAsia="zh-CN" w:bidi="ar"/>
              </w:rPr>
              <w:t>世界博览会</w:t>
            </w:r>
            <w:r>
              <w:rPr>
                <w:rFonts w:hint="eastAsia" w:ascii="宋体" w:hAnsi="宋体" w:eastAsia="宋体" w:cs="宋体"/>
                <w:b w:val="0"/>
                <w:bCs w:val="0"/>
                <w:color w:val="auto"/>
                <w:kern w:val="0"/>
                <w:sz w:val="24"/>
                <w:szCs w:val="24"/>
                <w:lang w:bidi="ar"/>
              </w:rPr>
              <w:t>标志的工具；处违法经营额</w:t>
            </w:r>
            <w:r>
              <w:rPr>
                <w:rFonts w:hint="eastAsia" w:ascii="宋体" w:hAnsi="宋体" w:eastAsia="宋体" w:cs="宋体"/>
                <w:b w:val="0"/>
                <w:bCs w:val="0"/>
                <w:color w:val="auto"/>
                <w:kern w:val="0"/>
                <w:sz w:val="24"/>
                <w:szCs w:val="24"/>
                <w:lang w:val="en-US" w:eastAsia="zh-CN" w:bidi="ar"/>
              </w:rPr>
              <w:t>3</w:t>
            </w:r>
            <w:r>
              <w:rPr>
                <w:rFonts w:hint="eastAsia" w:ascii="宋体" w:hAnsi="宋体" w:eastAsia="宋体" w:cs="宋体"/>
                <w:b w:val="0"/>
                <w:bCs w:val="0"/>
                <w:color w:val="auto"/>
                <w:kern w:val="0"/>
                <w:sz w:val="24"/>
                <w:szCs w:val="24"/>
                <w:lang w:bidi="ar"/>
              </w:rPr>
              <w:t>.5倍以上5倍以下的罚款</w:t>
            </w:r>
            <w:r>
              <w:rPr>
                <w:rFonts w:hint="eastAsia" w:ascii="宋体" w:hAnsi="宋体" w:eastAsia="宋体" w:cs="宋体"/>
                <w:b w:val="0"/>
                <w:bCs w:val="0"/>
                <w:color w:val="auto"/>
                <w:kern w:val="0"/>
                <w:sz w:val="24"/>
                <w:szCs w:val="24"/>
                <w:lang w:eastAsia="zh-CN" w:bidi="ar"/>
              </w:rPr>
              <w:t>。</w:t>
            </w:r>
          </w:p>
        </w:tc>
      </w:tr>
    </w:tbl>
    <w:p w14:paraId="09C66964">
      <w:pPr>
        <w:numPr>
          <w:ilvl w:val="0"/>
          <w:numId w:val="0"/>
        </w:numPr>
        <w:spacing w:line="240" w:lineRule="auto"/>
        <w:ind w:leftChars="0"/>
        <w:jc w:val="center"/>
        <w:outlineLvl w:val="1"/>
        <w:rPr>
          <w:rFonts w:hint="default" w:ascii="方正小标宋简体" w:hAnsi="方正小标宋简体" w:eastAsia="方正小标宋简体" w:cs="方正小标宋简体"/>
          <w:b w:val="0"/>
          <w:bCs/>
          <w:kern w:val="44"/>
          <w:sz w:val="36"/>
          <w:szCs w:val="20"/>
          <w:lang w:val="en-US" w:eastAsia="zh-CN" w:bidi="ar-SA"/>
        </w:rPr>
      </w:pPr>
      <w:bookmarkStart w:id="411" w:name="_Toc3189"/>
      <w:bookmarkStart w:id="412" w:name="_Toc29060"/>
      <w:bookmarkStart w:id="413" w:name="_Toc32559"/>
      <w:bookmarkStart w:id="414" w:name="_Toc32680"/>
      <w:bookmarkStart w:id="415" w:name="_Toc21546"/>
      <w:r>
        <w:rPr>
          <w:rFonts w:hint="default" w:ascii="方正小标宋简体" w:hAnsi="方正小标宋简体" w:eastAsia="方正小标宋简体" w:cs="方正小标宋简体"/>
          <w:b w:val="0"/>
          <w:bCs/>
          <w:kern w:val="44"/>
          <w:sz w:val="36"/>
          <w:szCs w:val="20"/>
          <w:lang w:val="en-US" w:eastAsia="zh-CN" w:bidi="ar-SA"/>
        </w:rPr>
        <w:t>第十一节  适用价格监管、反不正当竞争监管法律、法规、规章的裁量标准</w:t>
      </w:r>
      <w:bookmarkEnd w:id="411"/>
      <w:bookmarkEnd w:id="412"/>
      <w:bookmarkEnd w:id="413"/>
      <w:bookmarkEnd w:id="414"/>
      <w:bookmarkEnd w:id="415"/>
    </w:p>
    <w:tbl>
      <w:tblPr>
        <w:tblStyle w:val="10"/>
        <w:tblW w:w="5054" w:type="pct"/>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763"/>
        <w:gridCol w:w="4111"/>
        <w:gridCol w:w="1171"/>
        <w:gridCol w:w="3340"/>
        <w:gridCol w:w="3219"/>
      </w:tblGrid>
      <w:tr w14:paraId="3252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trPr>
        <w:tc>
          <w:tcPr>
            <w:tcW w:w="268" w:type="pct"/>
            <w:noWrap w:val="0"/>
            <w:vAlign w:val="center"/>
          </w:tcPr>
          <w:p w14:paraId="2BD05EDC">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黑体" w:hAnsi="黑体" w:eastAsia="黑体" w:cs="黑体"/>
                <w:b w:val="0"/>
                <w:bCs w:val="0"/>
                <w:color w:val="000000"/>
                <w:sz w:val="24"/>
                <w:szCs w:val="24"/>
                <w:lang w:eastAsia="zh-CN"/>
              </w:rPr>
            </w:pPr>
            <w:r>
              <w:rPr>
                <w:rFonts w:hint="eastAsia" w:ascii="黑体" w:hAnsi="黑体" w:eastAsia="黑体" w:cs="黑体"/>
                <w:b w:val="0"/>
                <w:bCs w:val="0"/>
                <w:color w:val="000000"/>
                <w:sz w:val="24"/>
                <w:szCs w:val="24"/>
                <w:lang w:eastAsia="zh-CN"/>
              </w:rPr>
              <w:t>序号</w:t>
            </w:r>
          </w:p>
        </w:tc>
        <w:tc>
          <w:tcPr>
            <w:tcW w:w="613" w:type="pct"/>
            <w:noWrap w:val="0"/>
            <w:vAlign w:val="center"/>
          </w:tcPr>
          <w:p w14:paraId="1097FB54">
            <w:pPr>
              <w:keepNext w:val="0"/>
              <w:keepLines w:val="0"/>
              <w:pageBreakBefore w:val="0"/>
              <w:widowControl/>
              <w:kinsoku/>
              <w:wordWrap/>
              <w:overflowPunct/>
              <w:topLinePunct w:val="0"/>
              <w:autoSpaceDE/>
              <w:autoSpaceDN/>
              <w:bidi w:val="0"/>
              <w:adjustRightInd/>
              <w:snapToGrid/>
              <w:spacing w:line="400" w:lineRule="exact"/>
              <w:ind w:left="0" w:leftChars="0" w:right="-105" w:rightChars="-50"/>
              <w:jc w:val="center"/>
              <w:textAlignment w:val="auto"/>
              <w:rPr>
                <w:rFonts w:hint="eastAsia" w:ascii="黑体" w:hAnsi="黑体" w:eastAsia="黑体" w:cs="黑体"/>
                <w:b w:val="0"/>
                <w:bCs w:val="0"/>
                <w:color w:val="000000"/>
                <w:sz w:val="24"/>
                <w:szCs w:val="24"/>
              </w:rPr>
            </w:pPr>
            <w:r>
              <w:rPr>
                <w:rFonts w:hint="eastAsia" w:ascii="黑体" w:hAnsi="黑体" w:eastAsia="黑体" w:cs="黑体"/>
                <w:b w:val="0"/>
                <w:bCs w:val="0"/>
                <w:color w:val="000000"/>
                <w:sz w:val="24"/>
                <w:szCs w:val="24"/>
              </w:rPr>
              <w:t>法律名称</w:t>
            </w:r>
          </w:p>
        </w:tc>
        <w:tc>
          <w:tcPr>
            <w:tcW w:w="1429" w:type="pct"/>
            <w:noWrap w:val="0"/>
            <w:vAlign w:val="center"/>
          </w:tcPr>
          <w:p w14:paraId="421A6EE2">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黑体" w:hAnsi="黑体" w:eastAsia="黑体" w:cs="黑体"/>
                <w:b w:val="0"/>
                <w:bCs w:val="0"/>
                <w:color w:val="000000"/>
                <w:sz w:val="24"/>
                <w:szCs w:val="24"/>
              </w:rPr>
            </w:pPr>
            <w:r>
              <w:rPr>
                <w:rFonts w:hint="eastAsia" w:ascii="黑体" w:hAnsi="黑体" w:eastAsia="黑体" w:cs="黑体"/>
                <w:b w:val="0"/>
                <w:bCs w:val="0"/>
                <w:color w:val="000000"/>
                <w:sz w:val="24"/>
                <w:szCs w:val="24"/>
              </w:rPr>
              <w:t>法律依据</w:t>
            </w:r>
          </w:p>
        </w:tc>
        <w:tc>
          <w:tcPr>
            <w:tcW w:w="407" w:type="pct"/>
            <w:noWrap w:val="0"/>
            <w:vAlign w:val="center"/>
          </w:tcPr>
          <w:p w14:paraId="2849AD86">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黑体" w:hAnsi="黑体" w:eastAsia="黑体" w:cs="黑体"/>
                <w:b w:val="0"/>
                <w:bCs w:val="0"/>
                <w:color w:val="000000"/>
                <w:sz w:val="24"/>
                <w:szCs w:val="24"/>
              </w:rPr>
            </w:pPr>
            <w:r>
              <w:rPr>
                <w:rFonts w:hint="eastAsia" w:ascii="黑体" w:hAnsi="黑体" w:eastAsia="黑体" w:cs="黑体"/>
                <w:b w:val="0"/>
                <w:bCs w:val="0"/>
                <w:color w:val="000000"/>
                <w:sz w:val="24"/>
                <w:szCs w:val="24"/>
              </w:rPr>
              <w:t>违法程度</w:t>
            </w:r>
          </w:p>
        </w:tc>
        <w:tc>
          <w:tcPr>
            <w:tcW w:w="1161" w:type="pct"/>
            <w:noWrap w:val="0"/>
            <w:vAlign w:val="center"/>
          </w:tcPr>
          <w:p w14:paraId="0F535A11">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黑体" w:hAnsi="黑体" w:eastAsia="黑体" w:cs="黑体"/>
                <w:b w:val="0"/>
                <w:bCs w:val="0"/>
                <w:color w:val="000000"/>
                <w:sz w:val="24"/>
                <w:szCs w:val="24"/>
              </w:rPr>
            </w:pPr>
            <w:r>
              <w:rPr>
                <w:rFonts w:hint="eastAsia" w:ascii="黑体" w:hAnsi="黑体" w:eastAsia="黑体" w:cs="黑体"/>
                <w:b w:val="0"/>
                <w:bCs w:val="0"/>
                <w:color w:val="000000"/>
                <w:sz w:val="24"/>
                <w:szCs w:val="24"/>
              </w:rPr>
              <w:t>判断标准</w:t>
            </w:r>
          </w:p>
        </w:tc>
        <w:tc>
          <w:tcPr>
            <w:tcW w:w="1119" w:type="pct"/>
            <w:noWrap w:val="0"/>
            <w:vAlign w:val="center"/>
          </w:tcPr>
          <w:p w14:paraId="7701736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val="0"/>
                <w:color w:val="000000"/>
                <w:sz w:val="24"/>
                <w:szCs w:val="24"/>
              </w:rPr>
            </w:pPr>
            <w:r>
              <w:rPr>
                <w:rFonts w:hint="eastAsia" w:ascii="黑体" w:hAnsi="黑体" w:eastAsia="黑体" w:cs="黑体"/>
                <w:b w:val="0"/>
                <w:bCs w:val="0"/>
                <w:color w:val="000000"/>
                <w:sz w:val="24"/>
                <w:szCs w:val="24"/>
              </w:rPr>
              <w:t>处罚标准</w:t>
            </w:r>
          </w:p>
        </w:tc>
      </w:tr>
      <w:tr w14:paraId="1C9B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268" w:type="pct"/>
            <w:vMerge w:val="restart"/>
            <w:noWrap w:val="0"/>
            <w:vAlign w:val="center"/>
          </w:tcPr>
          <w:p w14:paraId="3EEEAED3">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3</w:t>
            </w:r>
            <w:r>
              <w:rPr>
                <w:rFonts w:hint="eastAsia" w:ascii="宋体" w:hAnsi="宋体" w:cs="宋体"/>
                <w:b w:val="0"/>
                <w:bCs w:val="0"/>
                <w:color w:val="000000"/>
                <w:sz w:val="24"/>
                <w:szCs w:val="24"/>
                <w:highlight w:val="none"/>
                <w:lang w:val="en-US" w:eastAsia="zh-CN"/>
              </w:rPr>
              <w:t>36</w:t>
            </w:r>
          </w:p>
        </w:tc>
        <w:tc>
          <w:tcPr>
            <w:tcW w:w="613" w:type="pct"/>
            <w:vMerge w:val="restart"/>
            <w:noWrap w:val="0"/>
            <w:vAlign w:val="center"/>
          </w:tcPr>
          <w:p w14:paraId="3CF51304">
            <w:pPr>
              <w:keepNext w:val="0"/>
              <w:keepLines w:val="0"/>
              <w:pageBreakBefore w:val="0"/>
              <w:widowControl w:val="0"/>
              <w:kinsoku/>
              <w:wordWrap/>
              <w:overflowPunct/>
              <w:topLinePunct w:val="0"/>
              <w:autoSpaceDE/>
              <w:autoSpaceDN/>
              <w:bidi w:val="0"/>
              <w:adjustRightInd/>
              <w:snapToGrid/>
              <w:spacing w:line="400" w:lineRule="exact"/>
              <w:ind w:left="42" w:leftChars="20"/>
              <w:jc w:val="both"/>
              <w:textAlignment w:val="auto"/>
              <w:outlineLvl w:val="2"/>
              <w:rPr>
                <w:rFonts w:hint="eastAsia" w:ascii="宋体" w:hAnsi="宋体" w:eastAsia="宋体" w:cs="宋体"/>
                <w:b w:val="0"/>
                <w:bCs w:val="0"/>
                <w:color w:val="000000"/>
                <w:sz w:val="24"/>
                <w:szCs w:val="24"/>
                <w:highlight w:val="none"/>
                <w:lang w:eastAsia="zh-CN"/>
              </w:rPr>
            </w:pPr>
            <w:bookmarkStart w:id="416" w:name="_Toc27911"/>
            <w:bookmarkStart w:id="417" w:name="_Toc22869"/>
            <w:bookmarkStart w:id="418" w:name="_Toc18215"/>
            <w:bookmarkStart w:id="419" w:name="_Toc1039"/>
            <w:bookmarkStart w:id="420" w:name="_Toc17935"/>
            <w:r>
              <w:rPr>
                <w:rFonts w:hint="eastAsia" w:ascii="宋体" w:hAnsi="宋体" w:eastAsia="宋体" w:cs="宋体"/>
                <w:b w:val="0"/>
                <w:bCs w:val="0"/>
                <w:color w:val="000000"/>
                <w:sz w:val="24"/>
                <w:szCs w:val="24"/>
                <w:highlight w:val="none"/>
              </w:rPr>
              <w:t>《中华人民共和国价格法》</w:t>
            </w: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lang w:val="en-US" w:eastAsia="zh-CN"/>
              </w:rPr>
              <w:t>199</w:t>
            </w:r>
            <w:r>
              <w:rPr>
                <w:rFonts w:hint="eastAsia" w:ascii="宋体" w:hAnsi="宋体" w:cs="宋体"/>
                <w:b w:val="0"/>
                <w:bCs w:val="0"/>
                <w:color w:val="000000"/>
                <w:sz w:val="24"/>
                <w:szCs w:val="24"/>
                <w:highlight w:val="none"/>
                <w:lang w:val="en-US" w:eastAsia="zh-CN"/>
              </w:rPr>
              <w:t>8</w:t>
            </w:r>
            <w:r>
              <w:rPr>
                <w:rFonts w:hint="eastAsia" w:ascii="宋体" w:hAnsi="宋体" w:eastAsia="宋体" w:cs="宋体"/>
                <w:b w:val="0"/>
                <w:bCs w:val="0"/>
                <w:color w:val="000000"/>
                <w:sz w:val="24"/>
                <w:szCs w:val="24"/>
                <w:highlight w:val="none"/>
                <w:lang w:val="en-US" w:eastAsia="zh-CN"/>
              </w:rPr>
              <w:t>年</w:t>
            </w:r>
            <w:r>
              <w:rPr>
                <w:rFonts w:hint="eastAsia" w:ascii="宋体" w:hAnsi="宋体" w:cs="宋体"/>
                <w:b w:val="0"/>
                <w:bCs w:val="0"/>
                <w:color w:val="000000"/>
                <w:sz w:val="24"/>
                <w:szCs w:val="24"/>
                <w:highlight w:val="none"/>
                <w:lang w:val="en-US" w:eastAsia="zh-CN"/>
              </w:rPr>
              <w:t>5</w:t>
            </w:r>
            <w:r>
              <w:rPr>
                <w:rFonts w:hint="eastAsia" w:ascii="宋体" w:hAnsi="宋体" w:eastAsia="宋体" w:cs="宋体"/>
                <w:b w:val="0"/>
                <w:bCs w:val="0"/>
                <w:color w:val="000000"/>
                <w:sz w:val="24"/>
                <w:szCs w:val="24"/>
                <w:highlight w:val="none"/>
                <w:lang w:val="en-US" w:eastAsia="zh-CN"/>
              </w:rPr>
              <w:t>月</w:t>
            </w:r>
            <w:r>
              <w:rPr>
                <w:rFonts w:hint="eastAsia" w:ascii="宋体" w:hAnsi="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lang w:val="en-US" w:eastAsia="zh-CN"/>
              </w:rPr>
              <w:t>日</w:t>
            </w:r>
            <w:r>
              <w:rPr>
                <w:rFonts w:hint="eastAsia" w:ascii="宋体" w:hAnsi="宋体" w:cs="宋体"/>
                <w:b w:val="0"/>
                <w:bCs w:val="0"/>
                <w:color w:val="000000"/>
                <w:sz w:val="24"/>
                <w:szCs w:val="24"/>
                <w:highlight w:val="none"/>
                <w:lang w:val="en-US" w:eastAsia="zh-CN"/>
              </w:rPr>
              <w:t>起施行</w:t>
            </w:r>
            <w:r>
              <w:rPr>
                <w:rFonts w:hint="eastAsia" w:ascii="宋体" w:hAnsi="宋体" w:eastAsia="宋体" w:cs="宋体"/>
                <w:b w:val="0"/>
                <w:bCs w:val="0"/>
                <w:color w:val="000000"/>
                <w:sz w:val="24"/>
                <w:szCs w:val="24"/>
                <w:highlight w:val="none"/>
                <w:lang w:eastAsia="zh-CN"/>
              </w:rPr>
              <w:t>）</w:t>
            </w:r>
            <w:bookmarkEnd w:id="416"/>
            <w:bookmarkEnd w:id="417"/>
            <w:bookmarkEnd w:id="418"/>
            <w:bookmarkEnd w:id="419"/>
            <w:bookmarkEnd w:id="420"/>
          </w:p>
        </w:tc>
        <w:tc>
          <w:tcPr>
            <w:tcW w:w="1429" w:type="pct"/>
            <w:vMerge w:val="restart"/>
            <w:noWrap w:val="0"/>
            <w:vAlign w:val="center"/>
          </w:tcPr>
          <w:p w14:paraId="323BFBE4">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第四十三条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经营者被责令暂停相关营业而不停止的，或者转移、隐匿、销毁依法登记保存的财物的，处相关营业所得或者转移、隐匿、销毁的财物价值一倍以上三倍以下的罚款。</w:t>
            </w:r>
          </w:p>
        </w:tc>
        <w:tc>
          <w:tcPr>
            <w:tcW w:w="407" w:type="pct"/>
            <w:noWrap w:val="0"/>
            <w:vAlign w:val="center"/>
          </w:tcPr>
          <w:p w14:paraId="3644EFD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较轻</w:t>
            </w:r>
          </w:p>
        </w:tc>
        <w:tc>
          <w:tcPr>
            <w:tcW w:w="1161" w:type="pct"/>
            <w:noWrap w:val="0"/>
            <w:vAlign w:val="center"/>
          </w:tcPr>
          <w:p w14:paraId="61A5832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有价格违法行为较轻,未造成严重后果、能够及时改正价格违法行为、从轻处罚能起到教育作用，以及其他从轻处罚情形的。</w:t>
            </w:r>
          </w:p>
        </w:tc>
        <w:tc>
          <w:tcPr>
            <w:tcW w:w="1119" w:type="pct"/>
            <w:noWrap w:val="0"/>
            <w:vAlign w:val="center"/>
          </w:tcPr>
          <w:p w14:paraId="32460AB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处相关营业所得或转移、隐匿、销毁的财物价值1倍罚款。</w:t>
            </w:r>
          </w:p>
        </w:tc>
      </w:tr>
      <w:tr w14:paraId="7C17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268" w:type="pct"/>
            <w:vMerge w:val="continue"/>
            <w:noWrap w:val="0"/>
            <w:vAlign w:val="center"/>
          </w:tcPr>
          <w:p w14:paraId="7218F057">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noWrap w:val="0"/>
            <w:vAlign w:val="center"/>
          </w:tcPr>
          <w:p w14:paraId="3DBCC2E9">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noWrap w:val="0"/>
            <w:vAlign w:val="center"/>
          </w:tcPr>
          <w:p w14:paraId="04B4846D">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53BCCAC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一般</w:t>
            </w:r>
          </w:p>
        </w:tc>
        <w:tc>
          <w:tcPr>
            <w:tcW w:w="1161" w:type="pct"/>
            <w:noWrap w:val="0"/>
            <w:vAlign w:val="center"/>
          </w:tcPr>
          <w:p w14:paraId="6272B1F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价格违法行为不具有减轻、从轻、从重处罚等情形的。</w:t>
            </w:r>
          </w:p>
        </w:tc>
        <w:tc>
          <w:tcPr>
            <w:tcW w:w="1119" w:type="pct"/>
            <w:noWrap w:val="0"/>
            <w:vAlign w:val="center"/>
          </w:tcPr>
          <w:p w14:paraId="079FFB1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处相关营业所得或转移、隐匿、销毁的财物价值1倍以上2倍以下罚款。</w:t>
            </w:r>
          </w:p>
        </w:tc>
      </w:tr>
      <w:tr w14:paraId="4EC73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9" w:hRule="atLeast"/>
        </w:trPr>
        <w:tc>
          <w:tcPr>
            <w:tcW w:w="268" w:type="pct"/>
            <w:vMerge w:val="continue"/>
            <w:noWrap w:val="0"/>
            <w:vAlign w:val="center"/>
          </w:tcPr>
          <w:p w14:paraId="59E29002">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noWrap w:val="0"/>
            <w:vAlign w:val="center"/>
          </w:tcPr>
          <w:p w14:paraId="74036DC7">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noWrap w:val="0"/>
            <w:vAlign w:val="center"/>
          </w:tcPr>
          <w:p w14:paraId="17266130">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4FA0774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较重</w:t>
            </w:r>
          </w:p>
        </w:tc>
        <w:tc>
          <w:tcPr>
            <w:tcW w:w="1161" w:type="pct"/>
            <w:noWrap w:val="0"/>
            <w:vAlign w:val="center"/>
          </w:tcPr>
          <w:p w14:paraId="13AD6B3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有价格违法行为严重或者社会影响较大、拒不配合执法，以及其他从重处罚情形的。</w:t>
            </w:r>
          </w:p>
        </w:tc>
        <w:tc>
          <w:tcPr>
            <w:tcW w:w="1119" w:type="pct"/>
            <w:noWrap w:val="0"/>
            <w:vAlign w:val="center"/>
          </w:tcPr>
          <w:p w14:paraId="44A6AC7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处相关营业所得或转移、隐匿、销毁的财物价值2倍以上3倍以下罚款。</w:t>
            </w:r>
          </w:p>
        </w:tc>
      </w:tr>
      <w:tr w14:paraId="1304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7" w:hRule="atLeast"/>
        </w:trPr>
        <w:tc>
          <w:tcPr>
            <w:tcW w:w="268" w:type="pct"/>
            <w:vMerge w:val="restart"/>
            <w:noWrap w:val="0"/>
            <w:vAlign w:val="center"/>
          </w:tcPr>
          <w:p w14:paraId="6136B6A8">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3</w:t>
            </w:r>
            <w:r>
              <w:rPr>
                <w:rFonts w:hint="eastAsia" w:ascii="宋体" w:hAnsi="宋体" w:cs="宋体"/>
                <w:b w:val="0"/>
                <w:bCs w:val="0"/>
                <w:color w:val="000000"/>
                <w:sz w:val="24"/>
                <w:szCs w:val="24"/>
                <w:highlight w:val="none"/>
                <w:lang w:val="en-US" w:eastAsia="zh-CN"/>
              </w:rPr>
              <w:t>37</w:t>
            </w:r>
          </w:p>
        </w:tc>
        <w:tc>
          <w:tcPr>
            <w:tcW w:w="613" w:type="pct"/>
            <w:vMerge w:val="restart"/>
            <w:noWrap w:val="0"/>
            <w:vAlign w:val="center"/>
          </w:tcPr>
          <w:p w14:paraId="45FCFB37">
            <w:pPr>
              <w:keepNext w:val="0"/>
              <w:keepLines w:val="0"/>
              <w:pageBreakBefore w:val="0"/>
              <w:widowControl w:val="0"/>
              <w:kinsoku/>
              <w:wordWrap/>
              <w:overflowPunct/>
              <w:topLinePunct w:val="0"/>
              <w:autoSpaceDE/>
              <w:autoSpaceDN/>
              <w:bidi w:val="0"/>
              <w:adjustRightInd/>
              <w:snapToGrid/>
              <w:spacing w:line="400" w:lineRule="exact"/>
              <w:ind w:left="42" w:leftChars="20"/>
              <w:jc w:val="both"/>
              <w:textAlignment w:val="auto"/>
              <w:outlineLvl w:val="2"/>
              <w:rPr>
                <w:rFonts w:hint="eastAsia" w:ascii="宋体" w:hAnsi="宋体" w:eastAsia="宋体" w:cs="宋体"/>
                <w:b w:val="0"/>
                <w:bCs w:val="0"/>
                <w:color w:val="000000"/>
                <w:sz w:val="24"/>
                <w:szCs w:val="24"/>
                <w:highlight w:val="none"/>
                <w:lang w:eastAsia="zh-CN"/>
              </w:rPr>
            </w:pPr>
            <w:bookmarkStart w:id="421" w:name="_Toc12928"/>
            <w:bookmarkStart w:id="422" w:name="_Toc20390"/>
            <w:bookmarkStart w:id="423" w:name="_Toc15026"/>
            <w:bookmarkStart w:id="424" w:name="_Toc29763"/>
            <w:bookmarkStart w:id="425" w:name="_Toc30849"/>
            <w:r>
              <w:rPr>
                <w:rFonts w:hint="eastAsia" w:ascii="宋体" w:hAnsi="宋体" w:eastAsia="宋体" w:cs="宋体"/>
                <w:b w:val="0"/>
                <w:bCs w:val="0"/>
                <w:color w:val="000000"/>
                <w:sz w:val="24"/>
                <w:szCs w:val="24"/>
                <w:highlight w:val="none"/>
              </w:rPr>
              <w:t>《中华人民共和国价格法》《价格违法行为行政处罚规定》</w:t>
            </w: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lang w:val="en-US" w:eastAsia="zh-CN"/>
              </w:rPr>
              <w:t>2010年12月4日</w:t>
            </w:r>
            <w:r>
              <w:rPr>
                <w:rFonts w:hint="eastAsia" w:ascii="宋体" w:hAnsi="宋体" w:cs="宋体"/>
                <w:b w:val="0"/>
                <w:bCs w:val="0"/>
                <w:color w:val="000000"/>
                <w:sz w:val="24"/>
                <w:szCs w:val="24"/>
                <w:highlight w:val="none"/>
                <w:lang w:val="en-US" w:eastAsia="zh-CN"/>
              </w:rPr>
              <w:t>起施行</w:t>
            </w:r>
            <w:r>
              <w:rPr>
                <w:rFonts w:hint="eastAsia" w:ascii="宋体" w:hAnsi="宋体" w:eastAsia="宋体" w:cs="宋体"/>
                <w:b w:val="0"/>
                <w:bCs w:val="0"/>
                <w:color w:val="000000"/>
                <w:sz w:val="24"/>
                <w:szCs w:val="24"/>
                <w:highlight w:val="none"/>
                <w:lang w:eastAsia="zh-CN"/>
              </w:rPr>
              <w:t>）</w:t>
            </w:r>
            <w:bookmarkEnd w:id="421"/>
            <w:bookmarkEnd w:id="422"/>
            <w:bookmarkEnd w:id="423"/>
            <w:bookmarkEnd w:id="424"/>
            <w:bookmarkEnd w:id="425"/>
          </w:p>
        </w:tc>
        <w:tc>
          <w:tcPr>
            <w:tcW w:w="1429" w:type="pct"/>
            <w:vMerge w:val="restart"/>
            <w:noWrap w:val="0"/>
            <w:vAlign w:val="center"/>
          </w:tcPr>
          <w:p w14:paraId="0BAC4F98">
            <w:pPr>
              <w:keepNext w:val="0"/>
              <w:keepLines w:val="0"/>
              <w:pageBreakBefore w:val="0"/>
              <w:widowControl w:val="0"/>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《中华人民共和国价格法》第三十九条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经营者不执行政府指导价、政府定价以及法定的价格干预措施、紧急措施的，责令改正，没收违法所得，可以并处违法所得五倍以下的罚款；没有违法所得的，可以处以罚款；情节严重的，责令停业整顿。</w:t>
            </w:r>
          </w:p>
          <w:p w14:paraId="7DA792C3">
            <w:pPr>
              <w:keepNext w:val="0"/>
              <w:keepLines w:val="0"/>
              <w:pageBreakBefore w:val="0"/>
              <w:widowControl w:val="0"/>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《价格违法行为行政处罚规定》第九条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经营者不执行政府指导价、政府定价，有下列行为之一的，责令改正，没收违法所得，并处违法所得5倍以下的罚款；没有违法所得的，处5万元以上50万元以下的罚款，情节较重的处50万元以上200万元以下的罚款；情节严重的，责令停业整顿：（一）超出政府指导价浮动幅度制定价格的；（二）高于或者低于政府定价制定价格的；（三）擅自制定属于政府指导价、政府定价范围内的商品或者服务价格的；（四）提前或者推迟执行政府指导价、政府定价的；（五）自立收费项目或者自定标准收费的；（六）采取分解收费项目、重复收费、扩大收费范围等方式变相提高收费标准的；（七）对政府明令取消的收费项目继续收费的；（八）违反规定以保证金、抵押金等形式变相收费的；（九）强制或者变相强制服务并收费的；（十）不按照规定提供服务而收取费用的；（十一）不执行政府指导价、政府定价的其他行为。</w:t>
            </w:r>
          </w:p>
          <w:p w14:paraId="137ADA95">
            <w:pPr>
              <w:keepNext w:val="0"/>
              <w:keepLines w:val="0"/>
              <w:pageBreakBefore w:val="0"/>
              <w:widowControl w:val="0"/>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《价格违法行为行政处罚规定》第十一条</w:t>
            </w:r>
            <w:r>
              <w:rPr>
                <w:rFonts w:hint="eastAsia" w:ascii="宋体" w:hAnsi="宋体" w:cs="宋体"/>
                <w:b w:val="0"/>
                <w:bCs w:val="0"/>
                <w:color w:val="000000"/>
                <w:sz w:val="24"/>
                <w:szCs w:val="24"/>
                <w:highlight w:val="none"/>
                <w:lang w:val="en-US" w:eastAsia="zh-CN"/>
              </w:rPr>
              <w:t xml:space="preserve">第一款 </w:t>
            </w:r>
            <w:r>
              <w:rPr>
                <w:rFonts w:hint="eastAsia" w:ascii="宋体" w:hAnsi="宋体" w:eastAsia="宋体" w:cs="宋体"/>
                <w:b w:val="0"/>
                <w:bCs w:val="0"/>
                <w:color w:val="000000"/>
                <w:sz w:val="24"/>
                <w:szCs w:val="24"/>
                <w:highlight w:val="none"/>
              </w:rPr>
              <w:t>本规定第四条、第七条至第九条规定中经营者为个人的，对其没有违法所得的价格违法行为，可以处10万元以下的罚款。</w:t>
            </w:r>
          </w:p>
        </w:tc>
        <w:tc>
          <w:tcPr>
            <w:tcW w:w="407" w:type="pct"/>
            <w:noWrap w:val="0"/>
            <w:vAlign w:val="center"/>
          </w:tcPr>
          <w:p w14:paraId="0FA6330C">
            <w:pPr>
              <w:keepNext w:val="0"/>
              <w:keepLines w:val="0"/>
              <w:pageBreakBefore w:val="0"/>
              <w:widowControl/>
              <w:kinsoku/>
              <w:wordWrap/>
              <w:overflowPunct/>
              <w:topLinePunct w:val="0"/>
              <w:autoSpaceDE/>
              <w:autoSpaceDN/>
              <w:bidi w:val="0"/>
              <w:adjustRightInd/>
              <w:snapToGrid/>
              <w:spacing w:line="39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较轻</w:t>
            </w:r>
          </w:p>
        </w:tc>
        <w:tc>
          <w:tcPr>
            <w:tcW w:w="1161" w:type="pct"/>
            <w:noWrap w:val="0"/>
            <w:vAlign w:val="center"/>
          </w:tcPr>
          <w:p w14:paraId="7B80F604">
            <w:pPr>
              <w:keepNext w:val="0"/>
              <w:keepLines w:val="0"/>
              <w:pageBreakBefore w:val="0"/>
              <w:widowControl/>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有价格违法行为较轻,未造成严重后果、能够及时改正价格违法行为、从轻处罚能起到教育作用，以及其他从轻处罚情形的。</w:t>
            </w:r>
          </w:p>
        </w:tc>
        <w:tc>
          <w:tcPr>
            <w:tcW w:w="1119" w:type="pct"/>
            <w:noWrap w:val="0"/>
            <w:vAlign w:val="center"/>
          </w:tcPr>
          <w:p w14:paraId="2E0255AC">
            <w:pPr>
              <w:keepNext w:val="0"/>
              <w:keepLines w:val="0"/>
              <w:pageBreakBefore w:val="0"/>
              <w:widowControl/>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spacing w:val="0"/>
                <w:sz w:val="24"/>
                <w:szCs w:val="24"/>
                <w:highlight w:val="none"/>
                <w:lang w:eastAsia="zh-CN"/>
              </w:rPr>
            </w:pPr>
            <w:r>
              <w:rPr>
                <w:rFonts w:hint="eastAsia" w:ascii="宋体" w:hAnsi="宋体" w:eastAsia="宋体" w:cs="宋体"/>
                <w:b w:val="0"/>
                <w:bCs w:val="0"/>
                <w:color w:val="000000"/>
                <w:spacing w:val="0"/>
                <w:sz w:val="24"/>
                <w:szCs w:val="24"/>
                <w:highlight w:val="none"/>
              </w:rPr>
              <w:t>没收违法所得，</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pacing w:val="0"/>
                <w:sz w:val="24"/>
                <w:szCs w:val="24"/>
                <w:highlight w:val="none"/>
              </w:rPr>
              <w:t>并处违法所得0.2倍以下罚款；</w:t>
            </w:r>
          </w:p>
          <w:p w14:paraId="24BB0EFA">
            <w:pPr>
              <w:keepNext w:val="0"/>
              <w:keepLines w:val="0"/>
              <w:pageBreakBefore w:val="0"/>
              <w:widowControl/>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spacing w:val="0"/>
                <w:sz w:val="24"/>
                <w:szCs w:val="24"/>
                <w:highlight w:val="none"/>
                <w:lang w:eastAsia="zh-CN"/>
              </w:rPr>
            </w:pPr>
            <w:r>
              <w:rPr>
                <w:rFonts w:hint="eastAsia" w:ascii="宋体" w:hAnsi="宋体" w:eastAsia="宋体" w:cs="宋体"/>
                <w:b w:val="0"/>
                <w:bCs w:val="0"/>
                <w:color w:val="000000"/>
                <w:spacing w:val="0"/>
                <w:sz w:val="24"/>
                <w:szCs w:val="24"/>
                <w:highlight w:val="none"/>
              </w:rPr>
              <w:t>没有违法所得的，</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pacing w:val="0"/>
                <w:sz w:val="24"/>
                <w:szCs w:val="24"/>
                <w:highlight w:val="none"/>
              </w:rPr>
              <w:t>处5万元以上10万元以下罚款；</w:t>
            </w:r>
          </w:p>
          <w:p w14:paraId="524D3C8A">
            <w:pPr>
              <w:keepNext w:val="0"/>
              <w:keepLines w:val="0"/>
              <w:pageBreakBefore w:val="0"/>
              <w:widowControl/>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spacing w:val="0"/>
                <w:kern w:val="0"/>
                <w:sz w:val="24"/>
                <w:szCs w:val="24"/>
                <w:highlight w:val="none"/>
                <w:lang w:val="en-US" w:eastAsia="zh-CN" w:bidi="ar-SA"/>
              </w:rPr>
            </w:pPr>
            <w:r>
              <w:rPr>
                <w:rFonts w:hint="eastAsia" w:ascii="宋体" w:hAnsi="宋体" w:eastAsia="宋体" w:cs="宋体"/>
                <w:b w:val="0"/>
                <w:bCs w:val="0"/>
                <w:color w:val="000000"/>
                <w:spacing w:val="0"/>
                <w:sz w:val="24"/>
                <w:szCs w:val="24"/>
                <w:highlight w:val="none"/>
              </w:rPr>
              <w:t>经营者为个人的，没有违法所得的，可以处2万元以下罚款。</w:t>
            </w:r>
          </w:p>
        </w:tc>
      </w:tr>
      <w:tr w14:paraId="0C02D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6" w:hRule="atLeast"/>
        </w:trPr>
        <w:tc>
          <w:tcPr>
            <w:tcW w:w="268" w:type="pct"/>
            <w:vMerge w:val="continue"/>
            <w:noWrap w:val="0"/>
            <w:vAlign w:val="center"/>
          </w:tcPr>
          <w:p w14:paraId="4E4F752A">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noWrap w:val="0"/>
            <w:vAlign w:val="center"/>
          </w:tcPr>
          <w:p w14:paraId="00D4142C">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noWrap w:val="0"/>
            <w:vAlign w:val="center"/>
          </w:tcPr>
          <w:p w14:paraId="747CD6C3">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51C8F3B3">
            <w:pPr>
              <w:keepNext w:val="0"/>
              <w:keepLines w:val="0"/>
              <w:pageBreakBefore w:val="0"/>
              <w:widowControl/>
              <w:kinsoku/>
              <w:wordWrap/>
              <w:overflowPunct/>
              <w:topLinePunct w:val="0"/>
              <w:autoSpaceDE/>
              <w:autoSpaceDN/>
              <w:bidi w:val="0"/>
              <w:adjustRightInd/>
              <w:snapToGrid/>
              <w:spacing w:line="39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一般</w:t>
            </w:r>
          </w:p>
        </w:tc>
        <w:tc>
          <w:tcPr>
            <w:tcW w:w="1161" w:type="pct"/>
            <w:noWrap w:val="0"/>
            <w:vAlign w:val="center"/>
          </w:tcPr>
          <w:p w14:paraId="4E55C685">
            <w:pPr>
              <w:keepNext w:val="0"/>
              <w:keepLines w:val="0"/>
              <w:pageBreakBefore w:val="0"/>
              <w:widowControl/>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价格违法行为不具有减轻、从轻、从重处罚等情形的。</w:t>
            </w:r>
          </w:p>
        </w:tc>
        <w:tc>
          <w:tcPr>
            <w:tcW w:w="1119" w:type="pct"/>
            <w:noWrap w:val="0"/>
            <w:vAlign w:val="center"/>
          </w:tcPr>
          <w:p w14:paraId="11B7C67A">
            <w:pPr>
              <w:keepNext w:val="0"/>
              <w:keepLines w:val="0"/>
              <w:pageBreakBefore w:val="0"/>
              <w:widowControl/>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spacing w:val="0"/>
                <w:sz w:val="24"/>
                <w:szCs w:val="24"/>
                <w:highlight w:val="none"/>
                <w:lang w:eastAsia="zh-CN"/>
              </w:rPr>
            </w:pPr>
            <w:r>
              <w:rPr>
                <w:rFonts w:hint="eastAsia" w:ascii="宋体" w:hAnsi="宋体" w:eastAsia="宋体" w:cs="宋体"/>
                <w:b w:val="0"/>
                <w:bCs w:val="0"/>
                <w:color w:val="000000"/>
                <w:spacing w:val="0"/>
                <w:sz w:val="24"/>
                <w:szCs w:val="24"/>
                <w:highlight w:val="none"/>
              </w:rPr>
              <w:t>没收违法所得，</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pacing w:val="0"/>
                <w:sz w:val="24"/>
                <w:szCs w:val="24"/>
                <w:highlight w:val="none"/>
              </w:rPr>
              <w:t>并处违法所得0.2倍以上1倍以下罚款；</w:t>
            </w:r>
          </w:p>
          <w:p w14:paraId="4C04624F">
            <w:pPr>
              <w:keepNext w:val="0"/>
              <w:keepLines w:val="0"/>
              <w:pageBreakBefore w:val="0"/>
              <w:widowControl/>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spacing w:val="0"/>
                <w:sz w:val="24"/>
                <w:szCs w:val="24"/>
                <w:highlight w:val="none"/>
                <w:lang w:eastAsia="zh-CN"/>
              </w:rPr>
            </w:pPr>
            <w:r>
              <w:rPr>
                <w:rFonts w:hint="eastAsia" w:ascii="宋体" w:hAnsi="宋体" w:eastAsia="宋体" w:cs="宋体"/>
                <w:b w:val="0"/>
                <w:bCs w:val="0"/>
                <w:color w:val="000000"/>
                <w:spacing w:val="0"/>
                <w:sz w:val="24"/>
                <w:szCs w:val="24"/>
                <w:highlight w:val="none"/>
              </w:rPr>
              <w:t>没有违法所得的，</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pacing w:val="0"/>
                <w:sz w:val="24"/>
                <w:szCs w:val="24"/>
                <w:highlight w:val="none"/>
              </w:rPr>
              <w:t>处10万元以上20万元以下罚款；</w:t>
            </w:r>
          </w:p>
          <w:p w14:paraId="2415CFA1">
            <w:pPr>
              <w:keepNext w:val="0"/>
              <w:keepLines w:val="0"/>
              <w:pageBreakBefore w:val="0"/>
              <w:widowControl/>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spacing w:val="0"/>
                <w:kern w:val="0"/>
                <w:sz w:val="24"/>
                <w:szCs w:val="24"/>
                <w:highlight w:val="none"/>
                <w:lang w:val="en-US" w:eastAsia="zh-CN" w:bidi="ar-SA"/>
              </w:rPr>
            </w:pPr>
            <w:r>
              <w:rPr>
                <w:rFonts w:hint="eastAsia" w:ascii="宋体" w:hAnsi="宋体" w:eastAsia="宋体" w:cs="宋体"/>
                <w:b w:val="0"/>
                <w:bCs w:val="0"/>
                <w:color w:val="000000"/>
                <w:spacing w:val="0"/>
                <w:sz w:val="24"/>
                <w:szCs w:val="24"/>
                <w:highlight w:val="none"/>
              </w:rPr>
              <w:t>经营者为个人的，没有违法所得的，</w:t>
            </w:r>
            <w:r>
              <w:rPr>
                <w:rFonts w:hint="eastAsia" w:ascii="宋体" w:hAnsi="宋体" w:cs="宋体"/>
                <w:b w:val="0"/>
                <w:bCs w:val="0"/>
                <w:color w:val="000000"/>
                <w:spacing w:val="0"/>
                <w:sz w:val="24"/>
                <w:szCs w:val="24"/>
                <w:highlight w:val="none"/>
                <w:lang w:val="en-US" w:eastAsia="zh-CN"/>
              </w:rPr>
              <w:t>可以</w:t>
            </w:r>
            <w:r>
              <w:rPr>
                <w:rFonts w:hint="eastAsia" w:ascii="宋体" w:hAnsi="宋体" w:eastAsia="宋体" w:cs="宋体"/>
                <w:b w:val="0"/>
                <w:bCs w:val="0"/>
                <w:color w:val="000000"/>
                <w:spacing w:val="0"/>
                <w:sz w:val="24"/>
                <w:szCs w:val="24"/>
                <w:highlight w:val="none"/>
              </w:rPr>
              <w:t>处2万元以上4万元以下罚款。</w:t>
            </w:r>
          </w:p>
        </w:tc>
      </w:tr>
      <w:tr w14:paraId="6F34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8" w:hRule="atLeast"/>
        </w:trPr>
        <w:tc>
          <w:tcPr>
            <w:tcW w:w="268" w:type="pct"/>
            <w:vMerge w:val="continue"/>
            <w:noWrap w:val="0"/>
            <w:vAlign w:val="center"/>
          </w:tcPr>
          <w:p w14:paraId="52A2D94E">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sz w:val="24"/>
                <w:szCs w:val="24"/>
                <w:highlight w:val="none"/>
              </w:rPr>
            </w:pPr>
          </w:p>
        </w:tc>
        <w:tc>
          <w:tcPr>
            <w:tcW w:w="613" w:type="pct"/>
            <w:vMerge w:val="continue"/>
            <w:noWrap w:val="0"/>
            <w:vAlign w:val="center"/>
          </w:tcPr>
          <w:p w14:paraId="648335B6">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sz w:val="24"/>
                <w:szCs w:val="24"/>
                <w:highlight w:val="none"/>
              </w:rPr>
            </w:pPr>
          </w:p>
        </w:tc>
        <w:tc>
          <w:tcPr>
            <w:tcW w:w="1429" w:type="pct"/>
            <w:vMerge w:val="continue"/>
            <w:noWrap w:val="0"/>
            <w:vAlign w:val="center"/>
          </w:tcPr>
          <w:p w14:paraId="7CE15B1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68CFF2C6">
            <w:pPr>
              <w:keepNext w:val="0"/>
              <w:keepLines w:val="0"/>
              <w:pageBreakBefore w:val="0"/>
              <w:widowControl/>
              <w:kinsoku/>
              <w:wordWrap/>
              <w:overflowPunct/>
              <w:topLinePunct w:val="0"/>
              <w:autoSpaceDE/>
              <w:autoSpaceDN/>
              <w:bidi w:val="0"/>
              <w:adjustRightInd/>
              <w:snapToGrid/>
              <w:spacing w:line="39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较重</w:t>
            </w:r>
          </w:p>
        </w:tc>
        <w:tc>
          <w:tcPr>
            <w:tcW w:w="1161" w:type="pct"/>
            <w:noWrap w:val="0"/>
            <w:vAlign w:val="center"/>
          </w:tcPr>
          <w:p w14:paraId="0D5F563B">
            <w:pPr>
              <w:keepNext w:val="0"/>
              <w:keepLines w:val="0"/>
              <w:pageBreakBefore w:val="0"/>
              <w:widowControl/>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有价格违法行为严重或者社会影响较大、拒不配合执法，以及其他从重处罚情形的。</w:t>
            </w:r>
          </w:p>
        </w:tc>
        <w:tc>
          <w:tcPr>
            <w:tcW w:w="1119" w:type="pct"/>
            <w:noWrap w:val="0"/>
            <w:vAlign w:val="center"/>
          </w:tcPr>
          <w:p w14:paraId="3FD9CECF">
            <w:pPr>
              <w:keepNext w:val="0"/>
              <w:keepLines w:val="0"/>
              <w:pageBreakBefore w:val="0"/>
              <w:widowControl/>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并处违法所得1倍以上5倍以下罚款；</w:t>
            </w:r>
          </w:p>
          <w:p w14:paraId="3EB0A0CF">
            <w:pPr>
              <w:keepNext w:val="0"/>
              <w:keepLines w:val="0"/>
              <w:pageBreakBefore w:val="0"/>
              <w:widowControl/>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处20万元以上50万元以下罚款，情节较重的处50万元以上200万元以下的罚款；情节严重的，责令停业整顿；</w:t>
            </w:r>
          </w:p>
          <w:p w14:paraId="7E96D789">
            <w:pPr>
              <w:keepNext w:val="0"/>
              <w:keepLines w:val="0"/>
              <w:pageBreakBefore w:val="0"/>
              <w:widowControl/>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w:t>
            </w: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处4万元以上10万元以下罚款。</w:t>
            </w:r>
          </w:p>
        </w:tc>
      </w:tr>
      <w:tr w14:paraId="7270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7" w:hRule="atLeast"/>
        </w:trPr>
        <w:tc>
          <w:tcPr>
            <w:tcW w:w="268" w:type="pct"/>
            <w:vMerge w:val="restart"/>
            <w:noWrap w:val="0"/>
            <w:vAlign w:val="center"/>
          </w:tcPr>
          <w:p w14:paraId="79EF3372">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3</w:t>
            </w:r>
            <w:r>
              <w:rPr>
                <w:rFonts w:hint="eastAsia" w:ascii="宋体" w:hAnsi="宋体" w:cs="宋体"/>
                <w:b w:val="0"/>
                <w:bCs w:val="0"/>
                <w:color w:val="000000"/>
                <w:sz w:val="24"/>
                <w:szCs w:val="24"/>
                <w:highlight w:val="none"/>
                <w:lang w:val="en-US" w:eastAsia="zh-CN"/>
              </w:rPr>
              <w:t>38</w:t>
            </w:r>
          </w:p>
        </w:tc>
        <w:tc>
          <w:tcPr>
            <w:tcW w:w="613" w:type="pct"/>
            <w:vMerge w:val="restart"/>
            <w:noWrap w:val="0"/>
            <w:vAlign w:val="center"/>
          </w:tcPr>
          <w:p w14:paraId="44FAB6AA">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《中华人民共和国价格法》《价格违法行为行政处罚规定》</w:t>
            </w:r>
          </w:p>
        </w:tc>
        <w:tc>
          <w:tcPr>
            <w:tcW w:w="1429" w:type="pct"/>
            <w:vMerge w:val="restart"/>
            <w:noWrap w:val="0"/>
            <w:vAlign w:val="center"/>
          </w:tcPr>
          <w:p w14:paraId="0346F7E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中华人民共和国价格法》第四十条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14:paraId="7398D2A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《价格违法行为行政处罚规定》第五条第一款</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经营者违反中华人民共和国价格法第十四条的规定，相互串通，操纵市场价格，造成商品价格较大幅度上涨的，责令改正，没收违法所得，并处违法所得5倍以下的罚款；没有违法所得的，处10万元以上100万元以下的罚款，情节较重的处100万元以上500万元以下的罚款；情节严重的，责令停业整顿，或者由工商行政管理机关吊销营业执照。</w:t>
            </w:r>
          </w:p>
          <w:p w14:paraId="0325C65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《价格违法行为行政处罚规定》第十一条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本规定第四条、第七条至第九条规定中经营者为个人的，对其没有违法所得的价格违法行为，可以处10万元以下的罚款。</w:t>
            </w:r>
          </w:p>
          <w:p w14:paraId="7FAC38B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本规定第五条、第六条、第十条规定中经营者为个人的，对其没有违法所得的价格违法行为，按照前款规定处罚；情节严重的，处10万元以上50万元以下的罚款。</w:t>
            </w:r>
          </w:p>
        </w:tc>
        <w:tc>
          <w:tcPr>
            <w:tcW w:w="407" w:type="pct"/>
            <w:noWrap w:val="0"/>
            <w:vAlign w:val="center"/>
          </w:tcPr>
          <w:p w14:paraId="75ED258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较轻</w:t>
            </w:r>
          </w:p>
        </w:tc>
        <w:tc>
          <w:tcPr>
            <w:tcW w:w="1161" w:type="pct"/>
            <w:noWrap w:val="0"/>
            <w:vAlign w:val="center"/>
          </w:tcPr>
          <w:p w14:paraId="201AD74F">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有价格违法行为较轻,未造成严重后果、能够及时改正价格违法行为、从轻处罚能起到教育作用，以及其他从轻处罚情形的。</w:t>
            </w:r>
          </w:p>
        </w:tc>
        <w:tc>
          <w:tcPr>
            <w:tcW w:w="1119" w:type="pct"/>
            <w:noWrap w:val="0"/>
            <w:vAlign w:val="center"/>
          </w:tcPr>
          <w:p w14:paraId="2CB6455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并处违法所得0.2倍以下罚款；</w:t>
            </w:r>
          </w:p>
          <w:p w14:paraId="6F1A11F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z w:val="24"/>
                <w:szCs w:val="24"/>
                <w:highlight w:val="none"/>
                <w:lang w:eastAsia="zh-CN"/>
              </w:rPr>
              <w:t>予以警告，可以</w:t>
            </w:r>
            <w:r>
              <w:rPr>
                <w:rFonts w:hint="eastAsia" w:ascii="宋体" w:hAnsi="宋体" w:eastAsia="宋体" w:cs="宋体"/>
                <w:b w:val="0"/>
                <w:bCs w:val="0"/>
                <w:color w:val="000000"/>
                <w:sz w:val="24"/>
                <w:szCs w:val="24"/>
                <w:highlight w:val="none"/>
              </w:rPr>
              <w:t>处10万元以上20万元以下罚款；</w:t>
            </w:r>
          </w:p>
          <w:p w14:paraId="7E0CE78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经营者为个人的，没有违法所得的，可以处2万元以下罚款。</w:t>
            </w:r>
          </w:p>
        </w:tc>
      </w:tr>
      <w:tr w14:paraId="0F91C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5" w:hRule="atLeast"/>
        </w:trPr>
        <w:tc>
          <w:tcPr>
            <w:tcW w:w="268" w:type="pct"/>
            <w:vMerge w:val="continue"/>
            <w:noWrap w:val="0"/>
            <w:vAlign w:val="center"/>
          </w:tcPr>
          <w:p w14:paraId="42346B8E">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sz w:val="24"/>
                <w:szCs w:val="24"/>
                <w:highlight w:val="none"/>
              </w:rPr>
            </w:pPr>
          </w:p>
        </w:tc>
        <w:tc>
          <w:tcPr>
            <w:tcW w:w="613" w:type="pct"/>
            <w:vMerge w:val="continue"/>
            <w:noWrap w:val="0"/>
            <w:vAlign w:val="center"/>
          </w:tcPr>
          <w:p w14:paraId="7C0F00E2">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sz w:val="24"/>
                <w:szCs w:val="24"/>
                <w:highlight w:val="none"/>
              </w:rPr>
            </w:pPr>
          </w:p>
        </w:tc>
        <w:tc>
          <w:tcPr>
            <w:tcW w:w="1429" w:type="pct"/>
            <w:vMerge w:val="continue"/>
            <w:noWrap w:val="0"/>
            <w:vAlign w:val="center"/>
          </w:tcPr>
          <w:p w14:paraId="6D471742">
            <w:pPr>
              <w:keepNext w:val="0"/>
              <w:keepLines w:val="0"/>
              <w:pageBreakBefore w:val="0"/>
              <w:widowControl/>
              <w:kinsoku/>
              <w:wordWrap/>
              <w:overflowPunct/>
              <w:topLinePunct w:val="0"/>
              <w:autoSpaceDE/>
              <w:autoSpaceDN/>
              <w:bidi w:val="0"/>
              <w:adjustRightInd/>
              <w:snapToGrid/>
              <w:spacing w:line="37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726C85C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一般</w:t>
            </w:r>
          </w:p>
        </w:tc>
        <w:tc>
          <w:tcPr>
            <w:tcW w:w="1161" w:type="pct"/>
            <w:noWrap w:val="0"/>
            <w:vAlign w:val="center"/>
          </w:tcPr>
          <w:p w14:paraId="13918D1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价格违法行为不具有减轻、从轻、从重处罚等情形的。</w:t>
            </w:r>
          </w:p>
        </w:tc>
        <w:tc>
          <w:tcPr>
            <w:tcW w:w="1119" w:type="pct"/>
            <w:noWrap w:val="0"/>
            <w:vAlign w:val="center"/>
          </w:tcPr>
          <w:p w14:paraId="36EAFE6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并处违法所得0.2倍以上1倍以下罚款；</w:t>
            </w:r>
          </w:p>
          <w:p w14:paraId="65BA8E8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z w:val="24"/>
                <w:szCs w:val="24"/>
                <w:highlight w:val="none"/>
                <w:lang w:eastAsia="zh-CN"/>
              </w:rPr>
              <w:t>予以警告，</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处20万元以上40万元以下罚款；</w:t>
            </w:r>
          </w:p>
          <w:p w14:paraId="3155D72D">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w:t>
            </w: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处2万元以上4万元以下罚款。</w:t>
            </w:r>
          </w:p>
        </w:tc>
      </w:tr>
      <w:tr w14:paraId="5CA5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6" w:hRule="atLeast"/>
        </w:trPr>
        <w:tc>
          <w:tcPr>
            <w:tcW w:w="268" w:type="pct"/>
            <w:vMerge w:val="continue"/>
            <w:noWrap w:val="0"/>
            <w:vAlign w:val="center"/>
          </w:tcPr>
          <w:p w14:paraId="70D3F827">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sz w:val="24"/>
                <w:szCs w:val="24"/>
                <w:highlight w:val="none"/>
              </w:rPr>
            </w:pPr>
          </w:p>
        </w:tc>
        <w:tc>
          <w:tcPr>
            <w:tcW w:w="613" w:type="pct"/>
            <w:vMerge w:val="continue"/>
            <w:noWrap w:val="0"/>
            <w:vAlign w:val="center"/>
          </w:tcPr>
          <w:p w14:paraId="01F8007F">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sz w:val="24"/>
                <w:szCs w:val="24"/>
                <w:highlight w:val="none"/>
              </w:rPr>
            </w:pPr>
          </w:p>
        </w:tc>
        <w:tc>
          <w:tcPr>
            <w:tcW w:w="1429" w:type="pct"/>
            <w:vMerge w:val="continue"/>
            <w:noWrap w:val="0"/>
            <w:vAlign w:val="center"/>
          </w:tcPr>
          <w:p w14:paraId="7098A9DB">
            <w:pPr>
              <w:keepNext w:val="0"/>
              <w:keepLines w:val="0"/>
              <w:pageBreakBefore w:val="0"/>
              <w:widowControl/>
              <w:kinsoku/>
              <w:wordWrap/>
              <w:overflowPunct/>
              <w:topLinePunct w:val="0"/>
              <w:autoSpaceDE/>
              <w:autoSpaceDN/>
              <w:bidi w:val="0"/>
              <w:adjustRightInd/>
              <w:snapToGrid/>
              <w:spacing w:line="37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51E0E9D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较重</w:t>
            </w:r>
          </w:p>
        </w:tc>
        <w:tc>
          <w:tcPr>
            <w:tcW w:w="1161" w:type="pct"/>
            <w:noWrap w:val="0"/>
            <w:vAlign w:val="center"/>
          </w:tcPr>
          <w:p w14:paraId="26F13C6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有价格违法行为严重或者社会影响较大、拒不配合执法，以及其他从重处罚情形的。</w:t>
            </w:r>
          </w:p>
        </w:tc>
        <w:tc>
          <w:tcPr>
            <w:tcW w:w="1119" w:type="pct"/>
            <w:noWrap w:val="0"/>
            <w:vAlign w:val="center"/>
          </w:tcPr>
          <w:p w14:paraId="0BC9F1DD">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并处违法所得1倍以上5倍以下罚款；</w:t>
            </w:r>
          </w:p>
          <w:p w14:paraId="6BB44416">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z w:val="24"/>
                <w:szCs w:val="24"/>
                <w:highlight w:val="none"/>
                <w:lang w:eastAsia="zh-CN"/>
              </w:rPr>
              <w:t>予以警告，</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处40万元以上100万元以下罚款，情节较重的处100万元以上500万元以下的罚款；情节严重的，责令停业整顿，或者吊销营业执照。</w:t>
            </w:r>
          </w:p>
          <w:p w14:paraId="2FC54392">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w:t>
            </w: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处4万元以上10万元以下的罚款</w:t>
            </w:r>
            <w:r>
              <w:rPr>
                <w:rFonts w:hint="eastAsia" w:ascii="宋体" w:hAnsi="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t>情节严重的，处10万元以上50万元以下的罚款。</w:t>
            </w:r>
          </w:p>
        </w:tc>
      </w:tr>
      <w:tr w14:paraId="77F8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 w:type="pct"/>
            <w:vMerge w:val="restart"/>
            <w:noWrap w:val="0"/>
            <w:vAlign w:val="center"/>
          </w:tcPr>
          <w:p w14:paraId="73732B1C">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3</w:t>
            </w:r>
            <w:r>
              <w:rPr>
                <w:rFonts w:hint="eastAsia" w:ascii="宋体" w:hAnsi="宋体" w:cs="宋体"/>
                <w:b w:val="0"/>
                <w:bCs w:val="0"/>
                <w:color w:val="000000"/>
                <w:sz w:val="24"/>
                <w:szCs w:val="24"/>
                <w:highlight w:val="none"/>
                <w:lang w:val="en-US" w:eastAsia="zh-CN"/>
              </w:rPr>
              <w:t>39</w:t>
            </w:r>
          </w:p>
        </w:tc>
        <w:tc>
          <w:tcPr>
            <w:tcW w:w="613" w:type="pct"/>
            <w:vMerge w:val="restart"/>
            <w:noWrap w:val="0"/>
            <w:vAlign w:val="center"/>
          </w:tcPr>
          <w:p w14:paraId="3B21D7F3">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《中华人民共和国价格法》《价格违法行为行政处罚规定》</w:t>
            </w:r>
          </w:p>
        </w:tc>
        <w:tc>
          <w:tcPr>
            <w:tcW w:w="1429" w:type="pct"/>
            <w:vMerge w:val="restart"/>
            <w:noWrap w:val="0"/>
            <w:vAlign w:val="center"/>
          </w:tcPr>
          <w:p w14:paraId="58D181E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中华人民共和国价格法》第四十条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14:paraId="3526BDA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《价格违法行为行政处罚规定》第五条第二款</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除前款规定情形外，经营者相互串通，操纵市场价格，损害其他经营者或者消费者合法权益的，依照本规定第四条的规定处罚。</w:t>
            </w:r>
          </w:p>
          <w:p w14:paraId="617D949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《价格违法行为行政处罚规定》第十一条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本规定第四条、第七条至第九条规定中经营者为个人的，对其没有违法所得的价格违法行为，可以处10万元以下的罚款。</w:t>
            </w:r>
          </w:p>
          <w:p w14:paraId="5BC5F1C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本规定第五条、第六条、第十条规定中经营者为个人的，对其没有违法所得的价格违法行为，按照前款规定处罚；情节严重的，处10万元以上50万元以下的罚款。</w:t>
            </w:r>
          </w:p>
        </w:tc>
        <w:tc>
          <w:tcPr>
            <w:tcW w:w="407" w:type="pct"/>
            <w:noWrap w:val="0"/>
            <w:vAlign w:val="center"/>
          </w:tcPr>
          <w:p w14:paraId="0CEE7F2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较轻</w:t>
            </w:r>
          </w:p>
        </w:tc>
        <w:tc>
          <w:tcPr>
            <w:tcW w:w="1161" w:type="pct"/>
            <w:noWrap w:val="0"/>
            <w:vAlign w:val="center"/>
          </w:tcPr>
          <w:p w14:paraId="1EEDCEB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有价格违法行为较轻,未造成严重后果、能够及时改正价格违法行为、从轻处罚能起到教育作用，以及其他从轻处罚情形的。</w:t>
            </w:r>
          </w:p>
        </w:tc>
        <w:tc>
          <w:tcPr>
            <w:tcW w:w="1119" w:type="pct"/>
            <w:noWrap w:val="0"/>
            <w:vAlign w:val="center"/>
          </w:tcPr>
          <w:p w14:paraId="7E37C069">
            <w:pPr>
              <w:keepNext w:val="0"/>
              <w:keepLines w:val="0"/>
              <w:pageBreakBefore w:val="0"/>
              <w:widowControl/>
              <w:kinsoku/>
              <w:wordWrap/>
              <w:overflowPunct/>
              <w:topLinePunct w:val="0"/>
              <w:autoSpaceDE/>
              <w:autoSpaceDN/>
              <w:bidi w:val="0"/>
              <w:adjustRightInd/>
              <w:snapToGrid/>
              <w:spacing w:line="324" w:lineRule="exact"/>
              <w:jc w:val="both"/>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并处违法所得0.2倍以下罚款；</w:t>
            </w:r>
          </w:p>
          <w:p w14:paraId="1889D919">
            <w:pPr>
              <w:keepNext w:val="0"/>
              <w:keepLines w:val="0"/>
              <w:pageBreakBefore w:val="0"/>
              <w:widowControl/>
              <w:kinsoku/>
              <w:wordWrap/>
              <w:overflowPunct/>
              <w:topLinePunct w:val="0"/>
              <w:autoSpaceDE/>
              <w:autoSpaceDN/>
              <w:bidi w:val="0"/>
              <w:adjustRightInd/>
              <w:snapToGrid/>
              <w:spacing w:line="324" w:lineRule="exact"/>
              <w:jc w:val="both"/>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z w:val="24"/>
                <w:szCs w:val="24"/>
                <w:highlight w:val="none"/>
                <w:lang w:eastAsia="zh-CN"/>
              </w:rPr>
              <w:t>予以警告，</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处10万元以上20万元以下罚款；</w:t>
            </w:r>
          </w:p>
          <w:p w14:paraId="23688F68">
            <w:pPr>
              <w:keepNext w:val="0"/>
              <w:keepLines w:val="0"/>
              <w:pageBreakBefore w:val="0"/>
              <w:widowControl/>
              <w:kinsoku/>
              <w:wordWrap/>
              <w:overflowPunct/>
              <w:topLinePunct w:val="0"/>
              <w:autoSpaceDE/>
              <w:autoSpaceDN/>
              <w:bidi w:val="0"/>
              <w:adjustRightInd/>
              <w:snapToGrid/>
              <w:spacing w:line="324" w:lineRule="exact"/>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pacing w:val="-6"/>
                <w:sz w:val="24"/>
                <w:szCs w:val="24"/>
                <w:highlight w:val="none"/>
              </w:rPr>
              <w:t>经营者为个人的，没有违法所得的，可以处2万元以下罚款。</w:t>
            </w:r>
          </w:p>
        </w:tc>
      </w:tr>
      <w:tr w14:paraId="59C0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 w:type="pct"/>
            <w:vMerge w:val="continue"/>
            <w:noWrap w:val="0"/>
            <w:vAlign w:val="center"/>
          </w:tcPr>
          <w:p w14:paraId="650BD19D">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noWrap w:val="0"/>
            <w:vAlign w:val="center"/>
          </w:tcPr>
          <w:p w14:paraId="20824D54">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noWrap w:val="0"/>
            <w:vAlign w:val="center"/>
          </w:tcPr>
          <w:p w14:paraId="78B21A43">
            <w:pPr>
              <w:keepNext w:val="0"/>
              <w:keepLines w:val="0"/>
              <w:pageBreakBefore w:val="0"/>
              <w:widowControl/>
              <w:kinsoku/>
              <w:wordWrap/>
              <w:overflowPunct/>
              <w:topLinePunct w:val="0"/>
              <w:autoSpaceDE/>
              <w:autoSpaceDN/>
              <w:bidi w:val="0"/>
              <w:adjustRightInd/>
              <w:snapToGrid/>
              <w:spacing w:line="37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618A0A0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一般</w:t>
            </w:r>
          </w:p>
        </w:tc>
        <w:tc>
          <w:tcPr>
            <w:tcW w:w="1161" w:type="pct"/>
            <w:noWrap w:val="0"/>
            <w:vAlign w:val="center"/>
          </w:tcPr>
          <w:p w14:paraId="628C9BD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价格违法行为不具有减轻、从轻、从重处罚等情形的。</w:t>
            </w:r>
          </w:p>
        </w:tc>
        <w:tc>
          <w:tcPr>
            <w:tcW w:w="1119" w:type="pct"/>
            <w:noWrap w:val="0"/>
            <w:vAlign w:val="center"/>
          </w:tcPr>
          <w:p w14:paraId="6F32D2DF">
            <w:pPr>
              <w:keepNext w:val="0"/>
              <w:keepLines w:val="0"/>
              <w:pageBreakBefore w:val="0"/>
              <w:widowControl/>
              <w:kinsoku/>
              <w:wordWrap/>
              <w:overflowPunct/>
              <w:topLinePunct w:val="0"/>
              <w:autoSpaceDE/>
              <w:autoSpaceDN/>
              <w:bidi w:val="0"/>
              <w:adjustRightInd/>
              <w:snapToGrid/>
              <w:spacing w:line="324" w:lineRule="exact"/>
              <w:jc w:val="both"/>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z w:val="24"/>
                <w:szCs w:val="24"/>
                <w:highlight w:val="none"/>
                <w:lang w:eastAsia="zh-CN"/>
              </w:rPr>
              <w:t>可以</w:t>
            </w:r>
            <w:r>
              <w:rPr>
                <w:rFonts w:hint="eastAsia" w:ascii="宋体" w:hAnsi="宋体" w:eastAsia="宋体" w:cs="宋体"/>
                <w:b w:val="0"/>
                <w:bCs w:val="0"/>
                <w:color w:val="000000"/>
                <w:sz w:val="24"/>
                <w:szCs w:val="24"/>
                <w:highlight w:val="none"/>
              </w:rPr>
              <w:t>并处违法</w:t>
            </w:r>
            <w:r>
              <w:rPr>
                <w:rFonts w:hint="eastAsia" w:ascii="宋体" w:hAnsi="宋体" w:eastAsia="宋体" w:cs="宋体"/>
                <w:b w:val="0"/>
                <w:bCs w:val="0"/>
                <w:color w:val="000000"/>
                <w:spacing w:val="-6"/>
                <w:sz w:val="24"/>
                <w:szCs w:val="24"/>
                <w:highlight w:val="none"/>
              </w:rPr>
              <w:t>所得0.2倍以上1倍以下罚款；</w:t>
            </w:r>
          </w:p>
          <w:p w14:paraId="23653658">
            <w:pPr>
              <w:keepNext w:val="0"/>
              <w:keepLines w:val="0"/>
              <w:pageBreakBefore w:val="0"/>
              <w:widowControl/>
              <w:kinsoku/>
              <w:wordWrap/>
              <w:overflowPunct/>
              <w:topLinePunct w:val="0"/>
              <w:autoSpaceDE/>
              <w:autoSpaceDN/>
              <w:bidi w:val="0"/>
              <w:adjustRightInd/>
              <w:snapToGrid/>
              <w:spacing w:line="324" w:lineRule="exact"/>
              <w:jc w:val="both"/>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z w:val="24"/>
                <w:szCs w:val="24"/>
                <w:highlight w:val="none"/>
                <w:lang w:eastAsia="zh-CN"/>
              </w:rPr>
              <w:t>予以警告，</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处20万元以上40万元以下罚款；</w:t>
            </w:r>
          </w:p>
          <w:p w14:paraId="5810D4D9">
            <w:pPr>
              <w:keepNext w:val="0"/>
              <w:keepLines w:val="0"/>
              <w:pageBreakBefore w:val="0"/>
              <w:widowControl/>
              <w:kinsoku/>
              <w:wordWrap/>
              <w:overflowPunct/>
              <w:topLinePunct w:val="0"/>
              <w:autoSpaceDE/>
              <w:autoSpaceDN/>
              <w:bidi w:val="0"/>
              <w:adjustRightInd/>
              <w:snapToGrid/>
              <w:spacing w:line="324" w:lineRule="exact"/>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w:t>
            </w: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处2万元以上4万元以下罚款。</w:t>
            </w:r>
          </w:p>
        </w:tc>
      </w:tr>
      <w:tr w14:paraId="7530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6" w:hRule="atLeast"/>
        </w:trPr>
        <w:tc>
          <w:tcPr>
            <w:tcW w:w="268" w:type="pct"/>
            <w:vMerge w:val="continue"/>
            <w:noWrap w:val="0"/>
            <w:vAlign w:val="center"/>
          </w:tcPr>
          <w:p w14:paraId="4374DBF2">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sz w:val="24"/>
                <w:szCs w:val="24"/>
                <w:highlight w:val="none"/>
              </w:rPr>
            </w:pPr>
          </w:p>
        </w:tc>
        <w:tc>
          <w:tcPr>
            <w:tcW w:w="613" w:type="pct"/>
            <w:vMerge w:val="continue"/>
            <w:noWrap w:val="0"/>
            <w:vAlign w:val="center"/>
          </w:tcPr>
          <w:p w14:paraId="2B499C39">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sz w:val="24"/>
                <w:szCs w:val="24"/>
                <w:highlight w:val="none"/>
              </w:rPr>
            </w:pPr>
          </w:p>
        </w:tc>
        <w:tc>
          <w:tcPr>
            <w:tcW w:w="1429" w:type="pct"/>
            <w:vMerge w:val="continue"/>
            <w:noWrap w:val="0"/>
            <w:vAlign w:val="center"/>
          </w:tcPr>
          <w:p w14:paraId="09309AF3">
            <w:pPr>
              <w:keepNext w:val="0"/>
              <w:keepLines w:val="0"/>
              <w:pageBreakBefore w:val="0"/>
              <w:widowControl/>
              <w:kinsoku/>
              <w:wordWrap/>
              <w:overflowPunct/>
              <w:topLinePunct w:val="0"/>
              <w:autoSpaceDE/>
              <w:autoSpaceDN/>
              <w:bidi w:val="0"/>
              <w:adjustRightInd/>
              <w:snapToGrid/>
              <w:spacing w:line="37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39C7DA0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较重</w:t>
            </w:r>
          </w:p>
        </w:tc>
        <w:tc>
          <w:tcPr>
            <w:tcW w:w="1161" w:type="pct"/>
            <w:noWrap w:val="0"/>
            <w:vAlign w:val="center"/>
          </w:tcPr>
          <w:p w14:paraId="1D8BE40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有价格违法行为严重或者社会影响较大、拒不配合执法，以及其他从重处罚情形的。</w:t>
            </w:r>
          </w:p>
        </w:tc>
        <w:tc>
          <w:tcPr>
            <w:tcW w:w="1119" w:type="pct"/>
            <w:noWrap w:val="0"/>
            <w:vAlign w:val="center"/>
          </w:tcPr>
          <w:p w14:paraId="31CA73CA">
            <w:pPr>
              <w:keepNext w:val="0"/>
              <w:keepLines w:val="0"/>
              <w:pageBreakBefore w:val="0"/>
              <w:widowControl/>
              <w:kinsoku/>
              <w:wordWrap/>
              <w:overflowPunct/>
              <w:topLinePunct w:val="0"/>
              <w:autoSpaceDE/>
              <w:autoSpaceDN/>
              <w:bidi w:val="0"/>
              <w:adjustRightInd/>
              <w:snapToGrid/>
              <w:spacing w:line="324" w:lineRule="exact"/>
              <w:jc w:val="both"/>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z w:val="24"/>
                <w:szCs w:val="24"/>
                <w:highlight w:val="none"/>
                <w:lang w:eastAsia="zh-CN"/>
              </w:rPr>
              <w:t>可以</w:t>
            </w:r>
            <w:r>
              <w:rPr>
                <w:rFonts w:hint="eastAsia" w:ascii="宋体" w:hAnsi="宋体" w:eastAsia="宋体" w:cs="宋体"/>
                <w:b w:val="0"/>
                <w:bCs w:val="0"/>
                <w:color w:val="000000"/>
                <w:sz w:val="24"/>
                <w:szCs w:val="24"/>
                <w:highlight w:val="none"/>
              </w:rPr>
              <w:t>并处违法所得1倍以上5倍以下罚款；</w:t>
            </w:r>
          </w:p>
          <w:p w14:paraId="123861D1">
            <w:pPr>
              <w:keepNext w:val="0"/>
              <w:keepLines w:val="0"/>
              <w:pageBreakBefore w:val="0"/>
              <w:widowControl/>
              <w:kinsoku/>
              <w:wordWrap/>
              <w:overflowPunct/>
              <w:topLinePunct w:val="0"/>
              <w:autoSpaceDE/>
              <w:autoSpaceDN/>
              <w:bidi w:val="0"/>
              <w:adjustRightInd/>
              <w:snapToGrid/>
              <w:spacing w:line="324" w:lineRule="exact"/>
              <w:jc w:val="both"/>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z w:val="24"/>
                <w:szCs w:val="24"/>
                <w:highlight w:val="none"/>
                <w:lang w:eastAsia="zh-CN"/>
              </w:rPr>
              <w:t>予以警告，</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处40万元以上100万元以下罚款，情节严重的，责令</w:t>
            </w:r>
            <w:r>
              <w:rPr>
                <w:rFonts w:hint="eastAsia" w:ascii="宋体" w:hAnsi="宋体" w:eastAsia="宋体" w:cs="宋体"/>
                <w:b w:val="0"/>
                <w:bCs w:val="0"/>
                <w:color w:val="000000"/>
                <w:spacing w:val="-6"/>
                <w:sz w:val="24"/>
                <w:szCs w:val="24"/>
                <w:highlight w:val="none"/>
              </w:rPr>
              <w:t>停业整顿，或者吊销营业执照。</w:t>
            </w:r>
          </w:p>
          <w:p w14:paraId="3BDFB9AE">
            <w:pPr>
              <w:keepNext w:val="0"/>
              <w:keepLines w:val="0"/>
              <w:pageBreakBefore w:val="0"/>
              <w:widowControl/>
              <w:kinsoku/>
              <w:wordWrap/>
              <w:overflowPunct/>
              <w:topLinePunct w:val="0"/>
              <w:autoSpaceDE/>
              <w:autoSpaceDN/>
              <w:bidi w:val="0"/>
              <w:adjustRightInd/>
              <w:snapToGrid/>
              <w:spacing w:line="324" w:lineRule="exact"/>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w:t>
            </w: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处4万元以上10万元以下的罚款</w:t>
            </w:r>
            <w:r>
              <w:rPr>
                <w:rFonts w:hint="eastAsia" w:ascii="宋体" w:hAnsi="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t>情节严重的，处10万元以上50万元以下的罚款。</w:t>
            </w:r>
          </w:p>
        </w:tc>
      </w:tr>
      <w:tr w14:paraId="2AF1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5" w:hRule="atLeast"/>
        </w:trPr>
        <w:tc>
          <w:tcPr>
            <w:tcW w:w="268" w:type="pct"/>
            <w:vMerge w:val="restart"/>
            <w:noWrap w:val="0"/>
            <w:vAlign w:val="center"/>
          </w:tcPr>
          <w:p w14:paraId="2A07980D">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3</w:t>
            </w:r>
            <w:r>
              <w:rPr>
                <w:rFonts w:hint="eastAsia" w:ascii="宋体" w:hAnsi="宋体" w:cs="宋体"/>
                <w:b w:val="0"/>
                <w:bCs w:val="0"/>
                <w:color w:val="000000"/>
                <w:sz w:val="24"/>
                <w:szCs w:val="24"/>
                <w:highlight w:val="none"/>
                <w:lang w:val="en-US" w:eastAsia="zh-CN"/>
              </w:rPr>
              <w:t>40</w:t>
            </w:r>
          </w:p>
        </w:tc>
        <w:tc>
          <w:tcPr>
            <w:tcW w:w="613" w:type="pct"/>
            <w:vMerge w:val="restart"/>
            <w:noWrap w:val="0"/>
            <w:vAlign w:val="center"/>
          </w:tcPr>
          <w:p w14:paraId="6510E509">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《中华人民共和国价格法》《价格违法行为行政处罚规定》</w:t>
            </w:r>
          </w:p>
        </w:tc>
        <w:tc>
          <w:tcPr>
            <w:tcW w:w="1429" w:type="pct"/>
            <w:vMerge w:val="restart"/>
            <w:noWrap w:val="0"/>
            <w:vAlign w:val="center"/>
          </w:tcPr>
          <w:p w14:paraId="35E41634">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中华人民共和国价格法》第四十条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14:paraId="676B5A63">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《价格违法行为行政处罚规定》第六条第一款</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经营者违反中华人民共和国价格法第十四条的规定，有下列推动商品价格过快、过高上涨行为之一的，责令改正，没收违法所得，并处违法所得5倍以下的罚款；没有违法所得的，处5万元以上50万元以下的罚款，情节较重的处50万元以上300万元以下的罚款；情节严重的，责令停业整顿，或者由工商行政管理机关吊销营业执照：（一）捏造、散布涨价信息，扰乱市场价格秩序的；（二）除生产自用外，超出正常的存储数量或者存储周期，大量囤积市场供应紧张、价格发生异常波动的商品，经价格主管部门告诫仍继续囤积的；（三）利用其他手段哄抬价格，推动商品价格过快、过高上涨的。</w:t>
            </w:r>
          </w:p>
          <w:p w14:paraId="73C13883">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《价格违法行为行政处罚规定》第十一条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本规定第四条、第七条至第九条规定中经营者为个人的，对其没有违法所得的价格违法行为，可以处10万元以下的罚款。</w:t>
            </w:r>
          </w:p>
          <w:p w14:paraId="64E3F9A3">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本规定第五条、第六条、第十条规定中经营者为个人的，对其没有违法所得的价格违法行为，按照前款规定处罚；情节严重的，处10万元以上50万元以下的罚款。</w:t>
            </w:r>
          </w:p>
        </w:tc>
        <w:tc>
          <w:tcPr>
            <w:tcW w:w="407" w:type="pct"/>
            <w:noWrap w:val="0"/>
            <w:vAlign w:val="center"/>
          </w:tcPr>
          <w:p w14:paraId="79450C6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较轻</w:t>
            </w:r>
          </w:p>
        </w:tc>
        <w:tc>
          <w:tcPr>
            <w:tcW w:w="1161" w:type="pct"/>
            <w:noWrap w:val="0"/>
            <w:vAlign w:val="center"/>
          </w:tcPr>
          <w:p w14:paraId="0A2E979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有价格违法行为较轻,未造成严重后果、能够及时改正价格违法行为、从轻处罚能起到教育作用，以及其他从轻处罚情形的。</w:t>
            </w:r>
          </w:p>
        </w:tc>
        <w:tc>
          <w:tcPr>
            <w:tcW w:w="1119" w:type="pct"/>
            <w:noWrap w:val="0"/>
            <w:vAlign w:val="center"/>
          </w:tcPr>
          <w:p w14:paraId="3E4EE28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color w:val="000000"/>
                <w:sz w:val="24"/>
                <w:szCs w:val="24"/>
                <w:lang w:val="en-US" w:eastAsia="zh-CN"/>
              </w:rPr>
              <w:t>可以</w:t>
            </w:r>
            <w:r>
              <w:rPr>
                <w:rFonts w:hint="eastAsia" w:ascii="宋体" w:hAnsi="宋体" w:eastAsia="宋体" w:cs="宋体"/>
                <w:b w:val="0"/>
                <w:bCs w:val="0"/>
                <w:color w:val="000000"/>
                <w:sz w:val="24"/>
                <w:szCs w:val="24"/>
                <w:highlight w:val="none"/>
              </w:rPr>
              <w:t>并处违法所得0.2倍以下罚款；</w:t>
            </w:r>
          </w:p>
          <w:p w14:paraId="2B7DD53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z w:val="24"/>
                <w:szCs w:val="24"/>
                <w:highlight w:val="none"/>
                <w:lang w:eastAsia="zh-CN"/>
              </w:rPr>
              <w:t>予以警告，</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处5万元以上10万元以下罚款；</w:t>
            </w:r>
          </w:p>
          <w:p w14:paraId="1BDA5C9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经营者为个人的，没有违法所得的，可以处2万元以下罚款。</w:t>
            </w:r>
          </w:p>
        </w:tc>
      </w:tr>
      <w:tr w14:paraId="57770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2" w:hRule="atLeast"/>
        </w:trPr>
        <w:tc>
          <w:tcPr>
            <w:tcW w:w="268" w:type="pct"/>
            <w:vMerge w:val="continue"/>
            <w:noWrap w:val="0"/>
            <w:vAlign w:val="center"/>
          </w:tcPr>
          <w:p w14:paraId="2082DDAB">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noWrap w:val="0"/>
            <w:vAlign w:val="center"/>
          </w:tcPr>
          <w:p w14:paraId="5E3AF27B">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noWrap w:val="0"/>
            <w:vAlign w:val="center"/>
          </w:tcPr>
          <w:p w14:paraId="6EAF630F">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16B73B8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一般</w:t>
            </w:r>
          </w:p>
        </w:tc>
        <w:tc>
          <w:tcPr>
            <w:tcW w:w="1161" w:type="pct"/>
            <w:noWrap w:val="0"/>
            <w:vAlign w:val="center"/>
          </w:tcPr>
          <w:p w14:paraId="08219F9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价格违法行为不具有减轻、从轻、从重处罚等情形的。</w:t>
            </w:r>
          </w:p>
        </w:tc>
        <w:tc>
          <w:tcPr>
            <w:tcW w:w="1119" w:type="pct"/>
            <w:noWrap w:val="0"/>
            <w:vAlign w:val="center"/>
          </w:tcPr>
          <w:p w14:paraId="44E55B5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color w:val="000000"/>
                <w:sz w:val="24"/>
                <w:szCs w:val="24"/>
                <w:lang w:val="en-US" w:eastAsia="zh-CN"/>
              </w:rPr>
              <w:t>可以</w:t>
            </w:r>
            <w:r>
              <w:rPr>
                <w:rFonts w:hint="eastAsia" w:ascii="宋体" w:hAnsi="宋体" w:eastAsia="宋体" w:cs="宋体"/>
                <w:b w:val="0"/>
                <w:bCs w:val="0"/>
                <w:color w:val="000000"/>
                <w:sz w:val="24"/>
                <w:szCs w:val="24"/>
                <w:highlight w:val="none"/>
              </w:rPr>
              <w:t>并处违法所得0.2倍以上1倍以下罚款；</w:t>
            </w:r>
          </w:p>
          <w:p w14:paraId="043F67D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z w:val="24"/>
                <w:szCs w:val="24"/>
                <w:highlight w:val="none"/>
                <w:lang w:eastAsia="zh-CN"/>
              </w:rPr>
              <w:t>予以警告，</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处10万元以上20万元以下罚款；</w:t>
            </w:r>
          </w:p>
          <w:p w14:paraId="547727B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w:t>
            </w: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处2万元以上4万元以下罚款。</w:t>
            </w:r>
          </w:p>
        </w:tc>
      </w:tr>
      <w:tr w14:paraId="6A9E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7" w:hRule="atLeast"/>
        </w:trPr>
        <w:tc>
          <w:tcPr>
            <w:tcW w:w="268" w:type="pct"/>
            <w:vMerge w:val="continue"/>
            <w:noWrap w:val="0"/>
            <w:vAlign w:val="center"/>
          </w:tcPr>
          <w:p w14:paraId="1336FAB0">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sz w:val="24"/>
                <w:szCs w:val="24"/>
                <w:highlight w:val="none"/>
              </w:rPr>
            </w:pPr>
          </w:p>
        </w:tc>
        <w:tc>
          <w:tcPr>
            <w:tcW w:w="613" w:type="pct"/>
            <w:vMerge w:val="continue"/>
            <w:noWrap w:val="0"/>
            <w:vAlign w:val="center"/>
          </w:tcPr>
          <w:p w14:paraId="3FBFE15E">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sz w:val="24"/>
                <w:szCs w:val="24"/>
                <w:highlight w:val="none"/>
              </w:rPr>
            </w:pPr>
          </w:p>
        </w:tc>
        <w:tc>
          <w:tcPr>
            <w:tcW w:w="1429" w:type="pct"/>
            <w:vMerge w:val="continue"/>
            <w:noWrap w:val="0"/>
            <w:vAlign w:val="center"/>
          </w:tcPr>
          <w:p w14:paraId="7D4D64B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2590538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较重</w:t>
            </w:r>
          </w:p>
        </w:tc>
        <w:tc>
          <w:tcPr>
            <w:tcW w:w="1161" w:type="pct"/>
            <w:noWrap w:val="0"/>
            <w:vAlign w:val="center"/>
          </w:tcPr>
          <w:p w14:paraId="2E98F0C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有价格违法行为严重或者社会影响较大、拒不配合执法，以及其他从重处罚情形的。</w:t>
            </w:r>
          </w:p>
        </w:tc>
        <w:tc>
          <w:tcPr>
            <w:tcW w:w="1119" w:type="pct"/>
            <w:noWrap w:val="0"/>
            <w:vAlign w:val="center"/>
          </w:tcPr>
          <w:p w14:paraId="46425D7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z w:val="24"/>
                <w:szCs w:val="24"/>
                <w:highlight w:val="none"/>
                <w:lang w:eastAsia="zh-CN"/>
              </w:rPr>
              <w:t>可以</w:t>
            </w:r>
            <w:r>
              <w:rPr>
                <w:rFonts w:hint="eastAsia" w:ascii="宋体" w:hAnsi="宋体" w:eastAsia="宋体" w:cs="宋体"/>
                <w:b w:val="0"/>
                <w:bCs w:val="0"/>
                <w:color w:val="000000"/>
                <w:sz w:val="24"/>
                <w:szCs w:val="24"/>
                <w:highlight w:val="none"/>
              </w:rPr>
              <w:t>并处违法所得1倍以上5倍以下罚款；</w:t>
            </w:r>
          </w:p>
          <w:p w14:paraId="62B0BA0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z w:val="24"/>
                <w:szCs w:val="24"/>
                <w:highlight w:val="none"/>
                <w:lang w:eastAsia="zh-CN"/>
              </w:rPr>
              <w:t>予以警告，</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处20万元以上50万元以下罚款，情节较重的处50万元以上300万元以下的罚款；情节严重的，责令停业整顿，或者吊销营业执照。</w:t>
            </w:r>
          </w:p>
          <w:p w14:paraId="7CAC64F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w:t>
            </w: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处4万元以上10万元以下的罚款</w:t>
            </w:r>
            <w:r>
              <w:rPr>
                <w:rFonts w:hint="eastAsia" w:ascii="宋体" w:hAnsi="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t>情节严重的，处10万元以上50万元以下的罚款。</w:t>
            </w:r>
          </w:p>
        </w:tc>
      </w:tr>
      <w:tr w14:paraId="5AD2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1" w:hRule="atLeast"/>
        </w:trPr>
        <w:tc>
          <w:tcPr>
            <w:tcW w:w="268" w:type="pct"/>
            <w:vMerge w:val="restart"/>
            <w:noWrap w:val="0"/>
            <w:vAlign w:val="center"/>
          </w:tcPr>
          <w:p w14:paraId="5D20D9EF">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3</w:t>
            </w:r>
            <w:r>
              <w:rPr>
                <w:rFonts w:hint="eastAsia" w:ascii="宋体" w:hAnsi="宋体" w:cs="宋体"/>
                <w:b w:val="0"/>
                <w:bCs w:val="0"/>
                <w:color w:val="000000"/>
                <w:sz w:val="24"/>
                <w:szCs w:val="24"/>
                <w:highlight w:val="none"/>
                <w:lang w:val="en-US" w:eastAsia="zh-CN"/>
              </w:rPr>
              <w:t>41</w:t>
            </w:r>
          </w:p>
        </w:tc>
        <w:tc>
          <w:tcPr>
            <w:tcW w:w="613" w:type="pct"/>
            <w:vMerge w:val="restart"/>
            <w:noWrap w:val="0"/>
            <w:vAlign w:val="center"/>
          </w:tcPr>
          <w:p w14:paraId="4832B3BF">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《中华人民共和国价格法》《价格违法行为行政处罚规定》</w:t>
            </w:r>
          </w:p>
        </w:tc>
        <w:tc>
          <w:tcPr>
            <w:tcW w:w="1429" w:type="pct"/>
            <w:vMerge w:val="restart"/>
            <w:noWrap w:val="0"/>
            <w:vAlign w:val="center"/>
          </w:tcPr>
          <w:p w14:paraId="3E726D56">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中华人民共和国价格法》第四十条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14:paraId="0A7EF980">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《价格违法行为行政处罚规定》第四条</w:t>
            </w:r>
            <w:r>
              <w:rPr>
                <w:rFonts w:hint="eastAsia" w:ascii="宋体" w:hAnsi="宋体" w:cs="宋体"/>
                <w:b w:val="0"/>
                <w:bCs w:val="0"/>
                <w:color w:val="000000"/>
                <w:sz w:val="24"/>
                <w:szCs w:val="24"/>
                <w:highlight w:val="none"/>
                <w:lang w:val="en-US" w:eastAsia="zh-CN"/>
              </w:rPr>
              <w:t>第一款</w:t>
            </w:r>
            <w:r>
              <w:rPr>
                <w:rFonts w:hint="eastAsia" w:ascii="宋体" w:hAnsi="宋体" w:eastAsia="宋体" w:cs="宋体"/>
                <w:b w:val="0"/>
                <w:bCs w:val="0"/>
                <w:color w:val="000000"/>
                <w:sz w:val="24"/>
                <w:szCs w:val="24"/>
                <w:highlight w:val="none"/>
              </w:rPr>
              <w:t>第（二）项</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经营者违反中华人民共和国价格法第十四条的规定，有下列行为之一的，责令改正，没收违法所得，并处违法所得5倍以下的罚款；没有违法所得的，处10万元以上100万元以下的罚款；情节严重的，责令停业整顿，或者由工商行政管理机关吊销营业执照：</w:t>
            </w:r>
          </w:p>
          <w:p w14:paraId="1CE5C0D6">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（二）提供相同商品或者服务，对具有同等交易条件的其他经营者实行价格歧视的。</w:t>
            </w:r>
          </w:p>
          <w:p w14:paraId="62583953">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《价格违法行为行政处罚规定》第十一条</w:t>
            </w:r>
            <w:r>
              <w:rPr>
                <w:rFonts w:hint="eastAsia" w:ascii="宋体" w:hAnsi="宋体" w:cs="宋体"/>
                <w:b w:val="0"/>
                <w:bCs w:val="0"/>
                <w:color w:val="000000"/>
                <w:sz w:val="24"/>
                <w:szCs w:val="24"/>
                <w:highlight w:val="none"/>
                <w:lang w:val="en-US" w:eastAsia="zh-CN"/>
              </w:rPr>
              <w:t xml:space="preserve">第一款 </w:t>
            </w:r>
            <w:r>
              <w:rPr>
                <w:rFonts w:hint="eastAsia" w:ascii="宋体" w:hAnsi="宋体" w:eastAsia="宋体" w:cs="宋体"/>
                <w:b w:val="0"/>
                <w:bCs w:val="0"/>
                <w:color w:val="000000"/>
                <w:sz w:val="24"/>
                <w:szCs w:val="24"/>
                <w:highlight w:val="none"/>
              </w:rPr>
              <w:t>本规定第四条、第七条至第九条规定中经营者为个人的，对其没有违法所得的价格违法行为，可以处10万元以下的罚款。</w:t>
            </w:r>
          </w:p>
        </w:tc>
        <w:tc>
          <w:tcPr>
            <w:tcW w:w="407" w:type="pct"/>
            <w:noWrap w:val="0"/>
            <w:vAlign w:val="center"/>
          </w:tcPr>
          <w:p w14:paraId="39CF847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较轻</w:t>
            </w:r>
          </w:p>
        </w:tc>
        <w:tc>
          <w:tcPr>
            <w:tcW w:w="1161" w:type="pct"/>
            <w:noWrap w:val="0"/>
            <w:vAlign w:val="center"/>
          </w:tcPr>
          <w:p w14:paraId="56CE6F9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有价格违法行为较轻,未造成严重后果、能够及时改正价格违法行为、从轻处罚能起到教育作用，以及其他从轻处罚情形的。</w:t>
            </w:r>
          </w:p>
        </w:tc>
        <w:tc>
          <w:tcPr>
            <w:tcW w:w="1119" w:type="pct"/>
            <w:noWrap w:val="0"/>
            <w:vAlign w:val="center"/>
          </w:tcPr>
          <w:p w14:paraId="5729AC0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z w:val="24"/>
                <w:szCs w:val="24"/>
                <w:highlight w:val="none"/>
                <w:lang w:eastAsia="zh-CN"/>
              </w:rPr>
              <w:t>可以</w:t>
            </w:r>
            <w:r>
              <w:rPr>
                <w:rFonts w:hint="eastAsia" w:ascii="宋体" w:hAnsi="宋体" w:eastAsia="宋体" w:cs="宋体"/>
                <w:b w:val="0"/>
                <w:bCs w:val="0"/>
                <w:color w:val="000000"/>
                <w:sz w:val="24"/>
                <w:szCs w:val="24"/>
                <w:highlight w:val="none"/>
              </w:rPr>
              <w:t>并处违法所得0.2倍以下罚款；</w:t>
            </w:r>
          </w:p>
          <w:p w14:paraId="1001596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z w:val="24"/>
                <w:szCs w:val="24"/>
                <w:highlight w:val="none"/>
                <w:lang w:eastAsia="zh-CN"/>
              </w:rPr>
              <w:t>予以警告，</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处10万元以上20万元以下罚款；</w:t>
            </w:r>
          </w:p>
          <w:p w14:paraId="388657B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经营者为个人的，没有违法所得的，可以处2万元以下罚款。</w:t>
            </w:r>
          </w:p>
        </w:tc>
      </w:tr>
      <w:tr w14:paraId="175F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5" w:hRule="atLeast"/>
        </w:trPr>
        <w:tc>
          <w:tcPr>
            <w:tcW w:w="268" w:type="pct"/>
            <w:vMerge w:val="continue"/>
            <w:noWrap w:val="0"/>
            <w:vAlign w:val="center"/>
          </w:tcPr>
          <w:p w14:paraId="5309C101">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noWrap w:val="0"/>
            <w:vAlign w:val="center"/>
          </w:tcPr>
          <w:p w14:paraId="169444F1">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noWrap w:val="0"/>
            <w:vAlign w:val="center"/>
          </w:tcPr>
          <w:p w14:paraId="29198FED">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1949E4E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一般</w:t>
            </w:r>
          </w:p>
        </w:tc>
        <w:tc>
          <w:tcPr>
            <w:tcW w:w="1161" w:type="pct"/>
            <w:noWrap w:val="0"/>
            <w:vAlign w:val="center"/>
          </w:tcPr>
          <w:p w14:paraId="34A87F3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价格违法行为不具有减轻、从轻、从重处罚等情形的。</w:t>
            </w:r>
          </w:p>
        </w:tc>
        <w:tc>
          <w:tcPr>
            <w:tcW w:w="1119" w:type="pct"/>
            <w:noWrap w:val="0"/>
            <w:vAlign w:val="center"/>
          </w:tcPr>
          <w:p w14:paraId="668CB41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z w:val="24"/>
                <w:szCs w:val="24"/>
                <w:highlight w:val="none"/>
                <w:lang w:eastAsia="zh-CN"/>
              </w:rPr>
              <w:t>可以</w:t>
            </w:r>
            <w:r>
              <w:rPr>
                <w:rFonts w:hint="eastAsia" w:ascii="宋体" w:hAnsi="宋体" w:eastAsia="宋体" w:cs="宋体"/>
                <w:b w:val="0"/>
                <w:bCs w:val="0"/>
                <w:color w:val="000000"/>
                <w:sz w:val="24"/>
                <w:szCs w:val="24"/>
                <w:highlight w:val="none"/>
              </w:rPr>
              <w:t>并处违法所得0.2倍以上1倍以下罚款；</w:t>
            </w:r>
          </w:p>
          <w:p w14:paraId="59B0EFF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z w:val="24"/>
                <w:szCs w:val="24"/>
                <w:highlight w:val="none"/>
                <w:lang w:eastAsia="zh-CN"/>
              </w:rPr>
              <w:t>予以警告，</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处20万元以上40万元以下罚款；</w:t>
            </w:r>
          </w:p>
          <w:p w14:paraId="16CB2CC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w:t>
            </w: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处2万元以上4万元以下罚款。</w:t>
            </w:r>
          </w:p>
        </w:tc>
      </w:tr>
      <w:tr w14:paraId="4A8B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6" w:hRule="atLeast"/>
        </w:trPr>
        <w:tc>
          <w:tcPr>
            <w:tcW w:w="268" w:type="pct"/>
            <w:vMerge w:val="continue"/>
            <w:noWrap w:val="0"/>
            <w:vAlign w:val="center"/>
          </w:tcPr>
          <w:p w14:paraId="1E105319">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sz w:val="24"/>
                <w:szCs w:val="24"/>
                <w:highlight w:val="none"/>
              </w:rPr>
            </w:pPr>
          </w:p>
        </w:tc>
        <w:tc>
          <w:tcPr>
            <w:tcW w:w="613" w:type="pct"/>
            <w:vMerge w:val="continue"/>
            <w:noWrap w:val="0"/>
            <w:vAlign w:val="center"/>
          </w:tcPr>
          <w:p w14:paraId="7C3C5E47">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sz w:val="24"/>
                <w:szCs w:val="24"/>
                <w:highlight w:val="none"/>
              </w:rPr>
            </w:pPr>
          </w:p>
        </w:tc>
        <w:tc>
          <w:tcPr>
            <w:tcW w:w="1429" w:type="pct"/>
            <w:vMerge w:val="continue"/>
            <w:noWrap w:val="0"/>
            <w:vAlign w:val="center"/>
          </w:tcPr>
          <w:p w14:paraId="187280C3">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3AE17A9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较重</w:t>
            </w:r>
          </w:p>
        </w:tc>
        <w:tc>
          <w:tcPr>
            <w:tcW w:w="1161" w:type="pct"/>
            <w:noWrap w:val="0"/>
            <w:vAlign w:val="center"/>
          </w:tcPr>
          <w:p w14:paraId="36B2A83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有价格违法行为严重或者社会影响较大、拒不配合执法，以及其他从重处罚情形的。</w:t>
            </w:r>
          </w:p>
        </w:tc>
        <w:tc>
          <w:tcPr>
            <w:tcW w:w="1119" w:type="pct"/>
            <w:noWrap w:val="0"/>
            <w:vAlign w:val="center"/>
          </w:tcPr>
          <w:p w14:paraId="0E69529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z w:val="24"/>
                <w:szCs w:val="24"/>
                <w:highlight w:val="none"/>
                <w:lang w:eastAsia="zh-CN"/>
              </w:rPr>
              <w:t>可以</w:t>
            </w:r>
            <w:r>
              <w:rPr>
                <w:rFonts w:hint="eastAsia" w:ascii="宋体" w:hAnsi="宋体" w:eastAsia="宋体" w:cs="宋体"/>
                <w:b w:val="0"/>
                <w:bCs w:val="0"/>
                <w:color w:val="000000"/>
                <w:sz w:val="24"/>
                <w:szCs w:val="24"/>
                <w:highlight w:val="none"/>
              </w:rPr>
              <w:t>并处违法所得1倍以上5倍以下罚款；</w:t>
            </w:r>
          </w:p>
          <w:p w14:paraId="5F5115A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z w:val="24"/>
                <w:szCs w:val="24"/>
                <w:highlight w:val="none"/>
                <w:lang w:eastAsia="zh-CN"/>
              </w:rPr>
              <w:t>予以警告，</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处40万元以上至100万元以下罚款，情节严重的，责令停业整顿，或者吊销营业执照。</w:t>
            </w:r>
          </w:p>
          <w:p w14:paraId="6A5925F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w:t>
            </w: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处4万元以上10万元以下的罚款。</w:t>
            </w:r>
          </w:p>
        </w:tc>
      </w:tr>
      <w:tr w14:paraId="2C9DA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 w:type="pct"/>
            <w:vMerge w:val="restart"/>
            <w:noWrap w:val="0"/>
            <w:vAlign w:val="center"/>
          </w:tcPr>
          <w:p w14:paraId="41F0C70D">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3</w:t>
            </w:r>
            <w:r>
              <w:rPr>
                <w:rFonts w:hint="eastAsia" w:ascii="宋体" w:hAnsi="宋体" w:cs="宋体"/>
                <w:b w:val="0"/>
                <w:bCs w:val="0"/>
                <w:color w:val="000000"/>
                <w:sz w:val="24"/>
                <w:szCs w:val="24"/>
                <w:highlight w:val="none"/>
                <w:lang w:val="en-US" w:eastAsia="zh-CN"/>
              </w:rPr>
              <w:t>42</w:t>
            </w:r>
          </w:p>
        </w:tc>
        <w:tc>
          <w:tcPr>
            <w:tcW w:w="613" w:type="pct"/>
            <w:vMerge w:val="restart"/>
            <w:noWrap w:val="0"/>
            <w:vAlign w:val="center"/>
          </w:tcPr>
          <w:p w14:paraId="234AB2C6">
            <w:pPr>
              <w:keepNext w:val="0"/>
              <w:keepLines w:val="0"/>
              <w:pageBreakBefore w:val="0"/>
              <w:kinsoku/>
              <w:wordWrap/>
              <w:overflowPunct/>
              <w:topLinePunct w:val="0"/>
              <w:autoSpaceDE/>
              <w:autoSpaceDN/>
              <w:bidi w:val="0"/>
              <w:adjustRightInd/>
              <w:snapToGrid/>
              <w:spacing w:line="400" w:lineRule="exact"/>
              <w:ind w:left="42" w:leftChars="20"/>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《中华人民共和国价格法》《价格违法行为行政处罚规定》</w:t>
            </w:r>
          </w:p>
        </w:tc>
        <w:tc>
          <w:tcPr>
            <w:tcW w:w="1429" w:type="pct"/>
            <w:vMerge w:val="restart"/>
            <w:noWrap w:val="0"/>
            <w:vAlign w:val="center"/>
          </w:tcPr>
          <w:p w14:paraId="31AF135D">
            <w:pPr>
              <w:keepNext w:val="0"/>
              <w:keepLines w:val="0"/>
              <w:pageBreakBefore w:val="0"/>
              <w:widowControl/>
              <w:kinsoku/>
              <w:wordWrap/>
              <w:overflowPunct/>
              <w:topLinePunct w:val="0"/>
              <w:autoSpaceDE/>
              <w:autoSpaceDN/>
              <w:bidi w:val="0"/>
              <w:adjustRightInd/>
              <w:snapToGrid/>
              <w:spacing w:line="33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中华人民共和国价格法》第四十条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14:paraId="55F5DA11">
            <w:pPr>
              <w:keepNext w:val="0"/>
              <w:keepLines w:val="0"/>
              <w:pageBreakBefore w:val="0"/>
              <w:widowControl/>
              <w:kinsoku/>
              <w:wordWrap/>
              <w:overflowPunct/>
              <w:topLinePunct w:val="0"/>
              <w:autoSpaceDE/>
              <w:autoSpaceDN/>
              <w:bidi w:val="0"/>
              <w:adjustRightInd/>
              <w:snapToGrid/>
              <w:spacing w:line="330" w:lineRule="exact"/>
              <w:textAlignment w:val="auto"/>
              <w:rPr>
                <w:rFonts w:hint="eastAsia" w:ascii="宋体" w:hAnsi="宋体" w:eastAsia="宋体" w:cs="宋体"/>
                <w:b w:val="0"/>
                <w:bCs w:val="0"/>
                <w:color w:val="000000"/>
                <w:spacing w:val="-11"/>
                <w:sz w:val="24"/>
                <w:szCs w:val="24"/>
                <w:highlight w:val="none"/>
                <w:lang w:eastAsia="zh-CN"/>
              </w:rPr>
            </w:pPr>
            <w:r>
              <w:rPr>
                <w:rFonts w:hint="eastAsia" w:ascii="宋体" w:hAnsi="宋体" w:eastAsia="宋体" w:cs="宋体"/>
                <w:b w:val="0"/>
                <w:bCs w:val="0"/>
                <w:color w:val="000000"/>
                <w:sz w:val="24"/>
                <w:szCs w:val="24"/>
                <w:highlight w:val="none"/>
              </w:rPr>
              <w:t>《价格违法行为行政处罚规定》第八条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经营者违反中华人民共和国价格法第十四条的规定，采取抬高等级或者压低等级等手段销售、收购商品或者提供服务，变相提高或者压低价格的，责令改正，没收违法所得，并处违法所得5倍以下的罚款；没有违法所得的，处2万元以上20万元以下的罚款；情节严重的，责令停业整顿，</w:t>
            </w:r>
            <w:r>
              <w:rPr>
                <w:rFonts w:hint="eastAsia" w:ascii="宋体" w:hAnsi="宋体" w:eastAsia="宋体" w:cs="宋体"/>
                <w:b w:val="0"/>
                <w:bCs w:val="0"/>
                <w:color w:val="000000"/>
                <w:spacing w:val="-11"/>
                <w:sz w:val="24"/>
                <w:szCs w:val="24"/>
                <w:highlight w:val="none"/>
              </w:rPr>
              <w:t>或者由工商行政管理机关吊销营业执照。</w:t>
            </w:r>
          </w:p>
          <w:p w14:paraId="0128BD36">
            <w:pPr>
              <w:keepNext w:val="0"/>
              <w:keepLines w:val="0"/>
              <w:pageBreakBefore w:val="0"/>
              <w:widowControl/>
              <w:kinsoku/>
              <w:wordWrap/>
              <w:overflowPunct/>
              <w:topLinePunct w:val="0"/>
              <w:autoSpaceDE/>
              <w:autoSpaceDN/>
              <w:bidi w:val="0"/>
              <w:adjustRightInd/>
              <w:snapToGrid/>
              <w:spacing w:line="33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《价格违法行为行政处罚规定》第十一条</w:t>
            </w:r>
            <w:r>
              <w:rPr>
                <w:rFonts w:hint="eastAsia" w:ascii="宋体" w:hAnsi="宋体" w:cs="宋体"/>
                <w:b w:val="0"/>
                <w:bCs w:val="0"/>
                <w:color w:val="000000"/>
                <w:sz w:val="24"/>
                <w:szCs w:val="24"/>
                <w:highlight w:val="none"/>
                <w:lang w:val="en-US" w:eastAsia="zh-CN"/>
              </w:rPr>
              <w:t xml:space="preserve">第一款 </w:t>
            </w:r>
            <w:r>
              <w:rPr>
                <w:rFonts w:hint="eastAsia" w:ascii="宋体" w:hAnsi="宋体" w:eastAsia="宋体" w:cs="宋体"/>
                <w:b w:val="0"/>
                <w:bCs w:val="0"/>
                <w:color w:val="000000"/>
                <w:sz w:val="24"/>
                <w:szCs w:val="24"/>
                <w:highlight w:val="none"/>
              </w:rPr>
              <w:t>本规定第四条、第七条至第九条规定中经营者为个人的，对其没有违法所得的价格违法行为，可以处10万元以下的罚款。</w:t>
            </w:r>
          </w:p>
        </w:tc>
        <w:tc>
          <w:tcPr>
            <w:tcW w:w="407" w:type="pct"/>
            <w:noWrap w:val="0"/>
            <w:vAlign w:val="center"/>
          </w:tcPr>
          <w:p w14:paraId="6151EA5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较轻</w:t>
            </w:r>
          </w:p>
        </w:tc>
        <w:tc>
          <w:tcPr>
            <w:tcW w:w="1161" w:type="pct"/>
            <w:noWrap w:val="0"/>
            <w:vAlign w:val="center"/>
          </w:tcPr>
          <w:p w14:paraId="7F0C0C8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有价格违法行为较轻,未造成严重后果、能够及时改正价格违法行为、从轻处罚能起到教育作用，以及其他从轻处罚情形的。</w:t>
            </w:r>
          </w:p>
        </w:tc>
        <w:tc>
          <w:tcPr>
            <w:tcW w:w="1119" w:type="pct"/>
            <w:noWrap w:val="0"/>
            <w:vAlign w:val="center"/>
          </w:tcPr>
          <w:p w14:paraId="54803875">
            <w:pPr>
              <w:keepNext w:val="0"/>
              <w:keepLines w:val="0"/>
              <w:pageBreakBefore w:val="0"/>
              <w:widowControl/>
              <w:kinsoku/>
              <w:wordWrap/>
              <w:overflowPunct/>
              <w:topLinePunct w:val="0"/>
              <w:autoSpaceDE/>
              <w:autoSpaceDN/>
              <w:bidi w:val="0"/>
              <w:adjustRightInd/>
              <w:snapToGrid/>
              <w:spacing w:line="35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并处违法所得0.2倍以下罚款；</w:t>
            </w:r>
          </w:p>
          <w:p w14:paraId="0426B480">
            <w:pPr>
              <w:keepNext w:val="0"/>
              <w:keepLines w:val="0"/>
              <w:pageBreakBefore w:val="0"/>
              <w:widowControl/>
              <w:kinsoku/>
              <w:wordWrap/>
              <w:overflowPunct/>
              <w:topLinePunct w:val="0"/>
              <w:autoSpaceDE/>
              <w:autoSpaceDN/>
              <w:bidi w:val="0"/>
              <w:adjustRightInd/>
              <w:snapToGrid/>
              <w:spacing w:line="35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z w:val="24"/>
                <w:szCs w:val="24"/>
                <w:highlight w:val="none"/>
                <w:lang w:eastAsia="zh-CN"/>
              </w:rPr>
              <w:t>予以警告，</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处2万元以上5万元以下罚款；</w:t>
            </w:r>
          </w:p>
          <w:p w14:paraId="10854AFB">
            <w:pPr>
              <w:keepNext w:val="0"/>
              <w:keepLines w:val="0"/>
              <w:pageBreakBefore w:val="0"/>
              <w:widowControl/>
              <w:kinsoku/>
              <w:wordWrap/>
              <w:overflowPunct/>
              <w:topLinePunct w:val="0"/>
              <w:autoSpaceDE/>
              <w:autoSpaceDN/>
              <w:bidi w:val="0"/>
              <w:adjustRightInd/>
              <w:snapToGrid/>
              <w:spacing w:line="35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w:t>
            </w:r>
            <w:r>
              <w:rPr>
                <w:rFonts w:hint="eastAsia" w:ascii="宋体" w:hAnsi="宋体" w:eastAsia="宋体" w:cs="宋体"/>
                <w:b w:val="0"/>
                <w:bCs w:val="0"/>
                <w:color w:val="000000"/>
                <w:spacing w:val="-6"/>
                <w:sz w:val="24"/>
                <w:szCs w:val="24"/>
                <w:highlight w:val="none"/>
              </w:rPr>
              <w:t>得的，可以处2万元以下罚款。</w:t>
            </w:r>
          </w:p>
        </w:tc>
      </w:tr>
      <w:tr w14:paraId="00E5F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 w:type="pct"/>
            <w:vMerge w:val="continue"/>
            <w:noWrap w:val="0"/>
            <w:vAlign w:val="center"/>
          </w:tcPr>
          <w:p w14:paraId="5C78B9EA">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noWrap w:val="0"/>
            <w:vAlign w:val="center"/>
          </w:tcPr>
          <w:p w14:paraId="25F10B65">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noWrap w:val="0"/>
            <w:vAlign w:val="center"/>
          </w:tcPr>
          <w:p w14:paraId="69BFEBB6">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0F407AF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一般</w:t>
            </w:r>
          </w:p>
        </w:tc>
        <w:tc>
          <w:tcPr>
            <w:tcW w:w="1161" w:type="pct"/>
            <w:noWrap w:val="0"/>
            <w:vAlign w:val="center"/>
          </w:tcPr>
          <w:p w14:paraId="559FB1D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价格违法行为不具有减轻、从轻、从重处罚等情形的。</w:t>
            </w:r>
          </w:p>
        </w:tc>
        <w:tc>
          <w:tcPr>
            <w:tcW w:w="1119" w:type="pct"/>
            <w:noWrap w:val="0"/>
            <w:vAlign w:val="center"/>
          </w:tcPr>
          <w:p w14:paraId="2F8F5AC9">
            <w:pPr>
              <w:keepNext w:val="0"/>
              <w:keepLines w:val="0"/>
              <w:pageBreakBefore w:val="0"/>
              <w:widowControl/>
              <w:kinsoku/>
              <w:wordWrap/>
              <w:overflowPunct/>
              <w:topLinePunct w:val="0"/>
              <w:autoSpaceDE/>
              <w:autoSpaceDN/>
              <w:bidi w:val="0"/>
              <w:adjustRightInd/>
              <w:snapToGrid/>
              <w:spacing w:line="35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并处违法</w:t>
            </w:r>
            <w:r>
              <w:rPr>
                <w:rFonts w:hint="eastAsia" w:ascii="宋体" w:hAnsi="宋体" w:eastAsia="宋体" w:cs="宋体"/>
                <w:b w:val="0"/>
                <w:bCs w:val="0"/>
                <w:color w:val="000000"/>
                <w:spacing w:val="-6"/>
                <w:sz w:val="24"/>
                <w:szCs w:val="24"/>
                <w:highlight w:val="none"/>
              </w:rPr>
              <w:t>所得0.2倍以上1倍以下罚款；</w:t>
            </w:r>
          </w:p>
          <w:p w14:paraId="62CF7CC8">
            <w:pPr>
              <w:keepNext w:val="0"/>
              <w:keepLines w:val="0"/>
              <w:pageBreakBefore w:val="0"/>
              <w:widowControl/>
              <w:kinsoku/>
              <w:wordWrap/>
              <w:overflowPunct/>
              <w:topLinePunct w:val="0"/>
              <w:autoSpaceDE/>
              <w:autoSpaceDN/>
              <w:bidi w:val="0"/>
              <w:adjustRightInd/>
              <w:snapToGrid/>
              <w:spacing w:line="35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z w:val="24"/>
                <w:szCs w:val="24"/>
                <w:highlight w:val="none"/>
                <w:lang w:eastAsia="zh-CN"/>
              </w:rPr>
              <w:t>予以警告，</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处5万元以上10万元以下罚款；</w:t>
            </w:r>
          </w:p>
          <w:p w14:paraId="2D0CFEA2">
            <w:pPr>
              <w:keepNext w:val="0"/>
              <w:keepLines w:val="0"/>
              <w:pageBreakBefore w:val="0"/>
              <w:widowControl/>
              <w:kinsoku/>
              <w:wordWrap/>
              <w:overflowPunct/>
              <w:topLinePunct w:val="0"/>
              <w:autoSpaceDE/>
              <w:autoSpaceDN/>
              <w:bidi w:val="0"/>
              <w:adjustRightInd/>
              <w:snapToGrid/>
              <w:spacing w:line="35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w:t>
            </w: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处2万元以上4万元以下罚款。</w:t>
            </w:r>
          </w:p>
        </w:tc>
      </w:tr>
      <w:tr w14:paraId="14B9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 w:type="pct"/>
            <w:vMerge w:val="continue"/>
            <w:noWrap w:val="0"/>
            <w:vAlign w:val="center"/>
          </w:tcPr>
          <w:p w14:paraId="072AC899">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sz w:val="24"/>
                <w:szCs w:val="24"/>
                <w:highlight w:val="none"/>
              </w:rPr>
            </w:pPr>
          </w:p>
        </w:tc>
        <w:tc>
          <w:tcPr>
            <w:tcW w:w="613" w:type="pct"/>
            <w:vMerge w:val="continue"/>
            <w:noWrap w:val="0"/>
            <w:vAlign w:val="center"/>
          </w:tcPr>
          <w:p w14:paraId="5F9B33A1">
            <w:pPr>
              <w:keepNext w:val="0"/>
              <w:keepLines w:val="0"/>
              <w:pageBreakBefore w:val="0"/>
              <w:kinsoku/>
              <w:wordWrap/>
              <w:overflowPunct/>
              <w:topLinePunct w:val="0"/>
              <w:autoSpaceDE/>
              <w:autoSpaceDN/>
              <w:bidi w:val="0"/>
              <w:adjustRightInd/>
              <w:snapToGrid/>
              <w:spacing w:line="400" w:lineRule="exact"/>
              <w:ind w:left="42" w:leftChars="20"/>
              <w:textAlignment w:val="auto"/>
              <w:rPr>
                <w:rFonts w:hint="eastAsia" w:ascii="宋体" w:hAnsi="宋体" w:eastAsia="宋体" w:cs="宋体"/>
                <w:b w:val="0"/>
                <w:bCs w:val="0"/>
                <w:color w:val="000000"/>
                <w:sz w:val="24"/>
                <w:szCs w:val="24"/>
                <w:highlight w:val="none"/>
              </w:rPr>
            </w:pPr>
          </w:p>
        </w:tc>
        <w:tc>
          <w:tcPr>
            <w:tcW w:w="1429" w:type="pct"/>
            <w:vMerge w:val="continue"/>
            <w:noWrap w:val="0"/>
            <w:vAlign w:val="center"/>
          </w:tcPr>
          <w:p w14:paraId="168140B4">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451DE4E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较重</w:t>
            </w:r>
          </w:p>
        </w:tc>
        <w:tc>
          <w:tcPr>
            <w:tcW w:w="1161" w:type="pct"/>
            <w:noWrap w:val="0"/>
            <w:vAlign w:val="center"/>
          </w:tcPr>
          <w:p w14:paraId="5BE34D1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有价格违法行为严重或者社会影响较大、拒不配合执法，以及其他从重处罚情形的。</w:t>
            </w:r>
          </w:p>
        </w:tc>
        <w:tc>
          <w:tcPr>
            <w:tcW w:w="1119" w:type="pct"/>
            <w:noWrap w:val="0"/>
            <w:vAlign w:val="center"/>
          </w:tcPr>
          <w:p w14:paraId="6CBD71FF">
            <w:pPr>
              <w:keepNext w:val="0"/>
              <w:keepLines w:val="0"/>
              <w:pageBreakBefore w:val="0"/>
              <w:widowControl/>
              <w:kinsoku/>
              <w:wordWrap/>
              <w:overflowPunct/>
              <w:topLinePunct w:val="0"/>
              <w:autoSpaceDE/>
              <w:autoSpaceDN/>
              <w:bidi w:val="0"/>
              <w:adjustRightInd/>
              <w:snapToGrid/>
              <w:spacing w:line="35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z w:val="24"/>
                <w:szCs w:val="24"/>
                <w:highlight w:val="none"/>
                <w:lang w:eastAsia="zh-CN"/>
              </w:rPr>
              <w:t>可以</w:t>
            </w:r>
            <w:r>
              <w:rPr>
                <w:rFonts w:hint="eastAsia" w:ascii="宋体" w:hAnsi="宋体" w:eastAsia="宋体" w:cs="宋体"/>
                <w:b w:val="0"/>
                <w:bCs w:val="0"/>
                <w:color w:val="000000"/>
                <w:sz w:val="24"/>
                <w:szCs w:val="24"/>
                <w:highlight w:val="none"/>
              </w:rPr>
              <w:t>并处违法所得1倍以上5倍以下罚款；</w:t>
            </w:r>
          </w:p>
          <w:p w14:paraId="26A75288">
            <w:pPr>
              <w:keepNext w:val="0"/>
              <w:keepLines w:val="0"/>
              <w:pageBreakBefore w:val="0"/>
              <w:widowControl/>
              <w:kinsoku/>
              <w:wordWrap/>
              <w:overflowPunct/>
              <w:topLinePunct w:val="0"/>
              <w:autoSpaceDE/>
              <w:autoSpaceDN/>
              <w:bidi w:val="0"/>
              <w:adjustRightInd/>
              <w:snapToGrid/>
              <w:spacing w:line="35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z w:val="24"/>
                <w:szCs w:val="24"/>
                <w:highlight w:val="none"/>
                <w:lang w:eastAsia="zh-CN"/>
              </w:rPr>
              <w:t>予以警告，</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处10万元以上20万元以下罚款，情节严重的，责令停业整顿，或者吊销营业执照。</w:t>
            </w:r>
          </w:p>
          <w:p w14:paraId="5EF59D24">
            <w:pPr>
              <w:keepNext w:val="0"/>
              <w:keepLines w:val="0"/>
              <w:pageBreakBefore w:val="0"/>
              <w:widowControl/>
              <w:kinsoku/>
              <w:wordWrap/>
              <w:overflowPunct/>
              <w:topLinePunct w:val="0"/>
              <w:autoSpaceDE/>
              <w:autoSpaceDN/>
              <w:bidi w:val="0"/>
              <w:adjustRightInd/>
              <w:snapToGrid/>
              <w:spacing w:line="35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w:t>
            </w: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处4万元以上10万元以下的罚款。</w:t>
            </w:r>
          </w:p>
        </w:tc>
      </w:tr>
      <w:tr w14:paraId="6D1A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5" w:hRule="atLeast"/>
        </w:trPr>
        <w:tc>
          <w:tcPr>
            <w:tcW w:w="268" w:type="pct"/>
            <w:vMerge w:val="restart"/>
            <w:noWrap w:val="0"/>
            <w:vAlign w:val="center"/>
          </w:tcPr>
          <w:p w14:paraId="2709C7F4">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3</w:t>
            </w:r>
            <w:r>
              <w:rPr>
                <w:rFonts w:hint="eastAsia" w:ascii="宋体" w:hAnsi="宋体" w:cs="宋体"/>
                <w:b w:val="0"/>
                <w:bCs w:val="0"/>
                <w:color w:val="000000"/>
                <w:sz w:val="24"/>
                <w:szCs w:val="24"/>
                <w:highlight w:val="none"/>
                <w:lang w:val="en-US" w:eastAsia="zh-CN"/>
              </w:rPr>
              <w:t>43</w:t>
            </w:r>
          </w:p>
        </w:tc>
        <w:tc>
          <w:tcPr>
            <w:tcW w:w="613" w:type="pct"/>
            <w:vMerge w:val="restart"/>
            <w:noWrap w:val="0"/>
            <w:vAlign w:val="center"/>
          </w:tcPr>
          <w:p w14:paraId="4CB8FD69">
            <w:pPr>
              <w:keepNext w:val="0"/>
              <w:keepLines w:val="0"/>
              <w:pageBreakBefore w:val="0"/>
              <w:kinsoku/>
              <w:wordWrap/>
              <w:overflowPunct/>
              <w:topLinePunct w:val="0"/>
              <w:autoSpaceDE/>
              <w:autoSpaceDN/>
              <w:bidi w:val="0"/>
              <w:adjustRightInd/>
              <w:snapToGrid/>
              <w:spacing w:line="400" w:lineRule="exact"/>
              <w:ind w:left="42" w:leftChars="20"/>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《中华人民共和国价格法》《价格违法行为行政处罚规定》</w:t>
            </w:r>
          </w:p>
        </w:tc>
        <w:tc>
          <w:tcPr>
            <w:tcW w:w="1429" w:type="pct"/>
            <w:vMerge w:val="restart"/>
            <w:noWrap w:val="0"/>
            <w:vAlign w:val="center"/>
          </w:tcPr>
          <w:p w14:paraId="340CE257">
            <w:pPr>
              <w:keepNext w:val="0"/>
              <w:keepLines w:val="0"/>
              <w:pageBreakBefore w:val="0"/>
              <w:widowControl w:val="0"/>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《中华人民共和国价格法》第三十九条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经营者不执行政府指导价、政府定价以及法定的价格干预措施、紧急措施的，责令改正，没收违法所得，可以并处违法所得五倍以下的罚款；没有违法所得的，可以处以罚款；情节严重的，责令停业整顿。</w:t>
            </w:r>
          </w:p>
          <w:p w14:paraId="341F5FE2">
            <w:pPr>
              <w:keepNext w:val="0"/>
              <w:keepLines w:val="0"/>
              <w:pageBreakBefore w:val="0"/>
              <w:widowControl w:val="0"/>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《价格违法行为行政处罚规定》第十条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经营者不执行法定的价格干预措施、紧急措施，有下列行为之一的，责令改正，没收违法所得，并处违法所得5倍以下的罚款；没有违法所得的，处10万元以上100万元以下的罚款，情节较重的处100万元以上500万元以下的罚款；情节严重的，责令停业整顿：（一）不执行提价申报或者调价备案制度的；（二）超过规定的差价率、利润率幅度的；（三）不执行规定的限价、最低保护价的；（四）不执行集中定价权限措施的；（五）不执行冻结价格措施的；</w:t>
            </w:r>
          </w:p>
          <w:p w14:paraId="7D411C49">
            <w:pPr>
              <w:keepNext w:val="0"/>
              <w:keepLines w:val="0"/>
              <w:pageBreakBefore w:val="0"/>
              <w:widowControl w:val="0"/>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（六）不执行法定的价格干预措施、紧急措施的其他行为。</w:t>
            </w:r>
          </w:p>
          <w:p w14:paraId="19CFB1B1">
            <w:pPr>
              <w:keepNext w:val="0"/>
              <w:keepLines w:val="0"/>
              <w:pageBreakBefore w:val="0"/>
              <w:widowControl w:val="0"/>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《价格违法行为行政处罚规定》第十一条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本规定第四条、第七条至第九条规定中经营者为个人的，对其没有违法所得的价格违法行为，可以处10万元以下的罚款。</w:t>
            </w:r>
          </w:p>
          <w:p w14:paraId="495CED70">
            <w:pPr>
              <w:keepNext w:val="0"/>
              <w:keepLines w:val="0"/>
              <w:pageBreakBefore w:val="0"/>
              <w:widowControl w:val="0"/>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本规定第五条、第六条、第十条规定中经营者为个人的，对其没有违法所得的价格违法行为，按照前款规定处罚；情节严重的，处10万元以上50万元以下的罚款。</w:t>
            </w:r>
          </w:p>
        </w:tc>
        <w:tc>
          <w:tcPr>
            <w:tcW w:w="407" w:type="pct"/>
            <w:noWrap w:val="0"/>
            <w:vAlign w:val="center"/>
          </w:tcPr>
          <w:p w14:paraId="728C928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较轻</w:t>
            </w:r>
          </w:p>
        </w:tc>
        <w:tc>
          <w:tcPr>
            <w:tcW w:w="1161" w:type="pct"/>
            <w:noWrap w:val="0"/>
            <w:vAlign w:val="center"/>
          </w:tcPr>
          <w:p w14:paraId="53C8A84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有价格违法行为较轻,未造成严重后果、能够及时改正价格违法行为、从轻处罚能起到教育作用，以及其他从轻处罚情形的。</w:t>
            </w:r>
          </w:p>
        </w:tc>
        <w:tc>
          <w:tcPr>
            <w:tcW w:w="1119" w:type="pct"/>
            <w:noWrap w:val="0"/>
            <w:vAlign w:val="center"/>
          </w:tcPr>
          <w:p w14:paraId="0C5381D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并处违法所得0.2倍以下罚款；</w:t>
            </w:r>
          </w:p>
          <w:p w14:paraId="1CD8603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处10万元以上20万元以下罚款；</w:t>
            </w:r>
          </w:p>
          <w:p w14:paraId="3D68C00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经营者为个人的，没有违法所得的，可以处2万元以下罚款。</w:t>
            </w:r>
          </w:p>
        </w:tc>
      </w:tr>
      <w:tr w14:paraId="7740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3" w:hRule="atLeast"/>
        </w:trPr>
        <w:tc>
          <w:tcPr>
            <w:tcW w:w="268" w:type="pct"/>
            <w:vMerge w:val="continue"/>
            <w:noWrap w:val="0"/>
            <w:vAlign w:val="center"/>
          </w:tcPr>
          <w:p w14:paraId="1DC657BB">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noWrap w:val="0"/>
            <w:vAlign w:val="center"/>
          </w:tcPr>
          <w:p w14:paraId="5D454249">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noWrap w:val="0"/>
            <w:vAlign w:val="center"/>
          </w:tcPr>
          <w:p w14:paraId="210C4341">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02D357E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一般</w:t>
            </w:r>
          </w:p>
        </w:tc>
        <w:tc>
          <w:tcPr>
            <w:tcW w:w="1161" w:type="pct"/>
            <w:noWrap w:val="0"/>
            <w:vAlign w:val="center"/>
          </w:tcPr>
          <w:p w14:paraId="3837111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价格违法行为不具有减轻、从轻、从重处罚等情形的。</w:t>
            </w:r>
          </w:p>
        </w:tc>
        <w:tc>
          <w:tcPr>
            <w:tcW w:w="1119" w:type="pct"/>
            <w:noWrap w:val="0"/>
            <w:vAlign w:val="center"/>
          </w:tcPr>
          <w:p w14:paraId="3092107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并处违法所得0.2倍以上1倍以下罚款；</w:t>
            </w:r>
          </w:p>
          <w:p w14:paraId="175FEC7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处20万元以上40万元以下罚款；</w:t>
            </w:r>
          </w:p>
          <w:p w14:paraId="7937AC2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w:t>
            </w: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处2万元以上4万元以下罚款。</w:t>
            </w:r>
          </w:p>
        </w:tc>
      </w:tr>
      <w:tr w14:paraId="714A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0" w:hRule="atLeast"/>
        </w:trPr>
        <w:tc>
          <w:tcPr>
            <w:tcW w:w="268" w:type="pct"/>
            <w:vMerge w:val="continue"/>
            <w:noWrap w:val="0"/>
            <w:vAlign w:val="center"/>
          </w:tcPr>
          <w:p w14:paraId="44452144">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sz w:val="24"/>
                <w:szCs w:val="24"/>
                <w:highlight w:val="none"/>
              </w:rPr>
            </w:pPr>
          </w:p>
        </w:tc>
        <w:tc>
          <w:tcPr>
            <w:tcW w:w="613" w:type="pct"/>
            <w:vMerge w:val="continue"/>
            <w:noWrap w:val="0"/>
            <w:vAlign w:val="center"/>
          </w:tcPr>
          <w:p w14:paraId="007B23B0">
            <w:pPr>
              <w:keepNext w:val="0"/>
              <w:keepLines w:val="0"/>
              <w:pageBreakBefore w:val="0"/>
              <w:kinsoku/>
              <w:wordWrap/>
              <w:overflowPunct/>
              <w:topLinePunct w:val="0"/>
              <w:autoSpaceDE/>
              <w:autoSpaceDN/>
              <w:bidi w:val="0"/>
              <w:adjustRightInd/>
              <w:snapToGrid/>
              <w:spacing w:line="400" w:lineRule="exact"/>
              <w:ind w:left="42" w:leftChars="20"/>
              <w:textAlignment w:val="auto"/>
              <w:rPr>
                <w:rFonts w:hint="eastAsia" w:ascii="宋体" w:hAnsi="宋体" w:eastAsia="宋体" w:cs="宋体"/>
                <w:b w:val="0"/>
                <w:bCs w:val="0"/>
                <w:color w:val="000000"/>
                <w:sz w:val="24"/>
                <w:szCs w:val="24"/>
                <w:highlight w:val="none"/>
              </w:rPr>
            </w:pPr>
          </w:p>
        </w:tc>
        <w:tc>
          <w:tcPr>
            <w:tcW w:w="1429" w:type="pct"/>
            <w:vMerge w:val="continue"/>
            <w:noWrap w:val="0"/>
            <w:vAlign w:val="center"/>
          </w:tcPr>
          <w:p w14:paraId="16B89653">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68BD261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较重</w:t>
            </w:r>
          </w:p>
        </w:tc>
        <w:tc>
          <w:tcPr>
            <w:tcW w:w="1161" w:type="pct"/>
            <w:noWrap w:val="0"/>
            <w:vAlign w:val="center"/>
          </w:tcPr>
          <w:p w14:paraId="27FA07E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有价格违法行为严重或者社会影响较大、拒不配合执法，以及其他从重处罚情形的。</w:t>
            </w:r>
          </w:p>
        </w:tc>
        <w:tc>
          <w:tcPr>
            <w:tcW w:w="1119" w:type="pct"/>
            <w:noWrap w:val="0"/>
            <w:vAlign w:val="center"/>
          </w:tcPr>
          <w:p w14:paraId="43835CB8">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并处违法所得1倍以上5倍以下罚款；</w:t>
            </w:r>
          </w:p>
          <w:p w14:paraId="4633BEB0">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处40万元以上100万元以下罚款，情节较重的处100万元以上500万元以下的罚款，情节严重的，责令停业整顿。</w:t>
            </w:r>
          </w:p>
          <w:p w14:paraId="678B2EBD">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w:t>
            </w: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处4万元以上10万元以下的罚款</w:t>
            </w:r>
            <w:r>
              <w:rPr>
                <w:rFonts w:hint="eastAsia" w:ascii="宋体" w:hAnsi="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t>情节严重的，处10万元以上50万元以下的罚款。</w:t>
            </w:r>
          </w:p>
        </w:tc>
      </w:tr>
      <w:tr w14:paraId="0E73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7" w:hRule="atLeast"/>
        </w:trPr>
        <w:tc>
          <w:tcPr>
            <w:tcW w:w="268" w:type="pct"/>
            <w:vMerge w:val="restart"/>
            <w:noWrap w:val="0"/>
            <w:vAlign w:val="center"/>
          </w:tcPr>
          <w:p w14:paraId="0CE0F423">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3</w:t>
            </w:r>
            <w:r>
              <w:rPr>
                <w:rFonts w:hint="eastAsia" w:ascii="宋体" w:hAnsi="宋体" w:cs="宋体"/>
                <w:b w:val="0"/>
                <w:bCs w:val="0"/>
                <w:color w:val="000000"/>
                <w:sz w:val="24"/>
                <w:szCs w:val="24"/>
                <w:highlight w:val="none"/>
                <w:lang w:val="en-US" w:eastAsia="zh-CN"/>
              </w:rPr>
              <w:t>44</w:t>
            </w:r>
          </w:p>
        </w:tc>
        <w:tc>
          <w:tcPr>
            <w:tcW w:w="613" w:type="pct"/>
            <w:vMerge w:val="restart"/>
            <w:noWrap w:val="0"/>
            <w:vAlign w:val="center"/>
          </w:tcPr>
          <w:p w14:paraId="799FA84C">
            <w:pPr>
              <w:keepNext w:val="0"/>
              <w:keepLines w:val="0"/>
              <w:pageBreakBefore w:val="0"/>
              <w:widowControl w:val="0"/>
              <w:kinsoku/>
              <w:wordWrap/>
              <w:overflowPunct/>
              <w:topLinePunct w:val="0"/>
              <w:autoSpaceDE/>
              <w:autoSpaceDN/>
              <w:bidi w:val="0"/>
              <w:adjustRightInd/>
              <w:snapToGrid/>
              <w:spacing w:line="400" w:lineRule="exact"/>
              <w:ind w:left="42" w:leftChars="20"/>
              <w:textAlignment w:val="auto"/>
              <w:outlineLvl w:val="2"/>
              <w:rPr>
                <w:rFonts w:hint="eastAsia" w:ascii="宋体" w:hAnsi="宋体" w:eastAsia="宋体" w:cs="宋体"/>
                <w:b w:val="0"/>
                <w:bCs w:val="0"/>
                <w:color w:val="000000"/>
                <w:sz w:val="24"/>
                <w:szCs w:val="24"/>
                <w:highlight w:val="none"/>
              </w:rPr>
            </w:pPr>
            <w:bookmarkStart w:id="426" w:name="_Toc12153"/>
            <w:bookmarkStart w:id="427" w:name="_Toc21029"/>
            <w:bookmarkStart w:id="428" w:name="_Toc13468"/>
            <w:bookmarkStart w:id="429" w:name="_Toc28617"/>
            <w:bookmarkStart w:id="430" w:name="_Toc24102"/>
            <w:bookmarkStart w:id="431" w:name="_Toc11229"/>
            <w:r>
              <w:rPr>
                <w:rFonts w:hint="eastAsia" w:ascii="宋体" w:hAnsi="宋体" w:eastAsia="宋体" w:cs="宋体"/>
                <w:b w:val="0"/>
                <w:bCs w:val="0"/>
                <w:color w:val="000000"/>
                <w:sz w:val="24"/>
                <w:szCs w:val="24"/>
                <w:highlight w:val="none"/>
              </w:rPr>
              <w:t>《中华人民共和国价格法》《价格违法行为行政处罚规定》</w:t>
            </w:r>
            <w:bookmarkEnd w:id="426"/>
            <w:bookmarkEnd w:id="427"/>
            <w:bookmarkStart w:id="432" w:name="_Toc8127"/>
            <w:r>
              <w:rPr>
                <w:rFonts w:hint="eastAsia" w:ascii="宋体" w:hAnsi="宋体" w:eastAsia="宋体" w:cs="宋体"/>
                <w:b w:val="0"/>
                <w:bCs w:val="0"/>
                <w:color w:val="000000"/>
                <w:sz w:val="24"/>
                <w:szCs w:val="24"/>
                <w:highlight w:val="none"/>
              </w:rPr>
              <w:t>《明码标价和禁止价格欺诈规定》</w:t>
            </w: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lang w:val="en-US" w:eastAsia="zh-CN"/>
              </w:rPr>
              <w:t>2022年</w:t>
            </w:r>
            <w:r>
              <w:rPr>
                <w:rFonts w:hint="eastAsia" w:ascii="宋体" w:hAnsi="宋体" w:cs="宋体"/>
                <w:b w:val="0"/>
                <w:bCs w:val="0"/>
                <w:color w:val="000000"/>
                <w:sz w:val="24"/>
                <w:szCs w:val="24"/>
                <w:highlight w:val="none"/>
                <w:lang w:val="en-US" w:eastAsia="zh-CN"/>
              </w:rPr>
              <w:t>7</w:t>
            </w:r>
            <w:r>
              <w:rPr>
                <w:rFonts w:hint="eastAsia" w:ascii="宋体" w:hAnsi="宋体" w:eastAsia="宋体" w:cs="宋体"/>
                <w:b w:val="0"/>
                <w:bCs w:val="0"/>
                <w:color w:val="000000"/>
                <w:sz w:val="24"/>
                <w:szCs w:val="24"/>
                <w:highlight w:val="none"/>
                <w:lang w:val="en-US" w:eastAsia="zh-CN"/>
              </w:rPr>
              <w:t>月</w:t>
            </w:r>
            <w:r>
              <w:rPr>
                <w:rFonts w:hint="eastAsia" w:ascii="宋体" w:hAnsi="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lang w:val="en-US" w:eastAsia="zh-CN"/>
              </w:rPr>
              <w:t>日</w:t>
            </w:r>
            <w:r>
              <w:rPr>
                <w:rFonts w:hint="eastAsia" w:ascii="宋体" w:hAnsi="宋体" w:cs="宋体"/>
                <w:b w:val="0"/>
                <w:bCs w:val="0"/>
                <w:color w:val="000000"/>
                <w:sz w:val="24"/>
                <w:szCs w:val="24"/>
                <w:highlight w:val="none"/>
                <w:lang w:val="en-US" w:eastAsia="zh-CN"/>
              </w:rPr>
              <w:t>起施行</w:t>
            </w:r>
            <w:r>
              <w:rPr>
                <w:rFonts w:hint="eastAsia" w:ascii="宋体" w:hAnsi="宋体" w:eastAsia="宋体" w:cs="宋体"/>
                <w:b w:val="0"/>
                <w:bCs w:val="0"/>
                <w:color w:val="000000"/>
                <w:sz w:val="24"/>
                <w:szCs w:val="24"/>
                <w:highlight w:val="none"/>
                <w:lang w:eastAsia="zh-CN"/>
              </w:rPr>
              <w:t>）</w:t>
            </w:r>
            <w:bookmarkEnd w:id="428"/>
            <w:bookmarkEnd w:id="429"/>
            <w:bookmarkEnd w:id="430"/>
            <w:bookmarkEnd w:id="431"/>
            <w:bookmarkEnd w:id="432"/>
          </w:p>
        </w:tc>
        <w:tc>
          <w:tcPr>
            <w:tcW w:w="1429" w:type="pct"/>
            <w:vMerge w:val="restart"/>
            <w:noWrap w:val="0"/>
            <w:vAlign w:val="center"/>
          </w:tcPr>
          <w:p w14:paraId="79057CF2">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《中华人民共和国价格法》第四十二条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经营者违反明码标价规定的，责令改正，没收违法所得，可以并处五千元以下的罚款。</w:t>
            </w:r>
          </w:p>
          <w:p w14:paraId="7F9D4BFF">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《价格违法行为行政处罚规定》第十三条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经营者违反明码标价规定，有下列行为之一的，责令改正，没收违法所得，可以并处5000元以下的罚款：（一）不标明价格的；（二）不按照规定的内容和方式明码标价的；（三）在标价之外加价出售商品或者收取未标明的费用的；（四）违反明码标价规定的其他行为。</w:t>
            </w:r>
          </w:p>
          <w:p w14:paraId="067C0C4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《明码标价和禁止价格欺诈规定》第二十二条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经营者违反本规定有关明码标价规定的，由县级以上市场监督管理部门依照《中华人民共和国价格法》《价格违法行为行政处罚规定》有关规定进行处罚。</w:t>
            </w:r>
          </w:p>
        </w:tc>
        <w:tc>
          <w:tcPr>
            <w:tcW w:w="407" w:type="pct"/>
            <w:noWrap w:val="0"/>
            <w:vAlign w:val="center"/>
          </w:tcPr>
          <w:p w14:paraId="0E8255F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较轻</w:t>
            </w:r>
          </w:p>
        </w:tc>
        <w:tc>
          <w:tcPr>
            <w:tcW w:w="1161" w:type="pct"/>
            <w:noWrap w:val="0"/>
            <w:vAlign w:val="center"/>
          </w:tcPr>
          <w:p w14:paraId="08DE7E7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有价格违法行为较轻,未造成严重后果、能够及时改正价格违法行为、从轻处罚能起到教育作用，以及其他从轻处罚情形的。</w:t>
            </w:r>
          </w:p>
        </w:tc>
        <w:tc>
          <w:tcPr>
            <w:tcW w:w="1119" w:type="pct"/>
            <w:noWrap w:val="0"/>
            <w:vAlign w:val="center"/>
          </w:tcPr>
          <w:p w14:paraId="544E056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没收违法所得，可以并处2000元以下的罚款。</w:t>
            </w:r>
          </w:p>
          <w:p w14:paraId="28E16E7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p>
        </w:tc>
      </w:tr>
      <w:tr w14:paraId="385E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4" w:hRule="atLeast"/>
        </w:trPr>
        <w:tc>
          <w:tcPr>
            <w:tcW w:w="268" w:type="pct"/>
            <w:vMerge w:val="continue"/>
            <w:noWrap w:val="0"/>
            <w:vAlign w:val="center"/>
          </w:tcPr>
          <w:p w14:paraId="25E0C3BC">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noWrap w:val="0"/>
            <w:vAlign w:val="center"/>
          </w:tcPr>
          <w:p w14:paraId="5BCDE647">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noWrap w:val="0"/>
            <w:vAlign w:val="center"/>
          </w:tcPr>
          <w:p w14:paraId="316DAA2B">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3DAAF71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一般</w:t>
            </w:r>
          </w:p>
        </w:tc>
        <w:tc>
          <w:tcPr>
            <w:tcW w:w="1161" w:type="pct"/>
            <w:noWrap w:val="0"/>
            <w:vAlign w:val="center"/>
          </w:tcPr>
          <w:p w14:paraId="5E39BF8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价格违法行为不具有减轻、从轻、从重处罚等情形的。</w:t>
            </w:r>
          </w:p>
        </w:tc>
        <w:tc>
          <w:tcPr>
            <w:tcW w:w="1119" w:type="pct"/>
            <w:noWrap w:val="0"/>
            <w:vAlign w:val="center"/>
          </w:tcPr>
          <w:p w14:paraId="2204B08E">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没收违法所得，</w:t>
            </w: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lang w:eastAsia="zh-CN"/>
              </w:rPr>
              <w:t>并</w:t>
            </w:r>
            <w:r>
              <w:rPr>
                <w:rFonts w:hint="eastAsia" w:ascii="宋体" w:hAnsi="宋体" w:eastAsia="宋体" w:cs="宋体"/>
                <w:b w:val="0"/>
                <w:bCs w:val="0"/>
                <w:color w:val="000000"/>
                <w:sz w:val="24"/>
                <w:szCs w:val="24"/>
                <w:highlight w:val="none"/>
              </w:rPr>
              <w:t>处2000元以上3000元以下罚款。</w:t>
            </w:r>
          </w:p>
        </w:tc>
      </w:tr>
      <w:tr w14:paraId="422B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9" w:hRule="atLeast"/>
        </w:trPr>
        <w:tc>
          <w:tcPr>
            <w:tcW w:w="268" w:type="pct"/>
            <w:vMerge w:val="continue"/>
            <w:noWrap w:val="0"/>
            <w:vAlign w:val="center"/>
          </w:tcPr>
          <w:p w14:paraId="1BD637A8">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sz w:val="24"/>
                <w:szCs w:val="24"/>
                <w:highlight w:val="none"/>
              </w:rPr>
            </w:pPr>
          </w:p>
        </w:tc>
        <w:tc>
          <w:tcPr>
            <w:tcW w:w="613" w:type="pct"/>
            <w:vMerge w:val="continue"/>
            <w:noWrap w:val="0"/>
            <w:vAlign w:val="center"/>
          </w:tcPr>
          <w:p w14:paraId="236D744A">
            <w:pPr>
              <w:keepNext w:val="0"/>
              <w:keepLines w:val="0"/>
              <w:pageBreakBefore w:val="0"/>
              <w:kinsoku/>
              <w:wordWrap/>
              <w:overflowPunct/>
              <w:topLinePunct w:val="0"/>
              <w:autoSpaceDE/>
              <w:autoSpaceDN/>
              <w:bidi w:val="0"/>
              <w:adjustRightInd/>
              <w:snapToGrid/>
              <w:spacing w:line="400" w:lineRule="exact"/>
              <w:ind w:left="42" w:leftChars="20"/>
              <w:textAlignment w:val="auto"/>
              <w:rPr>
                <w:rFonts w:hint="eastAsia" w:ascii="宋体" w:hAnsi="宋体" w:eastAsia="宋体" w:cs="宋体"/>
                <w:b w:val="0"/>
                <w:bCs w:val="0"/>
                <w:color w:val="000000"/>
                <w:sz w:val="24"/>
                <w:szCs w:val="24"/>
                <w:highlight w:val="none"/>
              </w:rPr>
            </w:pPr>
          </w:p>
        </w:tc>
        <w:tc>
          <w:tcPr>
            <w:tcW w:w="1429" w:type="pct"/>
            <w:vMerge w:val="continue"/>
            <w:noWrap w:val="0"/>
            <w:vAlign w:val="center"/>
          </w:tcPr>
          <w:p w14:paraId="621761D1">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43C3013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较重</w:t>
            </w:r>
          </w:p>
        </w:tc>
        <w:tc>
          <w:tcPr>
            <w:tcW w:w="1161" w:type="pct"/>
            <w:noWrap w:val="0"/>
            <w:vAlign w:val="center"/>
          </w:tcPr>
          <w:p w14:paraId="1D0B15D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有价格违法行为严重或者社会影响较大、拒不配合执法，以及其他从重处罚情形的。</w:t>
            </w:r>
          </w:p>
        </w:tc>
        <w:tc>
          <w:tcPr>
            <w:tcW w:w="1119" w:type="pct"/>
            <w:noWrap w:val="0"/>
            <w:vAlign w:val="center"/>
          </w:tcPr>
          <w:p w14:paraId="238AAC60">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没收违法所得，</w:t>
            </w: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lang w:eastAsia="zh-CN"/>
              </w:rPr>
              <w:t>并</w:t>
            </w:r>
            <w:r>
              <w:rPr>
                <w:rFonts w:hint="eastAsia" w:ascii="宋体" w:hAnsi="宋体" w:eastAsia="宋体" w:cs="宋体"/>
                <w:b w:val="0"/>
                <w:bCs w:val="0"/>
                <w:color w:val="000000"/>
                <w:sz w:val="24"/>
                <w:szCs w:val="24"/>
                <w:highlight w:val="none"/>
              </w:rPr>
              <w:t>处3000元以上5000元以下罚款。</w:t>
            </w:r>
          </w:p>
        </w:tc>
      </w:tr>
      <w:tr w14:paraId="3744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9" w:hRule="atLeast"/>
        </w:trPr>
        <w:tc>
          <w:tcPr>
            <w:tcW w:w="268" w:type="pct"/>
            <w:vMerge w:val="restart"/>
            <w:noWrap w:val="0"/>
            <w:vAlign w:val="center"/>
          </w:tcPr>
          <w:p w14:paraId="4FBCB859">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3</w:t>
            </w:r>
            <w:r>
              <w:rPr>
                <w:rFonts w:hint="eastAsia" w:ascii="宋体" w:hAnsi="宋体" w:cs="宋体"/>
                <w:b w:val="0"/>
                <w:bCs w:val="0"/>
                <w:color w:val="000000"/>
                <w:sz w:val="24"/>
                <w:szCs w:val="24"/>
                <w:highlight w:val="none"/>
                <w:lang w:val="en-US" w:eastAsia="zh-CN"/>
              </w:rPr>
              <w:t>45</w:t>
            </w:r>
          </w:p>
        </w:tc>
        <w:tc>
          <w:tcPr>
            <w:tcW w:w="613" w:type="pct"/>
            <w:vMerge w:val="restart"/>
            <w:noWrap w:val="0"/>
            <w:vAlign w:val="center"/>
          </w:tcPr>
          <w:p w14:paraId="37AEBC79">
            <w:pPr>
              <w:keepNext w:val="0"/>
              <w:keepLines w:val="0"/>
              <w:pageBreakBefore w:val="0"/>
              <w:kinsoku/>
              <w:wordWrap/>
              <w:overflowPunct/>
              <w:topLinePunct w:val="0"/>
              <w:autoSpaceDE/>
              <w:autoSpaceDN/>
              <w:bidi w:val="0"/>
              <w:adjustRightInd/>
              <w:snapToGrid/>
              <w:spacing w:line="400" w:lineRule="exact"/>
              <w:ind w:left="42" w:leftChars="20"/>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《中华人民共和国价格法》《价格违法行为行政处罚规定》《明码标价和禁止价格欺诈规定》</w:t>
            </w:r>
          </w:p>
        </w:tc>
        <w:tc>
          <w:tcPr>
            <w:tcW w:w="1429" w:type="pct"/>
            <w:vMerge w:val="restart"/>
            <w:noWrap w:val="0"/>
            <w:vAlign w:val="center"/>
          </w:tcPr>
          <w:p w14:paraId="5F9186E5">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中华人民共和国价格法》第四十条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14:paraId="5263B3F3">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《价格违法行为行政处罚规定》第七条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经营者违反中华人民共和国价格法第十四条的规定，利用虚假的或者使人误解的价格手段，诱骗消费者或者其他经营者与其进行交易的，责令改正，没收违法所得，并处违法所得5倍以下的罚款；没有违法所得的，处5万元以上50万元以下的罚款；情节严重的，责令停业整顿，或者由工商行政管理机关吊销营业执照。</w:t>
            </w:r>
          </w:p>
          <w:p w14:paraId="4F8023AE">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《价格违法行为行政处罚规定》第十一条</w:t>
            </w:r>
            <w:r>
              <w:rPr>
                <w:rFonts w:hint="eastAsia" w:ascii="宋体" w:hAnsi="宋体" w:cs="宋体"/>
                <w:b w:val="0"/>
                <w:bCs w:val="0"/>
                <w:color w:val="000000"/>
                <w:sz w:val="24"/>
                <w:szCs w:val="24"/>
                <w:highlight w:val="none"/>
                <w:lang w:val="en-US" w:eastAsia="zh-CN"/>
              </w:rPr>
              <w:t xml:space="preserve">第一款 </w:t>
            </w:r>
            <w:r>
              <w:rPr>
                <w:rFonts w:hint="eastAsia" w:ascii="宋体" w:hAnsi="宋体" w:eastAsia="宋体" w:cs="宋体"/>
                <w:b w:val="0"/>
                <w:bCs w:val="0"/>
                <w:color w:val="000000"/>
                <w:sz w:val="24"/>
                <w:szCs w:val="24"/>
                <w:highlight w:val="none"/>
              </w:rPr>
              <w:t>本规定第四条、第七条至第九条规定中经营者为个人的，对其没有违法所得的价格违法行为，可以处10万元以下的罚款。</w:t>
            </w:r>
          </w:p>
          <w:p w14:paraId="6402B2EA">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《明码标价和禁止价格欺诈规定》第二十三条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经营者违反本规定第十六条至第二十条规定的，由县级以上市场监督管理部门依照《中华人民共和国价格法》《中华人民共和国反不正当竞争法》《中华人民共和国电子商务法》《价格违法行为行政处罚规定》等法律、行政法规进行处罚。</w:t>
            </w:r>
          </w:p>
        </w:tc>
        <w:tc>
          <w:tcPr>
            <w:tcW w:w="407" w:type="pct"/>
            <w:noWrap w:val="0"/>
            <w:vAlign w:val="center"/>
          </w:tcPr>
          <w:p w14:paraId="5F5D4DE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较轻</w:t>
            </w:r>
          </w:p>
        </w:tc>
        <w:tc>
          <w:tcPr>
            <w:tcW w:w="1161" w:type="pct"/>
            <w:noWrap w:val="0"/>
            <w:vAlign w:val="center"/>
          </w:tcPr>
          <w:p w14:paraId="1CB0F6E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有价格违法行为较轻,未造成严重后果、能够及时改正价格违法行为、从轻处罚能起到教育作用，以及其他从轻处罚情形的。</w:t>
            </w:r>
          </w:p>
        </w:tc>
        <w:tc>
          <w:tcPr>
            <w:tcW w:w="1119" w:type="pct"/>
            <w:noWrap w:val="0"/>
            <w:vAlign w:val="center"/>
          </w:tcPr>
          <w:p w14:paraId="650149A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并处违法所得0.2倍以下罚款；</w:t>
            </w:r>
          </w:p>
          <w:p w14:paraId="520DEE0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没有违法所得的，予以警告，可以处5万元以上10万元以下罚款；</w:t>
            </w:r>
          </w:p>
          <w:p w14:paraId="600CF2D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经营者为个人的，没有违法所得的，可以处2万元以下罚款。</w:t>
            </w:r>
          </w:p>
        </w:tc>
      </w:tr>
      <w:tr w14:paraId="0438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2" w:hRule="atLeast"/>
        </w:trPr>
        <w:tc>
          <w:tcPr>
            <w:tcW w:w="268" w:type="pct"/>
            <w:vMerge w:val="continue"/>
            <w:noWrap w:val="0"/>
            <w:vAlign w:val="center"/>
          </w:tcPr>
          <w:p w14:paraId="36BDB7F7">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noWrap w:val="0"/>
            <w:vAlign w:val="center"/>
          </w:tcPr>
          <w:p w14:paraId="6F225B66">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noWrap w:val="0"/>
            <w:vAlign w:val="center"/>
          </w:tcPr>
          <w:p w14:paraId="328D8120">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42750FD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一般</w:t>
            </w:r>
          </w:p>
        </w:tc>
        <w:tc>
          <w:tcPr>
            <w:tcW w:w="1161" w:type="pct"/>
            <w:noWrap w:val="0"/>
            <w:vAlign w:val="center"/>
          </w:tcPr>
          <w:p w14:paraId="5C0E74D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价格违法行为不具有减轻、从轻、从重处罚等情形的。</w:t>
            </w:r>
          </w:p>
        </w:tc>
        <w:tc>
          <w:tcPr>
            <w:tcW w:w="1119" w:type="pct"/>
            <w:noWrap w:val="0"/>
            <w:vAlign w:val="center"/>
          </w:tcPr>
          <w:p w14:paraId="2267FEF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并处违法所得0.2倍以上1倍以下罚款；</w:t>
            </w:r>
          </w:p>
          <w:p w14:paraId="20DD3FE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没有违法所得的，予以警告，可以处10万元以上20万元以下罚款；</w:t>
            </w:r>
          </w:p>
          <w:p w14:paraId="35AF9E3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w:t>
            </w: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处2万元以上4万元以下罚款。</w:t>
            </w:r>
          </w:p>
        </w:tc>
      </w:tr>
      <w:tr w14:paraId="0D70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7" w:hRule="atLeast"/>
        </w:trPr>
        <w:tc>
          <w:tcPr>
            <w:tcW w:w="268" w:type="pct"/>
            <w:vMerge w:val="continue"/>
            <w:noWrap w:val="0"/>
            <w:vAlign w:val="center"/>
          </w:tcPr>
          <w:p w14:paraId="1030601E">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noWrap w:val="0"/>
            <w:vAlign w:val="center"/>
          </w:tcPr>
          <w:p w14:paraId="134325B1">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noWrap w:val="0"/>
            <w:vAlign w:val="center"/>
          </w:tcPr>
          <w:p w14:paraId="03B41572">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116C75E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较重</w:t>
            </w:r>
          </w:p>
        </w:tc>
        <w:tc>
          <w:tcPr>
            <w:tcW w:w="1161" w:type="pct"/>
            <w:noWrap w:val="0"/>
            <w:vAlign w:val="center"/>
          </w:tcPr>
          <w:p w14:paraId="0731A28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有价格违法行为严重或者社会影响较大、拒不配合执法，以及其他从重处罚情形的。</w:t>
            </w:r>
          </w:p>
        </w:tc>
        <w:tc>
          <w:tcPr>
            <w:tcW w:w="1119" w:type="pct"/>
            <w:noWrap w:val="0"/>
            <w:vAlign w:val="center"/>
          </w:tcPr>
          <w:p w14:paraId="788FD1B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pacing w:val="0"/>
                <w:sz w:val="24"/>
                <w:szCs w:val="24"/>
                <w:highlight w:val="none"/>
                <w:lang w:eastAsia="zh-CN"/>
              </w:rPr>
              <w:t>可以</w:t>
            </w:r>
            <w:r>
              <w:rPr>
                <w:rFonts w:hint="eastAsia" w:ascii="宋体" w:hAnsi="宋体" w:eastAsia="宋体" w:cs="宋体"/>
                <w:b w:val="0"/>
                <w:bCs w:val="0"/>
                <w:color w:val="000000"/>
                <w:sz w:val="24"/>
                <w:szCs w:val="24"/>
                <w:highlight w:val="none"/>
              </w:rPr>
              <w:t>并处违法所得1倍以上5倍以下罚款；</w:t>
            </w:r>
          </w:p>
          <w:p w14:paraId="30F1FBE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没有违法所得的，予以警告，可以处20万元以上50万元以下罚款</w:t>
            </w: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t>情节严重的，责令停业整顿，或者吊销营业执照。</w:t>
            </w:r>
          </w:p>
          <w:p w14:paraId="67BF2C9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w:t>
            </w: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处4万元以上10万元以下的罚款。</w:t>
            </w:r>
          </w:p>
        </w:tc>
      </w:tr>
      <w:tr w14:paraId="7E84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8" w:hRule="atLeast"/>
        </w:trPr>
        <w:tc>
          <w:tcPr>
            <w:tcW w:w="268" w:type="pct"/>
            <w:vMerge w:val="restart"/>
            <w:noWrap w:val="0"/>
            <w:vAlign w:val="center"/>
          </w:tcPr>
          <w:p w14:paraId="57162C44">
            <w:pPr>
              <w:keepNext w:val="0"/>
              <w:keepLines w:val="0"/>
              <w:pageBreakBefore w:val="0"/>
              <w:kinsoku/>
              <w:wordWrap/>
              <w:overflowPunct/>
              <w:topLinePunct w:val="0"/>
              <w:autoSpaceDE/>
              <w:autoSpaceDN/>
              <w:bidi w:val="0"/>
              <w:adjustRightInd/>
              <w:snapToGrid/>
              <w:spacing w:line="400" w:lineRule="exact"/>
              <w:ind w:left="-105" w:leftChars="-50" w:right="-105" w:rightChars="-50" w:firstLine="120" w:firstLineChars="50"/>
              <w:jc w:val="center"/>
              <w:textAlignment w:val="auto"/>
              <w:rPr>
                <w:rFonts w:hint="default"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3</w:t>
            </w:r>
            <w:r>
              <w:rPr>
                <w:rFonts w:hint="eastAsia" w:ascii="宋体" w:hAnsi="宋体" w:cs="宋体"/>
                <w:b w:val="0"/>
                <w:bCs w:val="0"/>
                <w:color w:val="000000"/>
                <w:sz w:val="24"/>
                <w:szCs w:val="24"/>
                <w:highlight w:val="none"/>
                <w:lang w:val="en-US" w:eastAsia="zh-CN"/>
              </w:rPr>
              <w:t>46</w:t>
            </w:r>
          </w:p>
        </w:tc>
        <w:tc>
          <w:tcPr>
            <w:tcW w:w="613" w:type="pct"/>
            <w:vMerge w:val="restart"/>
            <w:noWrap w:val="0"/>
            <w:vAlign w:val="center"/>
          </w:tcPr>
          <w:p w14:paraId="51EE551F">
            <w:pPr>
              <w:keepNext w:val="0"/>
              <w:keepLines w:val="0"/>
              <w:pageBreakBefore w:val="0"/>
              <w:widowControl w:val="0"/>
              <w:kinsoku/>
              <w:wordWrap/>
              <w:overflowPunct/>
              <w:topLinePunct w:val="0"/>
              <w:autoSpaceDE/>
              <w:autoSpaceDN/>
              <w:bidi w:val="0"/>
              <w:adjustRightInd/>
              <w:snapToGrid/>
              <w:spacing w:line="400" w:lineRule="exact"/>
              <w:ind w:left="42" w:leftChars="20"/>
              <w:textAlignment w:val="auto"/>
              <w:outlineLvl w:val="2"/>
              <w:rPr>
                <w:rFonts w:hint="eastAsia" w:ascii="宋体" w:hAnsi="宋体" w:eastAsia="宋体" w:cs="宋体"/>
                <w:b w:val="0"/>
                <w:bCs w:val="0"/>
                <w:color w:val="000000"/>
                <w:sz w:val="24"/>
                <w:szCs w:val="24"/>
                <w:highlight w:val="none"/>
                <w:lang w:eastAsia="zh-CN"/>
              </w:rPr>
            </w:pPr>
            <w:bookmarkStart w:id="433" w:name="_Toc9318"/>
            <w:bookmarkStart w:id="434" w:name="_Toc31344"/>
            <w:bookmarkStart w:id="435" w:name="_Toc30073"/>
            <w:bookmarkStart w:id="436" w:name="_Toc9471"/>
            <w:bookmarkStart w:id="437" w:name="_Toc26899"/>
            <w:r>
              <w:rPr>
                <w:rFonts w:hint="eastAsia" w:ascii="宋体" w:hAnsi="宋体" w:eastAsia="宋体" w:cs="宋体"/>
                <w:b w:val="0"/>
                <w:bCs w:val="0"/>
                <w:color w:val="000000"/>
                <w:sz w:val="24"/>
                <w:szCs w:val="24"/>
                <w:highlight w:val="none"/>
              </w:rPr>
              <w:t>《中华人民共和国价格法》《价格违法行为行政处罚规定》《关于制止低价倾销行为的规定》</w:t>
            </w: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lang w:val="en-US" w:eastAsia="zh-CN"/>
              </w:rPr>
              <w:t>1999年8月3日</w:t>
            </w:r>
            <w:r>
              <w:rPr>
                <w:rFonts w:hint="eastAsia" w:ascii="宋体" w:hAnsi="宋体" w:cs="宋体"/>
                <w:b w:val="0"/>
                <w:bCs w:val="0"/>
                <w:color w:val="000000"/>
                <w:sz w:val="24"/>
                <w:szCs w:val="24"/>
                <w:highlight w:val="none"/>
                <w:lang w:val="en-US" w:eastAsia="zh-CN"/>
              </w:rPr>
              <w:t>起施行</w:t>
            </w:r>
            <w:r>
              <w:rPr>
                <w:rFonts w:hint="eastAsia" w:ascii="宋体" w:hAnsi="宋体" w:eastAsia="宋体" w:cs="宋体"/>
                <w:b w:val="0"/>
                <w:bCs w:val="0"/>
                <w:color w:val="000000"/>
                <w:sz w:val="24"/>
                <w:szCs w:val="24"/>
                <w:highlight w:val="none"/>
                <w:lang w:eastAsia="zh-CN"/>
              </w:rPr>
              <w:t>）</w:t>
            </w:r>
            <w:bookmarkEnd w:id="433"/>
            <w:bookmarkEnd w:id="434"/>
            <w:bookmarkEnd w:id="435"/>
            <w:bookmarkEnd w:id="436"/>
            <w:bookmarkEnd w:id="437"/>
          </w:p>
        </w:tc>
        <w:tc>
          <w:tcPr>
            <w:tcW w:w="1429" w:type="pct"/>
            <w:vMerge w:val="restart"/>
            <w:noWrap w:val="0"/>
            <w:vAlign w:val="center"/>
          </w:tcPr>
          <w:p w14:paraId="68C1BF7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中华人民共和国价格法》第四十条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14:paraId="336CFC7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《价格违法行为行政处罚规定》第四条</w:t>
            </w:r>
            <w:r>
              <w:rPr>
                <w:rFonts w:hint="eastAsia" w:ascii="宋体" w:hAnsi="宋体" w:cs="宋体"/>
                <w:b w:val="0"/>
                <w:bCs w:val="0"/>
                <w:color w:val="000000"/>
                <w:sz w:val="24"/>
                <w:szCs w:val="24"/>
                <w:highlight w:val="none"/>
                <w:lang w:val="en-US" w:eastAsia="zh-CN"/>
              </w:rPr>
              <w:t>第一款</w:t>
            </w:r>
            <w:r>
              <w:rPr>
                <w:rFonts w:hint="eastAsia" w:ascii="宋体" w:hAnsi="宋体" w:eastAsia="宋体" w:cs="宋体"/>
                <w:b w:val="0"/>
                <w:bCs w:val="0"/>
                <w:color w:val="000000"/>
                <w:sz w:val="24"/>
                <w:szCs w:val="24"/>
                <w:highlight w:val="none"/>
              </w:rPr>
              <w:t>第（一）项</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经营者违反中华人民共和国价格法第十四条的规定，有下列行为之一的，责令改正，没收违法所得，并处违法所得5倍以下的罚款；没有违法所得的，处10万元以上100万元以下的罚款；情节严重的，责令停业整顿，或者由工商行政管理机关吊销营业执照：</w:t>
            </w:r>
          </w:p>
          <w:p w14:paraId="6DDC81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（一）除依法降价处理鲜活商品、季节性商品、积压商品等商品外，为了排挤竞争对手或者独占市场，以低于成本的价格倾销，扰乱正常的生产经营秩序，损害国家利益或者其他经营者的合法权益的；</w:t>
            </w:r>
          </w:p>
          <w:p w14:paraId="06F4330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《价格违法行为行政处罚规定》第十一条</w:t>
            </w:r>
            <w:r>
              <w:rPr>
                <w:rFonts w:hint="eastAsia" w:ascii="宋体" w:hAnsi="宋体" w:cs="宋体"/>
                <w:b w:val="0"/>
                <w:bCs w:val="0"/>
                <w:color w:val="000000"/>
                <w:sz w:val="24"/>
                <w:szCs w:val="24"/>
                <w:highlight w:val="none"/>
                <w:lang w:val="en-US" w:eastAsia="zh-CN"/>
              </w:rPr>
              <w:t xml:space="preserve">第一款 </w:t>
            </w:r>
            <w:r>
              <w:rPr>
                <w:rFonts w:hint="eastAsia" w:ascii="宋体" w:hAnsi="宋体" w:eastAsia="宋体" w:cs="宋体"/>
                <w:b w:val="0"/>
                <w:bCs w:val="0"/>
                <w:color w:val="000000"/>
                <w:sz w:val="24"/>
                <w:szCs w:val="24"/>
                <w:highlight w:val="none"/>
              </w:rPr>
              <w:t>本规定第四条、第七条至第九条规定中经营者为个人的，对其没有违法所得的价格违法行为，可以处10万元以下的罚款。</w:t>
            </w:r>
          </w:p>
          <w:p w14:paraId="1225E5D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《关于制止低价倾销行为的规定》第十八条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省级以上人民政府价格主管部门依法对低价倾销行为实施行政处罚。</w:t>
            </w:r>
          </w:p>
        </w:tc>
        <w:tc>
          <w:tcPr>
            <w:tcW w:w="407" w:type="pct"/>
            <w:noWrap w:val="0"/>
            <w:vAlign w:val="center"/>
          </w:tcPr>
          <w:p w14:paraId="45855EB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较轻</w:t>
            </w:r>
          </w:p>
        </w:tc>
        <w:tc>
          <w:tcPr>
            <w:tcW w:w="1161" w:type="pct"/>
            <w:noWrap w:val="0"/>
            <w:vAlign w:val="center"/>
          </w:tcPr>
          <w:p w14:paraId="125A86A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有价格违法行为较轻,未造成严重后果、能够及时改正价格违法行为、从轻处罚能起到教育作用，以及其他从轻处罚情形的。</w:t>
            </w:r>
          </w:p>
        </w:tc>
        <w:tc>
          <w:tcPr>
            <w:tcW w:w="1119" w:type="pct"/>
            <w:noWrap w:val="0"/>
            <w:vAlign w:val="center"/>
          </w:tcPr>
          <w:p w14:paraId="11E8A82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z w:val="24"/>
                <w:szCs w:val="24"/>
                <w:highlight w:val="none"/>
                <w:lang w:eastAsia="zh-CN"/>
              </w:rPr>
              <w:t>可以</w:t>
            </w:r>
            <w:r>
              <w:rPr>
                <w:rFonts w:hint="eastAsia" w:ascii="宋体" w:hAnsi="宋体" w:eastAsia="宋体" w:cs="宋体"/>
                <w:b w:val="0"/>
                <w:bCs w:val="0"/>
                <w:color w:val="000000"/>
                <w:sz w:val="24"/>
                <w:szCs w:val="24"/>
                <w:highlight w:val="none"/>
              </w:rPr>
              <w:t>并处违法所得0.2倍以下罚款；</w:t>
            </w:r>
          </w:p>
          <w:p w14:paraId="5DF7440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z w:val="24"/>
                <w:szCs w:val="24"/>
                <w:highlight w:val="none"/>
                <w:lang w:eastAsia="zh-CN"/>
              </w:rPr>
              <w:t>予以警告，可以</w:t>
            </w:r>
            <w:r>
              <w:rPr>
                <w:rFonts w:hint="eastAsia" w:ascii="宋体" w:hAnsi="宋体" w:eastAsia="宋体" w:cs="宋体"/>
                <w:b w:val="0"/>
                <w:bCs w:val="0"/>
                <w:color w:val="000000"/>
                <w:sz w:val="24"/>
                <w:szCs w:val="24"/>
                <w:highlight w:val="none"/>
              </w:rPr>
              <w:t>处10万元以上20万元以下罚款；</w:t>
            </w:r>
          </w:p>
          <w:p w14:paraId="38AE050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经营者为个人的，没有违法所得的，可以处2万元以下罚款。</w:t>
            </w:r>
          </w:p>
        </w:tc>
      </w:tr>
      <w:tr w14:paraId="4ABE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1" w:hRule="atLeast"/>
        </w:trPr>
        <w:tc>
          <w:tcPr>
            <w:tcW w:w="268" w:type="pct"/>
            <w:vMerge w:val="continue"/>
            <w:noWrap w:val="0"/>
            <w:vAlign w:val="center"/>
          </w:tcPr>
          <w:p w14:paraId="330430E3">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textAlignment w:val="auto"/>
              <w:rPr>
                <w:rFonts w:hint="eastAsia" w:ascii="宋体" w:hAnsi="宋体" w:eastAsia="宋体" w:cs="宋体"/>
                <w:b w:val="0"/>
                <w:bCs w:val="0"/>
                <w:color w:val="000000"/>
                <w:kern w:val="0"/>
                <w:sz w:val="24"/>
                <w:szCs w:val="24"/>
                <w:highlight w:val="none"/>
              </w:rPr>
            </w:pPr>
          </w:p>
        </w:tc>
        <w:tc>
          <w:tcPr>
            <w:tcW w:w="613" w:type="pct"/>
            <w:vMerge w:val="continue"/>
            <w:noWrap w:val="0"/>
            <w:vAlign w:val="center"/>
          </w:tcPr>
          <w:p w14:paraId="57D8A473">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noWrap w:val="0"/>
            <w:vAlign w:val="center"/>
          </w:tcPr>
          <w:p w14:paraId="6C39BAF2">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33E51DC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一般</w:t>
            </w:r>
          </w:p>
        </w:tc>
        <w:tc>
          <w:tcPr>
            <w:tcW w:w="1161" w:type="pct"/>
            <w:noWrap w:val="0"/>
            <w:vAlign w:val="center"/>
          </w:tcPr>
          <w:p w14:paraId="1FCF128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价格违法行为不具有减轻、从轻、从重处罚等情形的。</w:t>
            </w:r>
          </w:p>
        </w:tc>
        <w:tc>
          <w:tcPr>
            <w:tcW w:w="1119" w:type="pct"/>
            <w:noWrap w:val="0"/>
            <w:vAlign w:val="center"/>
          </w:tcPr>
          <w:p w14:paraId="6E92A53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z w:val="24"/>
                <w:szCs w:val="24"/>
                <w:highlight w:val="none"/>
                <w:lang w:eastAsia="zh-CN"/>
              </w:rPr>
              <w:t>可以</w:t>
            </w:r>
            <w:r>
              <w:rPr>
                <w:rFonts w:hint="eastAsia" w:ascii="宋体" w:hAnsi="宋体" w:eastAsia="宋体" w:cs="宋体"/>
                <w:b w:val="0"/>
                <w:bCs w:val="0"/>
                <w:color w:val="000000"/>
                <w:sz w:val="24"/>
                <w:szCs w:val="24"/>
                <w:highlight w:val="none"/>
              </w:rPr>
              <w:t>并处违法所得0.2倍以上1倍以下罚款；</w:t>
            </w:r>
          </w:p>
          <w:p w14:paraId="2B92300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z w:val="24"/>
                <w:szCs w:val="24"/>
                <w:highlight w:val="none"/>
                <w:lang w:eastAsia="zh-CN"/>
              </w:rPr>
              <w:t>予以警告，可以</w:t>
            </w:r>
            <w:r>
              <w:rPr>
                <w:rFonts w:hint="eastAsia" w:ascii="宋体" w:hAnsi="宋体" w:eastAsia="宋体" w:cs="宋体"/>
                <w:b w:val="0"/>
                <w:bCs w:val="0"/>
                <w:color w:val="000000"/>
                <w:sz w:val="24"/>
                <w:szCs w:val="24"/>
                <w:highlight w:val="none"/>
              </w:rPr>
              <w:t>处20万元以上40万元以下罚款；</w:t>
            </w:r>
          </w:p>
          <w:p w14:paraId="5861B2E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w:t>
            </w: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处2万元以上4万元以下罚款。</w:t>
            </w:r>
          </w:p>
        </w:tc>
      </w:tr>
      <w:tr w14:paraId="6F63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8" w:hRule="atLeast"/>
        </w:trPr>
        <w:tc>
          <w:tcPr>
            <w:tcW w:w="268" w:type="pct"/>
            <w:vMerge w:val="continue"/>
            <w:noWrap w:val="0"/>
            <w:vAlign w:val="center"/>
          </w:tcPr>
          <w:p w14:paraId="30DF1BDB">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sz w:val="24"/>
                <w:szCs w:val="24"/>
                <w:highlight w:val="none"/>
              </w:rPr>
            </w:pPr>
          </w:p>
        </w:tc>
        <w:tc>
          <w:tcPr>
            <w:tcW w:w="613" w:type="pct"/>
            <w:vMerge w:val="continue"/>
            <w:noWrap w:val="0"/>
            <w:vAlign w:val="center"/>
          </w:tcPr>
          <w:p w14:paraId="21B3F0A2">
            <w:pPr>
              <w:keepNext w:val="0"/>
              <w:keepLines w:val="0"/>
              <w:pageBreakBefore w:val="0"/>
              <w:kinsoku/>
              <w:wordWrap/>
              <w:overflowPunct/>
              <w:topLinePunct w:val="0"/>
              <w:autoSpaceDE/>
              <w:autoSpaceDN/>
              <w:bidi w:val="0"/>
              <w:adjustRightInd/>
              <w:snapToGrid/>
              <w:spacing w:line="400" w:lineRule="exact"/>
              <w:ind w:left="42" w:leftChars="20"/>
              <w:textAlignment w:val="auto"/>
              <w:rPr>
                <w:rFonts w:hint="eastAsia" w:ascii="宋体" w:hAnsi="宋体" w:eastAsia="宋体" w:cs="宋体"/>
                <w:b w:val="0"/>
                <w:bCs w:val="0"/>
                <w:color w:val="000000"/>
                <w:sz w:val="24"/>
                <w:szCs w:val="24"/>
                <w:highlight w:val="none"/>
              </w:rPr>
            </w:pPr>
          </w:p>
        </w:tc>
        <w:tc>
          <w:tcPr>
            <w:tcW w:w="1429" w:type="pct"/>
            <w:vMerge w:val="continue"/>
            <w:noWrap w:val="0"/>
            <w:vAlign w:val="center"/>
          </w:tcPr>
          <w:p w14:paraId="3756A9EF">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1EAB3D0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较重</w:t>
            </w:r>
          </w:p>
        </w:tc>
        <w:tc>
          <w:tcPr>
            <w:tcW w:w="1161" w:type="pct"/>
            <w:noWrap w:val="0"/>
            <w:vAlign w:val="center"/>
          </w:tcPr>
          <w:p w14:paraId="79E1234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有价格违法行为严重或者社会影响较大、拒不配合执法，以及其他从重处罚情形的。</w:t>
            </w:r>
          </w:p>
        </w:tc>
        <w:tc>
          <w:tcPr>
            <w:tcW w:w="1119" w:type="pct"/>
            <w:noWrap w:val="0"/>
            <w:vAlign w:val="center"/>
          </w:tcPr>
          <w:p w14:paraId="4F5D7BB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没收违法所得，</w:t>
            </w:r>
            <w:r>
              <w:rPr>
                <w:rFonts w:hint="eastAsia" w:ascii="宋体" w:hAnsi="宋体" w:eastAsia="宋体" w:cs="宋体"/>
                <w:b w:val="0"/>
                <w:bCs w:val="0"/>
                <w:color w:val="000000"/>
                <w:sz w:val="24"/>
                <w:szCs w:val="24"/>
                <w:highlight w:val="none"/>
                <w:lang w:eastAsia="zh-CN"/>
              </w:rPr>
              <w:t>可以</w:t>
            </w:r>
            <w:r>
              <w:rPr>
                <w:rFonts w:hint="eastAsia" w:ascii="宋体" w:hAnsi="宋体" w:eastAsia="宋体" w:cs="宋体"/>
                <w:b w:val="0"/>
                <w:bCs w:val="0"/>
                <w:color w:val="000000"/>
                <w:sz w:val="24"/>
                <w:szCs w:val="24"/>
                <w:highlight w:val="none"/>
              </w:rPr>
              <w:t>并处违法所得1倍以上5倍以下罚款；</w:t>
            </w:r>
          </w:p>
          <w:p w14:paraId="3187365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没有违法所得的，</w:t>
            </w:r>
            <w:r>
              <w:rPr>
                <w:rFonts w:hint="eastAsia" w:ascii="宋体" w:hAnsi="宋体" w:eastAsia="宋体" w:cs="宋体"/>
                <w:b w:val="0"/>
                <w:bCs w:val="0"/>
                <w:color w:val="000000"/>
                <w:sz w:val="24"/>
                <w:szCs w:val="24"/>
                <w:highlight w:val="none"/>
                <w:lang w:eastAsia="zh-CN"/>
              </w:rPr>
              <w:t>予以警告，可以</w:t>
            </w:r>
            <w:r>
              <w:rPr>
                <w:rFonts w:hint="eastAsia" w:ascii="宋体" w:hAnsi="宋体" w:eastAsia="宋体" w:cs="宋体"/>
                <w:b w:val="0"/>
                <w:bCs w:val="0"/>
                <w:color w:val="000000"/>
                <w:sz w:val="24"/>
                <w:szCs w:val="24"/>
                <w:highlight w:val="none"/>
              </w:rPr>
              <w:t>处40万元以上100万元以下罚款，情节严重的，责令停业整顿，或者吊销营业执照。</w:t>
            </w:r>
          </w:p>
          <w:p w14:paraId="7198534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经营者为个人的，没有违法所得的，</w:t>
            </w: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处4万元以上10万元以下的罚款。</w:t>
            </w:r>
          </w:p>
        </w:tc>
      </w:tr>
      <w:tr w14:paraId="226A3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3" w:hRule="atLeast"/>
        </w:trPr>
        <w:tc>
          <w:tcPr>
            <w:tcW w:w="268" w:type="pct"/>
            <w:vMerge w:val="restart"/>
            <w:noWrap w:val="0"/>
            <w:vAlign w:val="center"/>
          </w:tcPr>
          <w:p w14:paraId="3D962B17">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3</w:t>
            </w:r>
            <w:r>
              <w:rPr>
                <w:rFonts w:hint="eastAsia" w:ascii="宋体" w:hAnsi="宋体" w:cs="宋体"/>
                <w:b w:val="0"/>
                <w:bCs w:val="0"/>
                <w:color w:val="000000"/>
                <w:sz w:val="24"/>
                <w:szCs w:val="24"/>
                <w:highlight w:val="none"/>
                <w:lang w:val="en-US" w:eastAsia="zh-CN"/>
              </w:rPr>
              <w:t>47</w:t>
            </w:r>
          </w:p>
        </w:tc>
        <w:tc>
          <w:tcPr>
            <w:tcW w:w="613" w:type="pct"/>
            <w:vMerge w:val="restart"/>
            <w:noWrap w:val="0"/>
            <w:vAlign w:val="center"/>
          </w:tcPr>
          <w:p w14:paraId="782EF089">
            <w:pPr>
              <w:keepNext w:val="0"/>
              <w:keepLines w:val="0"/>
              <w:pageBreakBefore w:val="0"/>
              <w:widowControl w:val="0"/>
              <w:kinsoku/>
              <w:wordWrap/>
              <w:overflowPunct/>
              <w:topLinePunct w:val="0"/>
              <w:autoSpaceDE/>
              <w:autoSpaceDN/>
              <w:bidi w:val="0"/>
              <w:adjustRightInd/>
              <w:snapToGrid/>
              <w:spacing w:line="400" w:lineRule="exact"/>
              <w:ind w:left="42" w:leftChars="20"/>
              <w:textAlignment w:val="auto"/>
              <w:outlineLvl w:val="2"/>
              <w:rPr>
                <w:rFonts w:hint="eastAsia" w:ascii="宋体" w:hAnsi="宋体" w:eastAsia="宋体" w:cs="宋体"/>
                <w:b w:val="0"/>
                <w:bCs w:val="0"/>
                <w:color w:val="000000"/>
                <w:sz w:val="24"/>
                <w:szCs w:val="24"/>
                <w:highlight w:val="none"/>
                <w:lang w:eastAsia="zh-CN"/>
              </w:rPr>
            </w:pPr>
            <w:bookmarkStart w:id="438" w:name="_Toc27360"/>
            <w:bookmarkStart w:id="439" w:name="_Toc9597"/>
            <w:bookmarkStart w:id="440" w:name="_Toc29087"/>
            <w:bookmarkStart w:id="441" w:name="_Toc31369"/>
            <w:bookmarkStart w:id="442" w:name="_Toc14292"/>
            <w:r>
              <w:rPr>
                <w:rFonts w:hint="eastAsia" w:ascii="宋体" w:hAnsi="宋体" w:eastAsia="宋体" w:cs="宋体"/>
                <w:b w:val="0"/>
                <w:bCs w:val="0"/>
                <w:color w:val="000000"/>
                <w:sz w:val="24"/>
                <w:szCs w:val="24"/>
                <w:highlight w:val="none"/>
              </w:rPr>
              <w:t>《中华人民共和国价格法》《价格违法行为行政处罚规定》《制止牟取暴利的暂行规定》</w:t>
            </w: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lang w:val="en-US" w:eastAsia="zh-CN"/>
              </w:rPr>
              <w:t>2011年1月8日</w:t>
            </w:r>
            <w:r>
              <w:rPr>
                <w:rFonts w:hint="eastAsia" w:ascii="宋体" w:hAnsi="宋体" w:cs="宋体"/>
                <w:b w:val="0"/>
                <w:bCs w:val="0"/>
                <w:color w:val="000000"/>
                <w:sz w:val="24"/>
                <w:szCs w:val="24"/>
                <w:highlight w:val="none"/>
                <w:lang w:val="en-US" w:eastAsia="zh-CN"/>
              </w:rPr>
              <w:t>起施行</w:t>
            </w:r>
            <w:r>
              <w:rPr>
                <w:rFonts w:hint="eastAsia" w:ascii="宋体" w:hAnsi="宋体" w:eastAsia="宋体" w:cs="宋体"/>
                <w:b w:val="0"/>
                <w:bCs w:val="0"/>
                <w:color w:val="000000"/>
                <w:sz w:val="24"/>
                <w:szCs w:val="24"/>
                <w:highlight w:val="none"/>
                <w:lang w:eastAsia="zh-CN"/>
              </w:rPr>
              <w:t>）</w:t>
            </w:r>
            <w:bookmarkEnd w:id="438"/>
            <w:bookmarkEnd w:id="439"/>
            <w:bookmarkEnd w:id="440"/>
            <w:bookmarkEnd w:id="441"/>
            <w:bookmarkEnd w:id="442"/>
          </w:p>
        </w:tc>
        <w:tc>
          <w:tcPr>
            <w:tcW w:w="1429" w:type="pct"/>
            <w:vMerge w:val="restart"/>
            <w:noWrap w:val="0"/>
            <w:vAlign w:val="center"/>
          </w:tcPr>
          <w:p w14:paraId="553E3C6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中华人民共和国价格法》第四十条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14:paraId="1E6AB0E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《价格违法行为行政处罚规定》第十二条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经营者违反法律、法规的规定牟取暴利的，责令改正，没收违法所得，可以并处违法所得5倍以下的罚款；情节严重的，责令停业整顿，或者由工商行政管理机关吊销营业执照。</w:t>
            </w:r>
          </w:p>
          <w:p w14:paraId="5DE116E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《制止牟取暴利的暂行规定》第十一条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违反本规定第五条规定的，由价格监督检查机构责令改正；拒不改正的，予以警告、没收违法所得，可以并处违法所得5倍以下的罚款。</w:t>
            </w:r>
          </w:p>
          <w:p w14:paraId="2C1016F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《制止牟取暴利的暂行规定》第十五条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工商行政管理、审计、财政、税务、公安、技术监督等部门，应当在各自的职责范围内，配合价格监督检查机构查处牟取暴利的行为。</w:t>
            </w:r>
          </w:p>
        </w:tc>
        <w:tc>
          <w:tcPr>
            <w:tcW w:w="407" w:type="pct"/>
            <w:noWrap w:val="0"/>
            <w:vAlign w:val="center"/>
          </w:tcPr>
          <w:p w14:paraId="4358F45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较轻</w:t>
            </w:r>
          </w:p>
        </w:tc>
        <w:tc>
          <w:tcPr>
            <w:tcW w:w="1161" w:type="pct"/>
            <w:noWrap w:val="0"/>
            <w:vAlign w:val="center"/>
          </w:tcPr>
          <w:p w14:paraId="58CC9AF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有价格违法行为较轻,未造成严重后果、能够及时改正价格违法行为、从轻处罚能起到教育作用，以及其他从轻处罚情形的。</w:t>
            </w:r>
          </w:p>
        </w:tc>
        <w:tc>
          <w:tcPr>
            <w:tcW w:w="1119" w:type="pct"/>
            <w:noWrap w:val="0"/>
            <w:vAlign w:val="center"/>
          </w:tcPr>
          <w:p w14:paraId="67C3D56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责令改正，没收违法所得，可以并处违法所得0.2倍以下罚款。</w:t>
            </w:r>
          </w:p>
        </w:tc>
      </w:tr>
      <w:tr w14:paraId="67F2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8" w:hRule="atLeast"/>
        </w:trPr>
        <w:tc>
          <w:tcPr>
            <w:tcW w:w="268" w:type="pct"/>
            <w:vMerge w:val="continue"/>
            <w:noWrap w:val="0"/>
            <w:vAlign w:val="center"/>
          </w:tcPr>
          <w:p w14:paraId="61364EB9">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noWrap w:val="0"/>
            <w:vAlign w:val="center"/>
          </w:tcPr>
          <w:p w14:paraId="6F62094A">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noWrap w:val="0"/>
            <w:vAlign w:val="center"/>
          </w:tcPr>
          <w:p w14:paraId="0C893311">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741B05D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一般</w:t>
            </w:r>
          </w:p>
        </w:tc>
        <w:tc>
          <w:tcPr>
            <w:tcW w:w="1161" w:type="pct"/>
            <w:noWrap w:val="0"/>
            <w:vAlign w:val="center"/>
          </w:tcPr>
          <w:p w14:paraId="0502A2B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价格违法行为不具有减轻、从轻、从重处罚等情形的。</w:t>
            </w:r>
          </w:p>
        </w:tc>
        <w:tc>
          <w:tcPr>
            <w:tcW w:w="1119" w:type="pct"/>
            <w:noWrap w:val="0"/>
            <w:vAlign w:val="center"/>
          </w:tcPr>
          <w:p w14:paraId="63D8C6A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责令改正，没收违法所得，并处违法所得0.2倍以上1倍以下罚款。</w:t>
            </w:r>
          </w:p>
        </w:tc>
      </w:tr>
      <w:tr w14:paraId="65724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9" w:hRule="atLeast"/>
        </w:trPr>
        <w:tc>
          <w:tcPr>
            <w:tcW w:w="268" w:type="pct"/>
            <w:vMerge w:val="continue"/>
            <w:tcBorders>
              <w:bottom w:val="single" w:color="auto" w:sz="4" w:space="0"/>
            </w:tcBorders>
            <w:noWrap w:val="0"/>
            <w:vAlign w:val="center"/>
          </w:tcPr>
          <w:p w14:paraId="227F9543">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sz w:val="24"/>
                <w:szCs w:val="24"/>
                <w:highlight w:val="none"/>
              </w:rPr>
            </w:pPr>
          </w:p>
        </w:tc>
        <w:tc>
          <w:tcPr>
            <w:tcW w:w="613" w:type="pct"/>
            <w:vMerge w:val="continue"/>
            <w:tcBorders>
              <w:bottom w:val="single" w:color="auto" w:sz="4" w:space="0"/>
            </w:tcBorders>
            <w:noWrap w:val="0"/>
            <w:vAlign w:val="center"/>
          </w:tcPr>
          <w:p w14:paraId="0F25CF3E">
            <w:pPr>
              <w:keepNext w:val="0"/>
              <w:keepLines w:val="0"/>
              <w:pageBreakBefore w:val="0"/>
              <w:kinsoku/>
              <w:wordWrap/>
              <w:overflowPunct/>
              <w:topLinePunct w:val="0"/>
              <w:autoSpaceDE/>
              <w:autoSpaceDN/>
              <w:bidi w:val="0"/>
              <w:adjustRightInd/>
              <w:snapToGrid/>
              <w:spacing w:line="400" w:lineRule="exact"/>
              <w:ind w:left="42" w:leftChars="20"/>
              <w:textAlignment w:val="auto"/>
              <w:rPr>
                <w:rFonts w:hint="eastAsia" w:ascii="宋体" w:hAnsi="宋体" w:eastAsia="宋体" w:cs="宋体"/>
                <w:b w:val="0"/>
                <w:bCs w:val="0"/>
                <w:color w:val="000000"/>
                <w:sz w:val="24"/>
                <w:szCs w:val="24"/>
                <w:highlight w:val="none"/>
              </w:rPr>
            </w:pPr>
          </w:p>
        </w:tc>
        <w:tc>
          <w:tcPr>
            <w:tcW w:w="1429" w:type="pct"/>
            <w:vMerge w:val="continue"/>
            <w:tcBorders>
              <w:bottom w:val="single" w:color="auto" w:sz="4" w:space="0"/>
            </w:tcBorders>
            <w:noWrap w:val="0"/>
            <w:vAlign w:val="center"/>
          </w:tcPr>
          <w:p w14:paraId="1E7BB59E">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bottom w:val="single" w:color="auto" w:sz="4" w:space="0"/>
            </w:tcBorders>
            <w:noWrap w:val="0"/>
            <w:vAlign w:val="center"/>
          </w:tcPr>
          <w:p w14:paraId="3737FBB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较重</w:t>
            </w:r>
          </w:p>
        </w:tc>
        <w:tc>
          <w:tcPr>
            <w:tcW w:w="1161" w:type="pct"/>
            <w:noWrap w:val="0"/>
            <w:vAlign w:val="center"/>
          </w:tcPr>
          <w:p w14:paraId="37284A6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有价格违法行为严重或者社会影响较大、拒不配合执法，以及其他从重处罚情形的。</w:t>
            </w:r>
          </w:p>
        </w:tc>
        <w:tc>
          <w:tcPr>
            <w:tcW w:w="1119" w:type="pct"/>
            <w:noWrap w:val="0"/>
            <w:vAlign w:val="center"/>
          </w:tcPr>
          <w:p w14:paraId="5FAAF41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责令改正，没收违法所得，并处违法所得1倍以上5倍以下罚款；情节严重的，责令停业整顿，或者吊销营业执照。</w:t>
            </w:r>
          </w:p>
        </w:tc>
      </w:tr>
      <w:tr w14:paraId="593C0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1" w:hRule="atLeast"/>
        </w:trPr>
        <w:tc>
          <w:tcPr>
            <w:tcW w:w="268" w:type="pct"/>
            <w:vMerge w:val="restart"/>
            <w:tcBorders>
              <w:top w:val="single" w:color="auto" w:sz="4" w:space="0"/>
              <w:left w:val="single" w:color="auto" w:sz="4" w:space="0"/>
              <w:bottom w:val="single" w:color="auto" w:sz="4" w:space="0"/>
              <w:right w:val="single" w:color="auto" w:sz="4" w:space="0"/>
            </w:tcBorders>
            <w:noWrap w:val="0"/>
            <w:vAlign w:val="center"/>
          </w:tcPr>
          <w:p w14:paraId="2C0ADA40">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3</w:t>
            </w:r>
            <w:r>
              <w:rPr>
                <w:rFonts w:hint="eastAsia" w:ascii="宋体" w:hAnsi="宋体" w:cs="宋体"/>
                <w:b w:val="0"/>
                <w:bCs w:val="0"/>
                <w:color w:val="000000"/>
                <w:sz w:val="24"/>
                <w:szCs w:val="24"/>
                <w:highlight w:val="none"/>
                <w:lang w:val="en-US" w:eastAsia="zh-CN"/>
              </w:rPr>
              <w:t>48</w:t>
            </w:r>
          </w:p>
        </w:tc>
        <w:tc>
          <w:tcPr>
            <w:tcW w:w="613" w:type="pct"/>
            <w:vMerge w:val="restart"/>
            <w:tcBorders>
              <w:top w:val="single" w:color="auto" w:sz="4" w:space="0"/>
              <w:left w:val="single" w:color="auto" w:sz="4" w:space="0"/>
              <w:bottom w:val="single" w:color="auto" w:sz="4" w:space="0"/>
              <w:right w:val="single" w:color="auto" w:sz="4" w:space="0"/>
            </w:tcBorders>
            <w:noWrap w:val="0"/>
            <w:vAlign w:val="center"/>
          </w:tcPr>
          <w:p w14:paraId="672FD508">
            <w:pPr>
              <w:keepNext w:val="0"/>
              <w:keepLines w:val="0"/>
              <w:pageBreakBefore w:val="0"/>
              <w:widowControl w:val="0"/>
              <w:kinsoku/>
              <w:wordWrap/>
              <w:overflowPunct/>
              <w:topLinePunct w:val="0"/>
              <w:autoSpaceDE/>
              <w:autoSpaceDN/>
              <w:bidi w:val="0"/>
              <w:adjustRightInd/>
              <w:snapToGrid/>
              <w:spacing w:line="400" w:lineRule="exact"/>
              <w:ind w:left="42" w:leftChars="20"/>
              <w:textAlignment w:val="auto"/>
              <w:outlineLvl w:val="2"/>
              <w:rPr>
                <w:rFonts w:hint="eastAsia" w:ascii="宋体" w:hAnsi="宋体" w:eastAsia="宋体" w:cs="宋体"/>
                <w:b w:val="0"/>
                <w:bCs w:val="0"/>
                <w:color w:val="000000"/>
                <w:sz w:val="24"/>
                <w:szCs w:val="24"/>
                <w:highlight w:val="none"/>
                <w:lang w:eastAsia="zh-CN"/>
              </w:rPr>
            </w:pPr>
            <w:bookmarkStart w:id="443" w:name="_Toc11621"/>
            <w:bookmarkStart w:id="444" w:name="_Toc31117"/>
            <w:bookmarkStart w:id="445" w:name="_Toc669"/>
            <w:bookmarkStart w:id="446" w:name="_Toc24229"/>
            <w:bookmarkStart w:id="447" w:name="_Toc494"/>
            <w:r>
              <w:rPr>
                <w:rFonts w:hint="eastAsia" w:ascii="宋体" w:hAnsi="宋体" w:eastAsia="宋体" w:cs="宋体"/>
                <w:b w:val="0"/>
                <w:bCs w:val="0"/>
                <w:color w:val="000000"/>
                <w:sz w:val="24"/>
                <w:szCs w:val="24"/>
                <w:highlight w:val="none"/>
              </w:rPr>
              <w:t>《中华人民共和国价格法》《价格违法行为行政处罚规定》</w:t>
            </w:r>
            <w:bookmarkEnd w:id="443"/>
            <w:bookmarkEnd w:id="444"/>
            <w:bookmarkEnd w:id="445"/>
            <w:bookmarkEnd w:id="446"/>
            <w:bookmarkEnd w:id="447"/>
          </w:p>
        </w:tc>
        <w:tc>
          <w:tcPr>
            <w:tcW w:w="1429" w:type="pct"/>
            <w:vMerge w:val="restart"/>
            <w:tcBorders>
              <w:top w:val="single" w:color="auto" w:sz="4" w:space="0"/>
              <w:left w:val="single" w:color="auto" w:sz="4" w:space="0"/>
              <w:bottom w:val="single" w:color="auto" w:sz="4" w:space="0"/>
              <w:right w:val="single" w:color="auto" w:sz="4" w:space="0"/>
            </w:tcBorders>
            <w:noWrap w:val="0"/>
            <w:vAlign w:val="center"/>
          </w:tcPr>
          <w:p w14:paraId="2F84568F">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《中华人民共和国价格法》第四十四条拒绝按照规定提供监督检查所需资料或者提供虚假资料的，责令改正，予以警告；逾期不改正的，可以处以罚款。</w:t>
            </w:r>
          </w:p>
          <w:p w14:paraId="75F1A04C">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价格违法行为行政处罚规定》第十四条拒绝提供价格监督检查所需资料或者提供虚假资料的，责令改正，给予警告；逾期不改正的，可以处10万元以下的罚款，对直接负责的主管人员和其他直接责任人员给予纪律处分。</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2931C1D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较轻</w:t>
            </w:r>
          </w:p>
        </w:tc>
        <w:tc>
          <w:tcPr>
            <w:tcW w:w="1161" w:type="pct"/>
            <w:tcBorders>
              <w:left w:val="single" w:color="auto" w:sz="4" w:space="0"/>
            </w:tcBorders>
            <w:noWrap w:val="0"/>
            <w:vAlign w:val="center"/>
          </w:tcPr>
          <w:p w14:paraId="791C656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有价格违法行为较轻,未造成严重后果、从轻处罚能起到教育作用，以及其他从轻处罚情形的。</w:t>
            </w:r>
          </w:p>
        </w:tc>
        <w:tc>
          <w:tcPr>
            <w:tcW w:w="1119" w:type="pct"/>
            <w:noWrap w:val="0"/>
            <w:vAlign w:val="center"/>
          </w:tcPr>
          <w:p w14:paraId="65F4B0F8">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可以处</w:t>
            </w:r>
            <w:r>
              <w:rPr>
                <w:rFonts w:hint="eastAsia" w:ascii="宋体" w:hAnsi="宋体" w:cs="宋体"/>
                <w:b w:val="0"/>
                <w:bCs w:val="0"/>
                <w:color w:val="000000"/>
                <w:sz w:val="24"/>
                <w:szCs w:val="24"/>
                <w:highlight w:val="none"/>
                <w:lang w:val="en-US" w:eastAsia="zh-CN"/>
              </w:rPr>
              <w:t>3</w:t>
            </w:r>
            <w:r>
              <w:rPr>
                <w:rFonts w:hint="eastAsia" w:ascii="宋体" w:hAnsi="宋体" w:eastAsia="宋体" w:cs="宋体"/>
                <w:b w:val="0"/>
                <w:bCs w:val="0"/>
                <w:color w:val="000000"/>
                <w:sz w:val="24"/>
                <w:szCs w:val="24"/>
                <w:highlight w:val="none"/>
              </w:rPr>
              <w:t>万元以下罚款。</w:t>
            </w:r>
          </w:p>
        </w:tc>
      </w:tr>
      <w:tr w14:paraId="0C42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7" w:hRule="exact"/>
        </w:trPr>
        <w:tc>
          <w:tcPr>
            <w:tcW w:w="268" w:type="pct"/>
            <w:vMerge w:val="continue"/>
            <w:tcBorders>
              <w:top w:val="single" w:color="auto" w:sz="4" w:space="0"/>
              <w:left w:val="single" w:color="auto" w:sz="4" w:space="0"/>
              <w:bottom w:val="single" w:color="auto" w:sz="4" w:space="0"/>
              <w:right w:val="single" w:color="auto" w:sz="4" w:space="0"/>
            </w:tcBorders>
            <w:noWrap w:val="0"/>
            <w:vAlign w:val="center"/>
          </w:tcPr>
          <w:p w14:paraId="79F20655">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left w:val="single" w:color="auto" w:sz="4" w:space="0"/>
              <w:bottom w:val="single" w:color="auto" w:sz="4" w:space="0"/>
              <w:right w:val="single" w:color="auto" w:sz="4" w:space="0"/>
            </w:tcBorders>
            <w:noWrap w:val="0"/>
            <w:vAlign w:val="center"/>
          </w:tcPr>
          <w:p w14:paraId="4E70DCFE">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left w:val="single" w:color="auto" w:sz="4" w:space="0"/>
              <w:bottom w:val="single" w:color="auto" w:sz="4" w:space="0"/>
              <w:right w:val="single" w:color="auto" w:sz="4" w:space="0"/>
            </w:tcBorders>
            <w:noWrap w:val="0"/>
            <w:vAlign w:val="center"/>
          </w:tcPr>
          <w:p w14:paraId="3586817B">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3445A87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sz w:val="24"/>
                <w:szCs w:val="24"/>
                <w:highlight w:val="none"/>
              </w:rPr>
              <w:t>一般</w:t>
            </w:r>
          </w:p>
        </w:tc>
        <w:tc>
          <w:tcPr>
            <w:tcW w:w="1161" w:type="pct"/>
            <w:tcBorders>
              <w:left w:val="single" w:color="auto" w:sz="4" w:space="0"/>
            </w:tcBorders>
            <w:noWrap w:val="0"/>
            <w:vAlign w:val="center"/>
          </w:tcPr>
          <w:p w14:paraId="53A3497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sz w:val="24"/>
                <w:szCs w:val="24"/>
                <w:highlight w:val="none"/>
              </w:rPr>
              <w:t>价格违法行为不具有减轻、从轻、从重处罚等情形的。</w:t>
            </w:r>
          </w:p>
        </w:tc>
        <w:tc>
          <w:tcPr>
            <w:tcW w:w="1119" w:type="pct"/>
            <w:noWrap w:val="0"/>
            <w:vAlign w:val="center"/>
          </w:tcPr>
          <w:p w14:paraId="10EF6AD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w:t>
            </w:r>
            <w:r>
              <w:rPr>
                <w:rFonts w:hint="eastAsia" w:ascii="宋体" w:hAnsi="宋体" w:cs="宋体"/>
                <w:b w:val="0"/>
                <w:bCs w:val="0"/>
                <w:color w:val="000000"/>
                <w:sz w:val="24"/>
                <w:szCs w:val="24"/>
                <w:highlight w:val="none"/>
                <w:lang w:val="en-US" w:eastAsia="zh-CN"/>
              </w:rPr>
              <w:t>3</w:t>
            </w:r>
            <w:r>
              <w:rPr>
                <w:rFonts w:hint="eastAsia" w:ascii="宋体" w:hAnsi="宋体" w:eastAsia="宋体" w:cs="宋体"/>
                <w:b w:val="0"/>
                <w:bCs w:val="0"/>
                <w:color w:val="000000"/>
                <w:sz w:val="24"/>
                <w:szCs w:val="24"/>
                <w:highlight w:val="none"/>
              </w:rPr>
              <w:t>万元以上</w:t>
            </w:r>
            <w:r>
              <w:rPr>
                <w:rFonts w:hint="eastAsia" w:ascii="宋体" w:hAnsi="宋体" w:cs="宋体"/>
                <w:b w:val="0"/>
                <w:bCs w:val="0"/>
                <w:color w:val="000000"/>
                <w:sz w:val="24"/>
                <w:szCs w:val="24"/>
                <w:highlight w:val="none"/>
                <w:lang w:val="en-US" w:eastAsia="zh-CN"/>
              </w:rPr>
              <w:t>7</w:t>
            </w:r>
            <w:r>
              <w:rPr>
                <w:rFonts w:hint="eastAsia" w:ascii="宋体" w:hAnsi="宋体" w:eastAsia="宋体" w:cs="宋体"/>
                <w:b w:val="0"/>
                <w:bCs w:val="0"/>
                <w:color w:val="000000"/>
                <w:sz w:val="24"/>
                <w:szCs w:val="24"/>
                <w:highlight w:val="none"/>
              </w:rPr>
              <w:t>万元以下罚款。</w:t>
            </w:r>
          </w:p>
        </w:tc>
      </w:tr>
      <w:tr w14:paraId="4F5D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exact"/>
        </w:trPr>
        <w:tc>
          <w:tcPr>
            <w:tcW w:w="268" w:type="pct"/>
            <w:vMerge w:val="continue"/>
            <w:tcBorders>
              <w:top w:val="single" w:color="auto" w:sz="4" w:space="0"/>
              <w:left w:val="single" w:color="auto" w:sz="4" w:space="0"/>
              <w:bottom w:val="single" w:color="auto" w:sz="4" w:space="0"/>
              <w:right w:val="single" w:color="auto" w:sz="4" w:space="0"/>
            </w:tcBorders>
            <w:noWrap w:val="0"/>
            <w:vAlign w:val="center"/>
          </w:tcPr>
          <w:p w14:paraId="315F4F40">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left w:val="single" w:color="auto" w:sz="4" w:space="0"/>
              <w:bottom w:val="single" w:color="auto" w:sz="4" w:space="0"/>
              <w:right w:val="single" w:color="auto" w:sz="4" w:space="0"/>
            </w:tcBorders>
            <w:noWrap w:val="0"/>
            <w:vAlign w:val="center"/>
          </w:tcPr>
          <w:p w14:paraId="40632A04">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left w:val="single" w:color="auto" w:sz="4" w:space="0"/>
              <w:bottom w:val="single" w:color="auto" w:sz="4" w:space="0"/>
              <w:right w:val="single" w:color="auto" w:sz="4" w:space="0"/>
            </w:tcBorders>
            <w:noWrap w:val="0"/>
            <w:vAlign w:val="center"/>
          </w:tcPr>
          <w:p w14:paraId="17C24473">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21047FA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sz w:val="24"/>
                <w:szCs w:val="24"/>
                <w:highlight w:val="none"/>
              </w:rPr>
              <w:t>较重</w:t>
            </w:r>
          </w:p>
        </w:tc>
        <w:tc>
          <w:tcPr>
            <w:tcW w:w="1161" w:type="pct"/>
            <w:tcBorders>
              <w:left w:val="single" w:color="auto" w:sz="4" w:space="0"/>
            </w:tcBorders>
            <w:noWrap w:val="0"/>
            <w:vAlign w:val="center"/>
          </w:tcPr>
          <w:p w14:paraId="23B43AB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sz w:val="24"/>
                <w:szCs w:val="24"/>
                <w:highlight w:val="none"/>
              </w:rPr>
              <w:t>有价格违法行为严重或者社会影响较大、拒不配合执法，以及其他从重处罚情形的。</w:t>
            </w:r>
          </w:p>
        </w:tc>
        <w:tc>
          <w:tcPr>
            <w:tcW w:w="1119" w:type="pct"/>
            <w:noWrap w:val="0"/>
            <w:vAlign w:val="center"/>
          </w:tcPr>
          <w:p w14:paraId="492BA2D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w:t>
            </w:r>
            <w:r>
              <w:rPr>
                <w:rFonts w:hint="eastAsia" w:ascii="宋体" w:hAnsi="宋体" w:cs="宋体"/>
                <w:b w:val="0"/>
                <w:bCs w:val="0"/>
                <w:color w:val="000000"/>
                <w:sz w:val="24"/>
                <w:szCs w:val="24"/>
                <w:highlight w:val="none"/>
                <w:lang w:val="en-US" w:eastAsia="zh-CN"/>
              </w:rPr>
              <w:t>7</w:t>
            </w:r>
            <w:r>
              <w:rPr>
                <w:rFonts w:hint="eastAsia" w:ascii="宋体" w:hAnsi="宋体" w:eastAsia="宋体" w:cs="宋体"/>
                <w:b w:val="0"/>
                <w:bCs w:val="0"/>
                <w:color w:val="000000"/>
                <w:sz w:val="24"/>
                <w:szCs w:val="24"/>
                <w:highlight w:val="none"/>
              </w:rPr>
              <w:t>万元以上10万元以下罚款。</w:t>
            </w:r>
          </w:p>
        </w:tc>
      </w:tr>
      <w:tr w14:paraId="5B2F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7" w:hRule="atLeast"/>
        </w:trPr>
        <w:tc>
          <w:tcPr>
            <w:tcW w:w="268" w:type="pct"/>
            <w:vMerge w:val="restart"/>
            <w:tcBorders>
              <w:top w:val="single" w:color="auto" w:sz="4" w:space="0"/>
              <w:bottom w:val="single" w:color="auto" w:sz="4" w:space="0"/>
            </w:tcBorders>
            <w:noWrap w:val="0"/>
            <w:vAlign w:val="center"/>
          </w:tcPr>
          <w:p w14:paraId="6F866355">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3</w:t>
            </w:r>
            <w:r>
              <w:rPr>
                <w:rFonts w:hint="eastAsia" w:ascii="宋体" w:hAnsi="宋体" w:cs="宋体"/>
                <w:b w:val="0"/>
                <w:bCs w:val="0"/>
                <w:color w:val="000000"/>
                <w:sz w:val="24"/>
                <w:szCs w:val="24"/>
                <w:highlight w:val="none"/>
                <w:lang w:val="en-US" w:eastAsia="zh-CN"/>
              </w:rPr>
              <w:t>49</w:t>
            </w:r>
          </w:p>
        </w:tc>
        <w:tc>
          <w:tcPr>
            <w:tcW w:w="613" w:type="pct"/>
            <w:vMerge w:val="restart"/>
            <w:tcBorders>
              <w:top w:val="single" w:color="auto" w:sz="4" w:space="0"/>
              <w:bottom w:val="single" w:color="auto" w:sz="4" w:space="0"/>
            </w:tcBorders>
            <w:noWrap w:val="0"/>
            <w:vAlign w:val="center"/>
          </w:tcPr>
          <w:p w14:paraId="373DEB14">
            <w:pPr>
              <w:keepNext w:val="0"/>
              <w:keepLines w:val="0"/>
              <w:pageBreakBefore w:val="0"/>
              <w:widowControl w:val="0"/>
              <w:kinsoku/>
              <w:wordWrap/>
              <w:overflowPunct/>
              <w:topLinePunct w:val="0"/>
              <w:autoSpaceDE/>
              <w:autoSpaceDN/>
              <w:bidi w:val="0"/>
              <w:adjustRightInd/>
              <w:snapToGrid/>
              <w:spacing w:line="400" w:lineRule="exact"/>
              <w:ind w:left="42" w:leftChars="20"/>
              <w:jc w:val="both"/>
              <w:textAlignment w:val="auto"/>
              <w:outlineLvl w:val="2"/>
              <w:rPr>
                <w:rFonts w:hint="eastAsia" w:ascii="宋体" w:hAnsi="宋体" w:eastAsia="宋体" w:cs="宋体"/>
                <w:b w:val="0"/>
                <w:bCs w:val="0"/>
                <w:color w:val="000000"/>
                <w:sz w:val="24"/>
                <w:szCs w:val="24"/>
                <w:highlight w:val="none"/>
                <w:lang w:eastAsia="zh-CN"/>
              </w:rPr>
            </w:pPr>
            <w:bookmarkStart w:id="448" w:name="_Toc13426"/>
            <w:bookmarkStart w:id="449" w:name="_Toc29031"/>
            <w:bookmarkStart w:id="450" w:name="_Toc3532"/>
            <w:bookmarkStart w:id="451" w:name="_Toc31612"/>
            <w:bookmarkStart w:id="452" w:name="_Toc20351"/>
            <w:r>
              <w:rPr>
                <w:rFonts w:hint="eastAsia" w:ascii="宋体" w:hAnsi="宋体" w:eastAsia="宋体" w:cs="宋体"/>
                <w:b w:val="0"/>
                <w:bCs w:val="0"/>
                <w:color w:val="000000"/>
                <w:sz w:val="24"/>
                <w:szCs w:val="24"/>
                <w:highlight w:val="none"/>
              </w:rPr>
              <w:t>《</w:t>
            </w:r>
            <w:r>
              <w:rPr>
                <w:rFonts w:hint="eastAsia" w:ascii="宋体" w:hAnsi="宋体" w:eastAsia="宋体" w:cs="宋体"/>
                <w:b w:val="0"/>
                <w:bCs w:val="0"/>
                <w:color w:val="000000"/>
                <w:sz w:val="24"/>
                <w:szCs w:val="24"/>
                <w:highlight w:val="none"/>
                <w:lang w:eastAsia="zh-CN"/>
              </w:rPr>
              <w:t>中华人民共和国</w:t>
            </w:r>
            <w:r>
              <w:rPr>
                <w:rFonts w:hint="eastAsia" w:ascii="宋体" w:hAnsi="宋体" w:eastAsia="宋体" w:cs="宋体"/>
                <w:b w:val="0"/>
                <w:bCs w:val="0"/>
                <w:color w:val="000000"/>
                <w:sz w:val="24"/>
                <w:szCs w:val="24"/>
                <w:highlight w:val="none"/>
              </w:rPr>
              <w:t>价格管理条例》</w:t>
            </w: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lang w:val="en-US" w:eastAsia="zh-CN"/>
              </w:rPr>
              <w:t>1987年9月11日</w:t>
            </w:r>
            <w:r>
              <w:rPr>
                <w:rFonts w:hint="eastAsia" w:ascii="宋体" w:hAnsi="宋体" w:cs="宋体"/>
                <w:b w:val="0"/>
                <w:bCs w:val="0"/>
                <w:color w:val="000000"/>
                <w:sz w:val="24"/>
                <w:szCs w:val="24"/>
                <w:highlight w:val="none"/>
                <w:lang w:val="en-US" w:eastAsia="zh-CN"/>
              </w:rPr>
              <w:t>起</w:t>
            </w: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t>《吉林省收费罚款没收财物管理条例》</w:t>
            </w: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lang w:val="en-US" w:eastAsia="zh-CN"/>
              </w:rPr>
              <w:t>2018年11月30日</w:t>
            </w:r>
            <w:r>
              <w:rPr>
                <w:rFonts w:hint="eastAsia" w:ascii="宋体" w:hAnsi="宋体" w:cs="宋体"/>
                <w:b w:val="0"/>
                <w:bCs w:val="0"/>
                <w:color w:val="000000"/>
                <w:sz w:val="24"/>
                <w:szCs w:val="24"/>
                <w:highlight w:val="none"/>
                <w:lang w:val="en-US" w:eastAsia="zh-CN"/>
              </w:rPr>
              <w:t>起施行</w:t>
            </w:r>
            <w:r>
              <w:rPr>
                <w:rFonts w:hint="eastAsia" w:ascii="宋体" w:hAnsi="宋体" w:eastAsia="宋体" w:cs="宋体"/>
                <w:b w:val="0"/>
                <w:bCs w:val="0"/>
                <w:color w:val="000000"/>
                <w:sz w:val="24"/>
                <w:szCs w:val="24"/>
                <w:highlight w:val="none"/>
                <w:lang w:eastAsia="zh-CN"/>
              </w:rPr>
              <w:t>）</w:t>
            </w:r>
            <w:bookmarkEnd w:id="448"/>
            <w:bookmarkEnd w:id="449"/>
            <w:bookmarkEnd w:id="450"/>
            <w:bookmarkEnd w:id="451"/>
            <w:bookmarkEnd w:id="452"/>
          </w:p>
        </w:tc>
        <w:tc>
          <w:tcPr>
            <w:tcW w:w="1429" w:type="pct"/>
            <w:vMerge w:val="restart"/>
            <w:tcBorders>
              <w:top w:val="single" w:color="auto" w:sz="4" w:space="0"/>
              <w:bottom w:val="single" w:color="auto" w:sz="4" w:space="0"/>
            </w:tcBorders>
            <w:noWrap w:val="0"/>
            <w:vAlign w:val="center"/>
          </w:tcPr>
          <w:p w14:paraId="481EA850">
            <w:pPr>
              <w:keepNext w:val="0"/>
              <w:keepLines w:val="0"/>
              <w:pageBreakBefore w:val="0"/>
              <w:widowControl w:val="0"/>
              <w:kinsoku/>
              <w:wordWrap/>
              <w:overflowPunct/>
              <w:topLinePunct w:val="0"/>
              <w:autoSpaceDE/>
              <w:autoSpaceDN/>
              <w:bidi w:val="0"/>
              <w:adjustRightInd/>
              <w:snapToGrid/>
              <w:spacing w:line="334"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《价格管理条例》第二十九条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下列行为属于价格违法行为：(一)不执行国家定价收购、销售商品或者收取费用的</w:t>
            </w:r>
            <w:r>
              <w:rPr>
                <w:rFonts w:hint="eastAsia" w:ascii="宋体" w:hAnsi="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t>(二)违反国家指导价的定价原则，制定、调整商品价格或者收费标准的</w:t>
            </w:r>
            <w:r>
              <w:rPr>
                <w:rFonts w:hint="eastAsia" w:ascii="宋体" w:hAnsi="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t>(三)抬级抬价、压级压价的</w:t>
            </w:r>
            <w:r>
              <w:rPr>
                <w:rFonts w:hint="eastAsia" w:ascii="宋体" w:hAnsi="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t>(四)违反规定将计划内生产资料转为计划外高价出售的</w:t>
            </w:r>
            <w:r>
              <w:rPr>
                <w:rFonts w:hint="eastAsia" w:ascii="宋体" w:hAnsi="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t>(五)将定量内供应城镇居民的商品按议价销售的</w:t>
            </w:r>
            <w:r>
              <w:rPr>
                <w:rFonts w:hint="eastAsia" w:ascii="宋体" w:hAnsi="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t>(六)违反规定层层加价销售商品的</w:t>
            </w:r>
            <w:r>
              <w:rPr>
                <w:rFonts w:hint="eastAsia" w:ascii="宋体" w:hAnsi="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t>(七)自立名目滥收费用的</w:t>
            </w:r>
            <w:r>
              <w:rPr>
                <w:rFonts w:hint="eastAsia" w:ascii="宋体" w:hAnsi="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t>(八)采取以次充好、短尺少秤、降低质量等手段，变相提高商品价格或者收费标准的</w:t>
            </w:r>
            <w:r>
              <w:rPr>
                <w:rFonts w:hint="eastAsia" w:ascii="宋体" w:hAnsi="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t>(九)企业之间或者行业组织商定垄断价格的</w:t>
            </w:r>
            <w:r>
              <w:rPr>
                <w:rFonts w:hint="eastAsia" w:ascii="宋体" w:hAnsi="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t>(十)不执行提价申报制度的</w:t>
            </w:r>
            <w:r>
              <w:rPr>
                <w:rFonts w:hint="eastAsia" w:ascii="宋体" w:hAnsi="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t>(十一)不按规定明码标价的</w:t>
            </w:r>
            <w:r>
              <w:rPr>
                <w:rFonts w:hint="eastAsia" w:ascii="宋体" w:hAnsi="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t>(十二)泄露国家价格机密的</w:t>
            </w:r>
            <w:r>
              <w:rPr>
                <w:rFonts w:hint="eastAsia" w:ascii="宋体" w:hAnsi="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rPr>
              <w:t>(十三)其他违反中华人民共和国价格法规、政策的行为。</w:t>
            </w:r>
          </w:p>
          <w:p w14:paraId="7BC9DE93">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《吉林省收费罚款没收财物管理条例》第十一条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有下列情形之一的，属乱收费。被收取的单位或个人有权拒付。（一）超越规定权限，擅自增加收费项目的；（二）未按规定的权限批准，擅自提高收费标准的；（三）不使用统一规定的票据收费的；（四）继续收取已明令取消的收费项目和不执行减免费政策的；（五）履行职责过程中没有法定依据设置不合理条件，增加经营者、消费者负担的；将职责范围内的公务活动变无偿为有偿的；（六）借助权力或垄断地位、优势地位强制服务、指定服务或购买商品，强制收费、搭车收费、强买强卖的；（七）只收费不服务或少服务的；（八）利用职权和行业垄断地位，强制参加学会、协会、研究会等社会团体并收取会费；强制参加不必要的会议、培训、展览、学术研讨、考核评比、出国考察等付费活动；强行拉广告、赞助捐助的；（九）利用职权将应承担的费用转嫁给其他单位或个人的；（十）利用电子政务平台收费的；（十一）法律、法规和国家有关规定禁止的属于乱收费的其他情形。</w:t>
            </w:r>
          </w:p>
          <w:p w14:paraId="78D3A74B">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第二十一条对违反本条例第十一条规定乱收费的，价格、审计部门应按有关规定责令其退还或没收其全部非法所得，并视其情节，处以非法所得额百分之十至两倍的罚款。</w:t>
            </w:r>
          </w:p>
        </w:tc>
        <w:tc>
          <w:tcPr>
            <w:tcW w:w="407" w:type="pct"/>
            <w:noWrap w:val="0"/>
            <w:vAlign w:val="center"/>
          </w:tcPr>
          <w:p w14:paraId="136B630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较轻</w:t>
            </w:r>
          </w:p>
        </w:tc>
        <w:tc>
          <w:tcPr>
            <w:tcW w:w="1161" w:type="pct"/>
            <w:noWrap w:val="0"/>
            <w:vAlign w:val="center"/>
          </w:tcPr>
          <w:p w14:paraId="3D73D6D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有价格违法行为较轻,未造成严重后果、能够及时改正价格违法行为、从轻处罚能起到教育作用，以及其他从轻处罚情形的。</w:t>
            </w:r>
          </w:p>
        </w:tc>
        <w:tc>
          <w:tcPr>
            <w:tcW w:w="1119" w:type="pct"/>
            <w:noWrap w:val="0"/>
            <w:vAlign w:val="center"/>
          </w:tcPr>
          <w:p w14:paraId="35E8FF3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责令其限期纠正，将非法所得退还原交费者；无法退还的，没收上缴国库；并对收费单位处以违法所得额10%的罚款。</w:t>
            </w:r>
          </w:p>
        </w:tc>
      </w:tr>
      <w:tr w14:paraId="06351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6" w:hRule="atLeast"/>
        </w:trPr>
        <w:tc>
          <w:tcPr>
            <w:tcW w:w="268" w:type="pct"/>
            <w:vMerge w:val="continue"/>
            <w:tcBorders>
              <w:top w:val="single" w:color="auto" w:sz="4" w:space="0"/>
              <w:bottom w:val="single" w:color="auto" w:sz="4" w:space="0"/>
            </w:tcBorders>
            <w:noWrap w:val="0"/>
            <w:vAlign w:val="center"/>
          </w:tcPr>
          <w:p w14:paraId="75C98147">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center"/>
          </w:tcPr>
          <w:p w14:paraId="108DF23A">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center"/>
          </w:tcPr>
          <w:p w14:paraId="0A7238F4">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792E8C2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sz w:val="24"/>
                <w:szCs w:val="24"/>
                <w:highlight w:val="none"/>
              </w:rPr>
              <w:t>一般</w:t>
            </w:r>
          </w:p>
        </w:tc>
        <w:tc>
          <w:tcPr>
            <w:tcW w:w="1161" w:type="pct"/>
            <w:noWrap w:val="0"/>
            <w:vAlign w:val="center"/>
          </w:tcPr>
          <w:p w14:paraId="7FD42FE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sz w:val="24"/>
                <w:szCs w:val="24"/>
                <w:highlight w:val="none"/>
              </w:rPr>
              <w:t>价格违法行为不具有减轻、从轻、从重处罚等情形的。</w:t>
            </w:r>
          </w:p>
        </w:tc>
        <w:tc>
          <w:tcPr>
            <w:tcW w:w="1119" w:type="pct"/>
            <w:noWrap w:val="0"/>
            <w:vAlign w:val="center"/>
          </w:tcPr>
          <w:p w14:paraId="5D9DBDC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sz w:val="24"/>
                <w:szCs w:val="24"/>
                <w:highlight w:val="none"/>
              </w:rPr>
              <w:t>责令其限期纠正，将非法所得退还原交费者；无法退还的，没收上缴国库；并对收费单位处以违法所得额10%以上1倍以下罚款。</w:t>
            </w:r>
          </w:p>
        </w:tc>
      </w:tr>
      <w:tr w14:paraId="5E92C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6" w:hRule="atLeast"/>
        </w:trPr>
        <w:tc>
          <w:tcPr>
            <w:tcW w:w="268" w:type="pct"/>
            <w:vMerge w:val="continue"/>
            <w:tcBorders>
              <w:top w:val="single" w:color="auto" w:sz="4" w:space="0"/>
              <w:bottom w:val="single" w:color="auto" w:sz="4" w:space="0"/>
            </w:tcBorders>
            <w:noWrap w:val="0"/>
            <w:vAlign w:val="center"/>
          </w:tcPr>
          <w:p w14:paraId="2F16660F">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sz w:val="24"/>
                <w:szCs w:val="24"/>
                <w:highlight w:val="none"/>
              </w:rPr>
            </w:pPr>
          </w:p>
        </w:tc>
        <w:tc>
          <w:tcPr>
            <w:tcW w:w="613" w:type="pct"/>
            <w:vMerge w:val="continue"/>
            <w:tcBorders>
              <w:top w:val="single" w:color="auto" w:sz="4" w:space="0"/>
              <w:bottom w:val="single" w:color="auto" w:sz="4" w:space="0"/>
            </w:tcBorders>
            <w:noWrap w:val="0"/>
            <w:vAlign w:val="center"/>
          </w:tcPr>
          <w:p w14:paraId="5B482FBE">
            <w:pPr>
              <w:keepNext w:val="0"/>
              <w:keepLines w:val="0"/>
              <w:pageBreakBefore w:val="0"/>
              <w:kinsoku/>
              <w:wordWrap/>
              <w:overflowPunct/>
              <w:topLinePunct w:val="0"/>
              <w:autoSpaceDE/>
              <w:autoSpaceDN/>
              <w:bidi w:val="0"/>
              <w:adjustRightInd/>
              <w:snapToGrid/>
              <w:spacing w:line="400" w:lineRule="exact"/>
              <w:ind w:left="42" w:leftChars="20"/>
              <w:textAlignment w:val="auto"/>
              <w:rPr>
                <w:rFonts w:hint="eastAsia" w:ascii="宋体" w:hAnsi="宋体" w:eastAsia="宋体" w:cs="宋体"/>
                <w:b w:val="0"/>
                <w:bCs w:val="0"/>
                <w:color w:val="000000"/>
                <w:sz w:val="24"/>
                <w:szCs w:val="24"/>
                <w:highlight w:val="none"/>
              </w:rPr>
            </w:pPr>
          </w:p>
        </w:tc>
        <w:tc>
          <w:tcPr>
            <w:tcW w:w="1429" w:type="pct"/>
            <w:vMerge w:val="continue"/>
            <w:tcBorders>
              <w:top w:val="single" w:color="auto" w:sz="4" w:space="0"/>
              <w:bottom w:val="single" w:color="auto" w:sz="4" w:space="0"/>
            </w:tcBorders>
            <w:noWrap w:val="0"/>
            <w:vAlign w:val="center"/>
          </w:tcPr>
          <w:p w14:paraId="39BB9923">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5F40181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sz w:val="24"/>
                <w:szCs w:val="24"/>
                <w:highlight w:val="none"/>
              </w:rPr>
              <w:t>较重</w:t>
            </w:r>
          </w:p>
        </w:tc>
        <w:tc>
          <w:tcPr>
            <w:tcW w:w="1161" w:type="pct"/>
            <w:noWrap w:val="0"/>
            <w:vAlign w:val="center"/>
          </w:tcPr>
          <w:p w14:paraId="663E266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sz w:val="24"/>
                <w:szCs w:val="24"/>
                <w:highlight w:val="none"/>
              </w:rPr>
              <w:t>有价格违法行为严重或者社会影响较大、拒不配合执法，以及其他从重处罚情形的。</w:t>
            </w:r>
          </w:p>
        </w:tc>
        <w:tc>
          <w:tcPr>
            <w:tcW w:w="1119" w:type="pct"/>
            <w:noWrap w:val="0"/>
            <w:vAlign w:val="center"/>
          </w:tcPr>
          <w:p w14:paraId="55272C0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sz w:val="24"/>
                <w:szCs w:val="24"/>
                <w:highlight w:val="none"/>
              </w:rPr>
              <w:t>责令其限期纠正，将非法所得退还原交费者；无法退还的，没收上缴国库；并对收费单位处以违法所得额1倍以上2倍以下罚款。</w:t>
            </w:r>
          </w:p>
        </w:tc>
      </w:tr>
      <w:tr w14:paraId="390E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6" w:hRule="atLeast"/>
        </w:trPr>
        <w:tc>
          <w:tcPr>
            <w:tcW w:w="268" w:type="pct"/>
            <w:vMerge w:val="restart"/>
            <w:tcBorders>
              <w:top w:val="single" w:color="auto" w:sz="4" w:space="0"/>
            </w:tcBorders>
            <w:noWrap w:val="0"/>
            <w:vAlign w:val="center"/>
          </w:tcPr>
          <w:p w14:paraId="28D5E31B">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3</w:t>
            </w:r>
            <w:r>
              <w:rPr>
                <w:rFonts w:hint="eastAsia" w:ascii="宋体" w:hAnsi="宋体" w:cs="宋体"/>
                <w:b w:val="0"/>
                <w:bCs w:val="0"/>
                <w:color w:val="000000"/>
                <w:sz w:val="24"/>
                <w:szCs w:val="24"/>
                <w:highlight w:val="none"/>
                <w:lang w:val="en-US" w:eastAsia="zh-CN"/>
              </w:rPr>
              <w:t>50</w:t>
            </w:r>
          </w:p>
        </w:tc>
        <w:tc>
          <w:tcPr>
            <w:tcW w:w="613" w:type="pct"/>
            <w:vMerge w:val="restart"/>
            <w:tcBorders>
              <w:top w:val="single" w:color="auto" w:sz="4" w:space="0"/>
            </w:tcBorders>
            <w:noWrap w:val="0"/>
            <w:vAlign w:val="center"/>
          </w:tcPr>
          <w:p w14:paraId="1853F100">
            <w:pPr>
              <w:keepNext w:val="0"/>
              <w:keepLines w:val="0"/>
              <w:pageBreakBefore w:val="0"/>
              <w:widowControl w:val="0"/>
              <w:kinsoku/>
              <w:wordWrap/>
              <w:overflowPunct/>
              <w:topLinePunct w:val="0"/>
              <w:autoSpaceDE/>
              <w:autoSpaceDN/>
              <w:bidi w:val="0"/>
              <w:adjustRightInd/>
              <w:snapToGrid/>
              <w:spacing w:line="400" w:lineRule="exact"/>
              <w:ind w:left="42" w:leftChars="20"/>
              <w:textAlignment w:val="auto"/>
              <w:outlineLvl w:val="2"/>
              <w:rPr>
                <w:rFonts w:hint="eastAsia" w:ascii="宋体" w:hAnsi="宋体" w:eastAsia="宋体" w:cs="宋体"/>
                <w:b w:val="0"/>
                <w:bCs w:val="0"/>
                <w:color w:val="000000"/>
                <w:sz w:val="24"/>
                <w:szCs w:val="24"/>
                <w:highlight w:val="none"/>
                <w:lang w:eastAsia="zh-CN"/>
              </w:rPr>
            </w:pPr>
            <w:bookmarkStart w:id="453" w:name="_Toc24235"/>
            <w:bookmarkStart w:id="454" w:name="_Toc19753"/>
            <w:bookmarkStart w:id="455" w:name="_Toc7160"/>
            <w:bookmarkStart w:id="456" w:name="_Toc4763"/>
            <w:bookmarkStart w:id="457" w:name="_Toc23132"/>
            <w:r>
              <w:rPr>
                <w:rFonts w:hint="eastAsia" w:ascii="宋体" w:hAnsi="宋体" w:eastAsia="宋体" w:cs="宋体"/>
                <w:b w:val="0"/>
                <w:bCs w:val="0"/>
                <w:color w:val="000000"/>
                <w:sz w:val="24"/>
                <w:szCs w:val="24"/>
                <w:highlight w:val="none"/>
              </w:rPr>
              <w:t>《价格违法行为行政处罚规定》《价格违法行为行政处罚实施办法》</w:t>
            </w:r>
            <w:r>
              <w:rPr>
                <w:rFonts w:hint="eastAsia" w:ascii="宋体" w:hAnsi="宋体" w:eastAsia="宋体" w:cs="宋体"/>
                <w:b w:val="0"/>
                <w:bCs w:val="0"/>
                <w:color w:val="000000"/>
                <w:sz w:val="24"/>
                <w:szCs w:val="24"/>
                <w:highlight w:val="none"/>
                <w:lang w:eastAsia="zh-CN"/>
              </w:rPr>
              <w:t>（</w:t>
            </w:r>
            <w:r>
              <w:rPr>
                <w:rFonts w:hint="eastAsia" w:ascii="宋体" w:hAnsi="宋体" w:eastAsia="宋体" w:cs="宋体"/>
                <w:b w:val="0"/>
                <w:bCs w:val="0"/>
                <w:color w:val="000000"/>
                <w:sz w:val="24"/>
                <w:szCs w:val="24"/>
                <w:highlight w:val="none"/>
                <w:lang w:val="en-US" w:eastAsia="zh-CN"/>
              </w:rPr>
              <w:t>2004年</w:t>
            </w:r>
            <w:r>
              <w:rPr>
                <w:rFonts w:hint="eastAsia" w:ascii="宋体" w:hAnsi="宋体" w:cs="宋体"/>
                <w:b w:val="0"/>
                <w:bCs w:val="0"/>
                <w:color w:val="000000"/>
                <w:sz w:val="24"/>
                <w:szCs w:val="24"/>
                <w:highlight w:val="none"/>
                <w:lang w:val="en-US" w:eastAsia="zh-CN"/>
              </w:rPr>
              <w:t>9</w:t>
            </w:r>
            <w:r>
              <w:rPr>
                <w:rFonts w:hint="eastAsia" w:ascii="宋体" w:hAnsi="宋体" w:eastAsia="宋体" w:cs="宋体"/>
                <w:b w:val="0"/>
                <w:bCs w:val="0"/>
                <w:color w:val="000000"/>
                <w:sz w:val="24"/>
                <w:szCs w:val="24"/>
                <w:highlight w:val="none"/>
                <w:lang w:val="en-US" w:eastAsia="zh-CN"/>
              </w:rPr>
              <w:t>月</w:t>
            </w:r>
            <w:r>
              <w:rPr>
                <w:rFonts w:hint="eastAsia" w:ascii="宋体" w:hAnsi="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lang w:val="en-US" w:eastAsia="zh-CN"/>
              </w:rPr>
              <w:t>日</w:t>
            </w:r>
            <w:r>
              <w:rPr>
                <w:rFonts w:hint="eastAsia" w:ascii="宋体" w:hAnsi="宋体" w:cs="宋体"/>
                <w:b w:val="0"/>
                <w:bCs w:val="0"/>
                <w:color w:val="000000"/>
                <w:sz w:val="24"/>
                <w:szCs w:val="24"/>
                <w:highlight w:val="none"/>
                <w:lang w:val="en-US" w:eastAsia="zh-CN"/>
              </w:rPr>
              <w:t>起施行</w:t>
            </w:r>
            <w:r>
              <w:rPr>
                <w:rFonts w:hint="eastAsia" w:ascii="宋体" w:hAnsi="宋体" w:eastAsia="宋体" w:cs="宋体"/>
                <w:b w:val="0"/>
                <w:bCs w:val="0"/>
                <w:color w:val="000000"/>
                <w:sz w:val="24"/>
                <w:szCs w:val="24"/>
                <w:highlight w:val="none"/>
                <w:lang w:eastAsia="zh-CN"/>
              </w:rPr>
              <w:t>）</w:t>
            </w:r>
            <w:bookmarkEnd w:id="453"/>
            <w:bookmarkEnd w:id="454"/>
            <w:bookmarkEnd w:id="455"/>
            <w:bookmarkEnd w:id="456"/>
            <w:bookmarkEnd w:id="457"/>
          </w:p>
        </w:tc>
        <w:tc>
          <w:tcPr>
            <w:tcW w:w="1429" w:type="pct"/>
            <w:vMerge w:val="restart"/>
            <w:tcBorders>
              <w:top w:val="single" w:color="auto" w:sz="4" w:space="0"/>
            </w:tcBorders>
            <w:noWrap w:val="0"/>
            <w:vAlign w:val="center"/>
          </w:tcPr>
          <w:p w14:paraId="0159B1D0">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《价格违法行为行政处罚规定》第五条第三款</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行业协会或者其他单位组织经营者相互串通，操纵市场价格的，对经营者依照前两款的规定处罚；对行业协会或者其他单位，可以处50万元以下的罚款，情节严重的，由登记管理机关依法撤销登记、吊销执照。</w:t>
            </w:r>
          </w:p>
          <w:p w14:paraId="2E2A89D4">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《价格违法行为行政处罚实施办法》第五条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行业组织应当接受政府价格主管部门的指导，有价格违法行为且情节严重的，价格主管部门可以提请登记管理机关撤销登记。</w:t>
            </w:r>
          </w:p>
        </w:tc>
        <w:tc>
          <w:tcPr>
            <w:tcW w:w="407" w:type="pct"/>
            <w:noWrap w:val="0"/>
            <w:vAlign w:val="center"/>
          </w:tcPr>
          <w:p w14:paraId="28F48B5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较轻</w:t>
            </w:r>
          </w:p>
        </w:tc>
        <w:tc>
          <w:tcPr>
            <w:tcW w:w="1161" w:type="pct"/>
            <w:noWrap w:val="0"/>
            <w:vAlign w:val="center"/>
          </w:tcPr>
          <w:p w14:paraId="03BEFD67">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有价格违法行为较轻,未造成严重后果、能够及时改正价格违法行为、从轻处罚能起到教育作用，以及其他从轻处罚情形的。</w:t>
            </w:r>
          </w:p>
        </w:tc>
        <w:tc>
          <w:tcPr>
            <w:tcW w:w="1119" w:type="pct"/>
            <w:noWrap w:val="0"/>
            <w:vAlign w:val="center"/>
          </w:tcPr>
          <w:p w14:paraId="6796402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可以处5万元以下罚款。</w:t>
            </w:r>
          </w:p>
        </w:tc>
      </w:tr>
      <w:tr w14:paraId="4364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268" w:type="pct"/>
            <w:vMerge w:val="continue"/>
            <w:noWrap w:val="0"/>
            <w:vAlign w:val="center"/>
          </w:tcPr>
          <w:p w14:paraId="172B2185">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sz w:val="24"/>
                <w:szCs w:val="24"/>
                <w:highlight w:val="none"/>
                <w:lang w:val="en-US" w:eastAsia="zh-CN"/>
              </w:rPr>
            </w:pPr>
          </w:p>
        </w:tc>
        <w:tc>
          <w:tcPr>
            <w:tcW w:w="613" w:type="pct"/>
            <w:vMerge w:val="continue"/>
            <w:noWrap w:val="0"/>
            <w:vAlign w:val="center"/>
          </w:tcPr>
          <w:p w14:paraId="5F80A0AE">
            <w:pPr>
              <w:keepNext w:val="0"/>
              <w:keepLines w:val="0"/>
              <w:pageBreakBefore w:val="0"/>
              <w:widowControl w:val="0"/>
              <w:kinsoku/>
              <w:wordWrap/>
              <w:overflowPunct/>
              <w:topLinePunct w:val="0"/>
              <w:autoSpaceDE/>
              <w:autoSpaceDN/>
              <w:bidi w:val="0"/>
              <w:adjustRightInd/>
              <w:snapToGrid/>
              <w:spacing w:line="400" w:lineRule="exact"/>
              <w:ind w:left="42" w:leftChars="20"/>
              <w:textAlignment w:val="auto"/>
              <w:outlineLvl w:val="2"/>
              <w:rPr>
                <w:rFonts w:hint="eastAsia" w:ascii="宋体" w:hAnsi="宋体" w:eastAsia="宋体" w:cs="宋体"/>
                <w:b w:val="0"/>
                <w:bCs w:val="0"/>
                <w:color w:val="000000"/>
                <w:sz w:val="24"/>
                <w:szCs w:val="24"/>
                <w:highlight w:val="none"/>
                <w:lang w:eastAsia="zh-CN"/>
              </w:rPr>
            </w:pPr>
          </w:p>
        </w:tc>
        <w:tc>
          <w:tcPr>
            <w:tcW w:w="1429" w:type="pct"/>
            <w:vMerge w:val="continue"/>
            <w:noWrap w:val="0"/>
            <w:vAlign w:val="center"/>
          </w:tcPr>
          <w:p w14:paraId="15AD2BAA">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rPr>
            </w:pPr>
          </w:p>
        </w:tc>
        <w:tc>
          <w:tcPr>
            <w:tcW w:w="407" w:type="pct"/>
            <w:noWrap w:val="0"/>
            <w:vAlign w:val="center"/>
          </w:tcPr>
          <w:p w14:paraId="007A2C0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一般</w:t>
            </w:r>
          </w:p>
        </w:tc>
        <w:tc>
          <w:tcPr>
            <w:tcW w:w="1161" w:type="pct"/>
            <w:noWrap w:val="0"/>
            <w:vAlign w:val="center"/>
          </w:tcPr>
          <w:p w14:paraId="517D837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价格违法行为不具有减轻、从轻、从重处罚等情形的。</w:t>
            </w:r>
          </w:p>
        </w:tc>
        <w:tc>
          <w:tcPr>
            <w:tcW w:w="1119" w:type="pct"/>
            <w:noWrap w:val="0"/>
            <w:vAlign w:val="center"/>
          </w:tcPr>
          <w:p w14:paraId="2CF5629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处5万元以上20万元以下罚款。</w:t>
            </w:r>
          </w:p>
        </w:tc>
      </w:tr>
      <w:tr w14:paraId="5A6D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9" w:hRule="atLeast"/>
        </w:trPr>
        <w:tc>
          <w:tcPr>
            <w:tcW w:w="268" w:type="pct"/>
            <w:vMerge w:val="continue"/>
            <w:noWrap w:val="0"/>
            <w:vAlign w:val="center"/>
          </w:tcPr>
          <w:p w14:paraId="6DE09DBE">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noWrap w:val="0"/>
            <w:vAlign w:val="center"/>
          </w:tcPr>
          <w:p w14:paraId="3507A45E">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noWrap w:val="0"/>
            <w:vAlign w:val="center"/>
          </w:tcPr>
          <w:p w14:paraId="0C126E60">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noWrap w:val="0"/>
            <w:vAlign w:val="center"/>
          </w:tcPr>
          <w:p w14:paraId="525DEF1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较重</w:t>
            </w:r>
          </w:p>
        </w:tc>
        <w:tc>
          <w:tcPr>
            <w:tcW w:w="1161" w:type="pct"/>
            <w:noWrap w:val="0"/>
            <w:vAlign w:val="center"/>
          </w:tcPr>
          <w:p w14:paraId="1132F8E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有价格违法行为严重或者社会影响较大、拒不配合执法，以及其他从重处罚情形的。</w:t>
            </w:r>
          </w:p>
        </w:tc>
        <w:tc>
          <w:tcPr>
            <w:tcW w:w="1119" w:type="pct"/>
            <w:noWrap w:val="0"/>
            <w:vAlign w:val="center"/>
          </w:tcPr>
          <w:p w14:paraId="3A7968B1">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处20万元以上50万元以下罚款；情节严重的，由登记管理机关依法撤销登记、吊销执照。</w:t>
            </w:r>
          </w:p>
        </w:tc>
      </w:tr>
      <w:tr w14:paraId="1A17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8" w:hRule="atLeast"/>
        </w:trPr>
        <w:tc>
          <w:tcPr>
            <w:tcW w:w="268" w:type="pct"/>
            <w:vMerge w:val="restart"/>
            <w:tcBorders>
              <w:top w:val="single" w:color="auto" w:sz="4" w:space="0"/>
              <w:bottom w:val="single" w:color="auto" w:sz="4" w:space="0"/>
            </w:tcBorders>
            <w:noWrap w:val="0"/>
            <w:vAlign w:val="center"/>
          </w:tcPr>
          <w:p w14:paraId="77D7A90C">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3</w:t>
            </w:r>
            <w:r>
              <w:rPr>
                <w:rFonts w:hint="eastAsia" w:ascii="宋体" w:hAnsi="宋体" w:cs="宋体"/>
                <w:b w:val="0"/>
                <w:bCs w:val="0"/>
                <w:color w:val="000000"/>
                <w:sz w:val="24"/>
                <w:szCs w:val="24"/>
                <w:highlight w:val="none"/>
                <w:lang w:val="en-US" w:eastAsia="zh-CN"/>
              </w:rPr>
              <w:t>51</w:t>
            </w:r>
          </w:p>
        </w:tc>
        <w:tc>
          <w:tcPr>
            <w:tcW w:w="613" w:type="pct"/>
            <w:vMerge w:val="restart"/>
            <w:tcBorders>
              <w:top w:val="single" w:color="auto" w:sz="4" w:space="0"/>
              <w:bottom w:val="single" w:color="auto" w:sz="4" w:space="0"/>
            </w:tcBorders>
            <w:noWrap w:val="0"/>
            <w:vAlign w:val="center"/>
          </w:tcPr>
          <w:p w14:paraId="6F93552D">
            <w:pPr>
              <w:keepNext w:val="0"/>
              <w:keepLines w:val="0"/>
              <w:pageBreakBefore w:val="0"/>
              <w:kinsoku/>
              <w:wordWrap/>
              <w:overflowPunct/>
              <w:topLinePunct w:val="0"/>
              <w:autoSpaceDE/>
              <w:autoSpaceDN/>
              <w:bidi w:val="0"/>
              <w:adjustRightInd/>
              <w:snapToGrid/>
              <w:spacing w:line="400" w:lineRule="exact"/>
              <w:ind w:left="42" w:leftChars="20"/>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《价格违法行为行政处罚规定》《价格违法行为行政处罚实施办法》</w:t>
            </w:r>
          </w:p>
        </w:tc>
        <w:tc>
          <w:tcPr>
            <w:tcW w:w="1429" w:type="pct"/>
            <w:vMerge w:val="restart"/>
            <w:tcBorders>
              <w:top w:val="single" w:color="auto" w:sz="4" w:space="0"/>
              <w:bottom w:val="single" w:color="auto" w:sz="4" w:space="0"/>
            </w:tcBorders>
            <w:noWrap w:val="0"/>
            <w:vAlign w:val="center"/>
          </w:tcPr>
          <w:p w14:paraId="4284D555">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lang w:eastAsia="zh-CN"/>
              </w:rPr>
            </w:pPr>
            <w:r>
              <w:rPr>
                <w:rFonts w:hint="eastAsia" w:ascii="宋体" w:hAnsi="宋体" w:eastAsia="宋体" w:cs="宋体"/>
                <w:b w:val="0"/>
                <w:bCs w:val="0"/>
                <w:color w:val="000000"/>
                <w:sz w:val="24"/>
                <w:szCs w:val="24"/>
                <w:highlight w:val="none"/>
              </w:rPr>
              <w:t>《价格违法行为行政处罚规定》第六条第二款</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行业协会或者为商品交易提供服务的单位有前款规定的违法行为的，可以处50万元以下的罚款；情节严重的，由登记管理机关依法撤销登记、吊销执照。</w:t>
            </w:r>
          </w:p>
          <w:p w14:paraId="2541905D">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sz w:val="24"/>
                <w:szCs w:val="24"/>
                <w:highlight w:val="none"/>
              </w:rPr>
              <w:t>《价格违法行为行政处罚实施办法》第五条</w:t>
            </w:r>
            <w:r>
              <w:rPr>
                <w:rFonts w:hint="eastAsia" w:ascii="宋体"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rPr>
              <w:t>行业组织应当接受政府价格主管部门的指导，有价格违法行为且情节严重的，价格主管部门可以提请登记管理机关撤销登记。</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51D3DCD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0786742A">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有价格违法行为较轻,未造成严重后果、能够及时改正价格违法行为、从轻处罚能起到教育作用，以及其他从轻处罚情形的。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4A3C90E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可以处5万元以下罚款。</w:t>
            </w:r>
          </w:p>
        </w:tc>
      </w:tr>
      <w:tr w14:paraId="1174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8" w:hRule="atLeast"/>
        </w:trPr>
        <w:tc>
          <w:tcPr>
            <w:tcW w:w="268" w:type="pct"/>
            <w:vMerge w:val="continue"/>
            <w:tcBorders>
              <w:top w:val="single" w:color="auto" w:sz="4" w:space="0"/>
              <w:bottom w:val="single" w:color="auto" w:sz="4" w:space="0"/>
            </w:tcBorders>
            <w:noWrap w:val="0"/>
            <w:vAlign w:val="center"/>
          </w:tcPr>
          <w:p w14:paraId="044D015C">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center"/>
          </w:tcPr>
          <w:p w14:paraId="65E2650A">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center"/>
          </w:tcPr>
          <w:p w14:paraId="165D63E0">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3320686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43A12D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价格违法行为不具有减轻、从轻、从重处罚等情形的。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6F93EAF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处5万元以上20万元以下罚款。</w:t>
            </w:r>
          </w:p>
        </w:tc>
      </w:tr>
      <w:tr w14:paraId="652F0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8" w:hRule="atLeast"/>
        </w:trPr>
        <w:tc>
          <w:tcPr>
            <w:tcW w:w="268" w:type="pct"/>
            <w:vMerge w:val="continue"/>
            <w:tcBorders>
              <w:top w:val="single" w:color="auto" w:sz="4" w:space="0"/>
              <w:bottom w:val="single" w:color="auto" w:sz="4" w:space="0"/>
            </w:tcBorders>
            <w:noWrap w:val="0"/>
            <w:vAlign w:val="center"/>
          </w:tcPr>
          <w:p w14:paraId="0DB965CF">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center"/>
          </w:tcPr>
          <w:p w14:paraId="30E8ED1A">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center"/>
          </w:tcPr>
          <w:p w14:paraId="22EBE2A5">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7AC5B14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6F46BE2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z w:val="24"/>
                <w:szCs w:val="24"/>
                <w:highlight w:val="none"/>
              </w:rPr>
              <w:t>有价格违法行为严重或者社会影响较大、拒不配合执法，以及其他从重处罚情形的。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0CF42C9A">
            <w:pPr>
              <w:keepNext w:val="0"/>
              <w:keepLines w:val="0"/>
              <w:pageBreakBefore w:val="0"/>
              <w:widowControl/>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cs="宋体"/>
                <w:b w:val="0"/>
                <w:bCs w:val="0"/>
                <w:color w:val="000000"/>
                <w:sz w:val="24"/>
                <w:szCs w:val="24"/>
                <w:highlight w:val="none"/>
                <w:lang w:val="en-US" w:eastAsia="zh-CN"/>
              </w:rPr>
              <w:t>可以</w:t>
            </w:r>
            <w:r>
              <w:rPr>
                <w:rFonts w:hint="eastAsia" w:ascii="宋体" w:hAnsi="宋体" w:eastAsia="宋体" w:cs="宋体"/>
                <w:b w:val="0"/>
                <w:bCs w:val="0"/>
                <w:color w:val="000000"/>
                <w:sz w:val="24"/>
                <w:szCs w:val="24"/>
                <w:highlight w:val="none"/>
              </w:rPr>
              <w:t>处20万元以上50万元以下罚款；情节严重的，由登记管理机关依法撤销登记、吊销执照。</w:t>
            </w:r>
          </w:p>
        </w:tc>
      </w:tr>
      <w:tr w14:paraId="5E2D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trPr>
        <w:tc>
          <w:tcPr>
            <w:tcW w:w="268" w:type="pct"/>
            <w:vMerge w:val="restart"/>
            <w:tcBorders>
              <w:top w:val="single" w:color="auto" w:sz="4" w:space="0"/>
              <w:bottom w:val="single" w:color="auto" w:sz="4" w:space="0"/>
            </w:tcBorders>
            <w:noWrap w:val="0"/>
            <w:vAlign w:val="center"/>
          </w:tcPr>
          <w:p w14:paraId="4E6D0ED2">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rPr>
              <w:t>3</w:t>
            </w:r>
            <w:r>
              <w:rPr>
                <w:rFonts w:hint="eastAsia" w:ascii="宋体" w:hAnsi="宋体" w:cs="宋体"/>
                <w:b w:val="0"/>
                <w:bCs w:val="0"/>
                <w:color w:val="000000"/>
                <w:kern w:val="0"/>
                <w:sz w:val="24"/>
                <w:szCs w:val="24"/>
                <w:highlight w:val="none"/>
                <w:lang w:val="en-US" w:eastAsia="zh-CN"/>
              </w:rPr>
              <w:t>52</w:t>
            </w:r>
          </w:p>
        </w:tc>
        <w:tc>
          <w:tcPr>
            <w:tcW w:w="613" w:type="pct"/>
            <w:vMerge w:val="restart"/>
            <w:tcBorders>
              <w:top w:val="single" w:color="auto" w:sz="4" w:space="0"/>
              <w:bottom w:val="single" w:color="auto" w:sz="4" w:space="0"/>
            </w:tcBorders>
            <w:noWrap w:val="0"/>
            <w:vAlign w:val="center"/>
          </w:tcPr>
          <w:p w14:paraId="05ED22B3">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outlineLvl w:val="2"/>
              <w:rPr>
                <w:rFonts w:hint="eastAsia" w:ascii="宋体" w:hAnsi="宋体" w:eastAsia="宋体" w:cs="宋体"/>
                <w:b w:val="0"/>
                <w:bCs w:val="0"/>
                <w:color w:val="000000"/>
                <w:kern w:val="0"/>
                <w:sz w:val="24"/>
                <w:szCs w:val="24"/>
                <w:highlight w:val="none"/>
                <w:lang w:eastAsia="zh-CN"/>
              </w:rPr>
            </w:pPr>
            <w:bookmarkStart w:id="458" w:name="_Toc3790"/>
            <w:bookmarkStart w:id="459" w:name="_Toc15256"/>
            <w:bookmarkStart w:id="460" w:name="_Toc14721"/>
            <w:bookmarkStart w:id="461" w:name="_Toc7657"/>
            <w:bookmarkStart w:id="462" w:name="_Toc5668"/>
            <w:r>
              <w:rPr>
                <w:rFonts w:hint="eastAsia" w:ascii="宋体" w:hAnsi="宋体" w:eastAsia="宋体" w:cs="宋体"/>
                <w:b w:val="0"/>
                <w:bCs w:val="0"/>
                <w:color w:val="000000"/>
                <w:kern w:val="0"/>
                <w:sz w:val="24"/>
                <w:szCs w:val="24"/>
                <w:highlight w:val="none"/>
              </w:rPr>
              <w:t>《中华人民共和国反不正当竞争法》</w:t>
            </w:r>
            <w:r>
              <w:rPr>
                <w:rFonts w:hint="eastAsia" w:ascii="宋体" w:hAnsi="宋体" w:eastAsia="宋体" w:cs="宋体"/>
                <w:b w:val="0"/>
                <w:bCs w:val="0"/>
                <w:color w:val="000000"/>
                <w:kern w:val="0"/>
                <w:sz w:val="24"/>
                <w:szCs w:val="24"/>
                <w:highlight w:val="none"/>
                <w:lang w:eastAsia="zh-CN"/>
              </w:rPr>
              <w:t>（</w:t>
            </w:r>
            <w:r>
              <w:rPr>
                <w:rFonts w:hint="eastAsia" w:ascii="宋体" w:hAnsi="宋体" w:eastAsia="宋体" w:cs="宋体"/>
                <w:b w:val="0"/>
                <w:bCs w:val="0"/>
                <w:color w:val="000000"/>
                <w:kern w:val="0"/>
                <w:sz w:val="24"/>
                <w:szCs w:val="24"/>
                <w:highlight w:val="none"/>
                <w:lang w:val="en-US" w:eastAsia="zh-CN"/>
              </w:rPr>
              <w:t>20</w:t>
            </w:r>
            <w:r>
              <w:rPr>
                <w:rFonts w:hint="eastAsia" w:ascii="宋体" w:hAnsi="宋体" w:cs="宋体"/>
                <w:b w:val="0"/>
                <w:bCs w:val="0"/>
                <w:color w:val="000000"/>
                <w:kern w:val="0"/>
                <w:sz w:val="24"/>
                <w:szCs w:val="24"/>
                <w:highlight w:val="none"/>
                <w:lang w:val="en-US" w:eastAsia="zh-CN"/>
              </w:rPr>
              <w:t>25</w:t>
            </w:r>
            <w:r>
              <w:rPr>
                <w:rFonts w:hint="eastAsia" w:ascii="宋体" w:hAnsi="宋体" w:eastAsia="宋体" w:cs="宋体"/>
                <w:b w:val="0"/>
                <w:bCs w:val="0"/>
                <w:color w:val="000000"/>
                <w:kern w:val="0"/>
                <w:sz w:val="24"/>
                <w:szCs w:val="24"/>
                <w:highlight w:val="none"/>
                <w:lang w:val="en-US" w:eastAsia="zh-CN"/>
              </w:rPr>
              <w:t>年</w:t>
            </w:r>
            <w:r>
              <w:rPr>
                <w:rFonts w:hint="eastAsia" w:ascii="宋体" w:hAnsi="宋体" w:cs="宋体"/>
                <w:b w:val="0"/>
                <w:bCs w:val="0"/>
                <w:color w:val="000000"/>
                <w:kern w:val="0"/>
                <w:sz w:val="24"/>
                <w:szCs w:val="24"/>
                <w:highlight w:val="none"/>
                <w:lang w:val="en-US" w:eastAsia="zh-CN"/>
              </w:rPr>
              <w:t>10</w:t>
            </w:r>
            <w:r>
              <w:rPr>
                <w:rFonts w:hint="eastAsia" w:ascii="宋体" w:hAnsi="宋体" w:eastAsia="宋体" w:cs="宋体"/>
                <w:b w:val="0"/>
                <w:bCs w:val="0"/>
                <w:color w:val="000000"/>
                <w:kern w:val="0"/>
                <w:sz w:val="24"/>
                <w:szCs w:val="24"/>
                <w:highlight w:val="none"/>
                <w:lang w:val="en-US" w:eastAsia="zh-CN"/>
              </w:rPr>
              <w:t>月</w:t>
            </w:r>
            <w:r>
              <w:rPr>
                <w:rFonts w:hint="eastAsia" w:ascii="宋体" w:hAnsi="宋体" w:cs="宋体"/>
                <w:b w:val="0"/>
                <w:bCs w:val="0"/>
                <w:color w:val="000000"/>
                <w:kern w:val="0"/>
                <w:sz w:val="24"/>
                <w:szCs w:val="24"/>
                <w:highlight w:val="none"/>
                <w:lang w:val="en-US" w:eastAsia="zh-CN"/>
              </w:rPr>
              <w:t>15</w:t>
            </w:r>
            <w:r>
              <w:rPr>
                <w:rFonts w:hint="eastAsia" w:ascii="宋体" w:hAnsi="宋体" w:eastAsia="宋体" w:cs="宋体"/>
                <w:b w:val="0"/>
                <w:bCs w:val="0"/>
                <w:color w:val="000000"/>
                <w:kern w:val="0"/>
                <w:sz w:val="24"/>
                <w:szCs w:val="24"/>
                <w:highlight w:val="none"/>
                <w:lang w:val="en-US" w:eastAsia="zh-CN"/>
              </w:rPr>
              <w:t>日</w:t>
            </w:r>
            <w:r>
              <w:rPr>
                <w:rFonts w:hint="eastAsia" w:ascii="宋体" w:hAnsi="宋体" w:cs="宋体"/>
                <w:b w:val="0"/>
                <w:bCs w:val="0"/>
                <w:color w:val="000000"/>
                <w:kern w:val="0"/>
                <w:sz w:val="24"/>
                <w:szCs w:val="24"/>
                <w:highlight w:val="none"/>
                <w:lang w:val="en-US" w:eastAsia="zh-CN"/>
              </w:rPr>
              <w:t>起施行</w:t>
            </w:r>
            <w:r>
              <w:rPr>
                <w:rFonts w:hint="eastAsia" w:ascii="宋体" w:hAnsi="宋体" w:eastAsia="宋体" w:cs="宋体"/>
                <w:b w:val="0"/>
                <w:bCs w:val="0"/>
                <w:color w:val="000000"/>
                <w:kern w:val="0"/>
                <w:sz w:val="24"/>
                <w:szCs w:val="24"/>
                <w:highlight w:val="none"/>
                <w:lang w:eastAsia="zh-CN"/>
              </w:rPr>
              <w:t>）</w:t>
            </w:r>
            <w:bookmarkEnd w:id="458"/>
            <w:bookmarkEnd w:id="459"/>
            <w:bookmarkEnd w:id="460"/>
            <w:bookmarkEnd w:id="461"/>
            <w:bookmarkEnd w:id="462"/>
          </w:p>
        </w:tc>
        <w:tc>
          <w:tcPr>
            <w:tcW w:w="1429" w:type="pct"/>
            <w:vMerge w:val="restart"/>
            <w:tcBorders>
              <w:top w:val="single" w:color="auto" w:sz="4" w:space="0"/>
              <w:bottom w:val="single" w:color="auto" w:sz="4" w:space="0"/>
            </w:tcBorders>
            <w:noWrap w:val="0"/>
            <w:vAlign w:val="center"/>
          </w:tcPr>
          <w:p w14:paraId="4526812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ascii="宋体" w:hAnsi="宋体" w:eastAsia="宋体" w:cs="宋体"/>
                <w:color w:val="000000"/>
                <w:sz w:val="24"/>
                <w:szCs w:val="24"/>
              </w:rPr>
              <w:t>第二十三条</w:t>
            </w:r>
            <w:r>
              <w:rPr>
                <w:rFonts w:hint="eastAsia" w:ascii="宋体" w:hAnsi="宋体" w:cs="宋体"/>
                <w:color w:val="000000"/>
                <w:sz w:val="24"/>
                <w:szCs w:val="24"/>
                <w:lang w:val="en-US" w:eastAsia="zh-CN"/>
              </w:rPr>
              <w:t xml:space="preserve"> </w:t>
            </w:r>
            <w:r>
              <w:rPr>
                <w:rFonts w:ascii="宋体" w:hAnsi="宋体" w:eastAsia="宋体" w:cs="宋体"/>
                <w:color w:val="000000"/>
                <w:sz w:val="24"/>
                <w:szCs w:val="24"/>
              </w:rPr>
              <w:t>经营者违反本法第七条规定实施混淆行为或者帮助他人实施混淆行为的，由监督检查部门责令停止违法行为，没收违法商品。违法经营额五万元以上的，可以并处违法经营额五倍以下的罚款；没有违法经营额或者违法经营额不足五万元的，可以并处二十五万元以下的罚款；情节严重的，并处吊销营业执照。</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49CE9FE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41D9458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没有违法经营额或者违法经营额5万元以下的。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447C51D9">
            <w:pPr>
              <w:keepNext w:val="0"/>
              <w:keepLines w:val="0"/>
              <w:pageBreakBefore w:val="0"/>
              <w:widowControl/>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责令停止违法行为，没收违法商品，可以</w:t>
            </w:r>
            <w:r>
              <w:rPr>
                <w:rFonts w:hint="eastAsia" w:ascii="宋体" w:hAnsi="宋体" w:cs="宋体"/>
                <w:b w:val="0"/>
                <w:bCs w:val="0"/>
                <w:color w:val="000000"/>
                <w:kern w:val="0"/>
                <w:sz w:val="24"/>
                <w:szCs w:val="24"/>
                <w:highlight w:val="none"/>
                <w:lang w:val="en-US" w:eastAsia="zh-CN"/>
              </w:rPr>
              <w:t>并</w:t>
            </w:r>
            <w:r>
              <w:rPr>
                <w:rFonts w:hint="eastAsia" w:ascii="宋体" w:hAnsi="宋体" w:eastAsia="宋体" w:cs="宋体"/>
                <w:b w:val="0"/>
                <w:bCs w:val="0"/>
                <w:color w:val="000000"/>
                <w:kern w:val="0"/>
                <w:sz w:val="24"/>
                <w:szCs w:val="24"/>
                <w:highlight w:val="none"/>
              </w:rPr>
              <w:t>处25万元以下罚款。</w:t>
            </w:r>
          </w:p>
        </w:tc>
      </w:tr>
      <w:tr w14:paraId="2394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268" w:type="pct"/>
            <w:vMerge w:val="continue"/>
            <w:tcBorders>
              <w:top w:val="single" w:color="auto" w:sz="4" w:space="0"/>
              <w:bottom w:val="single" w:color="auto" w:sz="4" w:space="0"/>
            </w:tcBorders>
            <w:noWrap w:val="0"/>
            <w:vAlign w:val="center"/>
          </w:tcPr>
          <w:p w14:paraId="31AE3387">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center"/>
          </w:tcPr>
          <w:p w14:paraId="2FDCF8F1">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center"/>
          </w:tcPr>
          <w:p w14:paraId="1A30549B">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6D842AC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5CB3124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违法经营额在5万元以上</w:t>
            </w:r>
            <w:r>
              <w:rPr>
                <w:rFonts w:hint="eastAsia" w:ascii="宋体" w:hAnsi="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0万元以下的。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3163D907">
            <w:pPr>
              <w:keepNext w:val="0"/>
              <w:keepLines w:val="0"/>
              <w:pageBreakBefore w:val="0"/>
              <w:widowControl/>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责令停止违法行为，没收违法商品，可以并处违法经营额1倍以上2倍以下罚款。</w:t>
            </w:r>
          </w:p>
        </w:tc>
      </w:tr>
      <w:tr w14:paraId="6EB83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1" w:hRule="atLeast"/>
        </w:trPr>
        <w:tc>
          <w:tcPr>
            <w:tcW w:w="268" w:type="pct"/>
            <w:vMerge w:val="continue"/>
            <w:tcBorders>
              <w:top w:val="single" w:color="auto" w:sz="4" w:space="0"/>
              <w:bottom w:val="single" w:color="auto" w:sz="4" w:space="0"/>
            </w:tcBorders>
            <w:noWrap w:val="0"/>
            <w:vAlign w:val="center"/>
          </w:tcPr>
          <w:p w14:paraId="2FDC2314">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center"/>
          </w:tcPr>
          <w:p w14:paraId="73B14558">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center"/>
          </w:tcPr>
          <w:p w14:paraId="3A9CF70E">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2F5C486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346CBAA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违法经营额在</w:t>
            </w:r>
            <w:r>
              <w:rPr>
                <w:rFonts w:hint="eastAsia" w:ascii="宋体" w:hAnsi="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0万元以上</w:t>
            </w:r>
            <w:r>
              <w:rPr>
                <w:rFonts w:hint="eastAsia" w:ascii="宋体" w:hAnsi="宋体" w:cs="宋体"/>
                <w:b w:val="0"/>
                <w:bCs w:val="0"/>
                <w:color w:val="000000"/>
                <w:kern w:val="0"/>
                <w:sz w:val="24"/>
                <w:szCs w:val="24"/>
                <w:highlight w:val="none"/>
                <w:lang w:val="en-US" w:eastAsia="zh-CN"/>
              </w:rPr>
              <w:t>10</w:t>
            </w:r>
            <w:r>
              <w:rPr>
                <w:rFonts w:hint="eastAsia" w:ascii="宋体" w:hAnsi="宋体" w:eastAsia="宋体" w:cs="宋体"/>
                <w:b w:val="0"/>
                <w:bCs w:val="0"/>
                <w:color w:val="000000"/>
                <w:kern w:val="0"/>
                <w:sz w:val="24"/>
                <w:szCs w:val="24"/>
                <w:highlight w:val="none"/>
              </w:rPr>
              <w:t>0万元以下的。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009C4703">
            <w:pPr>
              <w:keepNext w:val="0"/>
              <w:keepLines w:val="0"/>
              <w:pageBreakBefore w:val="0"/>
              <w:widowControl/>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责令停止违法行为，没收违法商品，可以并处违法经营额2倍以上5倍以下罚款。</w:t>
            </w:r>
          </w:p>
        </w:tc>
      </w:tr>
      <w:tr w14:paraId="65DA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7" w:hRule="atLeast"/>
        </w:trPr>
        <w:tc>
          <w:tcPr>
            <w:tcW w:w="268" w:type="pct"/>
            <w:vMerge w:val="continue"/>
            <w:tcBorders>
              <w:top w:val="single" w:color="auto" w:sz="4" w:space="0"/>
              <w:bottom w:val="single" w:color="auto" w:sz="4" w:space="0"/>
            </w:tcBorders>
            <w:noWrap w:val="0"/>
            <w:vAlign w:val="center"/>
          </w:tcPr>
          <w:p w14:paraId="45D1A93F">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center"/>
          </w:tcPr>
          <w:p w14:paraId="5D8E744A">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center"/>
          </w:tcPr>
          <w:p w14:paraId="66D436A5">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5A07608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严重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2385FC5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违法经营额在</w:t>
            </w:r>
            <w:r>
              <w:rPr>
                <w:rFonts w:hint="eastAsia" w:ascii="宋体" w:hAnsi="宋体" w:cs="宋体"/>
                <w:b w:val="0"/>
                <w:bCs w:val="0"/>
                <w:color w:val="000000"/>
                <w:kern w:val="0"/>
                <w:sz w:val="24"/>
                <w:szCs w:val="24"/>
                <w:highlight w:val="none"/>
                <w:lang w:val="en-US" w:eastAsia="zh-CN"/>
              </w:rPr>
              <w:t>10</w:t>
            </w:r>
            <w:r>
              <w:rPr>
                <w:rFonts w:hint="eastAsia" w:ascii="宋体" w:hAnsi="宋体" w:eastAsia="宋体" w:cs="宋体"/>
                <w:b w:val="0"/>
                <w:bCs w:val="0"/>
                <w:color w:val="000000"/>
                <w:kern w:val="0"/>
                <w:sz w:val="24"/>
                <w:szCs w:val="24"/>
                <w:highlight w:val="none"/>
              </w:rPr>
              <w:t>0万元以上，或者造成重大社会影响的。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7AE471FC">
            <w:pPr>
              <w:keepNext w:val="0"/>
              <w:keepLines w:val="0"/>
              <w:pageBreakBefore w:val="0"/>
              <w:widowControl/>
              <w:kinsoku/>
              <w:wordWrap/>
              <w:overflowPunct/>
              <w:topLinePunct w:val="0"/>
              <w:autoSpaceDE/>
              <w:autoSpaceDN/>
              <w:bidi w:val="0"/>
              <w:adjustRightInd/>
              <w:snapToGrid/>
              <w:spacing w:line="39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责令停止违法行为，没收违法商品，可以处违法经营额5倍罚款</w:t>
            </w:r>
            <w:r>
              <w:rPr>
                <w:rFonts w:hint="eastAsia" w:ascii="宋体" w:hAnsi="宋体" w:cs="宋体"/>
                <w:b w:val="0"/>
                <w:bCs w:val="0"/>
                <w:color w:val="000000"/>
                <w:kern w:val="0"/>
                <w:sz w:val="24"/>
                <w:szCs w:val="24"/>
                <w:highlight w:val="none"/>
                <w:lang w:eastAsia="zh-CN"/>
              </w:rPr>
              <w:t>，</w:t>
            </w:r>
            <w:r>
              <w:rPr>
                <w:rFonts w:hint="eastAsia" w:ascii="宋体" w:hAnsi="宋体" w:cs="宋体"/>
                <w:b w:val="0"/>
                <w:bCs w:val="0"/>
                <w:color w:val="000000"/>
                <w:kern w:val="0"/>
                <w:sz w:val="24"/>
                <w:szCs w:val="24"/>
                <w:highlight w:val="none"/>
                <w:lang w:val="en-US" w:eastAsia="zh-CN"/>
              </w:rPr>
              <w:t>并处</w:t>
            </w:r>
            <w:r>
              <w:rPr>
                <w:rFonts w:hint="eastAsia" w:ascii="宋体" w:hAnsi="宋体" w:eastAsia="宋体" w:cs="宋体"/>
                <w:b w:val="0"/>
                <w:bCs w:val="0"/>
                <w:color w:val="000000"/>
                <w:kern w:val="0"/>
                <w:sz w:val="24"/>
                <w:szCs w:val="24"/>
                <w:highlight w:val="none"/>
              </w:rPr>
              <w:t>吊销营业执照。</w:t>
            </w:r>
          </w:p>
        </w:tc>
      </w:tr>
      <w:tr w14:paraId="3B99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268" w:type="pct"/>
            <w:vMerge w:val="restart"/>
            <w:tcBorders>
              <w:top w:val="single" w:color="auto" w:sz="4" w:space="0"/>
              <w:bottom w:val="single" w:color="auto" w:sz="4" w:space="0"/>
            </w:tcBorders>
            <w:noWrap w:val="0"/>
            <w:vAlign w:val="center"/>
          </w:tcPr>
          <w:p w14:paraId="04EDD4FB">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rPr>
              <w:t>3</w:t>
            </w:r>
            <w:r>
              <w:rPr>
                <w:rFonts w:hint="eastAsia" w:ascii="宋体" w:hAnsi="宋体" w:cs="宋体"/>
                <w:b w:val="0"/>
                <w:bCs w:val="0"/>
                <w:color w:val="000000"/>
                <w:kern w:val="0"/>
                <w:sz w:val="24"/>
                <w:szCs w:val="24"/>
                <w:highlight w:val="none"/>
                <w:lang w:val="en-US" w:eastAsia="zh-CN"/>
              </w:rPr>
              <w:t>53</w:t>
            </w:r>
          </w:p>
        </w:tc>
        <w:tc>
          <w:tcPr>
            <w:tcW w:w="613" w:type="pct"/>
            <w:vMerge w:val="restart"/>
            <w:tcBorders>
              <w:top w:val="single" w:color="auto" w:sz="4" w:space="0"/>
              <w:bottom w:val="single" w:color="auto" w:sz="4" w:space="0"/>
            </w:tcBorders>
            <w:noWrap w:val="0"/>
            <w:vAlign w:val="center"/>
          </w:tcPr>
          <w:p w14:paraId="050BD738">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《中华人民共和国反不正当竞争法》</w:t>
            </w:r>
          </w:p>
        </w:tc>
        <w:tc>
          <w:tcPr>
            <w:tcW w:w="1429" w:type="pct"/>
            <w:vMerge w:val="restart"/>
            <w:tcBorders>
              <w:top w:val="single" w:color="auto" w:sz="4" w:space="0"/>
              <w:bottom w:val="single" w:color="auto" w:sz="4" w:space="0"/>
            </w:tcBorders>
            <w:noWrap w:val="0"/>
            <w:vAlign w:val="center"/>
          </w:tcPr>
          <w:p w14:paraId="6EB85496">
            <w:pPr>
              <w:keepNext w:val="0"/>
              <w:keepLines w:val="0"/>
              <w:pageBreakBefore w:val="0"/>
              <w:widowControl/>
              <w:kinsoku/>
              <w:wordWrap/>
              <w:overflowPunct/>
              <w:topLinePunct w:val="0"/>
              <w:autoSpaceDE/>
              <w:autoSpaceDN/>
              <w:bidi w:val="0"/>
              <w:adjustRightInd/>
              <w:snapToGrid/>
              <w:spacing w:line="380" w:lineRule="exact"/>
              <w:jc w:val="both"/>
              <w:textAlignment w:val="auto"/>
              <w:rPr>
                <w:rFonts w:hint="eastAsia" w:ascii="宋体" w:hAnsi="宋体" w:eastAsia="宋体" w:cs="宋体"/>
                <w:b w:val="0"/>
                <w:bCs w:val="0"/>
                <w:color w:val="000000"/>
                <w:kern w:val="0"/>
                <w:sz w:val="24"/>
                <w:szCs w:val="24"/>
                <w:highlight w:val="none"/>
              </w:rPr>
            </w:pPr>
            <w:r>
              <w:rPr>
                <w:rFonts w:ascii="宋体" w:hAnsi="宋体" w:eastAsia="宋体" w:cs="宋体"/>
                <w:color w:val="000000"/>
                <w:sz w:val="24"/>
                <w:szCs w:val="24"/>
              </w:rPr>
              <w:t>第二十四条</w:t>
            </w:r>
            <w:r>
              <w:rPr>
                <w:rFonts w:hint="eastAsia" w:ascii="宋体" w:hAnsi="宋体" w:cs="宋体"/>
                <w:color w:val="000000"/>
                <w:sz w:val="24"/>
                <w:szCs w:val="24"/>
                <w:lang w:val="en-US" w:eastAsia="zh-CN"/>
              </w:rPr>
              <w:t xml:space="preserve">第一款 </w:t>
            </w:r>
            <w:r>
              <w:rPr>
                <w:rFonts w:ascii="宋体" w:hAnsi="宋体" w:eastAsia="宋体" w:cs="宋体"/>
                <w:color w:val="000000"/>
                <w:sz w:val="24"/>
                <w:szCs w:val="24"/>
              </w:rPr>
              <w:t>有关单位违反本法第八条规定贿赂他人或者收受贿赂的，由监督检查部门没收违法所得，处十万元以上一百万元以下的罚款；情节严重的，处一百万元以上五百万元以下的罚款，可以并处吊销营业执照。</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633B4F7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66D69556">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cs="宋体"/>
                <w:color w:val="000000"/>
                <w:sz w:val="24"/>
                <w:szCs w:val="24"/>
                <w:lang w:val="en-US" w:eastAsia="zh-CN"/>
              </w:rPr>
              <w:t>涉案交易额</w:t>
            </w:r>
            <w:r>
              <w:rPr>
                <w:rFonts w:hint="eastAsia" w:ascii="宋体" w:hAnsi="宋体" w:eastAsia="宋体" w:cs="宋体"/>
                <w:b w:val="0"/>
                <w:bCs w:val="0"/>
                <w:color w:val="000000"/>
                <w:kern w:val="0"/>
                <w:sz w:val="24"/>
                <w:szCs w:val="24"/>
                <w:highlight w:val="none"/>
              </w:rPr>
              <w:t>在</w:t>
            </w:r>
            <w:r>
              <w:rPr>
                <w:rFonts w:hint="eastAsia" w:ascii="宋体" w:hAnsi="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11503016">
            <w:pPr>
              <w:keepNext w:val="0"/>
              <w:keepLines w:val="0"/>
              <w:pageBreakBefore w:val="0"/>
              <w:widowControl/>
              <w:kinsoku/>
              <w:wordWrap/>
              <w:overflowPunct/>
              <w:topLinePunct w:val="0"/>
              <w:autoSpaceDE/>
              <w:autoSpaceDN/>
              <w:bidi w:val="0"/>
              <w:adjustRightInd/>
              <w:snapToGrid/>
              <w:spacing w:line="37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没收违法所得，处10万元以上</w:t>
            </w:r>
            <w:r>
              <w:rPr>
                <w:rFonts w:hint="eastAsia" w:ascii="宋体" w:hAnsi="宋体" w:cs="宋体"/>
                <w:b w:val="0"/>
                <w:bCs w:val="0"/>
                <w:color w:val="000000"/>
                <w:kern w:val="0"/>
                <w:sz w:val="24"/>
                <w:szCs w:val="24"/>
                <w:highlight w:val="none"/>
                <w:lang w:val="en-US" w:eastAsia="zh-CN"/>
              </w:rPr>
              <w:t>37</w:t>
            </w:r>
            <w:r>
              <w:rPr>
                <w:rFonts w:hint="eastAsia" w:ascii="宋体" w:hAnsi="宋体" w:eastAsia="宋体" w:cs="宋体"/>
                <w:b w:val="0"/>
                <w:bCs w:val="0"/>
                <w:color w:val="000000"/>
                <w:kern w:val="0"/>
                <w:sz w:val="24"/>
                <w:szCs w:val="24"/>
                <w:highlight w:val="none"/>
              </w:rPr>
              <w:t>万以下元罚款。</w:t>
            </w:r>
          </w:p>
        </w:tc>
      </w:tr>
      <w:tr w14:paraId="196D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268" w:type="pct"/>
            <w:vMerge w:val="continue"/>
            <w:tcBorders>
              <w:top w:val="single" w:color="auto" w:sz="4" w:space="0"/>
              <w:bottom w:val="single" w:color="auto" w:sz="4" w:space="0"/>
            </w:tcBorders>
            <w:noWrap w:val="0"/>
            <w:vAlign w:val="center"/>
          </w:tcPr>
          <w:p w14:paraId="7A33ABD8">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center"/>
          </w:tcPr>
          <w:p w14:paraId="11AC3F1D">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center"/>
          </w:tcPr>
          <w:p w14:paraId="7DD9CEE1">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6DE16CB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2FB69A17">
            <w:pPr>
              <w:keepNext w:val="0"/>
              <w:keepLines w:val="0"/>
              <w:pageBreakBefore w:val="0"/>
              <w:kinsoku/>
              <w:wordWrap/>
              <w:overflowPunct/>
              <w:topLinePunct w:val="0"/>
              <w:autoSpaceDE/>
              <w:autoSpaceDN/>
              <w:bidi w:val="0"/>
              <w:adjustRightInd/>
              <w:snapToGrid/>
              <w:spacing w:line="37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cs="宋体"/>
                <w:color w:val="000000"/>
                <w:sz w:val="24"/>
                <w:szCs w:val="24"/>
                <w:lang w:val="en-US" w:eastAsia="zh-CN"/>
              </w:rPr>
              <w:t>涉案交易额</w:t>
            </w:r>
            <w:r>
              <w:rPr>
                <w:rFonts w:hint="eastAsia" w:ascii="宋体" w:hAnsi="宋体" w:eastAsia="宋体" w:cs="宋体"/>
                <w:b w:val="0"/>
                <w:bCs w:val="0"/>
                <w:color w:val="000000"/>
                <w:kern w:val="0"/>
                <w:sz w:val="24"/>
                <w:szCs w:val="24"/>
                <w:highlight w:val="none"/>
              </w:rPr>
              <w:t>在</w:t>
            </w:r>
            <w:r>
              <w:rPr>
                <w:rFonts w:hint="eastAsia" w:ascii="宋体" w:hAnsi="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万元以上</w:t>
            </w:r>
            <w:r>
              <w:rPr>
                <w:rFonts w:hint="eastAsia" w:ascii="宋体" w:hAnsi="宋体" w:cs="宋体"/>
                <w:b w:val="0"/>
                <w:bCs w:val="0"/>
                <w:color w:val="000000"/>
                <w:kern w:val="0"/>
                <w:sz w:val="24"/>
                <w:szCs w:val="24"/>
                <w:highlight w:val="none"/>
                <w:lang w:val="en-US" w:eastAsia="zh-CN"/>
              </w:rPr>
              <w:t>50</w:t>
            </w:r>
            <w:r>
              <w:rPr>
                <w:rFonts w:hint="eastAsia" w:ascii="宋体" w:hAnsi="宋体" w:eastAsia="宋体" w:cs="宋体"/>
                <w:b w:val="0"/>
                <w:bCs w:val="0"/>
                <w:color w:val="000000"/>
                <w:kern w:val="0"/>
                <w:sz w:val="24"/>
                <w:szCs w:val="24"/>
                <w:highlight w:val="none"/>
              </w:rPr>
              <w:t>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74A3B53C">
            <w:pPr>
              <w:keepNext w:val="0"/>
              <w:keepLines w:val="0"/>
              <w:pageBreakBefore w:val="0"/>
              <w:widowControl/>
              <w:kinsoku/>
              <w:wordWrap/>
              <w:overflowPunct/>
              <w:topLinePunct w:val="0"/>
              <w:autoSpaceDE/>
              <w:autoSpaceDN/>
              <w:bidi w:val="0"/>
              <w:adjustRightInd/>
              <w:snapToGrid/>
              <w:spacing w:line="37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没收违法所得，处</w:t>
            </w:r>
            <w:r>
              <w:rPr>
                <w:rFonts w:hint="eastAsia" w:ascii="宋体" w:hAnsi="宋体" w:cs="宋体"/>
                <w:b w:val="0"/>
                <w:bCs w:val="0"/>
                <w:color w:val="000000"/>
                <w:kern w:val="0"/>
                <w:sz w:val="24"/>
                <w:szCs w:val="24"/>
                <w:highlight w:val="none"/>
                <w:lang w:val="en-US" w:eastAsia="zh-CN"/>
              </w:rPr>
              <w:t>37</w:t>
            </w:r>
            <w:r>
              <w:rPr>
                <w:rFonts w:hint="eastAsia" w:ascii="宋体" w:hAnsi="宋体" w:eastAsia="宋体" w:cs="宋体"/>
                <w:b w:val="0"/>
                <w:bCs w:val="0"/>
                <w:color w:val="000000"/>
                <w:kern w:val="0"/>
                <w:sz w:val="24"/>
                <w:szCs w:val="24"/>
                <w:highlight w:val="none"/>
              </w:rPr>
              <w:t>万元以上</w:t>
            </w:r>
            <w:r>
              <w:rPr>
                <w:rFonts w:hint="eastAsia" w:ascii="宋体" w:hAnsi="宋体" w:cs="宋体"/>
                <w:b w:val="0"/>
                <w:bCs w:val="0"/>
                <w:color w:val="000000"/>
                <w:kern w:val="0"/>
                <w:sz w:val="24"/>
                <w:szCs w:val="24"/>
                <w:highlight w:val="none"/>
                <w:lang w:val="en-US" w:eastAsia="zh-CN"/>
              </w:rPr>
              <w:t>73</w:t>
            </w:r>
            <w:r>
              <w:rPr>
                <w:rFonts w:hint="eastAsia" w:ascii="宋体" w:hAnsi="宋体" w:eastAsia="宋体" w:cs="宋体"/>
                <w:b w:val="0"/>
                <w:bCs w:val="0"/>
                <w:color w:val="000000"/>
                <w:kern w:val="0"/>
                <w:sz w:val="24"/>
                <w:szCs w:val="24"/>
                <w:highlight w:val="none"/>
              </w:rPr>
              <w:t>万元以下罚款。</w:t>
            </w:r>
          </w:p>
        </w:tc>
      </w:tr>
      <w:tr w14:paraId="6F18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268" w:type="pct"/>
            <w:vMerge w:val="continue"/>
            <w:tcBorders>
              <w:top w:val="single" w:color="auto" w:sz="4" w:space="0"/>
              <w:bottom w:val="single" w:color="auto" w:sz="4" w:space="0"/>
            </w:tcBorders>
            <w:noWrap w:val="0"/>
            <w:vAlign w:val="center"/>
          </w:tcPr>
          <w:p w14:paraId="217BA1CB">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center"/>
          </w:tcPr>
          <w:p w14:paraId="4F18246D">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center"/>
          </w:tcPr>
          <w:p w14:paraId="203B3B38">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258D9BF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43424D2C">
            <w:pPr>
              <w:keepNext w:val="0"/>
              <w:keepLines w:val="0"/>
              <w:pageBreakBefore w:val="0"/>
              <w:kinsoku/>
              <w:wordWrap/>
              <w:overflowPunct/>
              <w:topLinePunct w:val="0"/>
              <w:autoSpaceDE/>
              <w:autoSpaceDN/>
              <w:bidi w:val="0"/>
              <w:adjustRightInd/>
              <w:snapToGrid/>
              <w:spacing w:line="370" w:lineRule="exact"/>
              <w:textAlignment w:val="auto"/>
              <w:rPr>
                <w:rFonts w:hint="eastAsia" w:ascii="宋体" w:hAnsi="宋体" w:eastAsia="宋体" w:cs="宋体"/>
                <w:b w:val="0"/>
                <w:bCs w:val="0"/>
                <w:strike/>
                <w:color w:val="000000"/>
                <w:kern w:val="0"/>
                <w:sz w:val="24"/>
                <w:szCs w:val="24"/>
                <w:highlight w:val="none"/>
              </w:rPr>
            </w:pPr>
            <w:r>
              <w:rPr>
                <w:rFonts w:hint="eastAsia" w:ascii="宋体" w:hAnsi="宋体" w:cs="宋体"/>
                <w:color w:val="000000"/>
                <w:sz w:val="24"/>
                <w:szCs w:val="24"/>
                <w:lang w:val="en-US" w:eastAsia="zh-CN"/>
              </w:rPr>
              <w:t>涉案交易额</w:t>
            </w:r>
            <w:r>
              <w:rPr>
                <w:rFonts w:hint="eastAsia" w:ascii="宋体" w:hAnsi="宋体" w:eastAsia="宋体" w:cs="宋体"/>
                <w:b w:val="0"/>
                <w:bCs w:val="0"/>
                <w:color w:val="000000"/>
                <w:kern w:val="0"/>
                <w:sz w:val="24"/>
                <w:szCs w:val="24"/>
                <w:highlight w:val="none"/>
              </w:rPr>
              <w:t>在</w:t>
            </w:r>
            <w:r>
              <w:rPr>
                <w:rFonts w:hint="eastAsia" w:ascii="宋体" w:hAnsi="宋体" w:cs="宋体"/>
                <w:b w:val="0"/>
                <w:bCs w:val="0"/>
                <w:color w:val="000000"/>
                <w:kern w:val="0"/>
                <w:sz w:val="24"/>
                <w:szCs w:val="24"/>
                <w:highlight w:val="none"/>
                <w:lang w:val="en-US" w:eastAsia="zh-CN"/>
              </w:rPr>
              <w:t>50</w:t>
            </w:r>
            <w:r>
              <w:rPr>
                <w:rFonts w:hint="eastAsia" w:ascii="宋体" w:hAnsi="宋体" w:eastAsia="宋体" w:cs="宋体"/>
                <w:b w:val="0"/>
                <w:bCs w:val="0"/>
                <w:color w:val="000000"/>
                <w:kern w:val="0"/>
                <w:sz w:val="24"/>
                <w:szCs w:val="24"/>
                <w:highlight w:val="none"/>
              </w:rPr>
              <w:t>万元以上</w:t>
            </w:r>
            <w:r>
              <w:rPr>
                <w:rFonts w:hint="eastAsia" w:ascii="宋体" w:hAnsi="宋体" w:cs="宋体"/>
                <w:b w:val="0"/>
                <w:bCs w:val="0"/>
                <w:color w:val="000000"/>
                <w:kern w:val="0"/>
                <w:sz w:val="24"/>
                <w:szCs w:val="24"/>
                <w:highlight w:val="none"/>
                <w:lang w:val="en-US" w:eastAsia="zh-CN"/>
              </w:rPr>
              <w:t>1</w:t>
            </w:r>
            <w:r>
              <w:rPr>
                <w:rFonts w:hint="eastAsia" w:ascii="宋体" w:hAnsi="宋体" w:eastAsia="宋体" w:cs="宋体"/>
                <w:b w:val="0"/>
                <w:bCs w:val="0"/>
                <w:color w:val="000000"/>
                <w:kern w:val="0"/>
                <w:sz w:val="24"/>
                <w:szCs w:val="24"/>
                <w:highlight w:val="none"/>
              </w:rPr>
              <w:t>00万元以下的。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1DC870C1">
            <w:pPr>
              <w:keepNext w:val="0"/>
              <w:keepLines w:val="0"/>
              <w:pageBreakBefore w:val="0"/>
              <w:widowControl/>
              <w:kinsoku/>
              <w:wordWrap/>
              <w:overflowPunct/>
              <w:topLinePunct w:val="0"/>
              <w:autoSpaceDE/>
              <w:autoSpaceDN/>
              <w:bidi w:val="0"/>
              <w:adjustRightInd/>
              <w:snapToGrid/>
              <w:spacing w:line="37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没收违法所得，处</w:t>
            </w:r>
            <w:r>
              <w:rPr>
                <w:rFonts w:hint="eastAsia" w:ascii="宋体" w:hAnsi="宋体" w:cs="宋体"/>
                <w:b w:val="0"/>
                <w:bCs w:val="0"/>
                <w:color w:val="000000"/>
                <w:kern w:val="0"/>
                <w:sz w:val="24"/>
                <w:szCs w:val="24"/>
                <w:highlight w:val="none"/>
                <w:lang w:val="en-US" w:eastAsia="zh-CN"/>
              </w:rPr>
              <w:t>73</w:t>
            </w:r>
            <w:r>
              <w:rPr>
                <w:rFonts w:hint="eastAsia" w:ascii="宋体" w:hAnsi="宋体" w:eastAsia="宋体" w:cs="宋体"/>
                <w:b w:val="0"/>
                <w:bCs w:val="0"/>
                <w:color w:val="000000"/>
                <w:kern w:val="0"/>
                <w:sz w:val="24"/>
                <w:szCs w:val="24"/>
                <w:highlight w:val="none"/>
              </w:rPr>
              <w:t>万元以上</w:t>
            </w:r>
            <w:r>
              <w:rPr>
                <w:rFonts w:hint="eastAsia" w:ascii="宋体" w:hAnsi="宋体" w:cs="宋体"/>
                <w:b w:val="0"/>
                <w:bCs w:val="0"/>
                <w:color w:val="000000"/>
                <w:kern w:val="0"/>
                <w:sz w:val="24"/>
                <w:szCs w:val="24"/>
                <w:highlight w:val="none"/>
                <w:lang w:val="en-US" w:eastAsia="zh-CN"/>
              </w:rPr>
              <w:t>1</w:t>
            </w:r>
            <w:r>
              <w:rPr>
                <w:rFonts w:hint="eastAsia" w:ascii="宋体" w:hAnsi="宋体" w:eastAsia="宋体" w:cs="宋体"/>
                <w:b w:val="0"/>
                <w:bCs w:val="0"/>
                <w:color w:val="000000"/>
                <w:kern w:val="0"/>
                <w:sz w:val="24"/>
                <w:szCs w:val="24"/>
                <w:highlight w:val="none"/>
              </w:rPr>
              <w:t>00万元以下罚款。</w:t>
            </w:r>
          </w:p>
        </w:tc>
      </w:tr>
      <w:tr w14:paraId="0E676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268" w:type="pct"/>
            <w:vMerge w:val="continue"/>
            <w:tcBorders>
              <w:top w:val="single" w:color="auto" w:sz="4" w:space="0"/>
              <w:bottom w:val="single" w:color="auto" w:sz="4" w:space="0"/>
            </w:tcBorders>
            <w:noWrap w:val="0"/>
            <w:vAlign w:val="center"/>
          </w:tcPr>
          <w:p w14:paraId="132FA3DE">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center"/>
          </w:tcPr>
          <w:p w14:paraId="37FBB451">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center"/>
          </w:tcPr>
          <w:p w14:paraId="619760A7">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4DE0D98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严重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7B287817">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cs="宋体"/>
                <w:color w:val="000000"/>
                <w:sz w:val="24"/>
                <w:szCs w:val="24"/>
                <w:lang w:val="en-US" w:eastAsia="zh-CN"/>
              </w:rPr>
              <w:t>涉案交易额</w:t>
            </w:r>
            <w:r>
              <w:rPr>
                <w:rFonts w:hint="eastAsia" w:ascii="宋体" w:hAnsi="宋体" w:eastAsia="宋体" w:cs="宋体"/>
                <w:b w:val="0"/>
                <w:bCs w:val="0"/>
                <w:color w:val="000000"/>
                <w:kern w:val="0"/>
                <w:sz w:val="24"/>
                <w:szCs w:val="24"/>
                <w:highlight w:val="none"/>
              </w:rPr>
              <w:t>在</w:t>
            </w:r>
            <w:r>
              <w:rPr>
                <w:rFonts w:hint="eastAsia" w:ascii="宋体" w:hAnsi="宋体" w:cs="宋体"/>
                <w:b w:val="0"/>
                <w:bCs w:val="0"/>
                <w:color w:val="000000"/>
                <w:kern w:val="0"/>
                <w:sz w:val="24"/>
                <w:szCs w:val="24"/>
                <w:highlight w:val="none"/>
                <w:lang w:val="en-US" w:eastAsia="zh-CN"/>
              </w:rPr>
              <w:t>1</w:t>
            </w:r>
            <w:r>
              <w:rPr>
                <w:rFonts w:hint="eastAsia" w:ascii="宋体" w:hAnsi="宋体" w:eastAsia="宋体" w:cs="宋体"/>
                <w:b w:val="0"/>
                <w:bCs w:val="0"/>
                <w:color w:val="000000"/>
                <w:kern w:val="0"/>
                <w:sz w:val="24"/>
                <w:szCs w:val="24"/>
                <w:highlight w:val="none"/>
              </w:rPr>
              <w:t>00万元以上的</w:t>
            </w:r>
            <w:r>
              <w:rPr>
                <w:rFonts w:hint="eastAsia" w:ascii="宋体" w:hAnsi="宋体" w:cs="宋体"/>
                <w:b w:val="0"/>
                <w:bCs w:val="0"/>
                <w:color w:val="000000"/>
                <w:kern w:val="0"/>
                <w:sz w:val="24"/>
                <w:szCs w:val="24"/>
                <w:highlight w:val="none"/>
                <w:lang w:eastAsia="zh-CN"/>
              </w:rPr>
              <w:t>。</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24D9F030">
            <w:pPr>
              <w:keepNext w:val="0"/>
              <w:keepLines w:val="0"/>
              <w:pageBreakBefore w:val="0"/>
              <w:widowControl/>
              <w:kinsoku/>
              <w:wordWrap/>
              <w:overflowPunct/>
              <w:topLinePunct w:val="0"/>
              <w:autoSpaceDE/>
              <w:autoSpaceDN/>
              <w:bidi w:val="0"/>
              <w:adjustRightInd/>
              <w:snapToGrid/>
              <w:spacing w:line="37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没收违法所得</w:t>
            </w:r>
            <w:r>
              <w:rPr>
                <w:rFonts w:hint="eastAsia" w:ascii="宋体" w:hAnsi="宋体" w:eastAsia="宋体" w:cs="宋体"/>
                <w:b w:val="0"/>
                <w:bCs w:val="0"/>
                <w:strike w:val="0"/>
                <w:dstrike w:val="0"/>
                <w:color w:val="000000"/>
                <w:kern w:val="0"/>
                <w:sz w:val="24"/>
                <w:szCs w:val="24"/>
                <w:highlight w:val="none"/>
              </w:rPr>
              <w:t>，</w:t>
            </w:r>
            <w:r>
              <w:rPr>
                <w:rFonts w:hint="eastAsia" w:ascii="宋体" w:hAnsi="宋体" w:eastAsia="宋体" w:cs="宋体"/>
                <w:b w:val="0"/>
                <w:bCs w:val="0"/>
                <w:color w:val="000000"/>
                <w:kern w:val="0"/>
                <w:sz w:val="24"/>
                <w:szCs w:val="24"/>
                <w:highlight w:val="none"/>
              </w:rPr>
              <w:t>处</w:t>
            </w:r>
            <w:r>
              <w:rPr>
                <w:rFonts w:hint="eastAsia" w:ascii="宋体" w:hAnsi="宋体" w:cs="宋体"/>
                <w:b w:val="0"/>
                <w:bCs w:val="0"/>
                <w:color w:val="000000"/>
                <w:kern w:val="0"/>
                <w:sz w:val="24"/>
                <w:szCs w:val="24"/>
                <w:highlight w:val="none"/>
                <w:lang w:val="en-US" w:eastAsia="zh-CN"/>
              </w:rPr>
              <w:t>100</w:t>
            </w:r>
            <w:r>
              <w:rPr>
                <w:rFonts w:hint="eastAsia" w:ascii="宋体" w:hAnsi="宋体" w:eastAsia="宋体" w:cs="宋体"/>
                <w:b w:val="0"/>
                <w:bCs w:val="0"/>
                <w:color w:val="000000"/>
                <w:kern w:val="0"/>
                <w:sz w:val="24"/>
                <w:szCs w:val="24"/>
                <w:highlight w:val="none"/>
              </w:rPr>
              <w:t>万元以上</w:t>
            </w:r>
            <w:r>
              <w:rPr>
                <w:rFonts w:hint="eastAsia" w:ascii="宋体" w:hAnsi="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00万元以下罚款</w:t>
            </w:r>
            <w:r>
              <w:rPr>
                <w:rFonts w:hint="eastAsia" w:ascii="宋体" w:hAnsi="宋体" w:cs="宋体"/>
                <w:b w:val="0"/>
                <w:bCs w:val="0"/>
                <w:color w:val="000000"/>
                <w:kern w:val="0"/>
                <w:sz w:val="24"/>
                <w:szCs w:val="24"/>
                <w:highlight w:val="none"/>
                <w:lang w:eastAsia="zh-CN"/>
              </w:rPr>
              <w:t>，</w:t>
            </w:r>
            <w:r>
              <w:rPr>
                <w:rFonts w:ascii="宋体" w:hAnsi="宋体" w:eastAsia="宋体" w:cs="宋体"/>
                <w:color w:val="000000"/>
                <w:sz w:val="24"/>
                <w:szCs w:val="24"/>
              </w:rPr>
              <w:t>可以并处</w:t>
            </w:r>
            <w:r>
              <w:rPr>
                <w:rFonts w:hint="eastAsia" w:ascii="宋体" w:hAnsi="宋体" w:eastAsia="宋体" w:cs="宋体"/>
                <w:b w:val="0"/>
                <w:bCs w:val="0"/>
                <w:strike w:val="0"/>
                <w:dstrike w:val="0"/>
                <w:color w:val="000000"/>
                <w:kern w:val="0"/>
                <w:sz w:val="24"/>
                <w:szCs w:val="24"/>
                <w:highlight w:val="none"/>
              </w:rPr>
              <w:t>吊销营业执照</w:t>
            </w:r>
            <w:r>
              <w:rPr>
                <w:rFonts w:hint="eastAsia" w:ascii="宋体" w:hAnsi="宋体" w:eastAsia="宋体" w:cs="宋体"/>
                <w:b w:val="0"/>
                <w:bCs w:val="0"/>
                <w:strike w:val="0"/>
                <w:color w:val="000000"/>
                <w:kern w:val="0"/>
                <w:sz w:val="24"/>
                <w:szCs w:val="24"/>
                <w:highlight w:val="none"/>
              </w:rPr>
              <w:t>。</w:t>
            </w:r>
          </w:p>
        </w:tc>
      </w:tr>
      <w:tr w14:paraId="36BE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exact"/>
        </w:trPr>
        <w:tc>
          <w:tcPr>
            <w:tcW w:w="268" w:type="pct"/>
            <w:vMerge w:val="restart"/>
            <w:tcBorders>
              <w:top w:val="single" w:color="auto" w:sz="4" w:space="0"/>
              <w:bottom w:val="single" w:color="auto" w:sz="4" w:space="0"/>
            </w:tcBorders>
            <w:noWrap w:val="0"/>
            <w:vAlign w:val="center"/>
          </w:tcPr>
          <w:p w14:paraId="5B31A37B">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rPr>
              <w:t>3</w:t>
            </w:r>
            <w:r>
              <w:rPr>
                <w:rFonts w:hint="eastAsia" w:ascii="宋体" w:hAnsi="宋体" w:cs="宋体"/>
                <w:b w:val="0"/>
                <w:bCs w:val="0"/>
                <w:color w:val="000000"/>
                <w:kern w:val="0"/>
                <w:sz w:val="24"/>
                <w:szCs w:val="24"/>
                <w:highlight w:val="none"/>
                <w:lang w:val="en-US" w:eastAsia="zh-CN"/>
              </w:rPr>
              <w:t>54</w:t>
            </w:r>
          </w:p>
        </w:tc>
        <w:tc>
          <w:tcPr>
            <w:tcW w:w="613" w:type="pct"/>
            <w:vMerge w:val="restart"/>
            <w:tcBorders>
              <w:top w:val="single" w:color="auto" w:sz="4" w:space="0"/>
              <w:bottom w:val="single" w:color="auto" w:sz="4" w:space="0"/>
            </w:tcBorders>
            <w:noWrap w:val="0"/>
            <w:vAlign w:val="center"/>
          </w:tcPr>
          <w:p w14:paraId="60739D96">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《中华人民共和国反不正当竞争法》</w:t>
            </w:r>
          </w:p>
        </w:tc>
        <w:tc>
          <w:tcPr>
            <w:tcW w:w="1429" w:type="pct"/>
            <w:vMerge w:val="restart"/>
            <w:tcBorders>
              <w:top w:val="single" w:color="auto" w:sz="4" w:space="0"/>
              <w:bottom w:val="single" w:color="auto" w:sz="4" w:space="0"/>
            </w:tcBorders>
            <w:noWrap w:val="0"/>
            <w:vAlign w:val="center"/>
          </w:tcPr>
          <w:p w14:paraId="34FB56C4">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cs="宋体"/>
                <w:i w:val="0"/>
                <w:iCs w:val="0"/>
                <w:caps w:val="0"/>
                <w:color w:val="000000"/>
                <w:spacing w:val="0"/>
                <w:sz w:val="24"/>
                <w:szCs w:val="24"/>
                <w:shd w:val="clear" w:color="auto" w:fill="auto"/>
                <w:lang w:val="en-US" w:eastAsia="zh-CN"/>
              </w:rPr>
              <w:t xml:space="preserve">第二十四条第二款 </w:t>
            </w:r>
            <w:r>
              <w:rPr>
                <w:rFonts w:ascii="宋体" w:hAnsi="宋体" w:eastAsia="宋体" w:cs="宋体"/>
                <w:i w:val="0"/>
                <w:iCs w:val="0"/>
                <w:caps w:val="0"/>
                <w:color w:val="000000"/>
                <w:spacing w:val="0"/>
                <w:sz w:val="24"/>
                <w:szCs w:val="24"/>
                <w:shd w:val="clear" w:color="auto" w:fill="auto"/>
              </w:rPr>
              <w:t>经营者的法定代表人、主要负责人和直接责任人员对实施贿赂负有个人责任，以及有关个人收受贿赂的，由监督检查部门没收违法所得，处一百万元以下的罚款。</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7B1614C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6B739507">
            <w:pPr>
              <w:pStyle w:val="20"/>
              <w:spacing w:line="360" w:lineRule="exact"/>
              <w:ind w:firstLine="0" w:firstLineChars="0"/>
              <w:rPr>
                <w:rFonts w:hint="eastAsia" w:ascii="宋体" w:hAnsi="宋体" w:eastAsia="宋体" w:cs="宋体"/>
                <w:b w:val="0"/>
                <w:bCs w:val="0"/>
                <w:color w:val="000000"/>
                <w:kern w:val="0"/>
                <w:sz w:val="24"/>
                <w:szCs w:val="24"/>
                <w:highlight w:val="none"/>
              </w:rPr>
            </w:pPr>
            <w:r>
              <w:rPr>
                <w:rFonts w:hint="eastAsia" w:ascii="宋体" w:hAnsi="宋体" w:cs="宋体"/>
                <w:b w:val="0"/>
                <w:bCs w:val="0"/>
                <w:color w:val="000000"/>
                <w:kern w:val="0"/>
                <w:sz w:val="24"/>
                <w:szCs w:val="24"/>
                <w:highlight w:val="none"/>
                <w:lang w:val="en-US" w:eastAsia="zh-CN"/>
              </w:rPr>
              <w:t>涉案交易</w:t>
            </w:r>
            <w:r>
              <w:rPr>
                <w:rFonts w:hint="eastAsia" w:ascii="宋体" w:hAnsi="宋体" w:eastAsia="宋体" w:cs="宋体"/>
                <w:b w:val="0"/>
                <w:bCs w:val="0"/>
                <w:color w:val="000000"/>
                <w:kern w:val="0"/>
                <w:sz w:val="24"/>
                <w:szCs w:val="24"/>
                <w:highlight w:val="none"/>
              </w:rPr>
              <w:t>额在</w:t>
            </w:r>
            <w:r>
              <w:rPr>
                <w:rFonts w:hint="eastAsia" w:ascii="宋体" w:hAnsi="宋体" w:cs="宋体"/>
                <w:b w:val="0"/>
                <w:bCs w:val="0"/>
                <w:color w:val="000000"/>
                <w:kern w:val="0"/>
                <w:sz w:val="24"/>
                <w:szCs w:val="24"/>
                <w:highlight w:val="none"/>
                <w:lang w:val="en-US" w:eastAsia="zh-CN"/>
              </w:rPr>
              <w:t>3万</w:t>
            </w:r>
            <w:r>
              <w:rPr>
                <w:rFonts w:hint="eastAsia" w:ascii="宋体" w:hAnsi="宋体" w:eastAsia="宋体" w:cs="宋体"/>
                <w:b w:val="0"/>
                <w:bCs w:val="0"/>
                <w:color w:val="000000"/>
                <w:kern w:val="0"/>
                <w:sz w:val="24"/>
                <w:szCs w:val="24"/>
                <w:highlight w:val="none"/>
              </w:rPr>
              <w:t>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76803617">
            <w:pPr>
              <w:keepNext w:val="0"/>
              <w:keepLines w:val="0"/>
              <w:pageBreakBefore w:val="0"/>
              <w:widowControl/>
              <w:kinsoku/>
              <w:wordWrap/>
              <w:overflowPunct/>
              <w:topLinePunct w:val="0"/>
              <w:autoSpaceDE/>
              <w:autoSpaceDN/>
              <w:bidi w:val="0"/>
              <w:adjustRightInd/>
              <w:snapToGrid/>
              <w:spacing w:line="37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没收违法所得，处</w:t>
            </w:r>
            <w:r>
              <w:rPr>
                <w:rFonts w:hint="eastAsia" w:ascii="宋体" w:hAnsi="宋体" w:cs="宋体"/>
                <w:b w:val="0"/>
                <w:bCs w:val="0"/>
                <w:color w:val="000000"/>
                <w:kern w:val="0"/>
                <w:sz w:val="24"/>
                <w:szCs w:val="24"/>
                <w:highlight w:val="none"/>
                <w:lang w:val="en-US" w:eastAsia="zh-CN"/>
              </w:rPr>
              <w:t>30</w:t>
            </w:r>
            <w:r>
              <w:rPr>
                <w:rFonts w:hint="eastAsia" w:ascii="宋体" w:hAnsi="宋体" w:eastAsia="宋体" w:cs="宋体"/>
                <w:b w:val="0"/>
                <w:bCs w:val="0"/>
                <w:color w:val="000000"/>
                <w:kern w:val="0"/>
                <w:sz w:val="24"/>
                <w:szCs w:val="24"/>
                <w:highlight w:val="none"/>
              </w:rPr>
              <w:t>万元以下罚款。</w:t>
            </w:r>
          </w:p>
        </w:tc>
      </w:tr>
      <w:tr w14:paraId="50F88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exact"/>
        </w:trPr>
        <w:tc>
          <w:tcPr>
            <w:tcW w:w="268" w:type="pct"/>
            <w:vMerge w:val="continue"/>
            <w:tcBorders>
              <w:top w:val="single" w:color="auto" w:sz="4" w:space="0"/>
              <w:bottom w:val="single" w:color="auto" w:sz="4" w:space="0"/>
            </w:tcBorders>
            <w:noWrap w:val="0"/>
            <w:vAlign w:val="center"/>
          </w:tcPr>
          <w:p w14:paraId="31E2D955">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center"/>
          </w:tcPr>
          <w:p w14:paraId="70BB3D0E">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center"/>
          </w:tcPr>
          <w:p w14:paraId="4279929D">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3251630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2225164">
            <w:pPr>
              <w:keepNext w:val="0"/>
              <w:keepLines w:val="0"/>
              <w:pageBreakBefore w:val="0"/>
              <w:widowControl/>
              <w:kinsoku/>
              <w:wordWrap/>
              <w:overflowPunct/>
              <w:topLinePunct w:val="0"/>
              <w:autoSpaceDE/>
              <w:autoSpaceDN/>
              <w:bidi w:val="0"/>
              <w:adjustRightInd/>
              <w:snapToGrid/>
              <w:spacing w:line="37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cs="宋体"/>
                <w:b w:val="0"/>
                <w:bCs w:val="0"/>
                <w:color w:val="000000"/>
                <w:kern w:val="0"/>
                <w:sz w:val="24"/>
                <w:szCs w:val="24"/>
                <w:highlight w:val="none"/>
                <w:lang w:val="en-US" w:eastAsia="zh-CN"/>
              </w:rPr>
              <w:t>涉案交易</w:t>
            </w:r>
            <w:r>
              <w:rPr>
                <w:rFonts w:hint="eastAsia" w:ascii="宋体" w:hAnsi="宋体" w:eastAsia="宋体" w:cs="宋体"/>
                <w:b w:val="0"/>
                <w:bCs w:val="0"/>
                <w:color w:val="000000"/>
                <w:kern w:val="0"/>
                <w:sz w:val="24"/>
                <w:szCs w:val="24"/>
                <w:highlight w:val="none"/>
              </w:rPr>
              <w:t>额在3</w:t>
            </w:r>
            <w:r>
              <w:rPr>
                <w:rFonts w:hint="eastAsia" w:ascii="宋体" w:hAnsi="宋体" w:cs="宋体"/>
                <w:b w:val="0"/>
                <w:bCs w:val="0"/>
                <w:color w:val="000000"/>
                <w:kern w:val="0"/>
                <w:sz w:val="24"/>
                <w:szCs w:val="24"/>
                <w:highlight w:val="none"/>
                <w:lang w:val="en-US" w:eastAsia="zh-CN"/>
              </w:rPr>
              <w:t>万</w:t>
            </w:r>
            <w:r>
              <w:rPr>
                <w:rFonts w:hint="eastAsia" w:ascii="宋体" w:hAnsi="宋体" w:eastAsia="宋体" w:cs="宋体"/>
                <w:b w:val="0"/>
                <w:bCs w:val="0"/>
                <w:color w:val="000000"/>
                <w:kern w:val="0"/>
                <w:sz w:val="24"/>
                <w:szCs w:val="24"/>
                <w:highlight w:val="none"/>
              </w:rPr>
              <w:t>元以</w:t>
            </w:r>
            <w:r>
              <w:rPr>
                <w:rFonts w:hint="eastAsia" w:ascii="宋体" w:hAnsi="宋体" w:cs="宋体"/>
                <w:b w:val="0"/>
                <w:bCs w:val="0"/>
                <w:color w:val="000000"/>
                <w:kern w:val="0"/>
                <w:sz w:val="24"/>
                <w:szCs w:val="24"/>
                <w:highlight w:val="none"/>
                <w:lang w:val="en-US" w:eastAsia="zh-CN"/>
              </w:rPr>
              <w:t>上7万元以下</w:t>
            </w:r>
            <w:r>
              <w:rPr>
                <w:rFonts w:hint="eastAsia" w:ascii="宋体" w:hAnsi="宋体" w:eastAsia="宋体" w:cs="宋体"/>
                <w:b w:val="0"/>
                <w:bCs w:val="0"/>
                <w:color w:val="000000"/>
                <w:kern w:val="0"/>
                <w:sz w:val="24"/>
                <w:szCs w:val="24"/>
                <w:highlight w:val="none"/>
              </w:rPr>
              <w:t>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19831DA3">
            <w:pPr>
              <w:keepNext w:val="0"/>
              <w:keepLines w:val="0"/>
              <w:pageBreakBefore w:val="0"/>
              <w:widowControl/>
              <w:kinsoku/>
              <w:wordWrap/>
              <w:overflowPunct/>
              <w:topLinePunct w:val="0"/>
              <w:autoSpaceDE/>
              <w:autoSpaceDN/>
              <w:bidi w:val="0"/>
              <w:adjustRightInd/>
              <w:snapToGrid/>
              <w:spacing w:line="37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没收违法所得，处</w:t>
            </w:r>
            <w:r>
              <w:rPr>
                <w:rFonts w:hint="eastAsia" w:ascii="宋体" w:hAnsi="宋体" w:cs="宋体"/>
                <w:b w:val="0"/>
                <w:bCs w:val="0"/>
                <w:color w:val="000000"/>
                <w:kern w:val="0"/>
                <w:sz w:val="24"/>
                <w:szCs w:val="24"/>
                <w:highlight w:val="none"/>
                <w:lang w:val="en-US" w:eastAsia="zh-CN"/>
              </w:rPr>
              <w:t>30</w:t>
            </w:r>
            <w:r>
              <w:rPr>
                <w:rFonts w:hint="eastAsia" w:ascii="宋体" w:hAnsi="宋体" w:eastAsia="宋体" w:cs="宋体"/>
                <w:b w:val="0"/>
                <w:bCs w:val="0"/>
                <w:color w:val="000000"/>
                <w:kern w:val="0"/>
                <w:sz w:val="24"/>
                <w:szCs w:val="24"/>
                <w:highlight w:val="none"/>
              </w:rPr>
              <w:t>万元以上</w:t>
            </w:r>
            <w:r>
              <w:rPr>
                <w:rFonts w:hint="eastAsia" w:ascii="宋体" w:hAnsi="宋体" w:cs="宋体"/>
                <w:b w:val="0"/>
                <w:bCs w:val="0"/>
                <w:color w:val="000000"/>
                <w:kern w:val="0"/>
                <w:sz w:val="24"/>
                <w:szCs w:val="24"/>
                <w:highlight w:val="none"/>
                <w:lang w:val="en-US" w:eastAsia="zh-CN"/>
              </w:rPr>
              <w:t>70</w:t>
            </w:r>
            <w:r>
              <w:rPr>
                <w:rFonts w:hint="eastAsia" w:ascii="宋体" w:hAnsi="宋体" w:eastAsia="宋体" w:cs="宋体"/>
                <w:b w:val="0"/>
                <w:bCs w:val="0"/>
                <w:color w:val="000000"/>
                <w:kern w:val="0"/>
                <w:sz w:val="24"/>
                <w:szCs w:val="24"/>
                <w:highlight w:val="none"/>
              </w:rPr>
              <w:t>万元以下罚款。</w:t>
            </w:r>
          </w:p>
        </w:tc>
      </w:tr>
      <w:tr w14:paraId="70315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exact"/>
        </w:trPr>
        <w:tc>
          <w:tcPr>
            <w:tcW w:w="268" w:type="pct"/>
            <w:vMerge w:val="continue"/>
            <w:tcBorders>
              <w:top w:val="single" w:color="auto" w:sz="4" w:space="0"/>
              <w:bottom w:val="single" w:color="auto" w:sz="4" w:space="0"/>
            </w:tcBorders>
            <w:noWrap w:val="0"/>
            <w:vAlign w:val="center"/>
          </w:tcPr>
          <w:p w14:paraId="39665701">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center"/>
          </w:tcPr>
          <w:p w14:paraId="56EEA7CD">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center"/>
          </w:tcPr>
          <w:p w14:paraId="219F48C0">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3DE95F4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5E1897A5">
            <w:pPr>
              <w:keepNext w:val="0"/>
              <w:keepLines w:val="0"/>
              <w:pageBreakBefore w:val="0"/>
              <w:widowControl/>
              <w:kinsoku/>
              <w:wordWrap/>
              <w:overflowPunct/>
              <w:topLinePunct w:val="0"/>
              <w:autoSpaceDE/>
              <w:autoSpaceDN/>
              <w:bidi w:val="0"/>
              <w:adjustRightInd/>
              <w:snapToGrid/>
              <w:spacing w:line="37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cs="宋体"/>
                <w:b w:val="0"/>
                <w:bCs w:val="0"/>
                <w:color w:val="000000"/>
                <w:kern w:val="0"/>
                <w:sz w:val="24"/>
                <w:szCs w:val="24"/>
                <w:highlight w:val="none"/>
                <w:lang w:val="en-US" w:eastAsia="zh-CN"/>
              </w:rPr>
              <w:t>涉案交易</w:t>
            </w:r>
            <w:r>
              <w:rPr>
                <w:rFonts w:hint="eastAsia" w:ascii="宋体" w:hAnsi="宋体" w:eastAsia="宋体" w:cs="宋体"/>
                <w:b w:val="0"/>
                <w:bCs w:val="0"/>
                <w:color w:val="000000"/>
                <w:kern w:val="0"/>
                <w:sz w:val="24"/>
                <w:szCs w:val="24"/>
                <w:highlight w:val="none"/>
              </w:rPr>
              <w:t>额在</w:t>
            </w:r>
            <w:r>
              <w:rPr>
                <w:rFonts w:hint="eastAsia" w:ascii="宋体" w:hAnsi="宋体" w:cs="宋体"/>
                <w:b w:val="0"/>
                <w:bCs w:val="0"/>
                <w:color w:val="000000"/>
                <w:kern w:val="0"/>
                <w:sz w:val="24"/>
                <w:szCs w:val="24"/>
                <w:highlight w:val="none"/>
                <w:lang w:val="en-US" w:eastAsia="zh-CN"/>
              </w:rPr>
              <w:t>7万</w:t>
            </w:r>
            <w:r>
              <w:rPr>
                <w:rFonts w:hint="eastAsia" w:ascii="宋体" w:hAnsi="宋体" w:eastAsia="宋体" w:cs="宋体"/>
                <w:b w:val="0"/>
                <w:bCs w:val="0"/>
                <w:color w:val="000000"/>
                <w:kern w:val="0"/>
                <w:sz w:val="24"/>
                <w:szCs w:val="24"/>
                <w:highlight w:val="none"/>
              </w:rPr>
              <w:t>元以</w:t>
            </w:r>
            <w:r>
              <w:rPr>
                <w:rFonts w:hint="eastAsia" w:ascii="宋体" w:hAnsi="宋体" w:cs="宋体"/>
                <w:b w:val="0"/>
                <w:bCs w:val="0"/>
                <w:color w:val="000000"/>
                <w:kern w:val="0"/>
                <w:sz w:val="24"/>
                <w:szCs w:val="24"/>
                <w:highlight w:val="none"/>
                <w:lang w:val="en-US" w:eastAsia="zh-CN"/>
              </w:rPr>
              <w:t>上</w:t>
            </w:r>
            <w:r>
              <w:rPr>
                <w:rFonts w:hint="eastAsia" w:ascii="宋体" w:hAnsi="宋体" w:eastAsia="宋体" w:cs="宋体"/>
                <w:b w:val="0"/>
                <w:bCs w:val="0"/>
                <w:color w:val="000000"/>
                <w:kern w:val="0"/>
                <w:sz w:val="24"/>
                <w:szCs w:val="24"/>
                <w:highlight w:val="none"/>
              </w:rPr>
              <w:t>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0D06E66B">
            <w:pPr>
              <w:keepNext w:val="0"/>
              <w:keepLines w:val="0"/>
              <w:pageBreakBefore w:val="0"/>
              <w:widowControl/>
              <w:kinsoku/>
              <w:wordWrap/>
              <w:overflowPunct/>
              <w:topLinePunct w:val="0"/>
              <w:autoSpaceDE/>
              <w:autoSpaceDN/>
              <w:bidi w:val="0"/>
              <w:adjustRightInd/>
              <w:snapToGrid/>
              <w:spacing w:line="37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没收违法所得，处</w:t>
            </w:r>
            <w:r>
              <w:rPr>
                <w:rFonts w:hint="eastAsia" w:ascii="宋体" w:hAnsi="宋体" w:cs="宋体"/>
                <w:b w:val="0"/>
                <w:bCs w:val="0"/>
                <w:color w:val="000000"/>
                <w:kern w:val="0"/>
                <w:sz w:val="24"/>
                <w:szCs w:val="24"/>
                <w:highlight w:val="none"/>
                <w:lang w:val="en-US" w:eastAsia="zh-CN"/>
              </w:rPr>
              <w:t>70</w:t>
            </w:r>
            <w:r>
              <w:rPr>
                <w:rFonts w:hint="eastAsia" w:ascii="宋体" w:hAnsi="宋体" w:eastAsia="宋体" w:cs="宋体"/>
                <w:b w:val="0"/>
                <w:bCs w:val="0"/>
                <w:color w:val="000000"/>
                <w:kern w:val="0"/>
                <w:sz w:val="24"/>
                <w:szCs w:val="24"/>
                <w:highlight w:val="none"/>
              </w:rPr>
              <w:t>万元以上</w:t>
            </w:r>
            <w:r>
              <w:rPr>
                <w:rFonts w:hint="eastAsia" w:ascii="宋体" w:hAnsi="宋体" w:cs="宋体"/>
                <w:b w:val="0"/>
                <w:bCs w:val="0"/>
                <w:color w:val="000000"/>
                <w:kern w:val="0"/>
                <w:sz w:val="24"/>
                <w:szCs w:val="24"/>
                <w:highlight w:val="none"/>
                <w:lang w:val="en-US" w:eastAsia="zh-CN"/>
              </w:rPr>
              <w:t>100</w:t>
            </w:r>
            <w:r>
              <w:rPr>
                <w:rFonts w:hint="eastAsia" w:ascii="宋体" w:hAnsi="宋体" w:eastAsia="宋体" w:cs="宋体"/>
                <w:b w:val="0"/>
                <w:bCs w:val="0"/>
                <w:color w:val="000000"/>
                <w:kern w:val="0"/>
                <w:sz w:val="24"/>
                <w:szCs w:val="24"/>
                <w:highlight w:val="none"/>
              </w:rPr>
              <w:t>万元以下罚款。</w:t>
            </w:r>
          </w:p>
        </w:tc>
      </w:tr>
      <w:tr w14:paraId="355D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trPr>
        <w:tc>
          <w:tcPr>
            <w:tcW w:w="268" w:type="pct"/>
            <w:vMerge w:val="restart"/>
            <w:tcBorders>
              <w:top w:val="single" w:color="auto" w:sz="4" w:space="0"/>
              <w:left w:val="single" w:color="auto" w:sz="4" w:space="0"/>
              <w:bottom w:val="single" w:color="auto" w:sz="4" w:space="0"/>
              <w:right w:val="single" w:color="auto" w:sz="4" w:space="0"/>
            </w:tcBorders>
            <w:noWrap w:val="0"/>
            <w:vAlign w:val="center"/>
          </w:tcPr>
          <w:p w14:paraId="73720EA0">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rPr>
              <w:t>3</w:t>
            </w:r>
            <w:r>
              <w:rPr>
                <w:rFonts w:hint="eastAsia" w:ascii="宋体" w:hAnsi="宋体" w:cs="宋体"/>
                <w:b w:val="0"/>
                <w:bCs w:val="0"/>
                <w:color w:val="000000"/>
                <w:kern w:val="0"/>
                <w:sz w:val="24"/>
                <w:szCs w:val="24"/>
                <w:highlight w:val="none"/>
                <w:lang w:val="en-US" w:eastAsia="zh-CN"/>
              </w:rPr>
              <w:t>55</w:t>
            </w:r>
          </w:p>
        </w:tc>
        <w:tc>
          <w:tcPr>
            <w:tcW w:w="613" w:type="pct"/>
            <w:vMerge w:val="restart"/>
            <w:tcBorders>
              <w:top w:val="single" w:color="auto" w:sz="4" w:space="0"/>
              <w:left w:val="single" w:color="auto" w:sz="4" w:space="0"/>
              <w:bottom w:val="single" w:color="auto" w:sz="4" w:space="0"/>
              <w:right w:val="single" w:color="auto" w:sz="4" w:space="0"/>
            </w:tcBorders>
            <w:noWrap w:val="0"/>
            <w:vAlign w:val="center"/>
          </w:tcPr>
          <w:p w14:paraId="7E752372">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《中华人民共和国反不正当竞争法》</w:t>
            </w:r>
          </w:p>
        </w:tc>
        <w:tc>
          <w:tcPr>
            <w:tcW w:w="1429" w:type="pct"/>
            <w:vMerge w:val="restart"/>
            <w:tcBorders>
              <w:top w:val="single" w:color="auto" w:sz="4" w:space="0"/>
              <w:left w:val="single" w:color="auto" w:sz="4" w:space="0"/>
              <w:bottom w:val="single" w:color="auto" w:sz="4" w:space="0"/>
              <w:right w:val="single" w:color="auto" w:sz="4" w:space="0"/>
            </w:tcBorders>
            <w:noWrap w:val="0"/>
            <w:vAlign w:val="center"/>
          </w:tcPr>
          <w:p w14:paraId="7B221A1B">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ascii="宋体" w:hAnsi="宋体" w:eastAsia="宋体" w:cs="宋体"/>
                <w:color w:val="000000"/>
                <w:sz w:val="24"/>
                <w:szCs w:val="24"/>
              </w:rPr>
              <w:t>第二十五条</w:t>
            </w:r>
            <w:r>
              <w:rPr>
                <w:rFonts w:hint="eastAsia" w:ascii="宋体" w:hAnsi="宋体" w:cs="宋体"/>
                <w:color w:val="000000"/>
                <w:sz w:val="24"/>
                <w:szCs w:val="24"/>
                <w:lang w:val="en-US" w:eastAsia="zh-CN"/>
              </w:rPr>
              <w:t xml:space="preserve"> </w:t>
            </w:r>
            <w:r>
              <w:rPr>
                <w:rFonts w:ascii="宋体" w:hAnsi="宋体" w:eastAsia="宋体" w:cs="宋体"/>
                <w:color w:val="000000"/>
                <w:sz w:val="24"/>
                <w:szCs w:val="24"/>
              </w:rPr>
              <w:t>经营者违反本法第九条规定对其商品作虚假或者引人误解的商业宣传，或者通过组织虚假交易、虚假评价等方式帮助其他经营者进行虚假或者引人误解的商业宣传的，由监督检查部门责令停止违法行为，处一百万元以下的罚款；情节严重的，处一百万元以上二百万元以下的罚款，可以并处吊销营业执照。</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483A7F6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2E358E26">
            <w:pPr>
              <w:keepNext w:val="0"/>
              <w:keepLines w:val="0"/>
              <w:pageBreakBefore w:val="0"/>
              <w:widowControl/>
              <w:kinsoku/>
              <w:wordWrap/>
              <w:overflowPunct/>
              <w:topLinePunct w:val="0"/>
              <w:autoSpaceDE/>
              <w:autoSpaceDN/>
              <w:bidi w:val="0"/>
              <w:adjustRightInd/>
              <w:snapToGrid/>
              <w:spacing w:line="39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cs="宋体"/>
                <w:b w:val="0"/>
                <w:bCs w:val="0"/>
                <w:color w:val="000000"/>
                <w:kern w:val="0"/>
                <w:sz w:val="24"/>
                <w:szCs w:val="24"/>
                <w:highlight w:val="none"/>
                <w:lang w:val="en-US" w:eastAsia="zh-CN"/>
              </w:rPr>
              <w:t>造成轻微社会影响。</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4D44DF7F">
            <w:pPr>
              <w:keepNext w:val="0"/>
              <w:keepLines w:val="0"/>
              <w:pageBreakBefore w:val="0"/>
              <w:widowControl/>
              <w:kinsoku/>
              <w:wordWrap/>
              <w:overflowPunct/>
              <w:topLinePunct w:val="0"/>
              <w:autoSpaceDE/>
              <w:autoSpaceDN/>
              <w:bidi w:val="0"/>
              <w:adjustRightInd/>
              <w:snapToGrid/>
              <w:spacing w:line="39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spacing w:val="-6"/>
                <w:kern w:val="0"/>
                <w:sz w:val="24"/>
                <w:szCs w:val="24"/>
                <w:highlight w:val="none"/>
              </w:rPr>
              <w:t>责令停止违法行为，处</w:t>
            </w:r>
            <w:r>
              <w:rPr>
                <w:rFonts w:hint="eastAsia" w:ascii="宋体" w:hAnsi="宋体" w:cs="宋体"/>
                <w:b w:val="0"/>
                <w:bCs w:val="0"/>
                <w:color w:val="000000"/>
                <w:spacing w:val="-6"/>
                <w:kern w:val="0"/>
                <w:sz w:val="24"/>
                <w:szCs w:val="24"/>
                <w:highlight w:val="none"/>
                <w:lang w:val="en-US" w:eastAsia="zh-CN"/>
              </w:rPr>
              <w:t>30</w:t>
            </w:r>
            <w:r>
              <w:rPr>
                <w:rFonts w:hint="eastAsia" w:ascii="宋体" w:hAnsi="宋体" w:eastAsia="宋体" w:cs="宋体"/>
                <w:b w:val="0"/>
                <w:bCs w:val="0"/>
                <w:color w:val="000000"/>
                <w:spacing w:val="-6"/>
                <w:kern w:val="0"/>
                <w:sz w:val="24"/>
                <w:szCs w:val="24"/>
                <w:highlight w:val="none"/>
              </w:rPr>
              <w:t>万元以下罚款。</w:t>
            </w:r>
          </w:p>
        </w:tc>
      </w:tr>
      <w:tr w14:paraId="4E23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exact"/>
        </w:trPr>
        <w:tc>
          <w:tcPr>
            <w:tcW w:w="268" w:type="pct"/>
            <w:vMerge w:val="continue"/>
            <w:tcBorders>
              <w:top w:val="single" w:color="auto" w:sz="4" w:space="0"/>
              <w:left w:val="single" w:color="auto" w:sz="4" w:space="0"/>
              <w:bottom w:val="single" w:color="auto" w:sz="4" w:space="0"/>
              <w:right w:val="single" w:color="auto" w:sz="4" w:space="0"/>
            </w:tcBorders>
            <w:noWrap w:val="0"/>
            <w:vAlign w:val="center"/>
          </w:tcPr>
          <w:p w14:paraId="1224F5A7">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left w:val="single" w:color="auto" w:sz="4" w:space="0"/>
              <w:bottom w:val="single" w:color="auto" w:sz="4" w:space="0"/>
              <w:right w:val="single" w:color="auto" w:sz="4" w:space="0"/>
            </w:tcBorders>
            <w:noWrap w:val="0"/>
            <w:vAlign w:val="center"/>
          </w:tcPr>
          <w:p w14:paraId="69A3C253">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left w:val="single" w:color="auto" w:sz="4" w:space="0"/>
              <w:bottom w:val="single" w:color="auto" w:sz="4" w:space="0"/>
              <w:right w:val="single" w:color="auto" w:sz="4" w:space="0"/>
            </w:tcBorders>
            <w:noWrap w:val="0"/>
            <w:vAlign w:val="center"/>
          </w:tcPr>
          <w:p w14:paraId="74F784D5">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2C4F2F0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710611F2">
            <w:pPr>
              <w:keepNext w:val="0"/>
              <w:keepLines w:val="0"/>
              <w:pageBreakBefore w:val="0"/>
              <w:widowControl/>
              <w:kinsoku/>
              <w:wordWrap/>
              <w:overflowPunct/>
              <w:topLinePunct w:val="0"/>
              <w:autoSpaceDE/>
              <w:autoSpaceDN/>
              <w:bidi w:val="0"/>
              <w:adjustRightInd/>
              <w:snapToGrid/>
              <w:spacing w:line="39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cs="宋体"/>
                <w:b w:val="0"/>
                <w:bCs w:val="0"/>
                <w:color w:val="000000"/>
                <w:kern w:val="0"/>
                <w:sz w:val="24"/>
                <w:szCs w:val="24"/>
                <w:highlight w:val="none"/>
                <w:lang w:val="en-US" w:eastAsia="zh-CN"/>
              </w:rPr>
              <w:t>造成一定社会影响。</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1C7DC2D3">
            <w:pPr>
              <w:keepNext w:val="0"/>
              <w:keepLines w:val="0"/>
              <w:pageBreakBefore w:val="0"/>
              <w:widowControl/>
              <w:kinsoku/>
              <w:wordWrap/>
              <w:overflowPunct/>
              <w:topLinePunct w:val="0"/>
              <w:autoSpaceDE/>
              <w:autoSpaceDN/>
              <w:bidi w:val="0"/>
              <w:adjustRightInd/>
              <w:snapToGrid/>
              <w:spacing w:line="390" w:lineRule="exact"/>
              <w:jc w:val="both"/>
              <w:textAlignment w:val="auto"/>
              <w:rPr>
                <w:rFonts w:hint="eastAsia" w:ascii="宋体" w:hAnsi="宋体" w:eastAsia="宋体" w:cs="宋体"/>
                <w:b w:val="0"/>
                <w:bCs w:val="0"/>
                <w:color w:val="000000"/>
                <w:spacing w:val="-6"/>
                <w:kern w:val="0"/>
                <w:sz w:val="24"/>
                <w:szCs w:val="24"/>
                <w:highlight w:val="none"/>
              </w:rPr>
            </w:pPr>
            <w:r>
              <w:rPr>
                <w:rFonts w:hint="eastAsia" w:ascii="宋体" w:hAnsi="宋体" w:eastAsia="宋体" w:cs="宋体"/>
                <w:b w:val="0"/>
                <w:bCs w:val="0"/>
                <w:color w:val="000000"/>
                <w:spacing w:val="-6"/>
                <w:kern w:val="0"/>
                <w:sz w:val="24"/>
                <w:szCs w:val="24"/>
                <w:highlight w:val="none"/>
              </w:rPr>
              <w:t>责令停止违法行为，处</w:t>
            </w:r>
            <w:r>
              <w:rPr>
                <w:rFonts w:hint="eastAsia" w:ascii="宋体" w:hAnsi="宋体" w:cs="宋体"/>
                <w:b w:val="0"/>
                <w:bCs w:val="0"/>
                <w:color w:val="000000"/>
                <w:spacing w:val="-6"/>
                <w:kern w:val="0"/>
                <w:sz w:val="24"/>
                <w:szCs w:val="24"/>
                <w:highlight w:val="none"/>
                <w:lang w:val="en-US" w:eastAsia="zh-CN"/>
              </w:rPr>
              <w:t>30</w:t>
            </w:r>
            <w:r>
              <w:rPr>
                <w:rFonts w:hint="eastAsia" w:ascii="宋体" w:hAnsi="宋体" w:eastAsia="宋体" w:cs="宋体"/>
                <w:b w:val="0"/>
                <w:bCs w:val="0"/>
                <w:color w:val="000000"/>
                <w:spacing w:val="-6"/>
                <w:kern w:val="0"/>
                <w:sz w:val="24"/>
                <w:szCs w:val="24"/>
                <w:highlight w:val="none"/>
              </w:rPr>
              <w:t>万元以上7</w:t>
            </w:r>
            <w:r>
              <w:rPr>
                <w:rFonts w:hint="eastAsia" w:ascii="宋体" w:hAnsi="宋体" w:cs="宋体"/>
                <w:b w:val="0"/>
                <w:bCs w:val="0"/>
                <w:color w:val="000000"/>
                <w:spacing w:val="-6"/>
                <w:kern w:val="0"/>
                <w:sz w:val="24"/>
                <w:szCs w:val="24"/>
                <w:highlight w:val="none"/>
                <w:lang w:val="en-US" w:eastAsia="zh-CN"/>
              </w:rPr>
              <w:t>0</w:t>
            </w:r>
            <w:r>
              <w:rPr>
                <w:rFonts w:hint="eastAsia" w:ascii="宋体" w:hAnsi="宋体" w:eastAsia="宋体" w:cs="宋体"/>
                <w:b w:val="0"/>
                <w:bCs w:val="0"/>
                <w:color w:val="000000"/>
                <w:spacing w:val="-6"/>
                <w:kern w:val="0"/>
                <w:sz w:val="24"/>
                <w:szCs w:val="24"/>
                <w:highlight w:val="none"/>
              </w:rPr>
              <w:t>万元以下罚款。</w:t>
            </w:r>
          </w:p>
        </w:tc>
      </w:tr>
      <w:tr w14:paraId="2DF7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exact"/>
        </w:trPr>
        <w:tc>
          <w:tcPr>
            <w:tcW w:w="268" w:type="pct"/>
            <w:vMerge w:val="continue"/>
            <w:tcBorders>
              <w:top w:val="single" w:color="auto" w:sz="4" w:space="0"/>
              <w:left w:val="single" w:color="auto" w:sz="4" w:space="0"/>
              <w:bottom w:val="single" w:color="auto" w:sz="4" w:space="0"/>
              <w:right w:val="single" w:color="auto" w:sz="4" w:space="0"/>
            </w:tcBorders>
            <w:noWrap w:val="0"/>
            <w:vAlign w:val="center"/>
          </w:tcPr>
          <w:p w14:paraId="137AEF96">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left w:val="single" w:color="auto" w:sz="4" w:space="0"/>
              <w:bottom w:val="single" w:color="auto" w:sz="4" w:space="0"/>
              <w:right w:val="single" w:color="auto" w:sz="4" w:space="0"/>
            </w:tcBorders>
            <w:noWrap w:val="0"/>
            <w:vAlign w:val="center"/>
          </w:tcPr>
          <w:p w14:paraId="68B3663D">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left w:val="single" w:color="auto" w:sz="4" w:space="0"/>
              <w:bottom w:val="single" w:color="auto" w:sz="4" w:space="0"/>
              <w:right w:val="single" w:color="auto" w:sz="4" w:space="0"/>
            </w:tcBorders>
            <w:noWrap w:val="0"/>
            <w:vAlign w:val="center"/>
          </w:tcPr>
          <w:p w14:paraId="46E4DBC9">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16A7901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31FCDCD7">
            <w:pPr>
              <w:keepNext w:val="0"/>
              <w:keepLines w:val="0"/>
              <w:pageBreakBefore w:val="0"/>
              <w:widowControl/>
              <w:kinsoku/>
              <w:wordWrap/>
              <w:overflowPunct/>
              <w:topLinePunct w:val="0"/>
              <w:autoSpaceDE/>
              <w:autoSpaceDN/>
              <w:bidi w:val="0"/>
              <w:adjustRightInd/>
              <w:snapToGrid/>
              <w:spacing w:line="39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cs="宋体"/>
                <w:b w:val="0"/>
                <w:bCs w:val="0"/>
                <w:color w:val="000000"/>
                <w:kern w:val="0"/>
                <w:sz w:val="24"/>
                <w:szCs w:val="24"/>
                <w:highlight w:val="none"/>
                <w:lang w:val="en-US" w:eastAsia="zh-CN"/>
              </w:rPr>
              <w:t>造成较大社会影响。</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16BA2933">
            <w:pPr>
              <w:keepNext w:val="0"/>
              <w:keepLines w:val="0"/>
              <w:pageBreakBefore w:val="0"/>
              <w:widowControl/>
              <w:kinsoku/>
              <w:wordWrap/>
              <w:overflowPunct/>
              <w:topLinePunct w:val="0"/>
              <w:autoSpaceDE/>
              <w:autoSpaceDN/>
              <w:bidi w:val="0"/>
              <w:adjustRightInd/>
              <w:snapToGrid/>
              <w:spacing w:line="390" w:lineRule="exact"/>
              <w:jc w:val="both"/>
              <w:textAlignment w:val="auto"/>
              <w:rPr>
                <w:rFonts w:hint="eastAsia" w:ascii="宋体" w:hAnsi="宋体" w:eastAsia="宋体" w:cs="宋体"/>
                <w:b w:val="0"/>
                <w:bCs w:val="0"/>
                <w:color w:val="000000"/>
                <w:spacing w:val="-6"/>
                <w:kern w:val="0"/>
                <w:sz w:val="24"/>
                <w:szCs w:val="24"/>
                <w:highlight w:val="none"/>
              </w:rPr>
            </w:pPr>
            <w:r>
              <w:rPr>
                <w:rFonts w:hint="eastAsia" w:ascii="宋体" w:hAnsi="宋体" w:eastAsia="宋体" w:cs="宋体"/>
                <w:b w:val="0"/>
                <w:bCs w:val="0"/>
                <w:color w:val="000000"/>
                <w:spacing w:val="-6"/>
                <w:kern w:val="0"/>
                <w:sz w:val="24"/>
                <w:szCs w:val="24"/>
                <w:highlight w:val="none"/>
              </w:rPr>
              <w:t>责令停止违法行为，处</w:t>
            </w:r>
            <w:r>
              <w:rPr>
                <w:rFonts w:hint="eastAsia" w:ascii="宋体" w:hAnsi="宋体" w:cs="宋体"/>
                <w:b w:val="0"/>
                <w:bCs w:val="0"/>
                <w:color w:val="000000"/>
                <w:spacing w:val="-6"/>
                <w:kern w:val="0"/>
                <w:sz w:val="24"/>
                <w:szCs w:val="24"/>
                <w:highlight w:val="none"/>
                <w:lang w:val="en-US" w:eastAsia="zh-CN"/>
              </w:rPr>
              <w:t>70</w:t>
            </w:r>
            <w:r>
              <w:rPr>
                <w:rFonts w:hint="eastAsia" w:ascii="宋体" w:hAnsi="宋体" w:eastAsia="宋体" w:cs="宋体"/>
                <w:b w:val="0"/>
                <w:bCs w:val="0"/>
                <w:color w:val="000000"/>
                <w:spacing w:val="-6"/>
                <w:kern w:val="0"/>
                <w:sz w:val="24"/>
                <w:szCs w:val="24"/>
                <w:highlight w:val="none"/>
              </w:rPr>
              <w:t>万元以上100万元以下罚款。</w:t>
            </w:r>
          </w:p>
        </w:tc>
      </w:tr>
      <w:tr w14:paraId="5BEE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 w:type="pct"/>
            <w:vMerge w:val="continue"/>
            <w:tcBorders>
              <w:top w:val="single" w:color="auto" w:sz="4" w:space="0"/>
              <w:left w:val="single" w:color="auto" w:sz="4" w:space="0"/>
              <w:bottom w:val="single" w:color="auto" w:sz="4" w:space="0"/>
              <w:right w:val="single" w:color="auto" w:sz="4" w:space="0"/>
            </w:tcBorders>
            <w:noWrap w:val="0"/>
            <w:vAlign w:val="center"/>
          </w:tcPr>
          <w:p w14:paraId="1EE0869E">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left w:val="single" w:color="auto" w:sz="4" w:space="0"/>
              <w:bottom w:val="single" w:color="auto" w:sz="4" w:space="0"/>
              <w:right w:val="single" w:color="auto" w:sz="4" w:space="0"/>
            </w:tcBorders>
            <w:noWrap w:val="0"/>
            <w:vAlign w:val="center"/>
          </w:tcPr>
          <w:p w14:paraId="070105D9">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left w:val="single" w:color="auto" w:sz="4" w:space="0"/>
              <w:bottom w:val="single" w:color="auto" w:sz="4" w:space="0"/>
              <w:right w:val="single" w:color="auto" w:sz="4" w:space="0"/>
            </w:tcBorders>
            <w:noWrap w:val="0"/>
            <w:vAlign w:val="center"/>
          </w:tcPr>
          <w:p w14:paraId="1E9F516A">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4E6A78A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严重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0452C45">
            <w:pPr>
              <w:pStyle w:val="20"/>
              <w:keepNext w:val="0"/>
              <w:keepLines w:val="0"/>
              <w:pageBreakBefore w:val="0"/>
              <w:widowControl/>
              <w:kinsoku/>
              <w:wordWrap/>
              <w:overflowPunct/>
              <w:topLinePunct w:val="0"/>
              <w:autoSpaceDE/>
              <w:autoSpaceDN/>
              <w:bidi w:val="0"/>
              <w:adjustRightInd/>
              <w:snapToGrid/>
              <w:spacing w:line="390" w:lineRule="exact"/>
              <w:ind w:firstLine="0" w:firstLineChars="0"/>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造成恶劣</w:t>
            </w:r>
            <w:r>
              <w:rPr>
                <w:rFonts w:hint="eastAsia" w:ascii="宋体" w:hAnsi="宋体" w:cs="宋体"/>
                <w:b w:val="0"/>
                <w:bCs w:val="0"/>
                <w:color w:val="000000"/>
                <w:kern w:val="0"/>
                <w:sz w:val="24"/>
                <w:szCs w:val="24"/>
                <w:highlight w:val="none"/>
                <w:lang w:val="en-US" w:eastAsia="zh-CN"/>
              </w:rPr>
              <w:t>社会</w:t>
            </w:r>
            <w:r>
              <w:rPr>
                <w:rFonts w:hint="eastAsia" w:ascii="宋体" w:hAnsi="宋体" w:eastAsia="宋体" w:cs="宋体"/>
                <w:b w:val="0"/>
                <w:bCs w:val="0"/>
                <w:color w:val="000000"/>
                <w:kern w:val="0"/>
                <w:sz w:val="24"/>
                <w:szCs w:val="24"/>
                <w:highlight w:val="none"/>
              </w:rPr>
              <w:t>影响</w:t>
            </w:r>
            <w:r>
              <w:rPr>
                <w:rFonts w:hint="eastAsia" w:ascii="宋体" w:hAnsi="宋体" w:cs="宋体"/>
                <w:b w:val="0"/>
                <w:bCs w:val="0"/>
                <w:color w:val="000000"/>
                <w:kern w:val="0"/>
                <w:sz w:val="24"/>
                <w:szCs w:val="24"/>
                <w:highlight w:val="none"/>
                <w:lang w:eastAsia="zh-CN"/>
              </w:rPr>
              <w:t>。</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220E29A7">
            <w:pPr>
              <w:keepNext w:val="0"/>
              <w:keepLines w:val="0"/>
              <w:pageBreakBefore w:val="0"/>
              <w:widowControl/>
              <w:kinsoku/>
              <w:wordWrap/>
              <w:overflowPunct/>
              <w:topLinePunct w:val="0"/>
              <w:autoSpaceDE/>
              <w:autoSpaceDN/>
              <w:bidi w:val="0"/>
              <w:adjustRightInd/>
              <w:snapToGrid/>
              <w:spacing w:line="390" w:lineRule="exact"/>
              <w:jc w:val="both"/>
              <w:textAlignment w:val="auto"/>
              <w:rPr>
                <w:rFonts w:hint="eastAsia" w:ascii="宋体" w:hAnsi="宋体" w:eastAsia="宋体" w:cs="宋体"/>
                <w:b w:val="0"/>
                <w:bCs w:val="0"/>
                <w:color w:val="000000"/>
                <w:spacing w:val="-6"/>
                <w:kern w:val="0"/>
                <w:sz w:val="24"/>
                <w:szCs w:val="24"/>
                <w:highlight w:val="none"/>
              </w:rPr>
            </w:pPr>
            <w:r>
              <w:rPr>
                <w:rFonts w:hint="eastAsia" w:ascii="宋体" w:hAnsi="宋体" w:eastAsia="宋体" w:cs="宋体"/>
                <w:b w:val="0"/>
                <w:bCs w:val="0"/>
                <w:color w:val="000000"/>
                <w:kern w:val="0"/>
                <w:sz w:val="24"/>
                <w:szCs w:val="24"/>
                <w:highlight w:val="none"/>
              </w:rPr>
              <w:t>责令停止违法行为，处100万元以上200万元以下罚款，可以</w:t>
            </w:r>
            <w:r>
              <w:rPr>
                <w:rFonts w:hint="eastAsia" w:ascii="宋体" w:hAnsi="宋体" w:cs="宋体"/>
                <w:b w:val="0"/>
                <w:bCs w:val="0"/>
                <w:color w:val="000000"/>
                <w:kern w:val="0"/>
                <w:sz w:val="24"/>
                <w:szCs w:val="24"/>
                <w:highlight w:val="none"/>
                <w:lang w:val="en-US" w:eastAsia="zh-CN"/>
              </w:rPr>
              <w:t>并处</w:t>
            </w:r>
            <w:r>
              <w:rPr>
                <w:rFonts w:hint="eastAsia" w:ascii="宋体" w:hAnsi="宋体" w:eastAsia="宋体" w:cs="宋体"/>
                <w:b w:val="0"/>
                <w:bCs w:val="0"/>
                <w:color w:val="000000"/>
                <w:kern w:val="0"/>
                <w:sz w:val="24"/>
                <w:szCs w:val="24"/>
                <w:highlight w:val="none"/>
              </w:rPr>
              <w:t>吊销营业执照。</w:t>
            </w:r>
          </w:p>
        </w:tc>
      </w:tr>
      <w:tr w14:paraId="27E9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exact"/>
        </w:trPr>
        <w:tc>
          <w:tcPr>
            <w:tcW w:w="268" w:type="pct"/>
            <w:vMerge w:val="restart"/>
            <w:tcBorders>
              <w:top w:val="single" w:color="auto" w:sz="4" w:space="0"/>
              <w:left w:val="single" w:color="auto" w:sz="4" w:space="0"/>
              <w:bottom w:val="single" w:color="auto" w:sz="4" w:space="0"/>
              <w:right w:val="single" w:color="auto" w:sz="4" w:space="0"/>
            </w:tcBorders>
            <w:noWrap w:val="0"/>
            <w:vAlign w:val="center"/>
          </w:tcPr>
          <w:p w14:paraId="1AD8A671">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rPr>
              <w:t>3</w:t>
            </w:r>
            <w:r>
              <w:rPr>
                <w:rFonts w:hint="eastAsia" w:ascii="宋体" w:hAnsi="宋体" w:cs="宋体"/>
                <w:b w:val="0"/>
                <w:bCs w:val="0"/>
                <w:color w:val="000000"/>
                <w:kern w:val="0"/>
                <w:sz w:val="24"/>
                <w:szCs w:val="24"/>
                <w:highlight w:val="none"/>
                <w:lang w:val="en-US" w:eastAsia="zh-CN"/>
              </w:rPr>
              <w:t>56</w:t>
            </w:r>
          </w:p>
        </w:tc>
        <w:tc>
          <w:tcPr>
            <w:tcW w:w="613" w:type="pct"/>
            <w:vMerge w:val="restart"/>
            <w:tcBorders>
              <w:top w:val="single" w:color="auto" w:sz="4" w:space="0"/>
              <w:left w:val="single" w:color="auto" w:sz="4" w:space="0"/>
              <w:bottom w:val="single" w:color="auto" w:sz="4" w:space="0"/>
              <w:right w:val="single" w:color="auto" w:sz="4" w:space="0"/>
            </w:tcBorders>
            <w:noWrap w:val="0"/>
            <w:vAlign w:val="center"/>
          </w:tcPr>
          <w:p w14:paraId="7E6C2CA0">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《中华人民共和国反不正当竞争法》</w:t>
            </w:r>
          </w:p>
        </w:tc>
        <w:tc>
          <w:tcPr>
            <w:tcW w:w="1429" w:type="pct"/>
            <w:vMerge w:val="restart"/>
            <w:tcBorders>
              <w:top w:val="single" w:color="auto" w:sz="4" w:space="0"/>
              <w:left w:val="single" w:color="auto" w:sz="4" w:space="0"/>
              <w:bottom w:val="single" w:color="auto" w:sz="4" w:space="0"/>
              <w:right w:val="single" w:color="auto" w:sz="4" w:space="0"/>
            </w:tcBorders>
            <w:noWrap w:val="0"/>
            <w:vAlign w:val="center"/>
          </w:tcPr>
          <w:p w14:paraId="3E237000">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ascii="宋体" w:hAnsi="宋体" w:eastAsia="宋体" w:cs="宋体"/>
                <w:color w:val="000000"/>
                <w:sz w:val="24"/>
                <w:szCs w:val="24"/>
              </w:rPr>
              <w:t>第二十六条</w:t>
            </w:r>
            <w:r>
              <w:rPr>
                <w:rFonts w:hint="eastAsia" w:ascii="宋体" w:hAnsi="宋体" w:cs="宋体"/>
                <w:color w:val="000000"/>
                <w:sz w:val="24"/>
                <w:szCs w:val="24"/>
                <w:lang w:val="en-US" w:eastAsia="zh-CN"/>
              </w:rPr>
              <w:t xml:space="preserve"> </w:t>
            </w:r>
            <w:r>
              <w:rPr>
                <w:rFonts w:ascii="宋体" w:hAnsi="宋体" w:eastAsia="宋体" w:cs="宋体"/>
                <w:color w:val="000000"/>
                <w:sz w:val="24"/>
                <w:szCs w:val="24"/>
              </w:rPr>
              <w:t>经营者以及其他自然人、法人和非法人组织违反本法第十条规定侵犯商业秘密的，由监督检查部门责令停止违法行为，没收违法所得，处十万元以上一百万元以下的罚款；情节严重的，处一百万元以上五百万元以下的罚款。</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26ABA7C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335317A5">
            <w:pPr>
              <w:keepNext w:val="0"/>
              <w:keepLines w:val="0"/>
              <w:pageBreakBefore w:val="0"/>
              <w:widowControl/>
              <w:kinsoku/>
              <w:wordWrap/>
              <w:overflowPunct/>
              <w:topLinePunct w:val="0"/>
              <w:autoSpaceDE/>
              <w:autoSpaceDN/>
              <w:bidi w:val="0"/>
              <w:adjustRightInd/>
              <w:snapToGrid/>
              <w:spacing w:before="32" w:beforeLines="10" w:after="32" w:afterLines="10" w:line="32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给被侵权人造成实际损失或者侵权人的违法经营额10万元以下的。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1BDE7013">
            <w:pPr>
              <w:keepNext w:val="0"/>
              <w:keepLines w:val="0"/>
              <w:pageBreakBefore w:val="0"/>
              <w:widowControl/>
              <w:kinsoku/>
              <w:wordWrap/>
              <w:overflowPunct/>
              <w:topLinePunct w:val="0"/>
              <w:autoSpaceDE/>
              <w:autoSpaceDN/>
              <w:bidi w:val="0"/>
              <w:adjustRightInd/>
              <w:snapToGrid/>
              <w:spacing w:before="32" w:beforeLines="10" w:after="32" w:afterLines="10" w:line="34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责令停止违法行为，没收违法所得，处10万元以上37万元以下罚款。</w:t>
            </w:r>
          </w:p>
        </w:tc>
      </w:tr>
      <w:tr w14:paraId="742BF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exact"/>
        </w:trPr>
        <w:tc>
          <w:tcPr>
            <w:tcW w:w="268" w:type="pct"/>
            <w:vMerge w:val="continue"/>
            <w:tcBorders>
              <w:top w:val="single" w:color="auto" w:sz="4" w:space="0"/>
              <w:left w:val="single" w:color="auto" w:sz="4" w:space="0"/>
              <w:bottom w:val="single" w:color="auto" w:sz="4" w:space="0"/>
              <w:right w:val="single" w:color="auto" w:sz="4" w:space="0"/>
            </w:tcBorders>
            <w:noWrap w:val="0"/>
            <w:vAlign w:val="center"/>
          </w:tcPr>
          <w:p w14:paraId="03F712E7">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left w:val="single" w:color="auto" w:sz="4" w:space="0"/>
              <w:bottom w:val="single" w:color="auto" w:sz="4" w:space="0"/>
              <w:right w:val="single" w:color="auto" w:sz="4" w:space="0"/>
            </w:tcBorders>
            <w:noWrap w:val="0"/>
            <w:vAlign w:val="center"/>
          </w:tcPr>
          <w:p w14:paraId="037C266E">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left w:val="single" w:color="auto" w:sz="4" w:space="0"/>
              <w:bottom w:val="single" w:color="auto" w:sz="4" w:space="0"/>
              <w:right w:val="single" w:color="auto" w:sz="4" w:space="0"/>
            </w:tcBorders>
            <w:noWrap w:val="0"/>
            <w:vAlign w:val="center"/>
          </w:tcPr>
          <w:p w14:paraId="122FA133">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08399A7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FB2D268">
            <w:pPr>
              <w:keepNext w:val="0"/>
              <w:keepLines w:val="0"/>
              <w:pageBreakBefore w:val="0"/>
              <w:widowControl/>
              <w:kinsoku/>
              <w:wordWrap/>
              <w:overflowPunct/>
              <w:topLinePunct w:val="0"/>
              <w:autoSpaceDE/>
              <w:autoSpaceDN/>
              <w:bidi w:val="0"/>
              <w:adjustRightInd/>
              <w:snapToGrid/>
              <w:spacing w:before="32" w:beforeLines="10" w:after="32" w:afterLines="10" w:line="320" w:lineRule="exact"/>
              <w:jc w:val="both"/>
              <w:textAlignment w:val="auto"/>
              <w:rPr>
                <w:rFonts w:hint="eastAsia"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rPr>
              <w:t>给被侵权人造成实际损失或者侵权人的违法经营额10万元以上</w:t>
            </w:r>
            <w:r>
              <w:rPr>
                <w:rFonts w:hint="eastAsia" w:ascii="宋体" w:hAnsi="宋体" w:cs="宋体"/>
                <w:b w:val="0"/>
                <w:bCs w:val="0"/>
                <w:color w:val="000000"/>
                <w:kern w:val="0"/>
                <w:sz w:val="24"/>
                <w:szCs w:val="24"/>
                <w:highlight w:val="none"/>
                <w:lang w:val="en-US" w:eastAsia="zh-CN"/>
              </w:rPr>
              <w:t>50</w:t>
            </w:r>
            <w:r>
              <w:rPr>
                <w:rFonts w:hint="eastAsia" w:ascii="宋体" w:hAnsi="宋体" w:eastAsia="宋体" w:cs="宋体"/>
                <w:b w:val="0"/>
                <w:bCs w:val="0"/>
                <w:color w:val="000000"/>
                <w:kern w:val="0"/>
                <w:sz w:val="24"/>
                <w:szCs w:val="24"/>
                <w:highlight w:val="none"/>
              </w:rPr>
              <w:t>万元以下的</w:t>
            </w:r>
            <w:r>
              <w:rPr>
                <w:rFonts w:hint="eastAsia" w:ascii="宋体" w:hAnsi="宋体" w:cs="宋体"/>
                <w:b w:val="0"/>
                <w:bCs w:val="0"/>
                <w:color w:val="000000"/>
                <w:kern w:val="0"/>
                <w:sz w:val="24"/>
                <w:szCs w:val="24"/>
                <w:highlight w:val="none"/>
                <w:lang w:eastAsia="zh-CN"/>
              </w:rPr>
              <w:t>。</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2EA6B78E">
            <w:pPr>
              <w:keepNext w:val="0"/>
              <w:keepLines w:val="0"/>
              <w:pageBreakBefore w:val="0"/>
              <w:widowControl/>
              <w:kinsoku/>
              <w:wordWrap/>
              <w:overflowPunct/>
              <w:topLinePunct w:val="0"/>
              <w:autoSpaceDE/>
              <w:autoSpaceDN/>
              <w:bidi w:val="0"/>
              <w:adjustRightInd/>
              <w:snapToGrid/>
              <w:spacing w:before="32" w:beforeLines="10" w:after="32" w:afterLines="10" w:line="34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责令停止违法行为，没收违法所得，处37万元以上73万元以下罚款。</w:t>
            </w:r>
          </w:p>
        </w:tc>
      </w:tr>
      <w:tr w14:paraId="4C113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exact"/>
        </w:trPr>
        <w:tc>
          <w:tcPr>
            <w:tcW w:w="268" w:type="pct"/>
            <w:vMerge w:val="continue"/>
            <w:tcBorders>
              <w:top w:val="single" w:color="auto" w:sz="4" w:space="0"/>
              <w:left w:val="single" w:color="auto" w:sz="4" w:space="0"/>
              <w:bottom w:val="single" w:color="auto" w:sz="4" w:space="0"/>
              <w:right w:val="single" w:color="auto" w:sz="4" w:space="0"/>
            </w:tcBorders>
            <w:noWrap w:val="0"/>
            <w:vAlign w:val="center"/>
          </w:tcPr>
          <w:p w14:paraId="452A2FF9">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left w:val="single" w:color="auto" w:sz="4" w:space="0"/>
              <w:bottom w:val="single" w:color="auto" w:sz="4" w:space="0"/>
              <w:right w:val="single" w:color="auto" w:sz="4" w:space="0"/>
            </w:tcBorders>
            <w:noWrap w:val="0"/>
            <w:vAlign w:val="center"/>
          </w:tcPr>
          <w:p w14:paraId="62498C1B">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left w:val="single" w:color="auto" w:sz="4" w:space="0"/>
              <w:bottom w:val="single" w:color="auto" w:sz="4" w:space="0"/>
              <w:right w:val="single" w:color="auto" w:sz="4" w:space="0"/>
            </w:tcBorders>
            <w:noWrap w:val="0"/>
            <w:vAlign w:val="center"/>
          </w:tcPr>
          <w:p w14:paraId="40DCF3A9">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0A2A004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0C47EFE8">
            <w:pPr>
              <w:keepNext w:val="0"/>
              <w:keepLines w:val="0"/>
              <w:pageBreakBefore w:val="0"/>
              <w:widowControl/>
              <w:kinsoku/>
              <w:wordWrap/>
              <w:overflowPunct/>
              <w:topLinePunct w:val="0"/>
              <w:autoSpaceDE/>
              <w:autoSpaceDN/>
              <w:bidi w:val="0"/>
              <w:adjustRightInd/>
              <w:snapToGrid/>
              <w:spacing w:before="32" w:beforeLines="10" w:after="32" w:afterLines="10" w:line="32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给被侵权人造成实际损失或者侵权人的违法经营额</w:t>
            </w:r>
            <w:r>
              <w:rPr>
                <w:rFonts w:hint="eastAsia" w:ascii="宋体" w:hAnsi="宋体" w:cs="宋体"/>
                <w:b w:val="0"/>
                <w:bCs w:val="0"/>
                <w:color w:val="000000"/>
                <w:kern w:val="0"/>
                <w:sz w:val="24"/>
                <w:szCs w:val="24"/>
                <w:highlight w:val="none"/>
                <w:lang w:val="en-US" w:eastAsia="zh-CN"/>
              </w:rPr>
              <w:t>50</w:t>
            </w:r>
            <w:r>
              <w:rPr>
                <w:rFonts w:hint="eastAsia" w:ascii="宋体" w:hAnsi="宋体" w:eastAsia="宋体" w:cs="宋体"/>
                <w:b w:val="0"/>
                <w:bCs w:val="0"/>
                <w:color w:val="000000"/>
                <w:kern w:val="0"/>
                <w:sz w:val="24"/>
                <w:szCs w:val="24"/>
                <w:highlight w:val="none"/>
              </w:rPr>
              <w:t>万元以上</w:t>
            </w:r>
            <w:r>
              <w:rPr>
                <w:rFonts w:hint="eastAsia" w:ascii="宋体" w:hAnsi="宋体" w:cs="宋体"/>
                <w:b w:val="0"/>
                <w:bCs w:val="0"/>
                <w:color w:val="000000"/>
                <w:kern w:val="0"/>
                <w:sz w:val="24"/>
                <w:szCs w:val="24"/>
                <w:highlight w:val="none"/>
                <w:lang w:val="en-US" w:eastAsia="zh-CN"/>
              </w:rPr>
              <w:t>100</w:t>
            </w:r>
            <w:r>
              <w:rPr>
                <w:rFonts w:hint="eastAsia" w:ascii="宋体" w:hAnsi="宋体" w:eastAsia="宋体" w:cs="宋体"/>
                <w:b w:val="0"/>
                <w:bCs w:val="0"/>
                <w:color w:val="000000"/>
                <w:kern w:val="0"/>
                <w:sz w:val="24"/>
                <w:szCs w:val="24"/>
                <w:highlight w:val="none"/>
              </w:rPr>
              <w:t>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67DB6643">
            <w:pPr>
              <w:keepNext w:val="0"/>
              <w:keepLines w:val="0"/>
              <w:pageBreakBefore w:val="0"/>
              <w:widowControl/>
              <w:kinsoku/>
              <w:wordWrap/>
              <w:overflowPunct/>
              <w:topLinePunct w:val="0"/>
              <w:autoSpaceDE/>
              <w:autoSpaceDN/>
              <w:bidi w:val="0"/>
              <w:adjustRightInd/>
              <w:snapToGrid/>
              <w:spacing w:before="32" w:beforeLines="10" w:after="32" w:afterLines="10" w:line="34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责令停止违法行为，没收违法所得，处73万元以上100万元以下罚款。</w:t>
            </w:r>
          </w:p>
        </w:tc>
      </w:tr>
      <w:tr w14:paraId="1B6D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exact"/>
        </w:trPr>
        <w:tc>
          <w:tcPr>
            <w:tcW w:w="268" w:type="pct"/>
            <w:vMerge w:val="continue"/>
            <w:tcBorders>
              <w:top w:val="single" w:color="auto" w:sz="4" w:space="0"/>
              <w:left w:val="single" w:color="auto" w:sz="4" w:space="0"/>
              <w:bottom w:val="single" w:color="auto" w:sz="4" w:space="0"/>
              <w:right w:val="single" w:color="auto" w:sz="4" w:space="0"/>
            </w:tcBorders>
            <w:noWrap w:val="0"/>
            <w:vAlign w:val="center"/>
          </w:tcPr>
          <w:p w14:paraId="73D093A5">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left w:val="single" w:color="auto" w:sz="4" w:space="0"/>
              <w:bottom w:val="single" w:color="auto" w:sz="4" w:space="0"/>
              <w:right w:val="single" w:color="auto" w:sz="4" w:space="0"/>
            </w:tcBorders>
            <w:noWrap w:val="0"/>
            <w:vAlign w:val="center"/>
          </w:tcPr>
          <w:p w14:paraId="27F07DB2">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left w:val="single" w:color="auto" w:sz="4" w:space="0"/>
              <w:bottom w:val="single" w:color="auto" w:sz="4" w:space="0"/>
              <w:right w:val="single" w:color="auto" w:sz="4" w:space="0"/>
            </w:tcBorders>
            <w:noWrap w:val="0"/>
            <w:vAlign w:val="center"/>
          </w:tcPr>
          <w:p w14:paraId="6AEFA954">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11C3E18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严重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27D73DCE">
            <w:pPr>
              <w:keepNext w:val="0"/>
              <w:keepLines w:val="0"/>
              <w:pageBreakBefore w:val="0"/>
              <w:widowControl/>
              <w:kinsoku/>
              <w:wordWrap/>
              <w:overflowPunct/>
              <w:topLinePunct w:val="0"/>
              <w:autoSpaceDE/>
              <w:autoSpaceDN/>
              <w:bidi w:val="0"/>
              <w:adjustRightInd/>
              <w:snapToGrid/>
              <w:spacing w:before="32" w:beforeLines="10" w:after="32" w:afterLines="10" w:line="32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给被侵权人造成实际损失或者侵权人的违法经营额</w:t>
            </w:r>
            <w:r>
              <w:rPr>
                <w:rFonts w:hint="eastAsia" w:ascii="宋体" w:hAnsi="宋体" w:cs="宋体"/>
                <w:b w:val="0"/>
                <w:bCs w:val="0"/>
                <w:color w:val="000000"/>
                <w:kern w:val="0"/>
                <w:sz w:val="24"/>
                <w:szCs w:val="24"/>
                <w:highlight w:val="none"/>
                <w:lang w:val="en-US" w:eastAsia="zh-CN"/>
              </w:rPr>
              <w:t>100</w:t>
            </w:r>
            <w:r>
              <w:rPr>
                <w:rFonts w:hint="eastAsia" w:ascii="宋体" w:hAnsi="宋体" w:eastAsia="宋体" w:cs="宋体"/>
                <w:b w:val="0"/>
                <w:bCs w:val="0"/>
                <w:color w:val="000000"/>
                <w:kern w:val="0"/>
                <w:sz w:val="24"/>
                <w:szCs w:val="24"/>
                <w:highlight w:val="none"/>
              </w:rPr>
              <w:t>万元以上，或者造成重大社会影响的。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1CE7DCBB">
            <w:pPr>
              <w:keepNext w:val="0"/>
              <w:keepLines w:val="0"/>
              <w:pageBreakBefore w:val="0"/>
              <w:widowControl/>
              <w:kinsoku/>
              <w:wordWrap/>
              <w:overflowPunct/>
              <w:topLinePunct w:val="0"/>
              <w:autoSpaceDE/>
              <w:autoSpaceDN/>
              <w:bidi w:val="0"/>
              <w:adjustRightInd/>
              <w:snapToGrid/>
              <w:spacing w:before="32" w:beforeLines="10" w:after="32" w:afterLines="10" w:line="34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责令停止违法行为，没收违法所得，处</w:t>
            </w:r>
            <w:r>
              <w:rPr>
                <w:rFonts w:hint="eastAsia" w:ascii="宋体" w:hAnsi="宋体" w:cs="宋体"/>
                <w:b w:val="0"/>
                <w:bCs w:val="0"/>
                <w:color w:val="000000"/>
                <w:kern w:val="0"/>
                <w:sz w:val="24"/>
                <w:szCs w:val="24"/>
                <w:highlight w:val="none"/>
                <w:lang w:val="en-US" w:eastAsia="zh-CN"/>
              </w:rPr>
              <w:t>100</w:t>
            </w:r>
            <w:r>
              <w:rPr>
                <w:rFonts w:hint="eastAsia" w:ascii="宋体" w:hAnsi="宋体" w:eastAsia="宋体" w:cs="宋体"/>
                <w:b w:val="0"/>
                <w:bCs w:val="0"/>
                <w:color w:val="000000"/>
                <w:kern w:val="0"/>
                <w:sz w:val="24"/>
                <w:szCs w:val="24"/>
                <w:highlight w:val="none"/>
              </w:rPr>
              <w:t>万元以上500万元以下罚款。</w:t>
            </w:r>
          </w:p>
        </w:tc>
      </w:tr>
      <w:tr w14:paraId="47AC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268" w:type="pct"/>
            <w:vMerge w:val="restart"/>
            <w:tcBorders>
              <w:top w:val="single" w:color="auto" w:sz="4" w:space="0"/>
              <w:left w:val="single" w:color="auto" w:sz="4" w:space="0"/>
              <w:bottom w:val="single" w:color="auto" w:sz="4" w:space="0"/>
              <w:right w:val="single" w:color="auto" w:sz="4" w:space="0"/>
            </w:tcBorders>
            <w:noWrap w:val="0"/>
            <w:vAlign w:val="center"/>
          </w:tcPr>
          <w:p w14:paraId="0E374A9B">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rPr>
              <w:t>3</w:t>
            </w:r>
            <w:r>
              <w:rPr>
                <w:rFonts w:hint="eastAsia" w:ascii="宋体" w:hAnsi="宋体" w:cs="宋体"/>
                <w:b w:val="0"/>
                <w:bCs w:val="0"/>
                <w:color w:val="000000"/>
                <w:kern w:val="0"/>
                <w:sz w:val="24"/>
                <w:szCs w:val="24"/>
                <w:highlight w:val="none"/>
                <w:lang w:val="en-US" w:eastAsia="zh-CN"/>
              </w:rPr>
              <w:t>57</w:t>
            </w:r>
          </w:p>
        </w:tc>
        <w:tc>
          <w:tcPr>
            <w:tcW w:w="613" w:type="pct"/>
            <w:vMerge w:val="restart"/>
            <w:tcBorders>
              <w:top w:val="single" w:color="auto" w:sz="4" w:space="0"/>
              <w:left w:val="single" w:color="auto" w:sz="4" w:space="0"/>
              <w:bottom w:val="single" w:color="auto" w:sz="4" w:space="0"/>
              <w:right w:val="single" w:color="auto" w:sz="4" w:space="0"/>
            </w:tcBorders>
            <w:noWrap w:val="0"/>
            <w:vAlign w:val="center"/>
          </w:tcPr>
          <w:p w14:paraId="1BCBC77B">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《中华人民共和国反不正当竞争法》</w:t>
            </w:r>
          </w:p>
        </w:tc>
        <w:tc>
          <w:tcPr>
            <w:tcW w:w="1429" w:type="pct"/>
            <w:vMerge w:val="restart"/>
            <w:tcBorders>
              <w:top w:val="single" w:color="auto" w:sz="4" w:space="0"/>
              <w:left w:val="single" w:color="auto" w:sz="4" w:space="0"/>
              <w:bottom w:val="single" w:color="auto" w:sz="4" w:space="0"/>
              <w:right w:val="single" w:color="auto" w:sz="4" w:space="0"/>
            </w:tcBorders>
            <w:noWrap w:val="0"/>
            <w:vAlign w:val="center"/>
          </w:tcPr>
          <w:p w14:paraId="3D1EBC2B">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ascii="宋体" w:hAnsi="宋体" w:eastAsia="宋体" w:cs="宋体"/>
                <w:color w:val="000000"/>
                <w:sz w:val="24"/>
                <w:szCs w:val="24"/>
              </w:rPr>
              <w:t>第二十七条</w:t>
            </w:r>
            <w:r>
              <w:rPr>
                <w:rFonts w:hint="eastAsia" w:ascii="宋体" w:hAnsi="宋体" w:cs="宋体"/>
                <w:color w:val="000000"/>
                <w:sz w:val="24"/>
                <w:szCs w:val="24"/>
                <w:lang w:val="en-US" w:eastAsia="zh-CN"/>
              </w:rPr>
              <w:t xml:space="preserve"> </w:t>
            </w:r>
            <w:r>
              <w:rPr>
                <w:rFonts w:ascii="宋体" w:hAnsi="宋体" w:eastAsia="宋体" w:cs="宋体"/>
                <w:color w:val="000000"/>
                <w:sz w:val="24"/>
                <w:szCs w:val="24"/>
              </w:rPr>
              <w:t>经营者违反本法第十一条规定进行有奖销售的，由监督检查部门责令停止违法行为，处五万元以上五十万元以下的罚款。</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7538785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1CAA577">
            <w:pPr>
              <w:keepNext w:val="0"/>
              <w:keepLines w:val="0"/>
              <w:pageBreakBefore w:val="0"/>
              <w:widowControl/>
              <w:kinsoku/>
              <w:wordWrap/>
              <w:overflowPunct/>
              <w:topLinePunct w:val="0"/>
              <w:autoSpaceDE/>
              <w:autoSpaceDN/>
              <w:bidi w:val="0"/>
              <w:adjustRightInd/>
              <w:snapToGrid/>
              <w:spacing w:before="32" w:beforeLines="10" w:after="32" w:afterLines="10" w:line="36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cs="宋体"/>
                <w:b w:val="0"/>
                <w:bCs w:val="0"/>
                <w:color w:val="000000"/>
                <w:kern w:val="0"/>
                <w:sz w:val="24"/>
                <w:szCs w:val="24"/>
                <w:highlight w:val="none"/>
                <w:lang w:val="en-US" w:eastAsia="zh-CN"/>
              </w:rPr>
              <w:t>涉案</w:t>
            </w:r>
            <w:r>
              <w:rPr>
                <w:rFonts w:hint="eastAsia" w:ascii="宋体" w:hAnsi="宋体" w:eastAsia="宋体" w:cs="宋体"/>
                <w:b w:val="0"/>
                <w:bCs w:val="0"/>
                <w:color w:val="000000"/>
                <w:kern w:val="0"/>
                <w:sz w:val="24"/>
                <w:szCs w:val="24"/>
                <w:highlight w:val="none"/>
              </w:rPr>
              <w:t>销售金额在20万元以下的。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41BCEF9D">
            <w:pPr>
              <w:keepNext w:val="0"/>
              <w:keepLines w:val="0"/>
              <w:pageBreakBefore w:val="0"/>
              <w:widowControl/>
              <w:kinsoku/>
              <w:wordWrap/>
              <w:overflowPunct/>
              <w:topLinePunct w:val="0"/>
              <w:autoSpaceDE/>
              <w:autoSpaceDN/>
              <w:bidi w:val="0"/>
              <w:adjustRightInd/>
              <w:snapToGrid/>
              <w:spacing w:before="32" w:beforeLines="10" w:after="32" w:afterLines="10" w:line="340" w:lineRule="exact"/>
              <w:jc w:val="both"/>
              <w:textAlignment w:val="auto"/>
              <w:rPr>
                <w:rFonts w:hint="eastAsia" w:ascii="宋体" w:hAnsi="宋体" w:eastAsia="宋体" w:cs="宋体"/>
                <w:b w:val="0"/>
                <w:bCs w:val="0"/>
                <w:color w:val="000000"/>
                <w:kern w:val="0"/>
                <w:sz w:val="24"/>
                <w:szCs w:val="24"/>
                <w:highlight w:val="none"/>
              </w:rPr>
            </w:pPr>
            <w:r>
              <w:rPr>
                <w:rFonts w:ascii="宋体" w:hAnsi="宋体" w:eastAsia="宋体" w:cs="宋体"/>
                <w:color w:val="000000"/>
                <w:sz w:val="24"/>
                <w:szCs w:val="24"/>
              </w:rPr>
              <w:t>责令停止违法行为，</w:t>
            </w:r>
            <w:r>
              <w:rPr>
                <w:rFonts w:hint="eastAsia" w:ascii="宋体" w:hAnsi="宋体" w:eastAsia="宋体" w:cs="宋体"/>
                <w:b w:val="0"/>
                <w:bCs w:val="0"/>
                <w:color w:val="000000"/>
                <w:kern w:val="0"/>
                <w:sz w:val="24"/>
                <w:szCs w:val="24"/>
                <w:highlight w:val="none"/>
              </w:rPr>
              <w:t>处5万元以上18.5万元以下罚款。</w:t>
            </w:r>
          </w:p>
        </w:tc>
      </w:tr>
      <w:tr w14:paraId="1E07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268" w:type="pct"/>
            <w:vMerge w:val="continue"/>
            <w:tcBorders>
              <w:top w:val="single" w:color="auto" w:sz="4" w:space="0"/>
              <w:left w:val="single" w:color="auto" w:sz="4" w:space="0"/>
              <w:bottom w:val="single" w:color="auto" w:sz="4" w:space="0"/>
              <w:right w:val="single" w:color="auto" w:sz="4" w:space="0"/>
            </w:tcBorders>
            <w:noWrap w:val="0"/>
            <w:vAlign w:val="center"/>
          </w:tcPr>
          <w:p w14:paraId="25AD1B45">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left w:val="single" w:color="auto" w:sz="4" w:space="0"/>
              <w:bottom w:val="single" w:color="auto" w:sz="4" w:space="0"/>
              <w:right w:val="single" w:color="auto" w:sz="4" w:space="0"/>
            </w:tcBorders>
            <w:noWrap w:val="0"/>
            <w:vAlign w:val="center"/>
          </w:tcPr>
          <w:p w14:paraId="0F9126D7">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left w:val="single" w:color="auto" w:sz="4" w:space="0"/>
              <w:bottom w:val="single" w:color="auto" w:sz="4" w:space="0"/>
              <w:right w:val="single" w:color="auto" w:sz="4" w:space="0"/>
            </w:tcBorders>
            <w:noWrap w:val="0"/>
            <w:vAlign w:val="center"/>
          </w:tcPr>
          <w:p w14:paraId="2F9E3D93">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1B93DA2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2324146D">
            <w:pPr>
              <w:keepNext w:val="0"/>
              <w:keepLines w:val="0"/>
              <w:pageBreakBefore w:val="0"/>
              <w:widowControl/>
              <w:kinsoku/>
              <w:wordWrap/>
              <w:overflowPunct/>
              <w:topLinePunct w:val="0"/>
              <w:autoSpaceDE/>
              <w:autoSpaceDN/>
              <w:bidi w:val="0"/>
              <w:adjustRightInd/>
              <w:snapToGrid/>
              <w:spacing w:before="32" w:beforeLines="10" w:after="32" w:afterLines="10" w:line="36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cs="宋体"/>
                <w:b w:val="0"/>
                <w:bCs w:val="0"/>
                <w:color w:val="000000"/>
                <w:kern w:val="0"/>
                <w:sz w:val="24"/>
                <w:szCs w:val="24"/>
                <w:highlight w:val="none"/>
                <w:lang w:val="en-US" w:eastAsia="zh-CN"/>
              </w:rPr>
              <w:t>涉案</w:t>
            </w:r>
            <w:r>
              <w:rPr>
                <w:rFonts w:hint="eastAsia" w:ascii="宋体" w:hAnsi="宋体" w:eastAsia="宋体" w:cs="宋体"/>
                <w:b w:val="0"/>
                <w:bCs w:val="0"/>
                <w:color w:val="000000"/>
                <w:kern w:val="0"/>
                <w:sz w:val="24"/>
                <w:szCs w:val="24"/>
                <w:highlight w:val="none"/>
              </w:rPr>
              <w:t>销售金额在20万元以上50万元以下的</w:t>
            </w:r>
            <w:r>
              <w:rPr>
                <w:rFonts w:hint="eastAsia" w:ascii="宋体" w:hAnsi="宋体" w:eastAsia="宋体" w:cs="宋体"/>
                <w:b w:val="0"/>
                <w:bCs w:val="0"/>
                <w:color w:val="000000"/>
                <w:sz w:val="24"/>
                <w:szCs w:val="24"/>
                <w:highlight w:val="none"/>
              </w:rPr>
              <w:t>。</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5D4ACDCB">
            <w:pPr>
              <w:keepNext w:val="0"/>
              <w:keepLines w:val="0"/>
              <w:pageBreakBefore w:val="0"/>
              <w:widowControl/>
              <w:kinsoku/>
              <w:wordWrap/>
              <w:overflowPunct/>
              <w:topLinePunct w:val="0"/>
              <w:autoSpaceDE/>
              <w:autoSpaceDN/>
              <w:bidi w:val="0"/>
              <w:adjustRightInd/>
              <w:snapToGrid/>
              <w:spacing w:before="32" w:beforeLines="10" w:after="32" w:afterLines="10" w:line="340" w:lineRule="exact"/>
              <w:jc w:val="both"/>
              <w:textAlignment w:val="auto"/>
              <w:rPr>
                <w:rFonts w:hint="eastAsia" w:ascii="宋体" w:hAnsi="宋体" w:eastAsia="宋体" w:cs="宋体"/>
                <w:b w:val="0"/>
                <w:bCs w:val="0"/>
                <w:color w:val="000000"/>
                <w:kern w:val="0"/>
                <w:sz w:val="24"/>
                <w:szCs w:val="24"/>
                <w:highlight w:val="none"/>
              </w:rPr>
            </w:pPr>
            <w:r>
              <w:rPr>
                <w:rFonts w:ascii="宋体" w:hAnsi="宋体" w:eastAsia="宋体" w:cs="宋体"/>
                <w:color w:val="000000"/>
                <w:sz w:val="24"/>
                <w:szCs w:val="24"/>
              </w:rPr>
              <w:t>责令停止违法行为，</w:t>
            </w:r>
            <w:r>
              <w:rPr>
                <w:rFonts w:hint="eastAsia" w:ascii="宋体" w:hAnsi="宋体" w:eastAsia="宋体" w:cs="宋体"/>
                <w:b w:val="0"/>
                <w:bCs w:val="0"/>
                <w:color w:val="000000"/>
                <w:kern w:val="0"/>
                <w:sz w:val="24"/>
                <w:szCs w:val="24"/>
                <w:highlight w:val="none"/>
              </w:rPr>
              <w:t>处18.5万元以上36.5万元以下罚款。</w:t>
            </w:r>
          </w:p>
        </w:tc>
      </w:tr>
      <w:tr w14:paraId="74CF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268" w:type="pct"/>
            <w:vMerge w:val="continue"/>
            <w:tcBorders>
              <w:top w:val="single" w:color="auto" w:sz="4" w:space="0"/>
              <w:left w:val="single" w:color="auto" w:sz="4" w:space="0"/>
              <w:bottom w:val="single" w:color="auto" w:sz="4" w:space="0"/>
              <w:right w:val="single" w:color="auto" w:sz="4" w:space="0"/>
            </w:tcBorders>
            <w:noWrap w:val="0"/>
            <w:vAlign w:val="center"/>
          </w:tcPr>
          <w:p w14:paraId="0EC4F52B">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left w:val="single" w:color="auto" w:sz="4" w:space="0"/>
              <w:bottom w:val="single" w:color="auto" w:sz="4" w:space="0"/>
              <w:right w:val="single" w:color="auto" w:sz="4" w:space="0"/>
            </w:tcBorders>
            <w:noWrap w:val="0"/>
            <w:vAlign w:val="center"/>
          </w:tcPr>
          <w:p w14:paraId="4B7D2562">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left w:val="single" w:color="auto" w:sz="4" w:space="0"/>
              <w:bottom w:val="single" w:color="auto" w:sz="4" w:space="0"/>
              <w:right w:val="single" w:color="auto" w:sz="4" w:space="0"/>
            </w:tcBorders>
            <w:noWrap w:val="0"/>
            <w:vAlign w:val="center"/>
          </w:tcPr>
          <w:p w14:paraId="2340A680">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688DF5E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077AC806">
            <w:pPr>
              <w:pStyle w:val="20"/>
              <w:keepNext w:val="0"/>
              <w:keepLines w:val="0"/>
              <w:pageBreakBefore w:val="0"/>
              <w:widowControl/>
              <w:numPr>
                <w:ilvl w:val="0"/>
                <w:numId w:val="6"/>
              </w:numPr>
              <w:kinsoku/>
              <w:wordWrap/>
              <w:overflowPunct/>
              <w:topLinePunct w:val="0"/>
              <w:autoSpaceDE/>
              <w:autoSpaceDN/>
              <w:bidi w:val="0"/>
              <w:adjustRightInd/>
              <w:snapToGrid/>
              <w:spacing w:before="32" w:beforeLines="10" w:after="32" w:afterLines="10" w:line="360" w:lineRule="exact"/>
              <w:ind w:left="0" w:firstLineChars="0"/>
              <w:jc w:val="both"/>
              <w:textAlignment w:val="auto"/>
              <w:rPr>
                <w:rFonts w:hint="eastAsia" w:ascii="宋体" w:hAnsi="宋体" w:eastAsia="宋体" w:cs="宋体"/>
                <w:b w:val="0"/>
                <w:bCs w:val="0"/>
                <w:color w:val="000000"/>
                <w:sz w:val="24"/>
                <w:szCs w:val="24"/>
                <w:highlight w:val="none"/>
              </w:rPr>
            </w:pPr>
            <w:r>
              <w:rPr>
                <w:rFonts w:hint="eastAsia" w:ascii="宋体" w:hAnsi="宋体" w:cs="宋体"/>
                <w:b w:val="0"/>
                <w:bCs w:val="0"/>
                <w:color w:val="000000"/>
                <w:kern w:val="0"/>
                <w:sz w:val="24"/>
                <w:szCs w:val="24"/>
                <w:highlight w:val="none"/>
                <w:lang w:val="en-US" w:eastAsia="zh-CN"/>
              </w:rPr>
              <w:t>涉案</w:t>
            </w:r>
            <w:r>
              <w:rPr>
                <w:rFonts w:hint="eastAsia" w:ascii="宋体" w:hAnsi="宋体" w:eastAsia="宋体" w:cs="宋体"/>
                <w:b w:val="0"/>
                <w:bCs w:val="0"/>
                <w:color w:val="000000"/>
                <w:spacing w:val="-6"/>
                <w:kern w:val="0"/>
                <w:sz w:val="24"/>
                <w:szCs w:val="24"/>
                <w:highlight w:val="none"/>
              </w:rPr>
              <w:t>销售金额在50万元以上的</w:t>
            </w:r>
            <w:r>
              <w:rPr>
                <w:rFonts w:hint="eastAsia" w:ascii="宋体" w:hAnsi="宋体" w:eastAsia="宋体" w:cs="宋体"/>
                <w:b w:val="0"/>
                <w:bCs w:val="0"/>
                <w:color w:val="000000"/>
                <w:kern w:val="0"/>
                <w:sz w:val="24"/>
                <w:szCs w:val="24"/>
                <w:highlight w:val="none"/>
              </w:rPr>
              <w:t>。</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31D54371">
            <w:pPr>
              <w:keepNext w:val="0"/>
              <w:keepLines w:val="0"/>
              <w:pageBreakBefore w:val="0"/>
              <w:widowControl/>
              <w:kinsoku/>
              <w:wordWrap/>
              <w:overflowPunct/>
              <w:topLinePunct w:val="0"/>
              <w:autoSpaceDE/>
              <w:autoSpaceDN/>
              <w:bidi w:val="0"/>
              <w:adjustRightInd/>
              <w:snapToGrid/>
              <w:spacing w:before="32" w:beforeLines="10" w:after="32" w:afterLines="10" w:line="340" w:lineRule="exact"/>
              <w:jc w:val="both"/>
              <w:textAlignment w:val="auto"/>
              <w:rPr>
                <w:rFonts w:hint="eastAsia" w:ascii="宋体" w:hAnsi="宋体" w:eastAsia="宋体" w:cs="宋体"/>
                <w:b w:val="0"/>
                <w:bCs w:val="0"/>
                <w:color w:val="000000"/>
                <w:kern w:val="0"/>
                <w:sz w:val="24"/>
                <w:szCs w:val="24"/>
                <w:highlight w:val="none"/>
              </w:rPr>
            </w:pPr>
            <w:r>
              <w:rPr>
                <w:rFonts w:ascii="宋体" w:hAnsi="宋体" w:eastAsia="宋体" w:cs="宋体"/>
                <w:color w:val="000000"/>
                <w:sz w:val="24"/>
                <w:szCs w:val="24"/>
              </w:rPr>
              <w:t>责令停止违法行为，</w:t>
            </w:r>
            <w:r>
              <w:rPr>
                <w:rFonts w:hint="eastAsia" w:ascii="宋体" w:hAnsi="宋体" w:eastAsia="宋体" w:cs="宋体"/>
                <w:b w:val="0"/>
                <w:bCs w:val="0"/>
                <w:color w:val="000000"/>
                <w:kern w:val="0"/>
                <w:sz w:val="24"/>
                <w:szCs w:val="24"/>
                <w:highlight w:val="none"/>
              </w:rPr>
              <w:t>处36.5万元以上50万元以下罚款。</w:t>
            </w:r>
          </w:p>
        </w:tc>
      </w:tr>
      <w:tr w14:paraId="32F1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 w:type="pct"/>
            <w:vMerge w:val="restart"/>
            <w:tcBorders>
              <w:top w:val="single" w:color="auto" w:sz="4" w:space="0"/>
              <w:left w:val="single" w:color="auto" w:sz="4" w:space="0"/>
              <w:bottom w:val="single" w:color="auto" w:sz="4" w:space="0"/>
              <w:right w:val="single" w:color="auto" w:sz="4" w:space="0"/>
            </w:tcBorders>
            <w:noWrap w:val="0"/>
            <w:vAlign w:val="center"/>
          </w:tcPr>
          <w:p w14:paraId="450FDA23">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rPr>
              <w:t>3</w:t>
            </w:r>
            <w:r>
              <w:rPr>
                <w:rFonts w:hint="eastAsia" w:ascii="宋体" w:hAnsi="宋体" w:cs="宋体"/>
                <w:b w:val="0"/>
                <w:bCs w:val="0"/>
                <w:color w:val="000000"/>
                <w:kern w:val="0"/>
                <w:sz w:val="24"/>
                <w:szCs w:val="24"/>
                <w:highlight w:val="none"/>
                <w:lang w:val="en-US" w:eastAsia="zh-CN"/>
              </w:rPr>
              <w:t>58</w:t>
            </w:r>
          </w:p>
        </w:tc>
        <w:tc>
          <w:tcPr>
            <w:tcW w:w="613" w:type="pct"/>
            <w:vMerge w:val="restart"/>
            <w:tcBorders>
              <w:top w:val="single" w:color="auto" w:sz="4" w:space="0"/>
              <w:left w:val="single" w:color="auto" w:sz="4" w:space="0"/>
              <w:bottom w:val="single" w:color="auto" w:sz="4" w:space="0"/>
              <w:right w:val="single" w:color="auto" w:sz="4" w:space="0"/>
            </w:tcBorders>
            <w:noWrap w:val="0"/>
            <w:vAlign w:val="center"/>
          </w:tcPr>
          <w:p w14:paraId="435D6433">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《中华人民共和国反不正当竞争法》</w:t>
            </w:r>
          </w:p>
        </w:tc>
        <w:tc>
          <w:tcPr>
            <w:tcW w:w="1429" w:type="pct"/>
            <w:vMerge w:val="restart"/>
            <w:tcBorders>
              <w:top w:val="single" w:color="auto" w:sz="4" w:space="0"/>
              <w:left w:val="single" w:color="auto" w:sz="4" w:space="0"/>
              <w:bottom w:val="single" w:color="auto" w:sz="4" w:space="0"/>
              <w:right w:val="single" w:color="auto" w:sz="4" w:space="0"/>
            </w:tcBorders>
            <w:noWrap w:val="0"/>
            <w:vAlign w:val="center"/>
          </w:tcPr>
          <w:p w14:paraId="5E3F1928">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ascii="宋体" w:hAnsi="宋体" w:eastAsia="宋体" w:cs="宋体"/>
                <w:color w:val="000000"/>
                <w:sz w:val="24"/>
                <w:szCs w:val="24"/>
              </w:rPr>
              <w:t>第二十八条</w:t>
            </w:r>
            <w:r>
              <w:rPr>
                <w:rFonts w:hint="eastAsia" w:ascii="宋体" w:hAnsi="宋体" w:cs="宋体"/>
                <w:color w:val="000000"/>
                <w:sz w:val="24"/>
                <w:szCs w:val="24"/>
                <w:lang w:val="en-US" w:eastAsia="zh-CN"/>
              </w:rPr>
              <w:t xml:space="preserve"> </w:t>
            </w:r>
            <w:r>
              <w:rPr>
                <w:rFonts w:ascii="宋体" w:hAnsi="宋体" w:eastAsia="宋体" w:cs="宋体"/>
                <w:color w:val="000000"/>
                <w:sz w:val="24"/>
                <w:szCs w:val="24"/>
              </w:rPr>
              <w:t>经营者违反本法第十二条规定损害其他经营者商业信誉、商品声誉的，由监督检查部门责令停止违法行为、消除影响，处十万元以上一百万元以下的罚款；情节严重的，处一百万元以上五百万元以下的罚款。</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17193607">
            <w:pPr>
              <w:keepNext w:val="0"/>
              <w:keepLines w:val="0"/>
              <w:pageBreakBefore w:val="0"/>
              <w:widowControl/>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0C7342CE">
            <w:pPr>
              <w:keepNext w:val="0"/>
              <w:keepLines w:val="0"/>
              <w:pageBreakBefore w:val="0"/>
              <w:widowControl/>
              <w:kinsoku/>
              <w:wordWrap/>
              <w:overflowPunct/>
              <w:topLinePunct w:val="0"/>
              <w:autoSpaceDE/>
              <w:autoSpaceDN/>
              <w:bidi w:val="0"/>
              <w:adjustRightInd/>
              <w:snapToGrid/>
              <w:spacing w:line="360" w:lineRule="exact"/>
              <w:ind w:left="0"/>
              <w:jc w:val="both"/>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kern w:val="0"/>
                <w:sz w:val="24"/>
                <w:szCs w:val="24"/>
                <w:highlight w:val="none"/>
              </w:rPr>
              <w:t>给竞争对手造成10万元以下损失的。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7B244755">
            <w:pPr>
              <w:keepNext w:val="0"/>
              <w:keepLines w:val="0"/>
              <w:pageBreakBefore w:val="0"/>
              <w:widowControl/>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责令停止违法行为、消除影响，处10万元以上</w:t>
            </w:r>
            <w:r>
              <w:rPr>
                <w:rFonts w:hint="eastAsia" w:ascii="宋体" w:hAnsi="宋体" w:cs="宋体"/>
                <w:b w:val="0"/>
                <w:bCs w:val="0"/>
                <w:color w:val="000000"/>
                <w:kern w:val="0"/>
                <w:sz w:val="24"/>
                <w:szCs w:val="24"/>
                <w:highlight w:val="none"/>
                <w:lang w:val="en-US" w:eastAsia="zh-CN"/>
              </w:rPr>
              <w:t>37</w:t>
            </w:r>
            <w:r>
              <w:rPr>
                <w:rFonts w:hint="eastAsia" w:ascii="宋体" w:hAnsi="宋体" w:eastAsia="宋体" w:cs="宋体"/>
                <w:b w:val="0"/>
                <w:bCs w:val="0"/>
                <w:color w:val="000000"/>
                <w:kern w:val="0"/>
                <w:sz w:val="24"/>
                <w:szCs w:val="24"/>
                <w:highlight w:val="none"/>
              </w:rPr>
              <w:t>万元以下罚款。</w:t>
            </w:r>
          </w:p>
        </w:tc>
      </w:tr>
      <w:tr w14:paraId="5EAA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268" w:type="pct"/>
            <w:vMerge w:val="continue"/>
            <w:tcBorders>
              <w:top w:val="single" w:color="auto" w:sz="4" w:space="0"/>
              <w:left w:val="single" w:color="auto" w:sz="4" w:space="0"/>
              <w:bottom w:val="single" w:color="auto" w:sz="4" w:space="0"/>
              <w:right w:val="single" w:color="auto" w:sz="4" w:space="0"/>
            </w:tcBorders>
            <w:noWrap w:val="0"/>
            <w:vAlign w:val="center"/>
          </w:tcPr>
          <w:p w14:paraId="2FD34473">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left w:val="single" w:color="auto" w:sz="4" w:space="0"/>
              <w:bottom w:val="single" w:color="auto" w:sz="4" w:space="0"/>
              <w:right w:val="single" w:color="auto" w:sz="4" w:space="0"/>
            </w:tcBorders>
            <w:noWrap w:val="0"/>
            <w:vAlign w:val="center"/>
          </w:tcPr>
          <w:p w14:paraId="3C6878AA">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left w:val="single" w:color="auto" w:sz="4" w:space="0"/>
              <w:bottom w:val="single" w:color="auto" w:sz="4" w:space="0"/>
              <w:right w:val="single" w:color="auto" w:sz="4" w:space="0"/>
            </w:tcBorders>
            <w:noWrap w:val="0"/>
            <w:vAlign w:val="center"/>
          </w:tcPr>
          <w:p w14:paraId="193985FB">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45F73A56">
            <w:pPr>
              <w:keepNext w:val="0"/>
              <w:keepLines w:val="0"/>
              <w:pageBreakBefore w:val="0"/>
              <w:widowControl/>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2F83A57B">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给竞争对手造成10万元以上</w:t>
            </w:r>
            <w:r>
              <w:rPr>
                <w:rFonts w:hint="eastAsia" w:ascii="宋体" w:hAnsi="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0万元以下损失的。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4840A51D">
            <w:pPr>
              <w:keepNext w:val="0"/>
              <w:keepLines w:val="0"/>
              <w:pageBreakBefore w:val="0"/>
              <w:widowControl/>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责令停止违法行为、消除影响，处</w:t>
            </w:r>
            <w:r>
              <w:rPr>
                <w:rFonts w:hint="eastAsia" w:ascii="宋体" w:hAnsi="宋体" w:cs="宋体"/>
                <w:b w:val="0"/>
                <w:bCs w:val="0"/>
                <w:color w:val="000000"/>
                <w:kern w:val="0"/>
                <w:sz w:val="24"/>
                <w:szCs w:val="24"/>
                <w:highlight w:val="none"/>
                <w:lang w:val="en-US" w:eastAsia="zh-CN"/>
              </w:rPr>
              <w:t>37</w:t>
            </w:r>
            <w:r>
              <w:rPr>
                <w:rFonts w:hint="eastAsia" w:ascii="宋体" w:hAnsi="宋体" w:eastAsia="宋体" w:cs="宋体"/>
                <w:b w:val="0"/>
                <w:bCs w:val="0"/>
                <w:color w:val="000000"/>
                <w:kern w:val="0"/>
                <w:sz w:val="24"/>
                <w:szCs w:val="24"/>
                <w:highlight w:val="none"/>
              </w:rPr>
              <w:t>万元以上</w:t>
            </w:r>
            <w:r>
              <w:rPr>
                <w:rFonts w:hint="eastAsia" w:ascii="宋体" w:hAnsi="宋体" w:cs="宋体"/>
                <w:b w:val="0"/>
                <w:bCs w:val="0"/>
                <w:color w:val="000000"/>
                <w:kern w:val="0"/>
                <w:sz w:val="24"/>
                <w:szCs w:val="24"/>
                <w:highlight w:val="none"/>
                <w:lang w:val="en-US" w:eastAsia="zh-CN"/>
              </w:rPr>
              <w:t>73</w:t>
            </w:r>
            <w:r>
              <w:rPr>
                <w:rFonts w:hint="eastAsia" w:ascii="宋体" w:hAnsi="宋体" w:eastAsia="宋体" w:cs="宋体"/>
                <w:b w:val="0"/>
                <w:bCs w:val="0"/>
                <w:color w:val="000000"/>
                <w:kern w:val="0"/>
                <w:sz w:val="24"/>
                <w:szCs w:val="24"/>
                <w:highlight w:val="none"/>
              </w:rPr>
              <w:t>万元以下罚款。</w:t>
            </w:r>
          </w:p>
        </w:tc>
      </w:tr>
      <w:tr w14:paraId="75A8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268" w:type="pct"/>
            <w:vMerge w:val="continue"/>
            <w:tcBorders>
              <w:top w:val="single" w:color="auto" w:sz="4" w:space="0"/>
              <w:left w:val="single" w:color="auto" w:sz="4" w:space="0"/>
              <w:bottom w:val="single" w:color="auto" w:sz="4" w:space="0"/>
              <w:right w:val="single" w:color="auto" w:sz="4" w:space="0"/>
            </w:tcBorders>
            <w:noWrap w:val="0"/>
            <w:vAlign w:val="center"/>
          </w:tcPr>
          <w:p w14:paraId="02464804">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left w:val="single" w:color="auto" w:sz="4" w:space="0"/>
              <w:bottom w:val="single" w:color="auto" w:sz="4" w:space="0"/>
              <w:right w:val="single" w:color="auto" w:sz="4" w:space="0"/>
            </w:tcBorders>
            <w:noWrap w:val="0"/>
            <w:vAlign w:val="center"/>
          </w:tcPr>
          <w:p w14:paraId="25715077">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left w:val="single" w:color="auto" w:sz="4" w:space="0"/>
              <w:bottom w:val="single" w:color="auto" w:sz="4" w:space="0"/>
              <w:right w:val="single" w:color="auto" w:sz="4" w:space="0"/>
            </w:tcBorders>
            <w:noWrap w:val="0"/>
            <w:vAlign w:val="center"/>
          </w:tcPr>
          <w:p w14:paraId="045F202B">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3D515030">
            <w:pPr>
              <w:keepNext w:val="0"/>
              <w:keepLines w:val="0"/>
              <w:pageBreakBefore w:val="0"/>
              <w:widowControl/>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42098A40">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sz w:val="24"/>
                <w:szCs w:val="24"/>
                <w:highlight w:val="none"/>
              </w:rPr>
              <w:t>给竞争对手造成</w:t>
            </w:r>
            <w:r>
              <w:rPr>
                <w:rFonts w:hint="eastAsia" w:ascii="宋体" w:hAnsi="宋体" w:cs="宋体"/>
                <w:b w:val="0"/>
                <w:bCs w:val="0"/>
                <w:color w:val="000000"/>
                <w:sz w:val="24"/>
                <w:szCs w:val="24"/>
                <w:highlight w:val="none"/>
                <w:lang w:val="en-US" w:eastAsia="zh-CN"/>
              </w:rPr>
              <w:t>5</w:t>
            </w:r>
            <w:r>
              <w:rPr>
                <w:rFonts w:hint="eastAsia" w:ascii="宋体" w:hAnsi="宋体" w:eastAsia="宋体" w:cs="宋体"/>
                <w:b w:val="0"/>
                <w:bCs w:val="0"/>
                <w:color w:val="000000"/>
                <w:sz w:val="24"/>
                <w:szCs w:val="24"/>
                <w:highlight w:val="none"/>
              </w:rPr>
              <w:t>0万元以上</w:t>
            </w:r>
            <w:r>
              <w:rPr>
                <w:rFonts w:hint="eastAsia" w:ascii="宋体" w:hAnsi="宋体" w:cs="宋体"/>
                <w:b w:val="0"/>
                <w:bCs w:val="0"/>
                <w:color w:val="000000"/>
                <w:sz w:val="24"/>
                <w:szCs w:val="24"/>
                <w:highlight w:val="none"/>
                <w:lang w:val="en-US" w:eastAsia="zh-CN"/>
              </w:rPr>
              <w:t>10</w:t>
            </w:r>
            <w:r>
              <w:rPr>
                <w:rFonts w:hint="eastAsia" w:ascii="宋体" w:hAnsi="宋体" w:eastAsia="宋体" w:cs="宋体"/>
                <w:b w:val="0"/>
                <w:bCs w:val="0"/>
                <w:color w:val="000000"/>
                <w:sz w:val="24"/>
                <w:szCs w:val="24"/>
                <w:highlight w:val="none"/>
              </w:rPr>
              <w:t>0万元以下损失的。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386353E7">
            <w:pPr>
              <w:keepNext w:val="0"/>
              <w:keepLines w:val="0"/>
              <w:pageBreakBefore w:val="0"/>
              <w:widowControl/>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责令停止违法行为、消除影响，处</w:t>
            </w:r>
            <w:r>
              <w:rPr>
                <w:rFonts w:hint="eastAsia" w:ascii="宋体" w:hAnsi="宋体" w:cs="宋体"/>
                <w:b w:val="0"/>
                <w:bCs w:val="0"/>
                <w:color w:val="000000"/>
                <w:kern w:val="0"/>
                <w:sz w:val="24"/>
                <w:szCs w:val="24"/>
                <w:highlight w:val="none"/>
                <w:lang w:val="en-US" w:eastAsia="zh-CN"/>
              </w:rPr>
              <w:t>73</w:t>
            </w:r>
            <w:r>
              <w:rPr>
                <w:rFonts w:hint="eastAsia" w:ascii="宋体" w:hAnsi="宋体" w:eastAsia="宋体" w:cs="宋体"/>
                <w:b w:val="0"/>
                <w:bCs w:val="0"/>
                <w:color w:val="000000"/>
                <w:kern w:val="0"/>
                <w:sz w:val="24"/>
                <w:szCs w:val="24"/>
                <w:highlight w:val="none"/>
              </w:rPr>
              <w:t>万元以上</w:t>
            </w:r>
            <w:r>
              <w:rPr>
                <w:rFonts w:hint="eastAsia" w:ascii="宋体" w:hAnsi="宋体" w:cs="宋体"/>
                <w:b w:val="0"/>
                <w:bCs w:val="0"/>
                <w:color w:val="000000"/>
                <w:kern w:val="0"/>
                <w:sz w:val="24"/>
                <w:szCs w:val="24"/>
                <w:highlight w:val="none"/>
                <w:lang w:val="en-US" w:eastAsia="zh-CN"/>
              </w:rPr>
              <w:t>100</w:t>
            </w:r>
            <w:r>
              <w:rPr>
                <w:rFonts w:hint="eastAsia" w:ascii="宋体" w:hAnsi="宋体" w:eastAsia="宋体" w:cs="宋体"/>
                <w:b w:val="0"/>
                <w:bCs w:val="0"/>
                <w:color w:val="000000"/>
                <w:kern w:val="0"/>
                <w:sz w:val="24"/>
                <w:szCs w:val="24"/>
                <w:highlight w:val="none"/>
              </w:rPr>
              <w:t>万元以下罚款。</w:t>
            </w:r>
          </w:p>
        </w:tc>
      </w:tr>
      <w:tr w14:paraId="5BC90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trPr>
        <w:tc>
          <w:tcPr>
            <w:tcW w:w="268" w:type="pct"/>
            <w:vMerge w:val="continue"/>
            <w:tcBorders>
              <w:top w:val="single" w:color="auto" w:sz="4" w:space="0"/>
              <w:left w:val="single" w:color="auto" w:sz="4" w:space="0"/>
              <w:bottom w:val="single" w:color="auto" w:sz="4" w:space="0"/>
              <w:right w:val="single" w:color="auto" w:sz="4" w:space="0"/>
            </w:tcBorders>
            <w:noWrap w:val="0"/>
            <w:vAlign w:val="center"/>
          </w:tcPr>
          <w:p w14:paraId="28E14D35">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left w:val="single" w:color="auto" w:sz="4" w:space="0"/>
              <w:bottom w:val="single" w:color="auto" w:sz="4" w:space="0"/>
              <w:right w:val="single" w:color="auto" w:sz="4" w:space="0"/>
            </w:tcBorders>
            <w:noWrap w:val="0"/>
            <w:vAlign w:val="center"/>
          </w:tcPr>
          <w:p w14:paraId="70A75714">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left w:val="single" w:color="auto" w:sz="4" w:space="0"/>
              <w:bottom w:val="single" w:color="auto" w:sz="4" w:space="0"/>
              <w:right w:val="single" w:color="auto" w:sz="4" w:space="0"/>
            </w:tcBorders>
            <w:noWrap w:val="0"/>
            <w:vAlign w:val="center"/>
          </w:tcPr>
          <w:p w14:paraId="3F8D484A">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2965B7BD">
            <w:pPr>
              <w:keepNext w:val="0"/>
              <w:keepLines w:val="0"/>
              <w:pageBreakBefore w:val="0"/>
              <w:widowControl/>
              <w:kinsoku/>
              <w:wordWrap/>
              <w:overflowPunct/>
              <w:topLinePunct w:val="0"/>
              <w:autoSpaceDE/>
              <w:autoSpaceDN/>
              <w:bidi w:val="0"/>
              <w:adjustRightInd/>
              <w:snapToGrid/>
              <w:spacing w:line="42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严重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21C788C4">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kern w:val="0"/>
                <w:sz w:val="24"/>
                <w:szCs w:val="24"/>
                <w:highlight w:val="none"/>
              </w:rPr>
              <w:t>给竞争对手造成</w:t>
            </w:r>
            <w:r>
              <w:rPr>
                <w:rFonts w:hint="eastAsia" w:ascii="宋体" w:hAnsi="宋体" w:cs="宋体"/>
                <w:b w:val="0"/>
                <w:bCs w:val="0"/>
                <w:color w:val="000000"/>
                <w:kern w:val="0"/>
                <w:sz w:val="24"/>
                <w:szCs w:val="24"/>
                <w:highlight w:val="none"/>
                <w:lang w:val="en-US" w:eastAsia="zh-CN"/>
              </w:rPr>
              <w:t>100</w:t>
            </w:r>
            <w:r>
              <w:rPr>
                <w:rFonts w:hint="eastAsia" w:ascii="宋体" w:hAnsi="宋体" w:eastAsia="宋体" w:cs="宋体"/>
                <w:b w:val="0"/>
                <w:bCs w:val="0"/>
                <w:color w:val="000000"/>
                <w:kern w:val="0"/>
                <w:sz w:val="24"/>
                <w:szCs w:val="24"/>
                <w:highlight w:val="none"/>
              </w:rPr>
              <w:t>万元以上损失，或者其他严重情形的。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7D5C0E9D">
            <w:pPr>
              <w:keepNext w:val="0"/>
              <w:keepLines w:val="0"/>
              <w:pageBreakBefore w:val="0"/>
              <w:widowControl/>
              <w:kinsoku/>
              <w:wordWrap/>
              <w:overflowPunct/>
              <w:topLinePunct w:val="0"/>
              <w:autoSpaceDE/>
              <w:autoSpaceDN/>
              <w:bidi w:val="0"/>
              <w:adjustRightInd/>
              <w:snapToGrid/>
              <w:spacing w:line="42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责令停止违法行为、消除影响，处</w:t>
            </w:r>
            <w:r>
              <w:rPr>
                <w:rFonts w:hint="eastAsia" w:ascii="宋体" w:hAnsi="宋体" w:cs="宋体"/>
                <w:b w:val="0"/>
                <w:bCs w:val="0"/>
                <w:color w:val="000000"/>
                <w:kern w:val="0"/>
                <w:sz w:val="24"/>
                <w:szCs w:val="24"/>
                <w:highlight w:val="none"/>
                <w:lang w:val="en-US" w:eastAsia="zh-CN"/>
              </w:rPr>
              <w:t>100</w:t>
            </w:r>
            <w:r>
              <w:rPr>
                <w:rFonts w:hint="eastAsia" w:ascii="宋体" w:hAnsi="宋体" w:eastAsia="宋体" w:cs="宋体"/>
                <w:b w:val="0"/>
                <w:bCs w:val="0"/>
                <w:color w:val="000000"/>
                <w:kern w:val="0"/>
                <w:sz w:val="24"/>
                <w:szCs w:val="24"/>
                <w:highlight w:val="none"/>
              </w:rPr>
              <w:t>万元以上</w:t>
            </w:r>
            <w:r>
              <w:rPr>
                <w:rFonts w:hint="eastAsia" w:ascii="宋体" w:hAnsi="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00万元以下的罚款。</w:t>
            </w:r>
          </w:p>
        </w:tc>
      </w:tr>
      <w:tr w14:paraId="5590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268" w:type="pct"/>
            <w:vMerge w:val="restart"/>
            <w:tcBorders>
              <w:top w:val="single" w:color="auto" w:sz="4" w:space="0"/>
              <w:left w:val="single" w:color="auto" w:sz="4" w:space="0"/>
              <w:bottom w:val="single" w:color="auto" w:sz="4" w:space="0"/>
              <w:right w:val="single" w:color="auto" w:sz="4" w:space="0"/>
            </w:tcBorders>
            <w:noWrap w:val="0"/>
            <w:vAlign w:val="center"/>
          </w:tcPr>
          <w:p w14:paraId="66DF4825">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rPr>
              <w:t>3</w:t>
            </w:r>
            <w:r>
              <w:rPr>
                <w:rFonts w:hint="eastAsia" w:ascii="宋体" w:hAnsi="宋体" w:cs="宋体"/>
                <w:b w:val="0"/>
                <w:bCs w:val="0"/>
                <w:color w:val="000000"/>
                <w:kern w:val="0"/>
                <w:sz w:val="24"/>
                <w:szCs w:val="24"/>
                <w:highlight w:val="none"/>
                <w:lang w:val="en-US" w:eastAsia="zh-CN"/>
              </w:rPr>
              <w:t>59</w:t>
            </w:r>
          </w:p>
        </w:tc>
        <w:tc>
          <w:tcPr>
            <w:tcW w:w="613" w:type="pct"/>
            <w:vMerge w:val="restart"/>
            <w:tcBorders>
              <w:top w:val="single" w:color="auto" w:sz="4" w:space="0"/>
              <w:left w:val="single" w:color="auto" w:sz="4" w:space="0"/>
              <w:bottom w:val="single" w:color="auto" w:sz="4" w:space="0"/>
              <w:right w:val="single" w:color="auto" w:sz="4" w:space="0"/>
            </w:tcBorders>
            <w:noWrap w:val="0"/>
            <w:vAlign w:val="center"/>
          </w:tcPr>
          <w:p w14:paraId="6FFCA6CC">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《中华人民共和国反不正当竞争法》</w:t>
            </w:r>
          </w:p>
        </w:tc>
        <w:tc>
          <w:tcPr>
            <w:tcW w:w="1429" w:type="pct"/>
            <w:vMerge w:val="restart"/>
            <w:tcBorders>
              <w:top w:val="single" w:color="auto" w:sz="4" w:space="0"/>
              <w:left w:val="single" w:color="auto" w:sz="4" w:space="0"/>
              <w:bottom w:val="single" w:color="auto" w:sz="4" w:space="0"/>
              <w:right w:val="single" w:color="auto" w:sz="4" w:space="0"/>
            </w:tcBorders>
            <w:noWrap w:val="0"/>
            <w:vAlign w:val="center"/>
          </w:tcPr>
          <w:p w14:paraId="1D1C8001">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ascii="宋体" w:hAnsi="宋体" w:eastAsia="宋体" w:cs="宋体"/>
                <w:color w:val="000000"/>
                <w:sz w:val="24"/>
                <w:szCs w:val="24"/>
              </w:rPr>
              <w:t>第二十九条</w:t>
            </w:r>
            <w:r>
              <w:rPr>
                <w:rFonts w:hint="eastAsia" w:ascii="宋体" w:hAnsi="宋体" w:cs="宋体"/>
                <w:color w:val="000000"/>
                <w:sz w:val="24"/>
                <w:szCs w:val="24"/>
                <w:lang w:val="en-US" w:eastAsia="zh-CN"/>
              </w:rPr>
              <w:t xml:space="preserve"> </w:t>
            </w:r>
            <w:r>
              <w:rPr>
                <w:rFonts w:ascii="宋体" w:hAnsi="宋体" w:eastAsia="宋体" w:cs="宋体"/>
                <w:color w:val="000000"/>
                <w:sz w:val="24"/>
                <w:szCs w:val="24"/>
              </w:rPr>
              <w:t>经营者违反本法第十三条第二款、第三款、第四款规定利用网络从事不正当竞争的，由监督检查部门责令停止违法行为，处十万元以上一百万元以下的罚款；情节严重的，处一百万元以上五百万元以下的罚款。</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5000DAD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20159D39">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给其他经营者造成10万元以下损失的。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5AB1F918">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责令停止违法行为，处10万元以上</w:t>
            </w:r>
            <w:r>
              <w:rPr>
                <w:rFonts w:hint="eastAsia" w:ascii="宋体" w:hAnsi="宋体" w:cs="宋体"/>
                <w:b w:val="0"/>
                <w:bCs w:val="0"/>
                <w:color w:val="000000"/>
                <w:kern w:val="0"/>
                <w:sz w:val="24"/>
                <w:szCs w:val="24"/>
                <w:highlight w:val="none"/>
                <w:lang w:val="en-US" w:eastAsia="zh-CN"/>
              </w:rPr>
              <w:t>37</w:t>
            </w:r>
            <w:r>
              <w:rPr>
                <w:rFonts w:hint="eastAsia" w:ascii="宋体" w:hAnsi="宋体" w:eastAsia="宋体" w:cs="宋体"/>
                <w:b w:val="0"/>
                <w:bCs w:val="0"/>
                <w:color w:val="000000"/>
                <w:kern w:val="0"/>
                <w:sz w:val="24"/>
                <w:szCs w:val="24"/>
                <w:highlight w:val="none"/>
              </w:rPr>
              <w:t>万元以下罚款。</w:t>
            </w:r>
          </w:p>
        </w:tc>
      </w:tr>
      <w:tr w14:paraId="63C5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268" w:type="pct"/>
            <w:vMerge w:val="continue"/>
            <w:tcBorders>
              <w:top w:val="single" w:color="auto" w:sz="4" w:space="0"/>
              <w:left w:val="single" w:color="auto" w:sz="4" w:space="0"/>
              <w:bottom w:val="single" w:color="auto" w:sz="4" w:space="0"/>
              <w:right w:val="single" w:color="auto" w:sz="4" w:space="0"/>
            </w:tcBorders>
            <w:noWrap w:val="0"/>
            <w:vAlign w:val="center"/>
          </w:tcPr>
          <w:p w14:paraId="3DF46A60">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left w:val="single" w:color="auto" w:sz="4" w:space="0"/>
              <w:bottom w:val="single" w:color="auto" w:sz="4" w:space="0"/>
              <w:right w:val="single" w:color="auto" w:sz="4" w:space="0"/>
            </w:tcBorders>
            <w:noWrap w:val="0"/>
            <w:vAlign w:val="center"/>
          </w:tcPr>
          <w:p w14:paraId="2ABB8F73">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left w:val="single" w:color="auto" w:sz="4" w:space="0"/>
              <w:bottom w:val="single" w:color="auto" w:sz="4" w:space="0"/>
              <w:right w:val="single" w:color="auto" w:sz="4" w:space="0"/>
            </w:tcBorders>
            <w:noWrap w:val="0"/>
            <w:vAlign w:val="center"/>
          </w:tcPr>
          <w:p w14:paraId="40724403">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3383863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5FC4239F">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给其他经营者造成10万元以上</w:t>
            </w:r>
            <w:r>
              <w:rPr>
                <w:rFonts w:hint="eastAsia" w:ascii="宋体" w:hAnsi="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0万元以下损失的。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5323376E">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责令停止违法行为，处</w:t>
            </w:r>
            <w:r>
              <w:rPr>
                <w:rFonts w:hint="eastAsia" w:ascii="宋体" w:hAnsi="宋体" w:cs="宋体"/>
                <w:b w:val="0"/>
                <w:bCs w:val="0"/>
                <w:color w:val="000000"/>
                <w:kern w:val="0"/>
                <w:sz w:val="24"/>
                <w:szCs w:val="24"/>
                <w:highlight w:val="none"/>
                <w:lang w:val="en-US" w:eastAsia="zh-CN"/>
              </w:rPr>
              <w:t>37</w:t>
            </w:r>
            <w:r>
              <w:rPr>
                <w:rFonts w:hint="eastAsia" w:ascii="宋体" w:hAnsi="宋体" w:eastAsia="宋体" w:cs="宋体"/>
                <w:b w:val="0"/>
                <w:bCs w:val="0"/>
                <w:color w:val="000000"/>
                <w:kern w:val="0"/>
                <w:sz w:val="24"/>
                <w:szCs w:val="24"/>
                <w:highlight w:val="none"/>
              </w:rPr>
              <w:t>万元以上</w:t>
            </w:r>
            <w:r>
              <w:rPr>
                <w:rFonts w:hint="eastAsia" w:ascii="宋体" w:hAnsi="宋体" w:cs="宋体"/>
                <w:b w:val="0"/>
                <w:bCs w:val="0"/>
                <w:color w:val="000000"/>
                <w:kern w:val="0"/>
                <w:sz w:val="24"/>
                <w:szCs w:val="24"/>
                <w:highlight w:val="none"/>
                <w:lang w:val="en-US" w:eastAsia="zh-CN"/>
              </w:rPr>
              <w:t>73</w:t>
            </w:r>
            <w:r>
              <w:rPr>
                <w:rFonts w:hint="eastAsia" w:ascii="宋体" w:hAnsi="宋体" w:eastAsia="宋体" w:cs="宋体"/>
                <w:b w:val="0"/>
                <w:bCs w:val="0"/>
                <w:color w:val="000000"/>
                <w:kern w:val="0"/>
                <w:sz w:val="24"/>
                <w:szCs w:val="24"/>
                <w:highlight w:val="none"/>
              </w:rPr>
              <w:t>万元以下罚款。</w:t>
            </w:r>
          </w:p>
        </w:tc>
      </w:tr>
      <w:tr w14:paraId="13C7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268" w:type="pct"/>
            <w:vMerge w:val="continue"/>
            <w:tcBorders>
              <w:top w:val="single" w:color="auto" w:sz="4" w:space="0"/>
              <w:left w:val="single" w:color="auto" w:sz="4" w:space="0"/>
              <w:bottom w:val="single" w:color="auto" w:sz="4" w:space="0"/>
              <w:right w:val="single" w:color="auto" w:sz="4" w:space="0"/>
            </w:tcBorders>
            <w:noWrap w:val="0"/>
            <w:vAlign w:val="center"/>
          </w:tcPr>
          <w:p w14:paraId="515CABD3">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left w:val="single" w:color="auto" w:sz="4" w:space="0"/>
              <w:bottom w:val="single" w:color="auto" w:sz="4" w:space="0"/>
              <w:right w:val="single" w:color="auto" w:sz="4" w:space="0"/>
            </w:tcBorders>
            <w:noWrap w:val="0"/>
            <w:vAlign w:val="center"/>
          </w:tcPr>
          <w:p w14:paraId="75E7A035">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left w:val="single" w:color="auto" w:sz="4" w:space="0"/>
              <w:bottom w:val="single" w:color="auto" w:sz="4" w:space="0"/>
              <w:right w:val="single" w:color="auto" w:sz="4" w:space="0"/>
            </w:tcBorders>
            <w:noWrap w:val="0"/>
            <w:vAlign w:val="center"/>
          </w:tcPr>
          <w:p w14:paraId="3E291216">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16249AF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67C311E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sz w:val="24"/>
                <w:szCs w:val="24"/>
                <w:highlight w:val="none"/>
              </w:rPr>
              <w:t>给</w:t>
            </w:r>
            <w:r>
              <w:rPr>
                <w:rFonts w:hint="eastAsia" w:ascii="宋体" w:hAnsi="宋体" w:eastAsia="宋体" w:cs="宋体"/>
                <w:b w:val="0"/>
                <w:bCs w:val="0"/>
                <w:color w:val="000000"/>
                <w:kern w:val="0"/>
                <w:sz w:val="24"/>
                <w:szCs w:val="24"/>
                <w:highlight w:val="none"/>
              </w:rPr>
              <w:t>其他经营者</w:t>
            </w:r>
            <w:r>
              <w:rPr>
                <w:rFonts w:hint="eastAsia" w:ascii="宋体" w:hAnsi="宋体" w:eastAsia="宋体" w:cs="宋体"/>
                <w:b w:val="0"/>
                <w:bCs w:val="0"/>
                <w:color w:val="000000"/>
                <w:sz w:val="24"/>
                <w:szCs w:val="24"/>
                <w:highlight w:val="none"/>
              </w:rPr>
              <w:t>造成</w:t>
            </w:r>
            <w:r>
              <w:rPr>
                <w:rFonts w:hint="eastAsia" w:ascii="宋体" w:hAnsi="宋体" w:cs="宋体"/>
                <w:b w:val="0"/>
                <w:bCs w:val="0"/>
                <w:color w:val="000000"/>
                <w:sz w:val="24"/>
                <w:szCs w:val="24"/>
                <w:highlight w:val="none"/>
                <w:lang w:val="en-US" w:eastAsia="zh-CN"/>
              </w:rPr>
              <w:t>5</w:t>
            </w:r>
            <w:r>
              <w:rPr>
                <w:rFonts w:hint="eastAsia" w:ascii="宋体" w:hAnsi="宋体" w:eastAsia="宋体" w:cs="宋体"/>
                <w:b w:val="0"/>
                <w:bCs w:val="0"/>
                <w:color w:val="000000"/>
                <w:sz w:val="24"/>
                <w:szCs w:val="24"/>
                <w:highlight w:val="none"/>
              </w:rPr>
              <w:t>0万元以上</w:t>
            </w:r>
            <w:r>
              <w:rPr>
                <w:rFonts w:hint="eastAsia" w:ascii="宋体" w:hAnsi="宋体" w:cs="宋体"/>
                <w:b w:val="0"/>
                <w:bCs w:val="0"/>
                <w:color w:val="000000"/>
                <w:sz w:val="24"/>
                <w:szCs w:val="24"/>
                <w:highlight w:val="none"/>
                <w:lang w:val="en-US" w:eastAsia="zh-CN"/>
              </w:rPr>
              <w:t>10</w:t>
            </w:r>
            <w:r>
              <w:rPr>
                <w:rFonts w:hint="eastAsia" w:ascii="宋体" w:hAnsi="宋体" w:eastAsia="宋体" w:cs="宋体"/>
                <w:b w:val="0"/>
                <w:bCs w:val="0"/>
                <w:color w:val="000000"/>
                <w:sz w:val="24"/>
                <w:szCs w:val="24"/>
                <w:highlight w:val="none"/>
              </w:rPr>
              <w:t>0万元以下损失的。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639DA945">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责令停止违法行为，处</w:t>
            </w:r>
            <w:r>
              <w:rPr>
                <w:rFonts w:hint="eastAsia" w:ascii="宋体" w:hAnsi="宋体" w:cs="宋体"/>
                <w:b w:val="0"/>
                <w:bCs w:val="0"/>
                <w:color w:val="000000"/>
                <w:kern w:val="0"/>
                <w:sz w:val="24"/>
                <w:szCs w:val="24"/>
                <w:highlight w:val="none"/>
                <w:lang w:val="en-US" w:eastAsia="zh-CN"/>
              </w:rPr>
              <w:t>73</w:t>
            </w:r>
            <w:r>
              <w:rPr>
                <w:rFonts w:hint="eastAsia" w:ascii="宋体" w:hAnsi="宋体" w:eastAsia="宋体" w:cs="宋体"/>
                <w:b w:val="0"/>
                <w:bCs w:val="0"/>
                <w:color w:val="000000"/>
                <w:kern w:val="0"/>
                <w:sz w:val="24"/>
                <w:szCs w:val="24"/>
                <w:highlight w:val="none"/>
              </w:rPr>
              <w:t>万元以上</w:t>
            </w:r>
            <w:r>
              <w:rPr>
                <w:rFonts w:hint="eastAsia" w:ascii="宋体" w:hAnsi="宋体" w:cs="宋体"/>
                <w:b w:val="0"/>
                <w:bCs w:val="0"/>
                <w:color w:val="000000"/>
                <w:kern w:val="0"/>
                <w:sz w:val="24"/>
                <w:szCs w:val="24"/>
                <w:highlight w:val="none"/>
                <w:lang w:val="en-US" w:eastAsia="zh-CN"/>
              </w:rPr>
              <w:t>100</w:t>
            </w:r>
            <w:r>
              <w:rPr>
                <w:rFonts w:hint="eastAsia" w:ascii="宋体" w:hAnsi="宋体" w:eastAsia="宋体" w:cs="宋体"/>
                <w:b w:val="0"/>
                <w:bCs w:val="0"/>
                <w:color w:val="000000"/>
                <w:kern w:val="0"/>
                <w:sz w:val="24"/>
                <w:szCs w:val="24"/>
                <w:highlight w:val="none"/>
              </w:rPr>
              <w:t>万元以下罚款。</w:t>
            </w:r>
          </w:p>
        </w:tc>
      </w:tr>
      <w:tr w14:paraId="10521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268" w:type="pct"/>
            <w:vMerge w:val="continue"/>
            <w:tcBorders>
              <w:top w:val="single" w:color="auto" w:sz="4" w:space="0"/>
              <w:left w:val="single" w:color="auto" w:sz="4" w:space="0"/>
              <w:bottom w:val="single" w:color="auto" w:sz="4" w:space="0"/>
              <w:right w:val="single" w:color="auto" w:sz="4" w:space="0"/>
            </w:tcBorders>
            <w:noWrap w:val="0"/>
            <w:vAlign w:val="center"/>
          </w:tcPr>
          <w:p w14:paraId="7C870288">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left w:val="single" w:color="auto" w:sz="4" w:space="0"/>
              <w:bottom w:val="single" w:color="auto" w:sz="4" w:space="0"/>
              <w:right w:val="single" w:color="auto" w:sz="4" w:space="0"/>
            </w:tcBorders>
            <w:noWrap w:val="0"/>
            <w:vAlign w:val="center"/>
          </w:tcPr>
          <w:p w14:paraId="676E8620">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left w:val="single" w:color="auto" w:sz="4" w:space="0"/>
              <w:bottom w:val="single" w:color="auto" w:sz="4" w:space="0"/>
              <w:right w:val="single" w:color="auto" w:sz="4" w:space="0"/>
            </w:tcBorders>
            <w:noWrap w:val="0"/>
            <w:vAlign w:val="center"/>
          </w:tcPr>
          <w:p w14:paraId="74342B3B">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66B95CD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严重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4112185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给其他经营者造成</w:t>
            </w:r>
            <w:r>
              <w:rPr>
                <w:rFonts w:hint="eastAsia" w:ascii="宋体" w:hAnsi="宋体" w:cs="宋体"/>
                <w:b w:val="0"/>
                <w:bCs w:val="0"/>
                <w:color w:val="000000"/>
                <w:kern w:val="0"/>
                <w:sz w:val="24"/>
                <w:szCs w:val="24"/>
                <w:highlight w:val="none"/>
                <w:lang w:val="en-US" w:eastAsia="zh-CN"/>
              </w:rPr>
              <w:t>100</w:t>
            </w:r>
            <w:r>
              <w:rPr>
                <w:rFonts w:hint="eastAsia" w:ascii="宋体" w:hAnsi="宋体" w:eastAsia="宋体" w:cs="宋体"/>
                <w:b w:val="0"/>
                <w:bCs w:val="0"/>
                <w:color w:val="000000"/>
                <w:kern w:val="0"/>
                <w:sz w:val="24"/>
                <w:szCs w:val="24"/>
                <w:highlight w:val="none"/>
              </w:rPr>
              <w:t>万元以上损失，或者其他严重情形的。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2079624A">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责令停止违法行为，处</w:t>
            </w:r>
            <w:r>
              <w:rPr>
                <w:rFonts w:hint="eastAsia" w:ascii="宋体" w:hAnsi="宋体" w:cs="宋体"/>
                <w:b w:val="0"/>
                <w:bCs w:val="0"/>
                <w:color w:val="000000"/>
                <w:kern w:val="0"/>
                <w:sz w:val="24"/>
                <w:szCs w:val="24"/>
                <w:highlight w:val="none"/>
                <w:lang w:val="en-US" w:eastAsia="zh-CN"/>
              </w:rPr>
              <w:t>100</w:t>
            </w:r>
            <w:r>
              <w:rPr>
                <w:rFonts w:hint="eastAsia" w:ascii="宋体" w:hAnsi="宋体" w:eastAsia="宋体" w:cs="宋体"/>
                <w:b w:val="0"/>
                <w:bCs w:val="0"/>
                <w:color w:val="000000"/>
                <w:kern w:val="0"/>
                <w:sz w:val="24"/>
                <w:szCs w:val="24"/>
                <w:highlight w:val="none"/>
              </w:rPr>
              <w:t>万元以上</w:t>
            </w:r>
            <w:r>
              <w:rPr>
                <w:rFonts w:hint="eastAsia" w:ascii="宋体" w:hAnsi="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00万元以下罚款。</w:t>
            </w:r>
          </w:p>
        </w:tc>
      </w:tr>
      <w:tr w14:paraId="3117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268" w:type="pct"/>
            <w:vMerge w:val="restart"/>
            <w:tcBorders>
              <w:top w:val="single" w:color="auto" w:sz="4" w:space="0"/>
              <w:left w:val="single" w:color="auto" w:sz="4" w:space="0"/>
              <w:right w:val="single" w:color="auto" w:sz="4" w:space="0"/>
            </w:tcBorders>
            <w:noWrap w:val="0"/>
            <w:vAlign w:val="center"/>
          </w:tcPr>
          <w:p w14:paraId="0800E302">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cs="宋体"/>
                <w:b w:val="0"/>
                <w:bCs w:val="0"/>
                <w:color w:val="000000"/>
                <w:kern w:val="0"/>
                <w:sz w:val="24"/>
                <w:szCs w:val="24"/>
                <w:highlight w:val="none"/>
                <w:lang w:val="en-US" w:eastAsia="zh-CN"/>
              </w:rPr>
              <w:t>360</w:t>
            </w:r>
          </w:p>
        </w:tc>
        <w:tc>
          <w:tcPr>
            <w:tcW w:w="613" w:type="pct"/>
            <w:vMerge w:val="restart"/>
            <w:tcBorders>
              <w:top w:val="single" w:color="auto" w:sz="4" w:space="0"/>
              <w:left w:val="single" w:color="auto" w:sz="4" w:space="0"/>
              <w:right w:val="single" w:color="auto" w:sz="4" w:space="0"/>
            </w:tcBorders>
            <w:noWrap w:val="0"/>
            <w:vAlign w:val="center"/>
          </w:tcPr>
          <w:p w14:paraId="7C267BFE">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《中华人民共和国反不正当竞争法》</w:t>
            </w:r>
          </w:p>
        </w:tc>
        <w:tc>
          <w:tcPr>
            <w:tcW w:w="1429" w:type="pct"/>
            <w:vMerge w:val="restart"/>
            <w:tcBorders>
              <w:top w:val="single" w:color="auto" w:sz="4" w:space="0"/>
              <w:left w:val="single" w:color="auto" w:sz="4" w:space="0"/>
              <w:right w:val="single" w:color="auto" w:sz="4" w:space="0"/>
            </w:tcBorders>
            <w:noWrap w:val="0"/>
            <w:vAlign w:val="center"/>
          </w:tcPr>
          <w:p w14:paraId="78BC04C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ascii="宋体" w:hAnsi="宋体" w:eastAsia="宋体" w:cs="宋体"/>
                <w:color w:val="000000"/>
                <w:sz w:val="24"/>
                <w:szCs w:val="24"/>
              </w:rPr>
              <w:t>第三十条</w:t>
            </w:r>
            <w:r>
              <w:rPr>
                <w:rFonts w:hint="eastAsia" w:ascii="宋体" w:hAnsi="宋体" w:cs="宋体"/>
                <w:color w:val="000000"/>
                <w:sz w:val="24"/>
                <w:szCs w:val="24"/>
                <w:lang w:val="en-US" w:eastAsia="zh-CN"/>
              </w:rPr>
              <w:t xml:space="preserve"> </w:t>
            </w:r>
            <w:r>
              <w:rPr>
                <w:rFonts w:ascii="宋体" w:hAnsi="宋体" w:eastAsia="宋体" w:cs="宋体"/>
                <w:color w:val="000000"/>
                <w:sz w:val="24"/>
                <w:szCs w:val="24"/>
              </w:rPr>
              <w:t>平台经营者违反本法第十四条规定强制或者变相强制平台内经营者以低于成本的价格销售商品的，由监督检查部门责令停止违法行为，处五万元以上五十万元以下的罚款；情节严重的，处五十万元以上二百万元以下的罚款。</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7D8BA8FC">
            <w:pPr>
              <w:keepNext w:val="0"/>
              <w:keepLines w:val="0"/>
              <w:widowControl/>
              <w:spacing w:line="400" w:lineRule="exact"/>
              <w:jc w:val="center"/>
              <w:textAlignment w:val="auto"/>
              <w:rPr>
                <w:rFonts w:hint="eastAsia"/>
                <w:color w:val="000000"/>
                <w:lang w:val="en-US" w:eastAsia="zh-CN"/>
              </w:rPr>
            </w:pPr>
            <w:r>
              <w:rPr>
                <w:rFonts w:hint="eastAsia" w:ascii="宋体" w:hAnsi="宋体" w:cs="宋体"/>
                <w:b w:val="0"/>
                <w:bCs w:val="0"/>
                <w:color w:val="000000"/>
                <w:kern w:val="0"/>
                <w:sz w:val="24"/>
                <w:szCs w:val="24"/>
                <w:highlight w:val="none"/>
                <w:lang w:val="en-US" w:eastAsia="zh-CN"/>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512C4A0F">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cs="宋体"/>
                <w:b w:val="0"/>
                <w:bCs w:val="0"/>
                <w:color w:val="000000"/>
                <w:kern w:val="0"/>
                <w:sz w:val="24"/>
                <w:szCs w:val="24"/>
                <w:highlight w:val="none"/>
                <w:lang w:val="en-US" w:eastAsia="zh-CN"/>
              </w:rPr>
              <w:t>给平台内经营者造成1万元以下损失。</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177AA9E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lang w:eastAsia="zh-CN"/>
              </w:rPr>
            </w:pPr>
            <w:r>
              <w:rPr>
                <w:rFonts w:ascii="宋体" w:hAnsi="宋体" w:eastAsia="宋体" w:cs="宋体"/>
                <w:color w:val="000000"/>
                <w:sz w:val="24"/>
                <w:szCs w:val="24"/>
              </w:rPr>
              <w:t>处</w:t>
            </w:r>
            <w:r>
              <w:rPr>
                <w:rFonts w:hint="eastAsia" w:ascii="宋体" w:hAnsi="宋体" w:cs="宋体"/>
                <w:color w:val="000000"/>
                <w:sz w:val="24"/>
                <w:szCs w:val="24"/>
                <w:lang w:val="en-US" w:eastAsia="zh-CN"/>
              </w:rPr>
              <w:t>5</w:t>
            </w:r>
            <w:r>
              <w:rPr>
                <w:rFonts w:ascii="宋体" w:hAnsi="宋体" w:eastAsia="宋体" w:cs="宋体"/>
                <w:color w:val="000000"/>
                <w:sz w:val="24"/>
                <w:szCs w:val="24"/>
              </w:rPr>
              <w:t>万元以上</w:t>
            </w:r>
            <w:r>
              <w:rPr>
                <w:rFonts w:hint="eastAsia" w:ascii="宋体" w:hAnsi="宋体" w:cs="宋体"/>
                <w:color w:val="000000"/>
                <w:sz w:val="24"/>
                <w:szCs w:val="24"/>
                <w:lang w:val="en-US" w:eastAsia="zh-CN"/>
              </w:rPr>
              <w:t>18.5</w:t>
            </w:r>
            <w:r>
              <w:rPr>
                <w:rFonts w:ascii="宋体" w:hAnsi="宋体" w:eastAsia="宋体" w:cs="宋体"/>
                <w:color w:val="000000"/>
                <w:sz w:val="24"/>
                <w:szCs w:val="24"/>
              </w:rPr>
              <w:t>万元以下的罚</w:t>
            </w:r>
            <w:r>
              <w:rPr>
                <w:rFonts w:hint="eastAsia" w:ascii="宋体" w:hAnsi="宋体" w:cs="宋体"/>
                <w:color w:val="000000"/>
                <w:sz w:val="24"/>
                <w:szCs w:val="24"/>
                <w:lang w:val="en-US" w:eastAsia="zh-CN"/>
              </w:rPr>
              <w:t>款</w:t>
            </w:r>
            <w:r>
              <w:rPr>
                <w:rFonts w:hint="eastAsia" w:ascii="宋体" w:hAnsi="宋体" w:cs="宋体"/>
                <w:color w:val="000000"/>
                <w:sz w:val="24"/>
                <w:szCs w:val="24"/>
                <w:lang w:eastAsia="zh-CN"/>
              </w:rPr>
              <w:t>。</w:t>
            </w:r>
          </w:p>
        </w:tc>
      </w:tr>
      <w:tr w14:paraId="1652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268" w:type="pct"/>
            <w:vMerge w:val="continue"/>
            <w:tcBorders>
              <w:left w:val="single" w:color="auto" w:sz="4" w:space="0"/>
              <w:right w:val="single" w:color="auto" w:sz="4" w:space="0"/>
            </w:tcBorders>
            <w:noWrap w:val="0"/>
            <w:vAlign w:val="center"/>
          </w:tcPr>
          <w:p w14:paraId="142CE214">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left w:val="single" w:color="auto" w:sz="4" w:space="0"/>
              <w:right w:val="single" w:color="auto" w:sz="4" w:space="0"/>
            </w:tcBorders>
            <w:noWrap w:val="0"/>
            <w:vAlign w:val="center"/>
          </w:tcPr>
          <w:p w14:paraId="4C3C9794">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left w:val="single" w:color="auto" w:sz="4" w:space="0"/>
              <w:right w:val="single" w:color="auto" w:sz="4" w:space="0"/>
            </w:tcBorders>
            <w:noWrap w:val="0"/>
            <w:vAlign w:val="center"/>
          </w:tcPr>
          <w:p w14:paraId="6E5E3EB9">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5EDB233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rPr>
            </w:pPr>
            <w:r>
              <w:rPr>
                <w:rFonts w:hint="eastAsia" w:ascii="宋体" w:hAnsi="宋体" w:cs="宋体"/>
                <w:b w:val="0"/>
                <w:bCs w:val="0"/>
                <w:color w:val="000000"/>
                <w:kern w:val="0"/>
                <w:sz w:val="24"/>
                <w:szCs w:val="24"/>
                <w:highlight w:val="none"/>
                <w:lang w:val="en-US" w:eastAsia="zh-CN"/>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502D2C8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cs="宋体"/>
                <w:b w:val="0"/>
                <w:bCs w:val="0"/>
                <w:color w:val="000000"/>
                <w:kern w:val="0"/>
                <w:sz w:val="24"/>
                <w:szCs w:val="24"/>
                <w:highlight w:val="none"/>
                <w:lang w:val="en-US" w:eastAsia="zh-CN"/>
              </w:rPr>
              <w:t>给平台内经营者造成1万元以上10万元以下损失。</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29CA23DD">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ascii="宋体" w:hAnsi="宋体" w:eastAsia="宋体" w:cs="宋体"/>
                <w:color w:val="000000"/>
                <w:sz w:val="24"/>
                <w:szCs w:val="24"/>
              </w:rPr>
              <w:t>处</w:t>
            </w:r>
            <w:r>
              <w:rPr>
                <w:rFonts w:hint="eastAsia" w:ascii="宋体" w:hAnsi="宋体" w:cs="宋体"/>
                <w:color w:val="000000"/>
                <w:sz w:val="24"/>
                <w:szCs w:val="24"/>
                <w:lang w:val="en-US" w:eastAsia="zh-CN"/>
              </w:rPr>
              <w:t>18.5</w:t>
            </w:r>
            <w:r>
              <w:rPr>
                <w:rFonts w:ascii="宋体" w:hAnsi="宋体" w:eastAsia="宋体" w:cs="宋体"/>
                <w:color w:val="000000"/>
                <w:sz w:val="24"/>
                <w:szCs w:val="24"/>
              </w:rPr>
              <w:t>万元以上</w:t>
            </w:r>
            <w:r>
              <w:rPr>
                <w:rFonts w:hint="eastAsia" w:ascii="宋体" w:hAnsi="宋体" w:cs="宋体"/>
                <w:color w:val="000000"/>
                <w:sz w:val="24"/>
                <w:szCs w:val="24"/>
                <w:lang w:val="en-US" w:eastAsia="zh-CN"/>
              </w:rPr>
              <w:t>36.5</w:t>
            </w:r>
            <w:r>
              <w:rPr>
                <w:rFonts w:ascii="宋体" w:hAnsi="宋体" w:eastAsia="宋体" w:cs="宋体"/>
                <w:color w:val="000000"/>
                <w:sz w:val="24"/>
                <w:szCs w:val="24"/>
              </w:rPr>
              <w:t>万元以下的罚</w:t>
            </w:r>
            <w:r>
              <w:rPr>
                <w:rFonts w:hint="eastAsia" w:ascii="宋体" w:hAnsi="宋体" w:cs="宋体"/>
                <w:color w:val="000000"/>
                <w:sz w:val="24"/>
                <w:szCs w:val="24"/>
                <w:lang w:val="en-US" w:eastAsia="zh-CN"/>
              </w:rPr>
              <w:t>款</w:t>
            </w:r>
            <w:r>
              <w:rPr>
                <w:rFonts w:hint="eastAsia" w:ascii="宋体" w:hAnsi="宋体" w:cs="宋体"/>
                <w:color w:val="000000"/>
                <w:sz w:val="24"/>
                <w:szCs w:val="24"/>
                <w:lang w:eastAsia="zh-CN"/>
              </w:rPr>
              <w:t>。</w:t>
            </w:r>
          </w:p>
        </w:tc>
      </w:tr>
      <w:tr w14:paraId="50A9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268" w:type="pct"/>
            <w:vMerge w:val="continue"/>
            <w:tcBorders>
              <w:left w:val="single" w:color="auto" w:sz="4" w:space="0"/>
              <w:right w:val="single" w:color="auto" w:sz="4" w:space="0"/>
            </w:tcBorders>
            <w:noWrap w:val="0"/>
            <w:vAlign w:val="center"/>
          </w:tcPr>
          <w:p w14:paraId="4EF7E6F9">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left w:val="single" w:color="auto" w:sz="4" w:space="0"/>
              <w:right w:val="single" w:color="auto" w:sz="4" w:space="0"/>
            </w:tcBorders>
            <w:noWrap w:val="0"/>
            <w:vAlign w:val="center"/>
          </w:tcPr>
          <w:p w14:paraId="4224ED4D">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left w:val="single" w:color="auto" w:sz="4" w:space="0"/>
              <w:right w:val="single" w:color="auto" w:sz="4" w:space="0"/>
            </w:tcBorders>
            <w:noWrap w:val="0"/>
            <w:vAlign w:val="center"/>
          </w:tcPr>
          <w:p w14:paraId="2AB69EBD">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173C299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rPr>
            </w:pPr>
            <w:r>
              <w:rPr>
                <w:rFonts w:hint="eastAsia" w:ascii="宋体" w:hAnsi="宋体" w:cs="宋体"/>
                <w:b w:val="0"/>
                <w:bCs w:val="0"/>
                <w:color w:val="000000"/>
                <w:kern w:val="0"/>
                <w:sz w:val="24"/>
                <w:szCs w:val="24"/>
                <w:highlight w:val="none"/>
                <w:lang w:val="en-US" w:eastAsia="zh-CN"/>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3D5A5C6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cs="宋体"/>
                <w:b w:val="0"/>
                <w:bCs w:val="0"/>
                <w:color w:val="000000"/>
                <w:kern w:val="0"/>
                <w:sz w:val="24"/>
                <w:szCs w:val="24"/>
                <w:highlight w:val="none"/>
                <w:lang w:val="en-US" w:eastAsia="zh-CN"/>
              </w:rPr>
              <w:t>给平台内经营者造成10万元以下50万元以下损失。</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4F0D72C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ascii="宋体" w:hAnsi="宋体" w:eastAsia="宋体" w:cs="宋体"/>
                <w:color w:val="000000"/>
                <w:sz w:val="24"/>
                <w:szCs w:val="24"/>
              </w:rPr>
              <w:t>处</w:t>
            </w:r>
            <w:r>
              <w:rPr>
                <w:rFonts w:hint="eastAsia" w:ascii="宋体" w:hAnsi="宋体" w:cs="宋体"/>
                <w:color w:val="000000"/>
                <w:sz w:val="24"/>
                <w:szCs w:val="24"/>
                <w:lang w:val="en-US" w:eastAsia="zh-CN"/>
              </w:rPr>
              <w:t>36.5</w:t>
            </w:r>
            <w:r>
              <w:rPr>
                <w:rFonts w:ascii="宋体" w:hAnsi="宋体" w:eastAsia="宋体" w:cs="宋体"/>
                <w:color w:val="000000"/>
                <w:sz w:val="24"/>
                <w:szCs w:val="24"/>
              </w:rPr>
              <w:t>万元以上</w:t>
            </w:r>
            <w:r>
              <w:rPr>
                <w:rFonts w:hint="eastAsia" w:ascii="宋体" w:hAnsi="宋体" w:cs="宋体"/>
                <w:color w:val="000000"/>
                <w:sz w:val="24"/>
                <w:szCs w:val="24"/>
                <w:lang w:val="en-US" w:eastAsia="zh-CN"/>
              </w:rPr>
              <w:t>50</w:t>
            </w:r>
            <w:r>
              <w:rPr>
                <w:rFonts w:ascii="宋体" w:hAnsi="宋体" w:eastAsia="宋体" w:cs="宋体"/>
                <w:color w:val="000000"/>
                <w:sz w:val="24"/>
                <w:szCs w:val="24"/>
              </w:rPr>
              <w:t>万元以下的罚</w:t>
            </w:r>
            <w:r>
              <w:rPr>
                <w:rFonts w:hint="eastAsia" w:ascii="宋体" w:hAnsi="宋体" w:cs="宋体"/>
                <w:color w:val="000000"/>
                <w:sz w:val="24"/>
                <w:szCs w:val="24"/>
                <w:lang w:val="en-US" w:eastAsia="zh-CN"/>
              </w:rPr>
              <w:t>款</w:t>
            </w:r>
            <w:r>
              <w:rPr>
                <w:rFonts w:hint="eastAsia" w:ascii="宋体" w:hAnsi="宋体" w:cs="宋体"/>
                <w:color w:val="000000"/>
                <w:sz w:val="24"/>
                <w:szCs w:val="24"/>
                <w:lang w:eastAsia="zh-CN"/>
              </w:rPr>
              <w:t>。</w:t>
            </w:r>
          </w:p>
        </w:tc>
      </w:tr>
      <w:tr w14:paraId="64FA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268" w:type="pct"/>
            <w:vMerge w:val="continue"/>
            <w:tcBorders>
              <w:left w:val="single" w:color="auto" w:sz="4" w:space="0"/>
              <w:bottom w:val="single" w:color="auto" w:sz="4" w:space="0"/>
              <w:right w:val="single" w:color="auto" w:sz="4" w:space="0"/>
            </w:tcBorders>
            <w:noWrap w:val="0"/>
            <w:vAlign w:val="center"/>
          </w:tcPr>
          <w:p w14:paraId="3A776AEF">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left w:val="single" w:color="auto" w:sz="4" w:space="0"/>
              <w:bottom w:val="single" w:color="auto" w:sz="4" w:space="0"/>
              <w:right w:val="single" w:color="auto" w:sz="4" w:space="0"/>
            </w:tcBorders>
            <w:noWrap w:val="0"/>
            <w:vAlign w:val="center"/>
          </w:tcPr>
          <w:p w14:paraId="5DAB69B5">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left w:val="single" w:color="auto" w:sz="4" w:space="0"/>
              <w:bottom w:val="single" w:color="auto" w:sz="4" w:space="0"/>
              <w:right w:val="single" w:color="auto" w:sz="4" w:space="0"/>
            </w:tcBorders>
            <w:noWrap w:val="0"/>
            <w:vAlign w:val="center"/>
          </w:tcPr>
          <w:p w14:paraId="79F38951">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24B8582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rPr>
            </w:pPr>
            <w:r>
              <w:rPr>
                <w:rFonts w:hint="eastAsia" w:ascii="宋体" w:hAnsi="宋体" w:cs="宋体"/>
                <w:b w:val="0"/>
                <w:bCs w:val="0"/>
                <w:color w:val="000000"/>
                <w:kern w:val="0"/>
                <w:sz w:val="24"/>
                <w:szCs w:val="24"/>
                <w:highlight w:val="none"/>
                <w:lang w:val="en-US" w:eastAsia="zh-CN"/>
              </w:rPr>
              <w:t>严重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4FA2BCC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cs="宋体"/>
                <w:b w:val="0"/>
                <w:bCs w:val="0"/>
                <w:color w:val="000000"/>
                <w:kern w:val="0"/>
                <w:sz w:val="24"/>
                <w:szCs w:val="24"/>
                <w:highlight w:val="none"/>
                <w:lang w:val="en-US" w:eastAsia="zh-CN"/>
              </w:rPr>
              <w:t>给平台内经营者造成50万元以上损失，</w:t>
            </w:r>
            <w:r>
              <w:rPr>
                <w:rFonts w:hint="eastAsia" w:ascii="宋体" w:hAnsi="宋体" w:cs="宋体"/>
                <w:color w:val="000000"/>
                <w:kern w:val="0"/>
                <w:sz w:val="24"/>
                <w:highlight w:val="none"/>
              </w:rPr>
              <w:t>或者其他严重情形的。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2E470728">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ascii="宋体" w:hAnsi="宋体" w:eastAsia="宋体" w:cs="宋体"/>
                <w:color w:val="000000"/>
                <w:sz w:val="24"/>
                <w:szCs w:val="24"/>
              </w:rPr>
              <w:t>处</w:t>
            </w:r>
            <w:r>
              <w:rPr>
                <w:rFonts w:hint="eastAsia" w:ascii="宋体" w:hAnsi="宋体" w:cs="宋体"/>
                <w:color w:val="000000"/>
                <w:sz w:val="24"/>
                <w:szCs w:val="24"/>
                <w:lang w:val="en-US" w:eastAsia="zh-CN"/>
              </w:rPr>
              <w:t>50</w:t>
            </w:r>
            <w:r>
              <w:rPr>
                <w:rFonts w:ascii="宋体" w:hAnsi="宋体" w:eastAsia="宋体" w:cs="宋体"/>
                <w:color w:val="000000"/>
                <w:sz w:val="24"/>
                <w:szCs w:val="24"/>
              </w:rPr>
              <w:t>万元以上</w:t>
            </w:r>
            <w:r>
              <w:rPr>
                <w:rFonts w:hint="eastAsia" w:ascii="宋体" w:hAnsi="宋体" w:cs="宋体"/>
                <w:color w:val="000000"/>
                <w:sz w:val="24"/>
                <w:szCs w:val="24"/>
                <w:lang w:val="en-US" w:eastAsia="zh-CN"/>
              </w:rPr>
              <w:t>200</w:t>
            </w:r>
            <w:r>
              <w:rPr>
                <w:rFonts w:ascii="宋体" w:hAnsi="宋体" w:eastAsia="宋体" w:cs="宋体"/>
                <w:color w:val="000000"/>
                <w:sz w:val="24"/>
                <w:szCs w:val="24"/>
              </w:rPr>
              <w:t>万元以下的罚</w:t>
            </w:r>
            <w:r>
              <w:rPr>
                <w:rFonts w:hint="eastAsia" w:ascii="宋体" w:hAnsi="宋体" w:cs="宋体"/>
                <w:color w:val="000000"/>
                <w:sz w:val="24"/>
                <w:szCs w:val="24"/>
                <w:lang w:val="en-US" w:eastAsia="zh-CN"/>
              </w:rPr>
              <w:t>款</w:t>
            </w:r>
            <w:r>
              <w:rPr>
                <w:rFonts w:hint="eastAsia" w:ascii="宋体" w:hAnsi="宋体" w:cs="宋体"/>
                <w:color w:val="000000"/>
                <w:sz w:val="24"/>
                <w:szCs w:val="24"/>
                <w:lang w:eastAsia="zh-CN"/>
              </w:rPr>
              <w:t>。</w:t>
            </w:r>
          </w:p>
        </w:tc>
      </w:tr>
      <w:tr w14:paraId="00488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68" w:type="pct"/>
            <w:vMerge w:val="restart"/>
            <w:tcBorders>
              <w:top w:val="single" w:color="auto" w:sz="4" w:space="0"/>
              <w:left w:val="single" w:color="auto" w:sz="4" w:space="0"/>
              <w:right w:val="single" w:color="auto" w:sz="4" w:space="0"/>
            </w:tcBorders>
            <w:noWrap w:val="0"/>
            <w:vAlign w:val="center"/>
          </w:tcPr>
          <w:p w14:paraId="38EA46DD">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cs="宋体"/>
                <w:b w:val="0"/>
                <w:bCs w:val="0"/>
                <w:color w:val="000000"/>
                <w:kern w:val="0"/>
                <w:sz w:val="24"/>
                <w:szCs w:val="24"/>
                <w:highlight w:val="none"/>
                <w:lang w:val="en-US" w:eastAsia="zh-CN"/>
              </w:rPr>
            </w:pPr>
            <w:r>
              <w:rPr>
                <w:rFonts w:hint="eastAsia" w:ascii="宋体" w:hAnsi="宋体" w:cs="宋体"/>
                <w:b w:val="0"/>
                <w:bCs w:val="0"/>
                <w:color w:val="000000"/>
                <w:kern w:val="0"/>
                <w:sz w:val="24"/>
                <w:szCs w:val="24"/>
                <w:highlight w:val="none"/>
                <w:lang w:val="en-US" w:eastAsia="zh-CN"/>
              </w:rPr>
              <w:t>361</w:t>
            </w:r>
          </w:p>
          <w:p w14:paraId="4849F72C">
            <w:pPr>
              <w:pStyle w:val="16"/>
              <w:rPr>
                <w:rFonts w:hint="eastAsia"/>
                <w:color w:val="000000"/>
              </w:rPr>
            </w:pPr>
          </w:p>
        </w:tc>
        <w:tc>
          <w:tcPr>
            <w:tcW w:w="613" w:type="pct"/>
            <w:vMerge w:val="restart"/>
            <w:tcBorders>
              <w:top w:val="single" w:color="auto" w:sz="4" w:space="0"/>
              <w:left w:val="single" w:color="auto" w:sz="4" w:space="0"/>
              <w:right w:val="single" w:color="auto" w:sz="4" w:space="0"/>
            </w:tcBorders>
            <w:noWrap w:val="0"/>
            <w:vAlign w:val="center"/>
          </w:tcPr>
          <w:p w14:paraId="0528BDAD">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《中华人民共和国反不正当竞争法》</w:t>
            </w:r>
          </w:p>
        </w:tc>
        <w:tc>
          <w:tcPr>
            <w:tcW w:w="1429" w:type="pct"/>
            <w:vMerge w:val="restart"/>
            <w:tcBorders>
              <w:top w:val="single" w:color="auto" w:sz="4" w:space="0"/>
              <w:left w:val="single" w:color="auto" w:sz="4" w:space="0"/>
              <w:right w:val="single" w:color="auto" w:sz="4" w:space="0"/>
            </w:tcBorders>
            <w:noWrap w:val="0"/>
            <w:vAlign w:val="center"/>
          </w:tcPr>
          <w:p w14:paraId="22D9930E">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ascii="宋体" w:hAnsi="宋体" w:eastAsia="宋体" w:cs="宋体"/>
                <w:color w:val="000000"/>
                <w:sz w:val="24"/>
                <w:szCs w:val="24"/>
              </w:rPr>
              <w:t>第三十一条</w:t>
            </w:r>
            <w:r>
              <w:rPr>
                <w:rFonts w:hint="eastAsia" w:ascii="宋体" w:hAnsi="宋体" w:cs="宋体"/>
                <w:color w:val="000000"/>
                <w:sz w:val="24"/>
                <w:szCs w:val="24"/>
                <w:lang w:val="en-US" w:eastAsia="zh-CN"/>
              </w:rPr>
              <w:t xml:space="preserve"> </w:t>
            </w:r>
            <w:r>
              <w:rPr>
                <w:rFonts w:ascii="宋体" w:hAnsi="宋体" w:eastAsia="宋体" w:cs="宋体"/>
                <w:color w:val="000000"/>
                <w:sz w:val="24"/>
                <w:szCs w:val="24"/>
              </w:rPr>
              <w:t>经营者违反本法第十五条规定滥用自身优势地位的，由省级以上人民政府监督检查部门责令限期改正，逾期不改正的，处一百万元以下的罚款；情节严重的，处一百万元以上五百万元以下的罚款。</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00A4B794">
            <w:pPr>
              <w:keepNext w:val="0"/>
              <w:keepLines w:val="0"/>
              <w:widowControl/>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cs="宋体"/>
                <w:b w:val="0"/>
                <w:bCs w:val="0"/>
                <w:color w:val="000000"/>
                <w:kern w:val="0"/>
                <w:sz w:val="24"/>
                <w:szCs w:val="24"/>
                <w:highlight w:val="none"/>
                <w:lang w:val="en-US" w:eastAsia="zh-CN"/>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5C035D3F">
            <w:pPr>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b w:val="0"/>
                <w:bCs w:val="0"/>
                <w:color w:val="000000"/>
                <w:kern w:val="0"/>
                <w:sz w:val="24"/>
                <w:szCs w:val="24"/>
                <w:highlight w:val="none"/>
                <w:lang w:val="en-US" w:eastAsia="zh-CN"/>
              </w:rPr>
            </w:pPr>
            <w:r>
              <w:rPr>
                <w:rFonts w:hint="eastAsia" w:ascii="宋体" w:hAnsi="宋体" w:cs="宋体"/>
                <w:color w:val="000000"/>
                <w:kern w:val="0"/>
                <w:sz w:val="24"/>
                <w:highlight w:val="none"/>
              </w:rPr>
              <w:t>违法行为逾期10日以下未改正的。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0CFF887D">
            <w:pPr>
              <w:keepNext w:val="0"/>
              <w:keepLines w:val="0"/>
              <w:pageBreakBefore w:val="0"/>
              <w:widowControl/>
              <w:kinsoku/>
              <w:wordWrap/>
              <w:overflowPunct/>
              <w:topLinePunct w:val="0"/>
              <w:autoSpaceDE/>
              <w:autoSpaceDN/>
              <w:bidi w:val="0"/>
              <w:adjustRightInd/>
              <w:snapToGrid/>
              <w:spacing w:line="34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处</w:t>
            </w:r>
            <w:r>
              <w:rPr>
                <w:rFonts w:hint="eastAsia" w:ascii="宋体" w:hAnsi="宋体" w:cs="宋体"/>
                <w:b w:val="0"/>
                <w:bCs w:val="0"/>
                <w:color w:val="000000"/>
                <w:kern w:val="0"/>
                <w:sz w:val="24"/>
                <w:szCs w:val="24"/>
                <w:highlight w:val="none"/>
                <w:lang w:val="en-US" w:eastAsia="zh-CN"/>
              </w:rPr>
              <w:t>30</w:t>
            </w:r>
            <w:r>
              <w:rPr>
                <w:rFonts w:hint="eastAsia" w:ascii="宋体" w:hAnsi="宋体" w:eastAsia="宋体" w:cs="宋体"/>
                <w:b w:val="0"/>
                <w:bCs w:val="0"/>
                <w:color w:val="000000"/>
                <w:kern w:val="0"/>
                <w:sz w:val="24"/>
                <w:szCs w:val="24"/>
                <w:highlight w:val="none"/>
              </w:rPr>
              <w:t>万元以下罚款。</w:t>
            </w:r>
          </w:p>
        </w:tc>
      </w:tr>
      <w:tr w14:paraId="7858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68" w:type="pct"/>
            <w:vMerge w:val="continue"/>
            <w:tcBorders>
              <w:left w:val="single" w:color="auto" w:sz="4" w:space="0"/>
              <w:right w:val="single" w:color="auto" w:sz="4" w:space="0"/>
            </w:tcBorders>
            <w:noWrap w:val="0"/>
            <w:vAlign w:val="center"/>
          </w:tcPr>
          <w:p w14:paraId="762437A2">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left w:val="single" w:color="auto" w:sz="4" w:space="0"/>
              <w:right w:val="single" w:color="auto" w:sz="4" w:space="0"/>
            </w:tcBorders>
            <w:noWrap w:val="0"/>
            <w:vAlign w:val="center"/>
          </w:tcPr>
          <w:p w14:paraId="6CDBC28E">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left w:val="single" w:color="auto" w:sz="4" w:space="0"/>
              <w:right w:val="single" w:color="auto" w:sz="4" w:space="0"/>
            </w:tcBorders>
            <w:noWrap w:val="0"/>
            <w:vAlign w:val="center"/>
          </w:tcPr>
          <w:p w14:paraId="1D9D017B">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34CBC26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cs="宋体"/>
                <w:b w:val="0"/>
                <w:bCs w:val="0"/>
                <w:color w:val="000000"/>
                <w:kern w:val="0"/>
                <w:sz w:val="24"/>
                <w:szCs w:val="24"/>
                <w:highlight w:val="none"/>
                <w:lang w:val="en-US" w:eastAsia="zh-CN"/>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59FD448A">
            <w:pPr>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cs="宋体"/>
                <w:color w:val="000000"/>
                <w:kern w:val="0"/>
                <w:sz w:val="24"/>
                <w:highlight w:val="none"/>
              </w:rPr>
              <w:t>违法行为逾期10日</w:t>
            </w:r>
            <w:r>
              <w:rPr>
                <w:rFonts w:hint="eastAsia" w:ascii="宋体" w:hAnsi="宋体" w:cs="宋体"/>
                <w:color w:val="000000"/>
                <w:kern w:val="0"/>
                <w:sz w:val="24"/>
                <w:highlight w:val="none"/>
                <w:lang w:val="en-US" w:eastAsia="zh-CN"/>
              </w:rPr>
              <w:t>以上30日</w:t>
            </w:r>
            <w:r>
              <w:rPr>
                <w:rFonts w:hint="eastAsia" w:ascii="宋体" w:hAnsi="宋体" w:cs="宋体"/>
                <w:color w:val="000000"/>
                <w:kern w:val="0"/>
                <w:sz w:val="24"/>
                <w:highlight w:val="none"/>
              </w:rPr>
              <w:t>以下未改正的。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0F86EE09">
            <w:pPr>
              <w:keepNext w:val="0"/>
              <w:keepLines w:val="0"/>
              <w:pageBreakBefore w:val="0"/>
              <w:widowControl/>
              <w:kinsoku/>
              <w:wordWrap/>
              <w:overflowPunct/>
              <w:topLinePunct w:val="0"/>
              <w:autoSpaceDE/>
              <w:autoSpaceDN/>
              <w:bidi w:val="0"/>
              <w:adjustRightInd/>
              <w:snapToGrid/>
              <w:spacing w:line="34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处</w:t>
            </w:r>
            <w:r>
              <w:rPr>
                <w:rFonts w:hint="eastAsia" w:ascii="宋体" w:hAnsi="宋体" w:cs="宋体"/>
                <w:b w:val="0"/>
                <w:bCs w:val="0"/>
                <w:color w:val="000000"/>
                <w:kern w:val="0"/>
                <w:sz w:val="24"/>
                <w:szCs w:val="24"/>
                <w:highlight w:val="none"/>
                <w:lang w:val="en-US" w:eastAsia="zh-CN"/>
              </w:rPr>
              <w:t>30</w:t>
            </w:r>
            <w:r>
              <w:rPr>
                <w:rFonts w:hint="eastAsia" w:ascii="宋体" w:hAnsi="宋体" w:eastAsia="宋体" w:cs="宋体"/>
                <w:b w:val="0"/>
                <w:bCs w:val="0"/>
                <w:color w:val="000000"/>
                <w:kern w:val="0"/>
                <w:sz w:val="24"/>
                <w:szCs w:val="24"/>
                <w:highlight w:val="none"/>
              </w:rPr>
              <w:t>万元以上</w:t>
            </w:r>
            <w:r>
              <w:rPr>
                <w:rFonts w:hint="eastAsia" w:ascii="宋体" w:hAnsi="宋体" w:cs="宋体"/>
                <w:b w:val="0"/>
                <w:bCs w:val="0"/>
                <w:color w:val="000000"/>
                <w:kern w:val="0"/>
                <w:sz w:val="24"/>
                <w:szCs w:val="24"/>
                <w:highlight w:val="none"/>
                <w:lang w:val="en-US" w:eastAsia="zh-CN"/>
              </w:rPr>
              <w:t>70</w:t>
            </w:r>
            <w:r>
              <w:rPr>
                <w:rFonts w:hint="eastAsia" w:ascii="宋体" w:hAnsi="宋体" w:eastAsia="宋体" w:cs="宋体"/>
                <w:b w:val="0"/>
                <w:bCs w:val="0"/>
                <w:color w:val="000000"/>
                <w:kern w:val="0"/>
                <w:sz w:val="24"/>
                <w:szCs w:val="24"/>
                <w:highlight w:val="none"/>
              </w:rPr>
              <w:t>万元以下罚款。</w:t>
            </w:r>
          </w:p>
        </w:tc>
      </w:tr>
      <w:tr w14:paraId="24309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 w:type="pct"/>
            <w:vMerge w:val="continue"/>
            <w:tcBorders>
              <w:left w:val="single" w:color="auto" w:sz="4" w:space="0"/>
              <w:right w:val="single" w:color="auto" w:sz="4" w:space="0"/>
            </w:tcBorders>
            <w:noWrap w:val="0"/>
            <w:vAlign w:val="center"/>
          </w:tcPr>
          <w:p w14:paraId="1D4BE7DD">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left w:val="single" w:color="auto" w:sz="4" w:space="0"/>
              <w:right w:val="single" w:color="auto" w:sz="4" w:space="0"/>
            </w:tcBorders>
            <w:noWrap w:val="0"/>
            <w:vAlign w:val="center"/>
          </w:tcPr>
          <w:p w14:paraId="379BC5C5">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left w:val="single" w:color="auto" w:sz="4" w:space="0"/>
              <w:right w:val="single" w:color="auto" w:sz="4" w:space="0"/>
            </w:tcBorders>
            <w:noWrap w:val="0"/>
            <w:vAlign w:val="center"/>
          </w:tcPr>
          <w:p w14:paraId="2DAFC97B">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5991130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cs="宋体"/>
                <w:b w:val="0"/>
                <w:bCs w:val="0"/>
                <w:color w:val="000000"/>
                <w:kern w:val="0"/>
                <w:sz w:val="24"/>
                <w:szCs w:val="24"/>
                <w:highlight w:val="none"/>
                <w:lang w:val="en-US" w:eastAsia="zh-CN"/>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3EF59295">
            <w:pPr>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b w:val="0"/>
                <w:bCs w:val="0"/>
                <w:color w:val="000000"/>
                <w:kern w:val="0"/>
                <w:sz w:val="24"/>
                <w:szCs w:val="24"/>
                <w:highlight w:val="none"/>
                <w:lang w:val="en-US" w:eastAsia="zh-CN"/>
              </w:rPr>
            </w:pPr>
            <w:r>
              <w:rPr>
                <w:rFonts w:hint="eastAsia" w:ascii="宋体" w:hAnsi="宋体" w:cs="宋体"/>
                <w:color w:val="000000"/>
                <w:kern w:val="0"/>
                <w:sz w:val="24"/>
                <w:highlight w:val="none"/>
              </w:rPr>
              <w:t>违法行为逾期</w:t>
            </w:r>
            <w:r>
              <w:rPr>
                <w:rFonts w:hint="eastAsia" w:ascii="宋体" w:hAnsi="宋体" w:cs="宋体"/>
                <w:color w:val="000000"/>
                <w:kern w:val="0"/>
                <w:sz w:val="24"/>
                <w:highlight w:val="none"/>
                <w:lang w:val="en-US" w:eastAsia="zh-CN"/>
              </w:rPr>
              <w:t>30</w:t>
            </w:r>
            <w:r>
              <w:rPr>
                <w:rFonts w:hint="eastAsia" w:ascii="宋体" w:hAnsi="宋体" w:cs="宋体"/>
                <w:color w:val="000000"/>
                <w:kern w:val="0"/>
                <w:sz w:val="24"/>
                <w:highlight w:val="none"/>
              </w:rPr>
              <w:t>日</w:t>
            </w:r>
            <w:r>
              <w:rPr>
                <w:rFonts w:hint="eastAsia" w:ascii="宋体" w:hAnsi="宋体" w:cs="宋体"/>
                <w:color w:val="000000"/>
                <w:kern w:val="0"/>
                <w:sz w:val="24"/>
                <w:highlight w:val="none"/>
                <w:lang w:val="en-US" w:eastAsia="zh-CN"/>
              </w:rPr>
              <w:t>以上60日</w:t>
            </w:r>
            <w:r>
              <w:rPr>
                <w:rFonts w:hint="eastAsia" w:ascii="宋体" w:hAnsi="宋体" w:cs="宋体"/>
                <w:color w:val="000000"/>
                <w:kern w:val="0"/>
                <w:sz w:val="24"/>
                <w:highlight w:val="none"/>
              </w:rPr>
              <w:t>以下未改正的。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228375F9">
            <w:pPr>
              <w:keepNext w:val="0"/>
              <w:keepLines w:val="0"/>
              <w:pageBreakBefore w:val="0"/>
              <w:widowControl/>
              <w:kinsoku/>
              <w:wordWrap/>
              <w:overflowPunct/>
              <w:topLinePunct w:val="0"/>
              <w:autoSpaceDE/>
              <w:autoSpaceDN/>
              <w:bidi w:val="0"/>
              <w:adjustRightInd/>
              <w:snapToGrid/>
              <w:spacing w:line="34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处</w:t>
            </w:r>
            <w:r>
              <w:rPr>
                <w:rFonts w:hint="eastAsia" w:ascii="宋体" w:hAnsi="宋体" w:cs="宋体"/>
                <w:b w:val="0"/>
                <w:bCs w:val="0"/>
                <w:color w:val="000000"/>
                <w:kern w:val="0"/>
                <w:sz w:val="24"/>
                <w:szCs w:val="24"/>
                <w:highlight w:val="none"/>
                <w:lang w:val="en-US" w:eastAsia="zh-CN"/>
              </w:rPr>
              <w:t>70</w:t>
            </w:r>
            <w:r>
              <w:rPr>
                <w:rFonts w:hint="eastAsia" w:ascii="宋体" w:hAnsi="宋体" w:eastAsia="宋体" w:cs="宋体"/>
                <w:b w:val="0"/>
                <w:bCs w:val="0"/>
                <w:color w:val="000000"/>
                <w:kern w:val="0"/>
                <w:sz w:val="24"/>
                <w:szCs w:val="24"/>
                <w:highlight w:val="none"/>
              </w:rPr>
              <w:t>万元以上</w:t>
            </w:r>
            <w:r>
              <w:rPr>
                <w:rFonts w:hint="eastAsia" w:ascii="宋体" w:hAnsi="宋体" w:cs="宋体"/>
                <w:b w:val="0"/>
                <w:bCs w:val="0"/>
                <w:color w:val="000000"/>
                <w:kern w:val="0"/>
                <w:sz w:val="24"/>
                <w:szCs w:val="24"/>
                <w:highlight w:val="none"/>
                <w:lang w:val="en-US" w:eastAsia="zh-CN"/>
              </w:rPr>
              <w:t>100</w:t>
            </w:r>
            <w:r>
              <w:rPr>
                <w:rFonts w:hint="eastAsia" w:ascii="宋体" w:hAnsi="宋体" w:eastAsia="宋体" w:cs="宋体"/>
                <w:b w:val="0"/>
                <w:bCs w:val="0"/>
                <w:color w:val="000000"/>
                <w:kern w:val="0"/>
                <w:sz w:val="24"/>
                <w:szCs w:val="24"/>
                <w:highlight w:val="none"/>
              </w:rPr>
              <w:t>万元以下罚款。</w:t>
            </w:r>
          </w:p>
        </w:tc>
      </w:tr>
      <w:tr w14:paraId="56F7A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268" w:type="pct"/>
            <w:vMerge w:val="continue"/>
            <w:tcBorders>
              <w:left w:val="single" w:color="auto" w:sz="4" w:space="0"/>
              <w:bottom w:val="single" w:color="auto" w:sz="4" w:space="0"/>
              <w:right w:val="single" w:color="auto" w:sz="4" w:space="0"/>
            </w:tcBorders>
            <w:noWrap w:val="0"/>
            <w:vAlign w:val="center"/>
          </w:tcPr>
          <w:p w14:paraId="5BEECF72">
            <w:pPr>
              <w:pStyle w:val="16"/>
              <w:rPr>
                <w:rFonts w:hint="eastAsia"/>
                <w:color w:val="000000"/>
              </w:rPr>
            </w:pPr>
          </w:p>
        </w:tc>
        <w:tc>
          <w:tcPr>
            <w:tcW w:w="613" w:type="pct"/>
            <w:vMerge w:val="continue"/>
            <w:tcBorders>
              <w:left w:val="single" w:color="auto" w:sz="4" w:space="0"/>
              <w:bottom w:val="single" w:color="auto" w:sz="4" w:space="0"/>
              <w:right w:val="single" w:color="auto" w:sz="4" w:space="0"/>
            </w:tcBorders>
            <w:noWrap w:val="0"/>
            <w:vAlign w:val="center"/>
          </w:tcPr>
          <w:p w14:paraId="35F43B54">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left w:val="single" w:color="auto" w:sz="4" w:space="0"/>
              <w:bottom w:val="single" w:color="auto" w:sz="4" w:space="0"/>
              <w:right w:val="single" w:color="auto" w:sz="4" w:space="0"/>
            </w:tcBorders>
            <w:noWrap w:val="0"/>
            <w:vAlign w:val="center"/>
          </w:tcPr>
          <w:p w14:paraId="6FF2C4BB">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3374985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cs="宋体"/>
                <w:b w:val="0"/>
                <w:bCs w:val="0"/>
                <w:color w:val="000000"/>
                <w:kern w:val="0"/>
                <w:sz w:val="24"/>
                <w:szCs w:val="24"/>
                <w:highlight w:val="none"/>
                <w:lang w:val="en-US" w:eastAsia="zh-CN"/>
              </w:rPr>
              <w:t>严重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59D7B29B">
            <w:pPr>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cs="宋体"/>
                <w:color w:val="000000"/>
                <w:kern w:val="0"/>
                <w:sz w:val="24"/>
                <w:highlight w:val="none"/>
              </w:rPr>
              <w:t>违法行为逾期</w:t>
            </w:r>
            <w:r>
              <w:rPr>
                <w:rFonts w:hint="eastAsia" w:ascii="宋体" w:hAnsi="宋体" w:cs="宋体"/>
                <w:color w:val="000000"/>
                <w:kern w:val="0"/>
                <w:sz w:val="24"/>
                <w:highlight w:val="none"/>
                <w:lang w:val="en-US" w:eastAsia="zh-CN"/>
              </w:rPr>
              <w:t>60</w:t>
            </w:r>
            <w:r>
              <w:rPr>
                <w:rFonts w:hint="eastAsia" w:ascii="宋体" w:hAnsi="宋体" w:cs="宋体"/>
                <w:color w:val="000000"/>
                <w:kern w:val="0"/>
                <w:sz w:val="24"/>
                <w:highlight w:val="none"/>
              </w:rPr>
              <w:t>日</w:t>
            </w:r>
            <w:r>
              <w:rPr>
                <w:rFonts w:hint="eastAsia" w:ascii="宋体" w:hAnsi="宋体" w:cs="宋体"/>
                <w:color w:val="000000"/>
                <w:kern w:val="0"/>
                <w:sz w:val="24"/>
                <w:highlight w:val="none"/>
                <w:lang w:val="en-US" w:eastAsia="zh-CN"/>
              </w:rPr>
              <w:t>以上</w:t>
            </w:r>
            <w:r>
              <w:rPr>
                <w:rFonts w:hint="eastAsia" w:ascii="宋体" w:hAnsi="宋体" w:cs="宋体"/>
                <w:color w:val="000000"/>
                <w:kern w:val="0"/>
                <w:sz w:val="24"/>
                <w:highlight w:val="none"/>
              </w:rPr>
              <w:t>未改正的</w:t>
            </w:r>
            <w:r>
              <w:rPr>
                <w:rFonts w:hint="eastAsia" w:ascii="宋体" w:hAnsi="宋体" w:cs="宋体"/>
                <w:color w:val="000000"/>
                <w:kern w:val="0"/>
                <w:sz w:val="24"/>
                <w:highlight w:val="none"/>
                <w:lang w:eastAsia="zh-CN"/>
              </w:rPr>
              <w:t>，</w:t>
            </w:r>
            <w:r>
              <w:rPr>
                <w:rFonts w:hint="eastAsia" w:ascii="宋体" w:hAnsi="宋体" w:cs="宋体"/>
                <w:color w:val="000000"/>
                <w:kern w:val="0"/>
                <w:sz w:val="24"/>
                <w:highlight w:val="none"/>
              </w:rPr>
              <w:t>或者其他严重情形的。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67A2824C">
            <w:pPr>
              <w:keepNext w:val="0"/>
              <w:keepLines w:val="0"/>
              <w:pageBreakBefore w:val="0"/>
              <w:widowControl/>
              <w:kinsoku/>
              <w:wordWrap/>
              <w:overflowPunct/>
              <w:topLinePunct w:val="0"/>
              <w:autoSpaceDE/>
              <w:autoSpaceDN/>
              <w:bidi w:val="0"/>
              <w:adjustRightInd/>
              <w:snapToGrid/>
              <w:spacing w:line="34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处</w:t>
            </w:r>
            <w:r>
              <w:rPr>
                <w:rFonts w:hint="eastAsia" w:ascii="宋体" w:hAnsi="宋体" w:cs="宋体"/>
                <w:b w:val="0"/>
                <w:bCs w:val="0"/>
                <w:color w:val="000000"/>
                <w:kern w:val="0"/>
                <w:sz w:val="24"/>
                <w:szCs w:val="24"/>
                <w:highlight w:val="none"/>
                <w:lang w:val="en-US" w:eastAsia="zh-CN"/>
              </w:rPr>
              <w:t>100</w:t>
            </w:r>
            <w:r>
              <w:rPr>
                <w:rFonts w:hint="eastAsia" w:ascii="宋体" w:hAnsi="宋体" w:eastAsia="宋体" w:cs="宋体"/>
                <w:b w:val="0"/>
                <w:bCs w:val="0"/>
                <w:color w:val="000000"/>
                <w:kern w:val="0"/>
                <w:sz w:val="24"/>
                <w:szCs w:val="24"/>
                <w:highlight w:val="none"/>
              </w:rPr>
              <w:t>万元以上</w:t>
            </w:r>
            <w:r>
              <w:rPr>
                <w:rFonts w:hint="eastAsia" w:ascii="宋体" w:hAnsi="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00万元以下罚款。</w:t>
            </w:r>
          </w:p>
        </w:tc>
      </w:tr>
      <w:tr w14:paraId="2E05D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68" w:type="pct"/>
            <w:vMerge w:val="restart"/>
            <w:tcBorders>
              <w:top w:val="single" w:color="auto" w:sz="4" w:space="0"/>
              <w:left w:val="single" w:color="auto" w:sz="4" w:space="0"/>
              <w:bottom w:val="single" w:color="auto" w:sz="4" w:space="0"/>
              <w:right w:val="single" w:color="auto" w:sz="4" w:space="0"/>
            </w:tcBorders>
            <w:noWrap w:val="0"/>
            <w:vAlign w:val="center"/>
          </w:tcPr>
          <w:p w14:paraId="0A5B8352">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rPr>
              <w:t>3</w:t>
            </w:r>
            <w:r>
              <w:rPr>
                <w:rFonts w:hint="eastAsia" w:ascii="宋体" w:hAnsi="宋体" w:cs="宋体"/>
                <w:b w:val="0"/>
                <w:bCs w:val="0"/>
                <w:color w:val="000000"/>
                <w:kern w:val="0"/>
                <w:sz w:val="24"/>
                <w:szCs w:val="24"/>
                <w:highlight w:val="none"/>
                <w:lang w:val="en-US" w:eastAsia="zh-CN"/>
              </w:rPr>
              <w:t>62</w:t>
            </w:r>
          </w:p>
        </w:tc>
        <w:tc>
          <w:tcPr>
            <w:tcW w:w="613" w:type="pct"/>
            <w:vMerge w:val="restart"/>
            <w:tcBorders>
              <w:top w:val="single" w:color="auto" w:sz="4" w:space="0"/>
              <w:left w:val="single" w:color="auto" w:sz="4" w:space="0"/>
              <w:bottom w:val="single" w:color="auto" w:sz="4" w:space="0"/>
              <w:right w:val="single" w:color="auto" w:sz="4" w:space="0"/>
            </w:tcBorders>
            <w:noWrap w:val="0"/>
            <w:vAlign w:val="center"/>
          </w:tcPr>
          <w:p w14:paraId="0D3EDA8E">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《中华人民共和国反不正当竞争法》</w:t>
            </w:r>
          </w:p>
        </w:tc>
        <w:tc>
          <w:tcPr>
            <w:tcW w:w="1429" w:type="pct"/>
            <w:vMerge w:val="restart"/>
            <w:tcBorders>
              <w:top w:val="single" w:color="auto" w:sz="4" w:space="0"/>
              <w:left w:val="single" w:color="auto" w:sz="4" w:space="0"/>
              <w:bottom w:val="single" w:color="auto" w:sz="4" w:space="0"/>
              <w:right w:val="single" w:color="auto" w:sz="4" w:space="0"/>
            </w:tcBorders>
            <w:noWrap w:val="0"/>
            <w:vAlign w:val="center"/>
          </w:tcPr>
          <w:p w14:paraId="6242253F">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ascii="宋体" w:hAnsi="宋体" w:eastAsia="宋体" w:cs="宋体"/>
                <w:color w:val="000000"/>
                <w:sz w:val="24"/>
                <w:szCs w:val="24"/>
              </w:rPr>
              <w:t>第三十五条</w:t>
            </w:r>
            <w:r>
              <w:rPr>
                <w:rFonts w:hint="eastAsia" w:ascii="宋体" w:hAnsi="宋体" w:cs="宋体"/>
                <w:color w:val="000000"/>
                <w:sz w:val="24"/>
                <w:szCs w:val="24"/>
                <w:lang w:val="en-US" w:eastAsia="zh-CN"/>
              </w:rPr>
              <w:t xml:space="preserve"> </w:t>
            </w:r>
            <w:r>
              <w:rPr>
                <w:rFonts w:ascii="宋体" w:hAnsi="宋体" w:eastAsia="宋体" w:cs="宋体"/>
                <w:color w:val="000000"/>
                <w:sz w:val="24"/>
                <w:szCs w:val="24"/>
              </w:rPr>
              <w:t>妨害监督检查部门依照本法履行职责，拒绝、阻碍调查的，由监督检查部门责令改正，对个人可以处一万元以下的罚款，对单位可以处十万元以下的罚款。</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4A605CC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775847E9">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rPr>
              <w:t>有下列情形之一的：</w:t>
            </w:r>
          </w:p>
          <w:p w14:paraId="7A5E68A4">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⑴妨害监督检查部门职责的；</w:t>
            </w:r>
          </w:p>
          <w:p w14:paraId="126EC87B">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000000"/>
                <w:sz w:val="24"/>
                <w:szCs w:val="24"/>
                <w:highlight w:val="none"/>
              </w:rPr>
            </w:pPr>
            <w:r>
              <w:rPr>
                <w:rFonts w:hint="eastAsia" w:ascii="宋体" w:hAnsi="宋体" w:eastAsia="宋体" w:cs="宋体"/>
                <w:b w:val="0"/>
                <w:bCs w:val="0"/>
                <w:color w:val="000000"/>
                <w:kern w:val="0"/>
                <w:sz w:val="24"/>
                <w:szCs w:val="24"/>
                <w:highlight w:val="none"/>
              </w:rPr>
              <w:t>⑵拒绝、阻碍调查的。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0135CF8E">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责令改正，对个人处</w:t>
            </w:r>
            <w:r>
              <w:rPr>
                <w:rFonts w:hint="eastAsia" w:ascii="宋体" w:hAnsi="宋体" w:cs="宋体"/>
                <w:b w:val="0"/>
                <w:bCs w:val="0"/>
                <w:color w:val="000000"/>
                <w:kern w:val="0"/>
                <w:sz w:val="24"/>
                <w:szCs w:val="24"/>
                <w:highlight w:val="none"/>
                <w:lang w:val="en-US" w:eastAsia="zh-CN"/>
              </w:rPr>
              <w:t>3000</w:t>
            </w:r>
            <w:r>
              <w:rPr>
                <w:rFonts w:hint="eastAsia" w:ascii="宋体" w:hAnsi="宋体" w:eastAsia="宋体" w:cs="宋体"/>
                <w:b w:val="0"/>
                <w:bCs w:val="0"/>
                <w:color w:val="000000"/>
                <w:kern w:val="0"/>
                <w:sz w:val="24"/>
                <w:szCs w:val="24"/>
                <w:highlight w:val="none"/>
              </w:rPr>
              <w:t>元以下的罚款；对单位处</w:t>
            </w:r>
            <w:r>
              <w:rPr>
                <w:rFonts w:hint="eastAsia" w:ascii="宋体" w:hAnsi="宋体" w:cs="宋体"/>
                <w:b w:val="0"/>
                <w:bCs w:val="0"/>
                <w:color w:val="000000"/>
                <w:kern w:val="0"/>
                <w:sz w:val="24"/>
                <w:szCs w:val="24"/>
                <w:highlight w:val="none"/>
                <w:lang w:val="en-US" w:eastAsia="zh-CN"/>
              </w:rPr>
              <w:t>3万</w:t>
            </w:r>
            <w:r>
              <w:rPr>
                <w:rFonts w:hint="eastAsia" w:ascii="宋体" w:hAnsi="宋体" w:eastAsia="宋体" w:cs="宋体"/>
                <w:b w:val="0"/>
                <w:bCs w:val="0"/>
                <w:color w:val="000000"/>
                <w:kern w:val="0"/>
                <w:sz w:val="24"/>
                <w:szCs w:val="24"/>
                <w:highlight w:val="none"/>
              </w:rPr>
              <w:t>元以下的罚款。</w:t>
            </w:r>
          </w:p>
        </w:tc>
      </w:tr>
      <w:tr w14:paraId="79C7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trPr>
        <w:tc>
          <w:tcPr>
            <w:tcW w:w="268" w:type="pct"/>
            <w:vMerge w:val="continue"/>
            <w:tcBorders>
              <w:top w:val="single" w:color="auto" w:sz="4" w:space="0"/>
              <w:left w:val="single" w:color="auto" w:sz="4" w:space="0"/>
              <w:bottom w:val="single" w:color="auto" w:sz="4" w:space="0"/>
              <w:right w:val="single" w:color="auto" w:sz="4" w:space="0"/>
            </w:tcBorders>
            <w:noWrap w:val="0"/>
            <w:vAlign w:val="center"/>
          </w:tcPr>
          <w:p w14:paraId="1D3A84BA">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left w:val="single" w:color="auto" w:sz="4" w:space="0"/>
              <w:bottom w:val="single" w:color="auto" w:sz="4" w:space="0"/>
              <w:right w:val="single" w:color="auto" w:sz="4" w:space="0"/>
            </w:tcBorders>
            <w:noWrap w:val="0"/>
            <w:vAlign w:val="center"/>
          </w:tcPr>
          <w:p w14:paraId="2590AF39">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left w:val="single" w:color="auto" w:sz="4" w:space="0"/>
              <w:bottom w:val="single" w:color="auto" w:sz="4" w:space="0"/>
              <w:right w:val="single" w:color="auto" w:sz="4" w:space="0"/>
            </w:tcBorders>
            <w:noWrap w:val="0"/>
            <w:vAlign w:val="center"/>
          </w:tcPr>
          <w:p w14:paraId="6ED11D95">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36F6A99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2E9B946A">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有下列情形之一的：</w:t>
            </w:r>
          </w:p>
          <w:p w14:paraId="25F19EC2">
            <w:pPr>
              <w:keepNext w:val="0"/>
              <w:keepLines w:val="0"/>
              <w:pageBreakBefore w:val="0"/>
              <w:widowControl/>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⑴</w:t>
            </w:r>
            <w:r>
              <w:rPr>
                <w:rFonts w:hint="eastAsia" w:ascii="宋体" w:hAnsi="宋体" w:eastAsia="宋体" w:cs="宋体"/>
                <w:b w:val="0"/>
                <w:bCs w:val="0"/>
                <w:color w:val="000000"/>
                <w:kern w:val="0"/>
                <w:sz w:val="24"/>
                <w:szCs w:val="24"/>
                <w:highlight w:val="none"/>
                <w:lang w:eastAsia="zh-CN"/>
              </w:rPr>
              <w:t>妨</w:t>
            </w:r>
            <w:r>
              <w:rPr>
                <w:rFonts w:hint="eastAsia" w:ascii="宋体" w:hAnsi="宋体" w:eastAsia="宋体" w:cs="宋体"/>
                <w:b w:val="0"/>
                <w:bCs w:val="0"/>
                <w:color w:val="000000"/>
                <w:kern w:val="0"/>
                <w:sz w:val="24"/>
                <w:szCs w:val="24"/>
                <w:highlight w:val="none"/>
              </w:rPr>
              <w:t>害监督检查部门职责有谩骂、诽谤</w:t>
            </w:r>
            <w:r>
              <w:rPr>
                <w:rFonts w:hint="eastAsia" w:ascii="宋体" w:hAnsi="宋体" w:eastAsia="宋体" w:cs="宋体"/>
                <w:b w:val="0"/>
                <w:bCs w:val="0"/>
                <w:color w:val="000000"/>
                <w:kern w:val="0"/>
                <w:sz w:val="24"/>
                <w:szCs w:val="24"/>
                <w:highlight w:val="none"/>
                <w:lang w:eastAsia="zh-CN"/>
              </w:rPr>
              <w:t>、</w:t>
            </w:r>
            <w:r>
              <w:rPr>
                <w:rFonts w:hint="eastAsia" w:ascii="宋体" w:hAnsi="宋体" w:eastAsia="宋体" w:cs="宋体"/>
                <w:b w:val="0"/>
                <w:bCs w:val="0"/>
                <w:color w:val="000000"/>
                <w:kern w:val="0"/>
                <w:sz w:val="24"/>
                <w:szCs w:val="24"/>
                <w:highlight w:val="none"/>
              </w:rPr>
              <w:t>侮辱等行为的；</w:t>
            </w:r>
          </w:p>
          <w:p w14:paraId="57B98991">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⑵拒绝、阻碍调查，有威胁等行为的。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0D6B1508">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责令改正，对个人处</w:t>
            </w:r>
            <w:r>
              <w:rPr>
                <w:rFonts w:hint="eastAsia" w:ascii="宋体" w:hAnsi="宋体" w:cs="宋体"/>
                <w:b w:val="0"/>
                <w:bCs w:val="0"/>
                <w:color w:val="000000"/>
                <w:kern w:val="0"/>
                <w:sz w:val="24"/>
                <w:szCs w:val="24"/>
                <w:highlight w:val="none"/>
                <w:lang w:val="en-US" w:eastAsia="zh-CN"/>
              </w:rPr>
              <w:t>3000</w:t>
            </w:r>
            <w:r>
              <w:rPr>
                <w:rFonts w:hint="eastAsia" w:ascii="宋体" w:hAnsi="宋体" w:eastAsia="宋体" w:cs="宋体"/>
                <w:b w:val="0"/>
                <w:bCs w:val="0"/>
                <w:color w:val="000000"/>
                <w:kern w:val="0"/>
                <w:sz w:val="24"/>
                <w:szCs w:val="24"/>
                <w:highlight w:val="none"/>
              </w:rPr>
              <w:t>元以上</w:t>
            </w:r>
            <w:r>
              <w:rPr>
                <w:rFonts w:hint="eastAsia" w:ascii="宋体" w:hAnsi="宋体" w:cs="宋体"/>
                <w:b w:val="0"/>
                <w:bCs w:val="0"/>
                <w:color w:val="000000"/>
                <w:kern w:val="0"/>
                <w:sz w:val="24"/>
                <w:szCs w:val="24"/>
                <w:highlight w:val="none"/>
                <w:lang w:val="en-US" w:eastAsia="zh-CN"/>
              </w:rPr>
              <w:t>7000</w:t>
            </w:r>
            <w:r>
              <w:rPr>
                <w:rFonts w:hint="eastAsia" w:ascii="宋体" w:hAnsi="宋体" w:eastAsia="宋体" w:cs="宋体"/>
                <w:b w:val="0"/>
                <w:bCs w:val="0"/>
                <w:color w:val="000000"/>
                <w:kern w:val="0"/>
                <w:sz w:val="24"/>
                <w:szCs w:val="24"/>
                <w:highlight w:val="none"/>
              </w:rPr>
              <w:t>元以下的罚款；对单位可以处</w:t>
            </w:r>
            <w:r>
              <w:rPr>
                <w:rFonts w:hint="eastAsia" w:ascii="宋体" w:hAnsi="宋体" w:cs="宋体"/>
                <w:b w:val="0"/>
                <w:bCs w:val="0"/>
                <w:color w:val="000000"/>
                <w:kern w:val="0"/>
                <w:sz w:val="24"/>
                <w:szCs w:val="24"/>
                <w:highlight w:val="none"/>
                <w:lang w:val="en-US" w:eastAsia="zh-CN"/>
              </w:rPr>
              <w:t>3万</w:t>
            </w:r>
            <w:r>
              <w:rPr>
                <w:rFonts w:hint="eastAsia" w:ascii="宋体" w:hAnsi="宋体" w:eastAsia="宋体" w:cs="宋体"/>
                <w:b w:val="0"/>
                <w:bCs w:val="0"/>
                <w:color w:val="000000"/>
                <w:kern w:val="0"/>
                <w:sz w:val="24"/>
                <w:szCs w:val="24"/>
                <w:highlight w:val="none"/>
              </w:rPr>
              <w:t>元以上</w:t>
            </w:r>
            <w:r>
              <w:rPr>
                <w:rFonts w:hint="eastAsia" w:ascii="宋体" w:hAnsi="宋体" w:cs="宋体"/>
                <w:b w:val="0"/>
                <w:bCs w:val="0"/>
                <w:color w:val="000000"/>
                <w:kern w:val="0"/>
                <w:sz w:val="24"/>
                <w:szCs w:val="24"/>
                <w:highlight w:val="none"/>
                <w:lang w:val="en-US" w:eastAsia="zh-CN"/>
              </w:rPr>
              <w:t>7万</w:t>
            </w:r>
            <w:r>
              <w:rPr>
                <w:rFonts w:hint="eastAsia" w:ascii="宋体" w:hAnsi="宋体" w:eastAsia="宋体" w:cs="宋体"/>
                <w:b w:val="0"/>
                <w:bCs w:val="0"/>
                <w:color w:val="000000"/>
                <w:kern w:val="0"/>
                <w:sz w:val="24"/>
                <w:szCs w:val="24"/>
                <w:highlight w:val="none"/>
              </w:rPr>
              <w:t>元以下的罚款。</w:t>
            </w:r>
          </w:p>
        </w:tc>
      </w:tr>
      <w:tr w14:paraId="18EA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4" w:hRule="atLeast"/>
        </w:trPr>
        <w:tc>
          <w:tcPr>
            <w:tcW w:w="268" w:type="pct"/>
            <w:vMerge w:val="continue"/>
            <w:tcBorders>
              <w:top w:val="single" w:color="auto" w:sz="4" w:space="0"/>
              <w:left w:val="single" w:color="auto" w:sz="4" w:space="0"/>
              <w:bottom w:val="single" w:color="auto" w:sz="4" w:space="0"/>
              <w:right w:val="single" w:color="auto" w:sz="4" w:space="0"/>
            </w:tcBorders>
            <w:noWrap w:val="0"/>
            <w:vAlign w:val="center"/>
          </w:tcPr>
          <w:p w14:paraId="3CDF1076">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left w:val="single" w:color="auto" w:sz="4" w:space="0"/>
              <w:bottom w:val="single" w:color="auto" w:sz="4" w:space="0"/>
              <w:right w:val="single" w:color="auto" w:sz="4" w:space="0"/>
            </w:tcBorders>
            <w:noWrap w:val="0"/>
            <w:vAlign w:val="center"/>
          </w:tcPr>
          <w:p w14:paraId="50848D6C">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left w:val="single" w:color="auto" w:sz="4" w:space="0"/>
              <w:bottom w:val="single" w:color="auto" w:sz="4" w:space="0"/>
              <w:right w:val="single" w:color="auto" w:sz="4" w:space="0"/>
            </w:tcBorders>
            <w:noWrap w:val="0"/>
            <w:vAlign w:val="center"/>
          </w:tcPr>
          <w:p w14:paraId="4CD3DEB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6C3D3E5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4E114FA">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rPr>
              <w:t>有下列情形之一的：</w:t>
            </w:r>
          </w:p>
          <w:p w14:paraId="3C0ECBB5">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rPr>
              <w:t>⑴妨害监督检查部门职责，有人身攻击、动用管制刀具、器械等行为的；</w:t>
            </w:r>
          </w:p>
          <w:p w14:paraId="48D80BEF">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rPr>
              <w:t>⑵拒绝、阻碍调查，有武力威胁、造成伤害等行为的；</w:t>
            </w:r>
          </w:p>
          <w:p w14:paraId="610718F9">
            <w:pPr>
              <w:keepNext w:val="0"/>
              <w:keepLines w:val="0"/>
              <w:pageBreakBefore w:val="0"/>
              <w:widowControl/>
              <w:kinsoku/>
              <w:wordWrap/>
              <w:overflowPunct/>
              <w:topLinePunct w:val="0"/>
              <w:autoSpaceDE/>
              <w:autoSpaceDN/>
              <w:bidi w:val="0"/>
              <w:adjustRightInd/>
              <w:snapToGrid/>
              <w:spacing w:line="360" w:lineRule="exact"/>
              <w:ind w:right="-105" w:rightChars="-50"/>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⑶</w:t>
            </w:r>
            <w:r>
              <w:rPr>
                <w:rFonts w:hint="eastAsia" w:ascii="宋体" w:hAnsi="宋体" w:eastAsia="宋体" w:cs="宋体"/>
                <w:b w:val="0"/>
                <w:bCs w:val="0"/>
                <w:color w:val="000000"/>
                <w:spacing w:val="-11"/>
                <w:kern w:val="0"/>
                <w:sz w:val="24"/>
                <w:szCs w:val="24"/>
                <w:highlight w:val="none"/>
              </w:rPr>
              <w:t>其他严重影响执行公务的行为。</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10D73A5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责令改正，对个人处</w:t>
            </w:r>
            <w:r>
              <w:rPr>
                <w:rFonts w:hint="eastAsia" w:ascii="宋体" w:hAnsi="宋体" w:cs="宋体"/>
                <w:b w:val="0"/>
                <w:bCs w:val="0"/>
                <w:color w:val="000000"/>
                <w:kern w:val="0"/>
                <w:sz w:val="24"/>
                <w:szCs w:val="24"/>
                <w:highlight w:val="none"/>
                <w:lang w:val="en-US" w:eastAsia="zh-CN"/>
              </w:rPr>
              <w:t>70</w:t>
            </w:r>
            <w:r>
              <w:rPr>
                <w:rFonts w:hint="eastAsia" w:ascii="宋体" w:hAnsi="宋体" w:eastAsia="宋体" w:cs="宋体"/>
                <w:b w:val="0"/>
                <w:bCs w:val="0"/>
                <w:color w:val="000000"/>
                <w:kern w:val="0"/>
                <w:sz w:val="24"/>
                <w:szCs w:val="24"/>
                <w:highlight w:val="none"/>
              </w:rPr>
              <w:t>00元以上</w:t>
            </w:r>
            <w:r>
              <w:rPr>
                <w:rFonts w:hint="eastAsia" w:ascii="宋体" w:hAnsi="宋体" w:cs="宋体"/>
                <w:b w:val="0"/>
                <w:bCs w:val="0"/>
                <w:color w:val="000000"/>
                <w:kern w:val="0"/>
                <w:sz w:val="24"/>
                <w:szCs w:val="24"/>
                <w:highlight w:val="none"/>
                <w:lang w:val="en-US" w:eastAsia="zh-CN"/>
              </w:rPr>
              <w:t>1万</w:t>
            </w:r>
            <w:r>
              <w:rPr>
                <w:rFonts w:hint="eastAsia" w:ascii="宋体" w:hAnsi="宋体" w:eastAsia="宋体" w:cs="宋体"/>
                <w:b w:val="0"/>
                <w:bCs w:val="0"/>
                <w:color w:val="000000"/>
                <w:kern w:val="0"/>
                <w:sz w:val="24"/>
                <w:szCs w:val="24"/>
                <w:highlight w:val="none"/>
              </w:rPr>
              <w:t>元以下的罚款；对单位处</w:t>
            </w:r>
            <w:r>
              <w:rPr>
                <w:rFonts w:hint="eastAsia" w:ascii="宋体" w:hAnsi="宋体" w:cs="宋体"/>
                <w:b w:val="0"/>
                <w:bCs w:val="0"/>
                <w:color w:val="000000"/>
                <w:kern w:val="0"/>
                <w:sz w:val="24"/>
                <w:szCs w:val="24"/>
                <w:highlight w:val="none"/>
                <w:lang w:val="en-US" w:eastAsia="zh-CN"/>
              </w:rPr>
              <w:t>7万</w:t>
            </w:r>
            <w:r>
              <w:rPr>
                <w:rFonts w:hint="eastAsia" w:ascii="宋体" w:hAnsi="宋体" w:eastAsia="宋体" w:cs="宋体"/>
                <w:b w:val="0"/>
                <w:bCs w:val="0"/>
                <w:color w:val="000000"/>
                <w:kern w:val="0"/>
                <w:sz w:val="24"/>
                <w:szCs w:val="24"/>
                <w:highlight w:val="none"/>
              </w:rPr>
              <w:t>元以上</w:t>
            </w:r>
            <w:r>
              <w:rPr>
                <w:rFonts w:hint="eastAsia" w:ascii="宋体" w:hAnsi="宋体" w:cs="宋体"/>
                <w:b w:val="0"/>
                <w:bCs w:val="0"/>
                <w:color w:val="000000"/>
                <w:kern w:val="0"/>
                <w:sz w:val="24"/>
                <w:szCs w:val="24"/>
                <w:highlight w:val="none"/>
                <w:lang w:val="en-US" w:eastAsia="zh-CN"/>
              </w:rPr>
              <w:t>10</w:t>
            </w:r>
            <w:r>
              <w:rPr>
                <w:rFonts w:hint="eastAsia" w:ascii="宋体" w:hAnsi="宋体" w:cs="宋体"/>
                <w:b w:val="0"/>
                <w:bCs w:val="0"/>
                <w:color w:val="000000"/>
                <w:kern w:val="0"/>
                <w:sz w:val="24"/>
                <w:szCs w:val="24"/>
                <w:highlight w:val="none"/>
                <w:lang w:eastAsia="zh-CN"/>
              </w:rPr>
              <w:t>万</w:t>
            </w:r>
            <w:r>
              <w:rPr>
                <w:rFonts w:hint="eastAsia" w:ascii="宋体" w:hAnsi="宋体" w:eastAsia="宋体" w:cs="宋体"/>
                <w:b w:val="0"/>
                <w:bCs w:val="0"/>
                <w:color w:val="000000"/>
                <w:kern w:val="0"/>
                <w:sz w:val="24"/>
                <w:szCs w:val="24"/>
                <w:highlight w:val="none"/>
              </w:rPr>
              <w:t>元以下的罚款。</w:t>
            </w:r>
          </w:p>
        </w:tc>
      </w:tr>
      <w:tr w14:paraId="30F5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268" w:type="pct"/>
            <w:vMerge w:val="restart"/>
            <w:tcBorders>
              <w:top w:val="single" w:color="auto" w:sz="4" w:space="0"/>
              <w:bottom w:val="single" w:color="auto" w:sz="4" w:space="0"/>
            </w:tcBorders>
            <w:noWrap w:val="0"/>
            <w:vAlign w:val="center"/>
          </w:tcPr>
          <w:p w14:paraId="4D491B1A">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rPr>
              <w:t>3</w:t>
            </w:r>
            <w:r>
              <w:rPr>
                <w:rFonts w:hint="eastAsia" w:ascii="宋体" w:hAnsi="宋体" w:cs="宋体"/>
                <w:b w:val="0"/>
                <w:bCs w:val="0"/>
                <w:color w:val="000000"/>
                <w:kern w:val="0"/>
                <w:sz w:val="24"/>
                <w:szCs w:val="24"/>
                <w:highlight w:val="none"/>
                <w:lang w:val="en-US" w:eastAsia="zh-CN"/>
              </w:rPr>
              <w:t>63</w:t>
            </w:r>
          </w:p>
        </w:tc>
        <w:tc>
          <w:tcPr>
            <w:tcW w:w="613" w:type="pct"/>
            <w:vMerge w:val="restart"/>
            <w:tcBorders>
              <w:top w:val="single" w:color="auto" w:sz="4" w:space="0"/>
              <w:bottom w:val="single" w:color="auto" w:sz="4" w:space="0"/>
            </w:tcBorders>
            <w:noWrap w:val="0"/>
            <w:vAlign w:val="center"/>
          </w:tcPr>
          <w:p w14:paraId="215DEC91">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outlineLvl w:val="2"/>
              <w:rPr>
                <w:rFonts w:hint="eastAsia" w:ascii="宋体" w:hAnsi="宋体" w:eastAsia="宋体" w:cs="宋体"/>
                <w:b w:val="0"/>
                <w:bCs w:val="0"/>
                <w:color w:val="000000"/>
                <w:kern w:val="0"/>
                <w:sz w:val="24"/>
                <w:szCs w:val="24"/>
                <w:highlight w:val="none"/>
              </w:rPr>
            </w:pPr>
            <w:bookmarkStart w:id="463" w:name="_Toc7403"/>
            <w:bookmarkStart w:id="464" w:name="_Toc18484"/>
            <w:bookmarkStart w:id="465" w:name="_Toc25398"/>
            <w:bookmarkStart w:id="466" w:name="_Toc8155"/>
            <w:bookmarkStart w:id="467" w:name="_Toc29724"/>
            <w:r>
              <w:rPr>
                <w:rFonts w:hint="eastAsia" w:ascii="宋体" w:hAnsi="宋体" w:eastAsia="宋体" w:cs="宋体"/>
                <w:b w:val="0"/>
                <w:bCs w:val="0"/>
                <w:color w:val="000000"/>
                <w:kern w:val="0"/>
                <w:sz w:val="24"/>
                <w:szCs w:val="24"/>
                <w:highlight w:val="none"/>
              </w:rPr>
              <w:t>《直销管理条例》</w:t>
            </w:r>
            <w:r>
              <w:rPr>
                <w:rFonts w:hint="eastAsia" w:ascii="宋体" w:hAnsi="宋体" w:eastAsia="宋体" w:cs="宋体"/>
                <w:b w:val="0"/>
                <w:bCs w:val="0"/>
                <w:color w:val="000000"/>
                <w:kern w:val="0"/>
                <w:sz w:val="24"/>
                <w:szCs w:val="24"/>
                <w:highlight w:val="none"/>
                <w:lang w:eastAsia="zh-CN"/>
              </w:rPr>
              <w:t>（</w:t>
            </w:r>
            <w:r>
              <w:rPr>
                <w:rFonts w:hint="eastAsia" w:ascii="宋体" w:hAnsi="宋体" w:eastAsia="宋体" w:cs="宋体"/>
                <w:b w:val="0"/>
                <w:bCs w:val="0"/>
                <w:color w:val="000000"/>
                <w:kern w:val="0"/>
                <w:sz w:val="24"/>
                <w:szCs w:val="24"/>
                <w:highlight w:val="none"/>
                <w:lang w:val="en-US" w:eastAsia="zh-CN"/>
              </w:rPr>
              <w:t>2017年3月1日</w:t>
            </w:r>
            <w:r>
              <w:rPr>
                <w:rFonts w:hint="eastAsia" w:ascii="宋体" w:hAnsi="宋体" w:cs="宋体"/>
                <w:b w:val="0"/>
                <w:bCs w:val="0"/>
                <w:color w:val="000000"/>
                <w:kern w:val="0"/>
                <w:sz w:val="24"/>
                <w:szCs w:val="24"/>
                <w:highlight w:val="none"/>
                <w:lang w:val="en-US" w:eastAsia="zh-CN"/>
              </w:rPr>
              <w:t>起施行</w:t>
            </w:r>
            <w:r>
              <w:rPr>
                <w:rFonts w:hint="eastAsia" w:ascii="宋体" w:hAnsi="宋体" w:eastAsia="宋体" w:cs="宋体"/>
                <w:b w:val="0"/>
                <w:bCs w:val="0"/>
                <w:color w:val="000000"/>
                <w:kern w:val="0"/>
                <w:sz w:val="24"/>
                <w:szCs w:val="24"/>
                <w:highlight w:val="none"/>
                <w:lang w:eastAsia="zh-CN"/>
              </w:rPr>
              <w:t>）</w:t>
            </w:r>
            <w:bookmarkEnd w:id="463"/>
            <w:bookmarkEnd w:id="464"/>
            <w:bookmarkEnd w:id="465"/>
            <w:bookmarkEnd w:id="466"/>
            <w:bookmarkEnd w:id="467"/>
          </w:p>
        </w:tc>
        <w:tc>
          <w:tcPr>
            <w:tcW w:w="1429" w:type="pct"/>
            <w:vMerge w:val="restart"/>
            <w:tcBorders>
              <w:top w:val="single" w:color="auto" w:sz="4" w:space="0"/>
              <w:bottom w:val="single" w:color="auto" w:sz="4" w:space="0"/>
            </w:tcBorders>
            <w:noWrap w:val="0"/>
            <w:vAlign w:val="center"/>
          </w:tcPr>
          <w:p w14:paraId="7B37F051">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第三十九条</w:t>
            </w:r>
            <w:r>
              <w:rPr>
                <w:rFonts w:hint="eastAsia" w:ascii="宋体" w:hAnsi="宋体" w:cs="宋体"/>
                <w:b w:val="0"/>
                <w:bCs w:val="0"/>
                <w:color w:val="000000"/>
                <w:kern w:val="0"/>
                <w:sz w:val="24"/>
                <w:szCs w:val="24"/>
                <w:highlight w:val="none"/>
                <w:lang w:val="en-US" w:eastAsia="zh-CN"/>
              </w:rPr>
              <w:t xml:space="preserve"> </w:t>
            </w:r>
            <w:r>
              <w:rPr>
                <w:rFonts w:hint="eastAsia" w:ascii="宋体" w:hAnsi="宋体" w:eastAsia="宋体" w:cs="宋体"/>
                <w:b w:val="0"/>
                <w:bCs w:val="0"/>
                <w:color w:val="000000"/>
                <w:kern w:val="0"/>
                <w:sz w:val="24"/>
                <w:szCs w:val="24"/>
                <w:highlight w:val="none"/>
              </w:rPr>
              <w:t>违反本条例第九条和第十条规定，未经批准从事直销活动的，由工商行政管理部门责令改正，没收直销产品和违法销售收入，处5万元以上30万元以下的罚款；情节严重的，处30万元以上50万元以下的罚款，并依法予以取缔；构成犯罪的，依法追究刑事责任。</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1158E17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BAA932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违法经营额在5万元以下，或者违法所得在1万元以下</w:t>
            </w:r>
            <w:r>
              <w:rPr>
                <w:rFonts w:hint="eastAsia" w:ascii="宋体" w:hAnsi="宋体" w:eastAsia="宋体" w:cs="宋体"/>
                <w:b w:val="0"/>
                <w:bCs w:val="0"/>
                <w:color w:val="000000"/>
                <w:kern w:val="0"/>
                <w:sz w:val="24"/>
                <w:szCs w:val="24"/>
                <w:highlight w:val="none"/>
                <w:lang w:val="en-US" w:eastAsia="zh-CN"/>
              </w:rPr>
              <w:t>的</w:t>
            </w:r>
            <w:r>
              <w:rPr>
                <w:rFonts w:hint="eastAsia" w:ascii="宋体" w:hAnsi="宋体" w:eastAsia="宋体" w:cs="宋体"/>
                <w:b w:val="0"/>
                <w:bCs w:val="0"/>
                <w:color w:val="000000"/>
                <w:kern w:val="0"/>
                <w:sz w:val="24"/>
                <w:szCs w:val="24"/>
                <w:highlight w:val="none"/>
              </w:rPr>
              <w:t>。</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3B98DFF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责令改正，没收直销产品和违法销售收入，处5万元以上12.5万元以下罚款。</w:t>
            </w:r>
          </w:p>
        </w:tc>
      </w:tr>
      <w:tr w14:paraId="78D5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9" w:hRule="atLeast"/>
        </w:trPr>
        <w:tc>
          <w:tcPr>
            <w:tcW w:w="268" w:type="pct"/>
            <w:vMerge w:val="continue"/>
            <w:tcBorders>
              <w:top w:val="single" w:color="auto" w:sz="4" w:space="0"/>
              <w:bottom w:val="single" w:color="auto" w:sz="4" w:space="0"/>
            </w:tcBorders>
            <w:noWrap w:val="0"/>
            <w:vAlign w:val="center"/>
          </w:tcPr>
          <w:p w14:paraId="78C3A38C">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center"/>
          </w:tcPr>
          <w:p w14:paraId="30F0E8C0">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center"/>
          </w:tcPr>
          <w:p w14:paraId="255AF326">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5B17217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31477F8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违法经营额在5万元以上</w:t>
            </w:r>
            <w:r>
              <w:rPr>
                <w:rFonts w:hint="eastAsia" w:ascii="宋体" w:hAnsi="宋体" w:eastAsia="宋体" w:cs="宋体"/>
                <w:b w:val="0"/>
                <w:bCs w:val="0"/>
                <w:color w:val="000000"/>
                <w:kern w:val="0"/>
                <w:sz w:val="24"/>
                <w:szCs w:val="24"/>
                <w:highlight w:val="none"/>
                <w:lang w:val="en-US" w:eastAsia="zh-CN"/>
              </w:rPr>
              <w:t>30</w:t>
            </w:r>
            <w:r>
              <w:rPr>
                <w:rFonts w:hint="eastAsia" w:ascii="宋体" w:hAnsi="宋体" w:eastAsia="宋体" w:cs="宋体"/>
                <w:b w:val="0"/>
                <w:bCs w:val="0"/>
                <w:color w:val="000000"/>
                <w:kern w:val="0"/>
                <w:sz w:val="24"/>
                <w:szCs w:val="24"/>
                <w:highlight w:val="none"/>
              </w:rPr>
              <w:t>万元以下，或者违法所得在1万元以上</w:t>
            </w:r>
            <w:r>
              <w:rPr>
                <w:rFonts w:hint="eastAsia" w:ascii="宋体" w:hAnsi="宋体" w:eastAsia="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6191D4C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责令改正，没收直销产品和违法销售收入，处12.5万元以上22.5万元以下罚款。</w:t>
            </w:r>
          </w:p>
        </w:tc>
      </w:tr>
      <w:tr w14:paraId="09E4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0" w:hRule="atLeast"/>
        </w:trPr>
        <w:tc>
          <w:tcPr>
            <w:tcW w:w="268" w:type="pct"/>
            <w:vMerge w:val="continue"/>
            <w:tcBorders>
              <w:top w:val="single" w:color="auto" w:sz="4" w:space="0"/>
              <w:bottom w:val="single" w:color="auto" w:sz="4" w:space="0"/>
            </w:tcBorders>
            <w:noWrap w:val="0"/>
            <w:vAlign w:val="center"/>
          </w:tcPr>
          <w:p w14:paraId="77AEFEAC">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center"/>
          </w:tcPr>
          <w:p w14:paraId="7C0C5E82">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center"/>
          </w:tcPr>
          <w:p w14:paraId="25BB74F8">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73C042C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52ACEF7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违法经营额在</w:t>
            </w:r>
            <w:r>
              <w:rPr>
                <w:rFonts w:hint="eastAsia" w:ascii="宋体" w:hAnsi="宋体" w:eastAsia="宋体" w:cs="宋体"/>
                <w:b w:val="0"/>
                <w:bCs w:val="0"/>
                <w:color w:val="000000"/>
                <w:kern w:val="0"/>
                <w:sz w:val="24"/>
                <w:szCs w:val="24"/>
                <w:highlight w:val="none"/>
                <w:lang w:val="en-US" w:eastAsia="zh-CN"/>
              </w:rPr>
              <w:t>3</w:t>
            </w:r>
            <w:r>
              <w:rPr>
                <w:rFonts w:hint="eastAsia" w:ascii="宋体" w:hAnsi="宋体" w:eastAsia="宋体" w:cs="宋体"/>
                <w:b w:val="0"/>
                <w:bCs w:val="0"/>
                <w:color w:val="000000"/>
                <w:kern w:val="0"/>
                <w:sz w:val="24"/>
                <w:szCs w:val="24"/>
                <w:highlight w:val="none"/>
              </w:rPr>
              <w:t>0万元以上</w:t>
            </w:r>
            <w:r>
              <w:rPr>
                <w:rFonts w:hint="eastAsia" w:ascii="宋体" w:hAnsi="宋体" w:eastAsia="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0万元以下，或者违法所得在</w:t>
            </w:r>
            <w:r>
              <w:rPr>
                <w:rFonts w:hint="eastAsia" w:ascii="宋体" w:hAnsi="宋体" w:eastAsia="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万元以上</w:t>
            </w:r>
            <w:r>
              <w:rPr>
                <w:rFonts w:hint="eastAsia" w:ascii="宋体" w:hAnsi="宋体" w:eastAsia="宋体" w:cs="宋体"/>
                <w:b w:val="0"/>
                <w:bCs w:val="0"/>
                <w:color w:val="000000"/>
                <w:kern w:val="0"/>
                <w:sz w:val="24"/>
                <w:szCs w:val="24"/>
                <w:highlight w:val="none"/>
                <w:lang w:val="en-US" w:eastAsia="zh-CN"/>
              </w:rPr>
              <w:t>10</w:t>
            </w:r>
            <w:r>
              <w:rPr>
                <w:rFonts w:hint="eastAsia" w:ascii="宋体" w:hAnsi="宋体" w:eastAsia="宋体" w:cs="宋体"/>
                <w:b w:val="0"/>
                <w:bCs w:val="0"/>
                <w:color w:val="000000"/>
                <w:kern w:val="0"/>
                <w:sz w:val="24"/>
                <w:szCs w:val="24"/>
                <w:highlight w:val="none"/>
              </w:rPr>
              <w:t>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4E9D141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责令改正</w:t>
            </w:r>
            <w:r>
              <w:rPr>
                <w:rFonts w:hint="eastAsia" w:ascii="宋体" w:hAnsi="宋体" w:eastAsia="宋体" w:cs="宋体"/>
                <w:b w:val="0"/>
                <w:bCs w:val="0"/>
                <w:color w:val="000000"/>
                <w:kern w:val="0"/>
                <w:sz w:val="24"/>
                <w:szCs w:val="24"/>
                <w:highlight w:val="none"/>
                <w:lang w:eastAsia="zh-CN"/>
              </w:rPr>
              <w:t>，</w:t>
            </w:r>
            <w:r>
              <w:rPr>
                <w:rFonts w:hint="eastAsia" w:ascii="宋体" w:hAnsi="宋体" w:eastAsia="宋体" w:cs="宋体"/>
                <w:b w:val="0"/>
                <w:bCs w:val="0"/>
                <w:color w:val="000000"/>
                <w:kern w:val="0"/>
                <w:sz w:val="24"/>
                <w:szCs w:val="24"/>
                <w:highlight w:val="none"/>
              </w:rPr>
              <w:t>没收直销产品和违法销售收入，处22.5万元以上30万元以下罚款。</w:t>
            </w:r>
          </w:p>
        </w:tc>
      </w:tr>
      <w:tr w14:paraId="6B961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268" w:type="pct"/>
            <w:vMerge w:val="continue"/>
            <w:tcBorders>
              <w:top w:val="single" w:color="auto" w:sz="4" w:space="0"/>
              <w:bottom w:val="single" w:color="auto" w:sz="4" w:space="0"/>
            </w:tcBorders>
            <w:noWrap w:val="0"/>
            <w:vAlign w:val="center"/>
          </w:tcPr>
          <w:p w14:paraId="3AA6B13E">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center"/>
          </w:tcPr>
          <w:p w14:paraId="0A6554BC">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center"/>
          </w:tcPr>
          <w:p w14:paraId="49EE69B9">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15825D9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严重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79AA8E9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违法经营额在</w:t>
            </w:r>
            <w:r>
              <w:rPr>
                <w:rFonts w:hint="eastAsia" w:ascii="宋体" w:hAnsi="宋体" w:eastAsia="宋体" w:cs="宋体"/>
                <w:b w:val="0"/>
                <w:bCs w:val="0"/>
                <w:color w:val="000000"/>
                <w:kern w:val="0"/>
                <w:sz w:val="24"/>
                <w:szCs w:val="24"/>
                <w:highlight w:val="none"/>
                <w:lang w:val="en-US" w:eastAsia="zh-CN"/>
              </w:rPr>
              <w:t>50</w:t>
            </w:r>
            <w:r>
              <w:rPr>
                <w:rFonts w:hint="eastAsia" w:ascii="宋体" w:hAnsi="宋体" w:eastAsia="宋体" w:cs="宋体"/>
                <w:b w:val="0"/>
                <w:bCs w:val="0"/>
                <w:color w:val="000000"/>
                <w:kern w:val="0"/>
                <w:sz w:val="24"/>
                <w:szCs w:val="24"/>
                <w:highlight w:val="none"/>
              </w:rPr>
              <w:t>万元以上，或者违法所得在</w:t>
            </w:r>
            <w:r>
              <w:rPr>
                <w:rFonts w:hint="eastAsia" w:ascii="宋体" w:hAnsi="宋体" w:eastAsia="宋体" w:cs="宋体"/>
                <w:b w:val="0"/>
                <w:bCs w:val="0"/>
                <w:color w:val="000000"/>
                <w:kern w:val="0"/>
                <w:sz w:val="24"/>
                <w:szCs w:val="24"/>
                <w:highlight w:val="none"/>
                <w:lang w:val="en-US" w:eastAsia="zh-CN"/>
              </w:rPr>
              <w:t>10</w:t>
            </w:r>
            <w:r>
              <w:rPr>
                <w:rFonts w:hint="eastAsia" w:ascii="宋体" w:hAnsi="宋体" w:eastAsia="宋体" w:cs="宋体"/>
                <w:b w:val="0"/>
                <w:bCs w:val="0"/>
                <w:color w:val="000000"/>
                <w:kern w:val="0"/>
                <w:sz w:val="24"/>
                <w:szCs w:val="24"/>
                <w:highlight w:val="none"/>
              </w:rPr>
              <w:t>万元以上</w:t>
            </w:r>
            <w:r>
              <w:rPr>
                <w:rFonts w:hint="eastAsia" w:ascii="宋体" w:hAnsi="宋体" w:eastAsia="宋体" w:cs="宋体"/>
                <w:b w:val="0"/>
                <w:bCs w:val="0"/>
                <w:color w:val="000000"/>
                <w:kern w:val="0"/>
                <w:sz w:val="24"/>
                <w:szCs w:val="24"/>
                <w:highlight w:val="none"/>
                <w:lang w:eastAsia="zh-CN"/>
              </w:rPr>
              <w:t>，或者其他情节严重的情形</w:t>
            </w:r>
            <w:r>
              <w:rPr>
                <w:rFonts w:hint="eastAsia" w:ascii="宋体" w:hAnsi="宋体" w:eastAsia="宋体" w:cs="宋体"/>
                <w:b w:val="0"/>
                <w:bCs w:val="0"/>
                <w:color w:val="000000"/>
                <w:kern w:val="0"/>
                <w:sz w:val="24"/>
                <w:szCs w:val="24"/>
                <w:highlight w:val="none"/>
              </w:rPr>
              <w:t>。</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015C727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责令改正，没收直销产品和违法销售收入，处30万元以上50万元以下罚款，并依法予以取缔。</w:t>
            </w:r>
          </w:p>
        </w:tc>
      </w:tr>
      <w:tr w14:paraId="338A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exact"/>
        </w:trPr>
        <w:tc>
          <w:tcPr>
            <w:tcW w:w="268" w:type="pct"/>
            <w:vMerge w:val="restart"/>
            <w:tcBorders>
              <w:top w:val="single" w:color="auto" w:sz="4" w:space="0"/>
              <w:bottom w:val="single" w:color="auto" w:sz="4" w:space="0"/>
            </w:tcBorders>
            <w:noWrap w:val="0"/>
            <w:vAlign w:val="center"/>
          </w:tcPr>
          <w:p w14:paraId="7237D9D6">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rPr>
              <w:t>3</w:t>
            </w:r>
            <w:r>
              <w:rPr>
                <w:rFonts w:hint="eastAsia" w:ascii="宋体" w:hAnsi="宋体" w:cs="宋体"/>
                <w:b w:val="0"/>
                <w:bCs w:val="0"/>
                <w:color w:val="000000"/>
                <w:kern w:val="0"/>
                <w:sz w:val="24"/>
                <w:szCs w:val="24"/>
                <w:highlight w:val="none"/>
                <w:lang w:val="en-US" w:eastAsia="zh-CN"/>
              </w:rPr>
              <w:t>64</w:t>
            </w:r>
          </w:p>
        </w:tc>
        <w:tc>
          <w:tcPr>
            <w:tcW w:w="613" w:type="pct"/>
            <w:vMerge w:val="restart"/>
            <w:tcBorders>
              <w:top w:val="single" w:color="auto" w:sz="4" w:space="0"/>
              <w:bottom w:val="single" w:color="auto" w:sz="4" w:space="0"/>
            </w:tcBorders>
            <w:noWrap w:val="0"/>
            <w:vAlign w:val="center"/>
          </w:tcPr>
          <w:p w14:paraId="6045D729">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rPr>
              <w:t>《直销管理条例》</w:t>
            </w:r>
          </w:p>
        </w:tc>
        <w:tc>
          <w:tcPr>
            <w:tcW w:w="1429" w:type="pct"/>
            <w:vMerge w:val="restart"/>
            <w:tcBorders>
              <w:top w:val="single" w:color="auto" w:sz="4" w:space="0"/>
              <w:bottom w:val="single" w:color="auto" w:sz="4" w:space="0"/>
            </w:tcBorders>
            <w:noWrap w:val="0"/>
            <w:vAlign w:val="center"/>
          </w:tcPr>
          <w:p w14:paraId="02F8C23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第四十条</w:t>
            </w:r>
            <w:r>
              <w:rPr>
                <w:rFonts w:hint="eastAsia" w:ascii="宋体" w:hAnsi="宋体" w:cs="宋体"/>
                <w:b w:val="0"/>
                <w:bCs w:val="0"/>
                <w:color w:val="000000"/>
                <w:kern w:val="0"/>
                <w:sz w:val="24"/>
                <w:szCs w:val="24"/>
                <w:highlight w:val="none"/>
                <w:lang w:val="en-US" w:eastAsia="zh-CN"/>
              </w:rPr>
              <w:t xml:space="preserve"> </w:t>
            </w:r>
            <w:r>
              <w:rPr>
                <w:rFonts w:hint="eastAsia" w:ascii="宋体" w:hAnsi="宋体" w:eastAsia="宋体" w:cs="宋体"/>
                <w:b w:val="0"/>
                <w:bCs w:val="0"/>
                <w:color w:val="000000"/>
                <w:kern w:val="0"/>
                <w:sz w:val="24"/>
                <w:szCs w:val="24"/>
                <w:highlight w:val="none"/>
              </w:rPr>
              <w:t>申请人通过欺骗、贿赂等手段取得本条例第九条和第十条设定的许可的，由工商行政管理部门没收直销产品和违法销售收入，处5万元以上30万元以下的罚款，由国务院商务主管部门撤销其相应的许可，申请人不得再提出申请；情节严重的，处30万元以上50万元以下的罚款，并依法予以取缔；构成犯罪的，依法追究刑事责任。</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7A7D5C8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73B20C49">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违法经营额在5万元以下，或者违法所得在1万元以下的。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69AED3B0">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没收直销产品和违法销售收入，处5万元以上12.5万元以下罚款。</w:t>
            </w:r>
          </w:p>
        </w:tc>
      </w:tr>
      <w:tr w14:paraId="5F1D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exact"/>
        </w:trPr>
        <w:tc>
          <w:tcPr>
            <w:tcW w:w="268" w:type="pct"/>
            <w:vMerge w:val="continue"/>
            <w:tcBorders>
              <w:top w:val="single" w:color="auto" w:sz="4" w:space="0"/>
              <w:bottom w:val="single" w:color="auto" w:sz="4" w:space="0"/>
            </w:tcBorders>
            <w:noWrap w:val="0"/>
            <w:vAlign w:val="center"/>
          </w:tcPr>
          <w:p w14:paraId="2FC45E57">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center"/>
          </w:tcPr>
          <w:p w14:paraId="166AA3D5">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center"/>
          </w:tcPr>
          <w:p w14:paraId="16E26A85">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4D592CD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25DC1286">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违法经营额在5万元以上</w:t>
            </w:r>
            <w:r>
              <w:rPr>
                <w:rFonts w:hint="eastAsia" w:ascii="宋体" w:hAnsi="宋体" w:eastAsia="宋体" w:cs="宋体"/>
                <w:b w:val="0"/>
                <w:bCs w:val="0"/>
                <w:color w:val="000000"/>
                <w:kern w:val="0"/>
                <w:sz w:val="24"/>
                <w:szCs w:val="24"/>
                <w:highlight w:val="none"/>
                <w:lang w:val="en-US" w:eastAsia="zh-CN"/>
              </w:rPr>
              <w:t>3</w:t>
            </w:r>
            <w:r>
              <w:rPr>
                <w:rFonts w:hint="eastAsia" w:ascii="宋体" w:hAnsi="宋体" w:eastAsia="宋体" w:cs="宋体"/>
                <w:b w:val="0"/>
                <w:bCs w:val="0"/>
                <w:color w:val="000000"/>
                <w:kern w:val="0"/>
                <w:sz w:val="24"/>
                <w:szCs w:val="24"/>
                <w:highlight w:val="none"/>
              </w:rPr>
              <w:t>0万元以下，或者违法所得在1万元以上</w:t>
            </w:r>
            <w:r>
              <w:rPr>
                <w:rFonts w:hint="eastAsia" w:ascii="宋体" w:hAnsi="宋体" w:eastAsia="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2DD0BD9B">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没收直销产品和违法销售收入，处12.5万元以上22.5万元以下罚款。</w:t>
            </w:r>
          </w:p>
        </w:tc>
      </w:tr>
      <w:tr w14:paraId="2321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exact"/>
        </w:trPr>
        <w:tc>
          <w:tcPr>
            <w:tcW w:w="268" w:type="pct"/>
            <w:vMerge w:val="continue"/>
            <w:tcBorders>
              <w:top w:val="single" w:color="auto" w:sz="4" w:space="0"/>
              <w:bottom w:val="single" w:color="auto" w:sz="4" w:space="0"/>
            </w:tcBorders>
            <w:noWrap w:val="0"/>
            <w:vAlign w:val="center"/>
          </w:tcPr>
          <w:p w14:paraId="348C38F3">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center"/>
          </w:tcPr>
          <w:p w14:paraId="0377BBF8">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center"/>
          </w:tcPr>
          <w:p w14:paraId="424651F5">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507EA66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2FF0E1C0">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违法经营额在</w:t>
            </w:r>
            <w:r>
              <w:rPr>
                <w:rFonts w:hint="eastAsia" w:ascii="宋体" w:hAnsi="宋体" w:eastAsia="宋体" w:cs="宋体"/>
                <w:b w:val="0"/>
                <w:bCs w:val="0"/>
                <w:color w:val="000000"/>
                <w:kern w:val="0"/>
                <w:sz w:val="24"/>
                <w:szCs w:val="24"/>
                <w:highlight w:val="none"/>
                <w:lang w:val="en-US" w:eastAsia="zh-CN"/>
              </w:rPr>
              <w:t>3</w:t>
            </w:r>
            <w:r>
              <w:rPr>
                <w:rFonts w:hint="eastAsia" w:ascii="宋体" w:hAnsi="宋体" w:eastAsia="宋体" w:cs="宋体"/>
                <w:b w:val="0"/>
                <w:bCs w:val="0"/>
                <w:color w:val="000000"/>
                <w:kern w:val="0"/>
                <w:sz w:val="24"/>
                <w:szCs w:val="24"/>
                <w:highlight w:val="none"/>
              </w:rPr>
              <w:t>0万元以上</w:t>
            </w:r>
            <w:r>
              <w:rPr>
                <w:rFonts w:hint="eastAsia" w:ascii="宋体" w:hAnsi="宋体" w:eastAsia="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0万元以下，或者违法所得在</w:t>
            </w:r>
            <w:r>
              <w:rPr>
                <w:rFonts w:hint="eastAsia" w:ascii="宋体" w:hAnsi="宋体" w:eastAsia="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万元以上</w:t>
            </w:r>
            <w:r>
              <w:rPr>
                <w:rFonts w:hint="eastAsia" w:ascii="宋体" w:hAnsi="宋体" w:eastAsia="宋体" w:cs="宋体"/>
                <w:b w:val="0"/>
                <w:bCs w:val="0"/>
                <w:color w:val="000000"/>
                <w:kern w:val="0"/>
                <w:sz w:val="24"/>
                <w:szCs w:val="24"/>
                <w:highlight w:val="none"/>
                <w:lang w:val="en-US" w:eastAsia="zh-CN"/>
              </w:rPr>
              <w:t>10</w:t>
            </w:r>
            <w:r>
              <w:rPr>
                <w:rFonts w:hint="eastAsia" w:ascii="宋体" w:hAnsi="宋体" w:eastAsia="宋体" w:cs="宋体"/>
                <w:b w:val="0"/>
                <w:bCs w:val="0"/>
                <w:color w:val="000000"/>
                <w:kern w:val="0"/>
                <w:sz w:val="24"/>
                <w:szCs w:val="24"/>
                <w:highlight w:val="none"/>
              </w:rPr>
              <w:t>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002C9306">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没收直销产品和违法销售收入，处22.5万元以上30万元以下罚款。</w:t>
            </w:r>
          </w:p>
        </w:tc>
      </w:tr>
      <w:tr w14:paraId="411EA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268" w:type="pct"/>
            <w:vMerge w:val="continue"/>
            <w:tcBorders>
              <w:top w:val="single" w:color="auto" w:sz="4" w:space="0"/>
              <w:bottom w:val="single" w:color="auto" w:sz="4" w:space="0"/>
            </w:tcBorders>
            <w:noWrap w:val="0"/>
            <w:vAlign w:val="center"/>
          </w:tcPr>
          <w:p w14:paraId="5EC9DB41">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center"/>
          </w:tcPr>
          <w:p w14:paraId="5F85D66D">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center"/>
          </w:tcPr>
          <w:p w14:paraId="7217159E">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2506658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严重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6B03188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违法经营额在</w:t>
            </w:r>
            <w:r>
              <w:rPr>
                <w:rFonts w:hint="eastAsia" w:ascii="宋体" w:hAnsi="宋体" w:eastAsia="宋体" w:cs="宋体"/>
                <w:b w:val="0"/>
                <w:bCs w:val="0"/>
                <w:color w:val="000000"/>
                <w:kern w:val="0"/>
                <w:sz w:val="24"/>
                <w:szCs w:val="24"/>
                <w:highlight w:val="none"/>
                <w:lang w:val="en-US" w:eastAsia="zh-CN"/>
              </w:rPr>
              <w:t>50</w:t>
            </w:r>
            <w:r>
              <w:rPr>
                <w:rFonts w:hint="eastAsia" w:ascii="宋体" w:hAnsi="宋体" w:eastAsia="宋体" w:cs="宋体"/>
                <w:b w:val="0"/>
                <w:bCs w:val="0"/>
                <w:color w:val="000000"/>
                <w:kern w:val="0"/>
                <w:sz w:val="24"/>
                <w:szCs w:val="24"/>
                <w:highlight w:val="none"/>
              </w:rPr>
              <w:t>万元以上，或者违法所得在</w:t>
            </w:r>
            <w:r>
              <w:rPr>
                <w:rFonts w:hint="eastAsia" w:ascii="宋体" w:hAnsi="宋体" w:eastAsia="宋体" w:cs="宋体"/>
                <w:b w:val="0"/>
                <w:bCs w:val="0"/>
                <w:color w:val="000000"/>
                <w:kern w:val="0"/>
                <w:sz w:val="24"/>
                <w:szCs w:val="24"/>
                <w:highlight w:val="none"/>
                <w:lang w:val="en-US" w:eastAsia="zh-CN"/>
              </w:rPr>
              <w:t>10</w:t>
            </w:r>
            <w:r>
              <w:rPr>
                <w:rFonts w:hint="eastAsia" w:ascii="宋体" w:hAnsi="宋体" w:eastAsia="宋体" w:cs="宋体"/>
                <w:b w:val="0"/>
                <w:bCs w:val="0"/>
                <w:color w:val="000000"/>
                <w:kern w:val="0"/>
                <w:sz w:val="24"/>
                <w:szCs w:val="24"/>
                <w:highlight w:val="none"/>
              </w:rPr>
              <w:t>万元以上</w:t>
            </w:r>
            <w:r>
              <w:rPr>
                <w:rFonts w:hint="eastAsia" w:ascii="宋体" w:hAnsi="宋体" w:eastAsia="宋体" w:cs="宋体"/>
                <w:b w:val="0"/>
                <w:bCs w:val="0"/>
                <w:color w:val="000000"/>
                <w:kern w:val="0"/>
                <w:sz w:val="24"/>
                <w:szCs w:val="24"/>
                <w:highlight w:val="none"/>
                <w:lang w:eastAsia="zh-CN"/>
              </w:rPr>
              <w:t>，或者其他情节严重的情形</w:t>
            </w:r>
            <w:r>
              <w:rPr>
                <w:rFonts w:hint="eastAsia" w:ascii="宋体" w:hAnsi="宋体" w:eastAsia="宋体" w:cs="宋体"/>
                <w:b w:val="0"/>
                <w:bCs w:val="0"/>
                <w:color w:val="000000"/>
                <w:kern w:val="0"/>
                <w:sz w:val="24"/>
                <w:szCs w:val="24"/>
                <w:highlight w:val="none"/>
              </w:rPr>
              <w:t>。</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2D87680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没收直销产品和违法销售收入，处30万元以上50万元以下罚款，并依法予以取缔。</w:t>
            </w:r>
          </w:p>
        </w:tc>
      </w:tr>
      <w:tr w14:paraId="2EAA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trPr>
        <w:tc>
          <w:tcPr>
            <w:tcW w:w="268" w:type="pct"/>
            <w:vMerge w:val="restart"/>
            <w:tcBorders>
              <w:top w:val="single" w:color="auto" w:sz="4" w:space="0"/>
              <w:bottom w:val="single" w:color="auto" w:sz="4" w:space="0"/>
            </w:tcBorders>
            <w:noWrap w:val="0"/>
            <w:vAlign w:val="center"/>
          </w:tcPr>
          <w:p w14:paraId="58D66C53">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3</w:t>
            </w:r>
            <w:r>
              <w:rPr>
                <w:rFonts w:hint="eastAsia" w:ascii="宋体" w:hAnsi="宋体" w:cs="宋体"/>
                <w:b w:val="0"/>
                <w:bCs w:val="0"/>
                <w:color w:val="000000"/>
                <w:kern w:val="0"/>
                <w:sz w:val="24"/>
                <w:szCs w:val="24"/>
                <w:highlight w:val="none"/>
                <w:lang w:val="en-US" w:eastAsia="zh-CN" w:bidi="ar-SA"/>
              </w:rPr>
              <w:t>65</w:t>
            </w:r>
          </w:p>
        </w:tc>
        <w:tc>
          <w:tcPr>
            <w:tcW w:w="613" w:type="pct"/>
            <w:vMerge w:val="restart"/>
            <w:tcBorders>
              <w:top w:val="single" w:color="auto" w:sz="4" w:space="0"/>
              <w:bottom w:val="single" w:color="auto" w:sz="4" w:space="0"/>
            </w:tcBorders>
            <w:noWrap w:val="0"/>
            <w:vAlign w:val="center"/>
          </w:tcPr>
          <w:p w14:paraId="484A4919">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《直销管理条例》</w:t>
            </w:r>
          </w:p>
        </w:tc>
        <w:tc>
          <w:tcPr>
            <w:tcW w:w="1429" w:type="pct"/>
            <w:vMerge w:val="restart"/>
            <w:tcBorders>
              <w:top w:val="single" w:color="auto" w:sz="4" w:space="0"/>
              <w:bottom w:val="single" w:color="auto" w:sz="4" w:space="0"/>
            </w:tcBorders>
            <w:noWrap w:val="0"/>
            <w:vAlign w:val="center"/>
          </w:tcPr>
          <w:p w14:paraId="3C3089A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第四十一条</w:t>
            </w:r>
            <w:r>
              <w:rPr>
                <w:rFonts w:hint="eastAsia" w:ascii="宋体" w:hAnsi="宋体" w:cs="宋体"/>
                <w:b w:val="0"/>
                <w:bCs w:val="0"/>
                <w:color w:val="000000"/>
                <w:kern w:val="0"/>
                <w:sz w:val="24"/>
                <w:szCs w:val="24"/>
                <w:highlight w:val="none"/>
                <w:lang w:val="en-US" w:eastAsia="zh-CN"/>
              </w:rPr>
              <w:t xml:space="preserve"> </w:t>
            </w:r>
            <w:r>
              <w:rPr>
                <w:rFonts w:hint="eastAsia" w:ascii="宋体" w:hAnsi="宋体" w:eastAsia="宋体" w:cs="宋体"/>
                <w:b w:val="0"/>
                <w:bCs w:val="0"/>
                <w:color w:val="000000"/>
                <w:kern w:val="0"/>
                <w:sz w:val="24"/>
                <w:szCs w:val="24"/>
                <w:highlight w:val="none"/>
              </w:rPr>
              <w:t>直销企业违反本条例第十一条规定的，由工商行政管理部门责令改正，处3万元以上30万元以下的罚款；</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3384480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60C239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自发生重大变更之日起，逾期30日以</w:t>
            </w:r>
            <w:r>
              <w:rPr>
                <w:rFonts w:hint="eastAsia" w:ascii="宋体" w:hAnsi="宋体" w:cs="宋体"/>
                <w:b w:val="0"/>
                <w:bCs w:val="0"/>
                <w:color w:val="000000"/>
                <w:kern w:val="0"/>
                <w:sz w:val="24"/>
                <w:szCs w:val="24"/>
                <w:highlight w:val="none"/>
                <w:lang w:val="en-US" w:eastAsia="zh-CN"/>
              </w:rPr>
              <w:t>下</w:t>
            </w:r>
            <w:r>
              <w:rPr>
                <w:rFonts w:hint="eastAsia" w:ascii="宋体" w:hAnsi="宋体" w:eastAsia="宋体" w:cs="宋体"/>
                <w:b w:val="0"/>
                <w:bCs w:val="0"/>
                <w:color w:val="000000"/>
                <w:kern w:val="0"/>
                <w:sz w:val="24"/>
                <w:szCs w:val="24"/>
                <w:highlight w:val="none"/>
              </w:rPr>
              <w:t>未依法报批的。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50D4333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责令改正，处3万元以上11.1万元以下的罚款。</w:t>
            </w:r>
          </w:p>
        </w:tc>
      </w:tr>
      <w:tr w14:paraId="21B2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exact"/>
        </w:trPr>
        <w:tc>
          <w:tcPr>
            <w:tcW w:w="268" w:type="pct"/>
            <w:vMerge w:val="continue"/>
            <w:tcBorders>
              <w:top w:val="single" w:color="auto" w:sz="4" w:space="0"/>
              <w:bottom w:val="single" w:color="auto" w:sz="4" w:space="0"/>
            </w:tcBorders>
            <w:noWrap w:val="0"/>
            <w:vAlign w:val="top"/>
          </w:tcPr>
          <w:p w14:paraId="3132EFF5">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77BE051B">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438808AE">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5DEE836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E1E982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自发生重大变更之日起，逾期</w:t>
            </w:r>
            <w:r>
              <w:rPr>
                <w:rFonts w:hint="eastAsia" w:ascii="宋体" w:hAnsi="宋体" w:eastAsia="宋体" w:cs="宋体"/>
                <w:b w:val="0"/>
                <w:bCs w:val="0"/>
                <w:color w:val="000000"/>
                <w:spacing w:val="-11"/>
                <w:kern w:val="0"/>
                <w:sz w:val="24"/>
                <w:szCs w:val="24"/>
                <w:highlight w:val="none"/>
              </w:rPr>
              <w:t>30日以上不足60日未依法报批的。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3A1F8D9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责令改正，处11.1万元以上21.9万元以下的罚款。</w:t>
            </w:r>
          </w:p>
        </w:tc>
      </w:tr>
      <w:tr w14:paraId="2D3B4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trPr>
        <w:tc>
          <w:tcPr>
            <w:tcW w:w="268" w:type="pct"/>
            <w:vMerge w:val="continue"/>
            <w:tcBorders>
              <w:top w:val="single" w:color="auto" w:sz="4" w:space="0"/>
              <w:bottom w:val="single" w:color="auto" w:sz="4" w:space="0"/>
            </w:tcBorders>
            <w:noWrap w:val="0"/>
            <w:vAlign w:val="top"/>
          </w:tcPr>
          <w:p w14:paraId="1DE5B161">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11AE7F22">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65B2FAF3">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2A413A4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A00780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自发生重大变更之日起，逾期60日以上</w:t>
            </w:r>
            <w:r>
              <w:rPr>
                <w:rFonts w:hint="eastAsia" w:ascii="宋体" w:hAnsi="宋体" w:cs="宋体"/>
                <w:b w:val="0"/>
                <w:bCs w:val="0"/>
                <w:color w:val="000000"/>
                <w:kern w:val="0"/>
                <w:sz w:val="24"/>
                <w:szCs w:val="24"/>
                <w:highlight w:val="none"/>
                <w:lang w:eastAsia="zh-CN"/>
              </w:rPr>
              <w:t>依</w:t>
            </w:r>
            <w:r>
              <w:rPr>
                <w:rFonts w:hint="eastAsia" w:ascii="宋体" w:hAnsi="宋体" w:eastAsia="宋体" w:cs="宋体"/>
                <w:b w:val="0"/>
                <w:bCs w:val="0"/>
                <w:color w:val="000000"/>
                <w:kern w:val="0"/>
                <w:sz w:val="24"/>
                <w:szCs w:val="24"/>
                <w:highlight w:val="none"/>
              </w:rPr>
              <w:t>法报批的。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2D68606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责令改正，处21.9万元以上30万元以下的罚款。</w:t>
            </w:r>
          </w:p>
        </w:tc>
      </w:tr>
      <w:tr w14:paraId="1575A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8" w:hRule="exact"/>
        </w:trPr>
        <w:tc>
          <w:tcPr>
            <w:tcW w:w="268" w:type="pct"/>
            <w:vMerge w:val="restart"/>
            <w:tcBorders>
              <w:top w:val="single" w:color="auto" w:sz="4" w:space="0"/>
              <w:bottom w:val="single" w:color="auto" w:sz="4" w:space="0"/>
            </w:tcBorders>
            <w:noWrap w:val="0"/>
            <w:vAlign w:val="center"/>
          </w:tcPr>
          <w:p w14:paraId="741E9AA4">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3</w:t>
            </w:r>
            <w:r>
              <w:rPr>
                <w:rFonts w:hint="eastAsia" w:ascii="宋体" w:hAnsi="宋体" w:cs="宋体"/>
                <w:b w:val="0"/>
                <w:bCs w:val="0"/>
                <w:color w:val="000000"/>
                <w:kern w:val="0"/>
                <w:sz w:val="24"/>
                <w:szCs w:val="24"/>
                <w:highlight w:val="none"/>
                <w:lang w:val="en-US" w:eastAsia="zh-CN" w:bidi="ar-SA"/>
              </w:rPr>
              <w:t>66</w:t>
            </w:r>
          </w:p>
        </w:tc>
        <w:tc>
          <w:tcPr>
            <w:tcW w:w="613" w:type="pct"/>
            <w:vMerge w:val="restart"/>
            <w:tcBorders>
              <w:top w:val="single" w:color="auto" w:sz="4" w:space="0"/>
              <w:bottom w:val="single" w:color="auto" w:sz="4" w:space="0"/>
            </w:tcBorders>
            <w:noWrap w:val="0"/>
            <w:vAlign w:val="center"/>
          </w:tcPr>
          <w:p w14:paraId="50DE79EA">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《直销管理条例》</w:t>
            </w:r>
          </w:p>
        </w:tc>
        <w:tc>
          <w:tcPr>
            <w:tcW w:w="1429" w:type="pct"/>
            <w:vMerge w:val="restart"/>
            <w:tcBorders>
              <w:top w:val="single" w:color="auto" w:sz="4" w:space="0"/>
              <w:bottom w:val="single" w:color="auto" w:sz="4" w:space="0"/>
            </w:tcBorders>
            <w:noWrap w:val="0"/>
            <w:vAlign w:val="center"/>
          </w:tcPr>
          <w:p w14:paraId="263A124B">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第四十二条</w:t>
            </w:r>
            <w:r>
              <w:rPr>
                <w:rFonts w:hint="eastAsia" w:ascii="宋体" w:hAnsi="宋体" w:cs="宋体"/>
                <w:b w:val="0"/>
                <w:bCs w:val="0"/>
                <w:color w:val="000000"/>
                <w:kern w:val="0"/>
                <w:sz w:val="24"/>
                <w:szCs w:val="24"/>
                <w:highlight w:val="none"/>
                <w:lang w:val="en-US" w:eastAsia="zh-CN"/>
              </w:rPr>
              <w:t xml:space="preserve"> </w:t>
            </w:r>
            <w:r>
              <w:rPr>
                <w:rFonts w:hint="eastAsia" w:ascii="宋体" w:hAnsi="宋体" w:eastAsia="宋体" w:cs="宋体"/>
                <w:b w:val="0"/>
                <w:bCs w:val="0"/>
                <w:color w:val="000000"/>
                <w:kern w:val="0"/>
                <w:sz w:val="24"/>
                <w:szCs w:val="24"/>
                <w:highlight w:val="none"/>
              </w:rPr>
              <w:t>直销企业违反规定，超出直销产品范围从事直销经营活动的，由工商行政管理部门责令改正，没收直销产品和违法销售收入，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673BC79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2986D6B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违法经营额在5万元以下，或者违法所得在1万元以下的。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222C0BC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责令改正，没收直销产品和违法销售收入，处5万元</w:t>
            </w:r>
            <w:r>
              <w:rPr>
                <w:rFonts w:hint="eastAsia" w:ascii="宋体" w:hAnsi="宋体" w:eastAsia="宋体" w:cs="宋体"/>
                <w:b w:val="0"/>
                <w:bCs w:val="0"/>
                <w:color w:val="000000"/>
                <w:spacing w:val="-11"/>
                <w:kern w:val="0"/>
                <w:sz w:val="24"/>
                <w:szCs w:val="24"/>
                <w:highlight w:val="none"/>
              </w:rPr>
              <w:t>以上12.5万元以下的罚款。</w:t>
            </w:r>
          </w:p>
        </w:tc>
      </w:tr>
      <w:tr w14:paraId="594A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3" w:hRule="exact"/>
        </w:trPr>
        <w:tc>
          <w:tcPr>
            <w:tcW w:w="268" w:type="pct"/>
            <w:vMerge w:val="continue"/>
            <w:tcBorders>
              <w:top w:val="single" w:color="auto" w:sz="4" w:space="0"/>
              <w:bottom w:val="single" w:color="auto" w:sz="4" w:space="0"/>
            </w:tcBorders>
            <w:noWrap w:val="0"/>
            <w:vAlign w:val="top"/>
          </w:tcPr>
          <w:p w14:paraId="2B9CCF71">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3F29A5FF">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1C5B0C73">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49A9267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5BF5839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违法经营额在5万元以上</w:t>
            </w:r>
            <w:r>
              <w:rPr>
                <w:rFonts w:hint="eastAsia" w:ascii="宋体" w:hAnsi="宋体" w:eastAsia="宋体" w:cs="宋体"/>
                <w:b w:val="0"/>
                <w:bCs w:val="0"/>
                <w:color w:val="000000"/>
                <w:kern w:val="0"/>
                <w:sz w:val="24"/>
                <w:szCs w:val="24"/>
                <w:highlight w:val="none"/>
                <w:lang w:val="en-US" w:eastAsia="zh-CN"/>
              </w:rPr>
              <w:t>30</w:t>
            </w:r>
            <w:r>
              <w:rPr>
                <w:rFonts w:hint="eastAsia" w:ascii="宋体" w:hAnsi="宋体" w:eastAsia="宋体" w:cs="宋体"/>
                <w:b w:val="0"/>
                <w:bCs w:val="0"/>
                <w:color w:val="000000"/>
                <w:kern w:val="0"/>
                <w:sz w:val="24"/>
                <w:szCs w:val="24"/>
                <w:highlight w:val="none"/>
              </w:rPr>
              <w:t>万元以下，或者违法所得在1万元以上</w:t>
            </w:r>
            <w:r>
              <w:rPr>
                <w:rFonts w:hint="eastAsia" w:ascii="宋体" w:hAnsi="宋体" w:eastAsia="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0918328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责令改正，没收直销产品和违法销售收入，处12.5万元以上22.5万元以下的罚款。</w:t>
            </w:r>
          </w:p>
        </w:tc>
      </w:tr>
      <w:tr w14:paraId="2A30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2" w:hRule="exact"/>
        </w:trPr>
        <w:tc>
          <w:tcPr>
            <w:tcW w:w="268" w:type="pct"/>
            <w:vMerge w:val="continue"/>
            <w:tcBorders>
              <w:top w:val="single" w:color="auto" w:sz="4" w:space="0"/>
              <w:bottom w:val="single" w:color="auto" w:sz="4" w:space="0"/>
            </w:tcBorders>
            <w:noWrap w:val="0"/>
            <w:vAlign w:val="top"/>
          </w:tcPr>
          <w:p w14:paraId="1D8BFF97">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0E08D7AC">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25FA4BAA">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7BC2AB6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688D5FE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违法经营额在</w:t>
            </w:r>
            <w:r>
              <w:rPr>
                <w:rFonts w:hint="eastAsia" w:ascii="宋体" w:hAnsi="宋体" w:eastAsia="宋体" w:cs="宋体"/>
                <w:b w:val="0"/>
                <w:bCs w:val="0"/>
                <w:color w:val="000000"/>
                <w:kern w:val="0"/>
                <w:sz w:val="24"/>
                <w:szCs w:val="24"/>
                <w:highlight w:val="none"/>
                <w:lang w:val="en-US" w:eastAsia="zh-CN"/>
              </w:rPr>
              <w:t>30</w:t>
            </w:r>
            <w:r>
              <w:rPr>
                <w:rFonts w:hint="eastAsia" w:ascii="宋体" w:hAnsi="宋体" w:eastAsia="宋体" w:cs="宋体"/>
                <w:b w:val="0"/>
                <w:bCs w:val="0"/>
                <w:color w:val="000000"/>
                <w:kern w:val="0"/>
                <w:sz w:val="24"/>
                <w:szCs w:val="24"/>
                <w:highlight w:val="none"/>
              </w:rPr>
              <w:t>万元以上</w:t>
            </w:r>
            <w:r>
              <w:rPr>
                <w:rFonts w:hint="eastAsia" w:ascii="宋体" w:hAnsi="宋体" w:eastAsia="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0万元以下，或者违法所得在</w:t>
            </w:r>
            <w:r>
              <w:rPr>
                <w:rFonts w:hint="eastAsia" w:ascii="宋体" w:hAnsi="宋体" w:eastAsia="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万元以上</w:t>
            </w:r>
            <w:r>
              <w:rPr>
                <w:rFonts w:hint="eastAsia" w:ascii="宋体" w:hAnsi="宋体" w:eastAsia="宋体" w:cs="宋体"/>
                <w:b w:val="0"/>
                <w:bCs w:val="0"/>
                <w:color w:val="000000"/>
                <w:kern w:val="0"/>
                <w:sz w:val="24"/>
                <w:szCs w:val="24"/>
                <w:highlight w:val="none"/>
                <w:lang w:val="en-US" w:eastAsia="zh-CN"/>
              </w:rPr>
              <w:t>10</w:t>
            </w:r>
            <w:r>
              <w:rPr>
                <w:rFonts w:hint="eastAsia" w:ascii="宋体" w:hAnsi="宋体" w:eastAsia="宋体" w:cs="宋体"/>
                <w:b w:val="0"/>
                <w:bCs w:val="0"/>
                <w:color w:val="000000"/>
                <w:kern w:val="0"/>
                <w:sz w:val="24"/>
                <w:szCs w:val="24"/>
                <w:highlight w:val="none"/>
              </w:rPr>
              <w:t>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6321A08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责令改正，没收直销产品和违法销售收入,</w:t>
            </w:r>
            <w:r>
              <w:rPr>
                <w:rFonts w:hint="eastAsia" w:ascii="宋体" w:hAnsi="宋体" w:eastAsia="宋体" w:cs="宋体"/>
                <w:b w:val="0"/>
                <w:bCs w:val="0"/>
                <w:color w:val="000000"/>
                <w:spacing w:val="-6"/>
                <w:kern w:val="0"/>
                <w:sz w:val="24"/>
                <w:szCs w:val="24"/>
                <w:highlight w:val="none"/>
              </w:rPr>
              <w:t>处22.5万元以上30万元以下的罚款。</w:t>
            </w:r>
          </w:p>
        </w:tc>
      </w:tr>
      <w:tr w14:paraId="3C40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2" w:hRule="atLeast"/>
        </w:trPr>
        <w:tc>
          <w:tcPr>
            <w:tcW w:w="268" w:type="pct"/>
            <w:vMerge w:val="continue"/>
            <w:tcBorders>
              <w:top w:val="single" w:color="auto" w:sz="4" w:space="0"/>
              <w:bottom w:val="single" w:color="auto" w:sz="4" w:space="0"/>
            </w:tcBorders>
            <w:noWrap w:val="0"/>
            <w:vAlign w:val="top"/>
          </w:tcPr>
          <w:p w14:paraId="6317415B">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4358928C">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5E7BCD43">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63C21F2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严重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D4F717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违法经营额在</w:t>
            </w:r>
            <w:r>
              <w:rPr>
                <w:rFonts w:hint="eastAsia" w:ascii="宋体" w:hAnsi="宋体" w:eastAsia="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0万元以上，或者违法所得在</w:t>
            </w:r>
            <w:r>
              <w:rPr>
                <w:rFonts w:hint="eastAsia" w:ascii="宋体" w:hAnsi="宋体" w:eastAsia="宋体" w:cs="宋体"/>
                <w:b w:val="0"/>
                <w:bCs w:val="0"/>
                <w:color w:val="000000"/>
                <w:kern w:val="0"/>
                <w:sz w:val="24"/>
                <w:szCs w:val="24"/>
                <w:highlight w:val="none"/>
                <w:lang w:val="en-US" w:eastAsia="zh-CN"/>
              </w:rPr>
              <w:t>10</w:t>
            </w:r>
            <w:r>
              <w:rPr>
                <w:rFonts w:hint="eastAsia" w:ascii="宋体" w:hAnsi="宋体" w:eastAsia="宋体" w:cs="宋体"/>
                <w:b w:val="0"/>
                <w:bCs w:val="0"/>
                <w:color w:val="000000"/>
                <w:kern w:val="0"/>
                <w:sz w:val="24"/>
                <w:szCs w:val="24"/>
                <w:highlight w:val="none"/>
              </w:rPr>
              <w:t>万元以上，</w:t>
            </w:r>
            <w:r>
              <w:rPr>
                <w:rFonts w:hint="eastAsia" w:ascii="宋体" w:hAnsi="宋体" w:eastAsia="宋体" w:cs="宋体"/>
                <w:b w:val="0"/>
                <w:bCs w:val="0"/>
                <w:color w:val="000000"/>
                <w:kern w:val="0"/>
                <w:sz w:val="24"/>
                <w:szCs w:val="24"/>
                <w:highlight w:val="none"/>
                <w:lang w:eastAsia="zh-CN"/>
              </w:rPr>
              <w:t>或者其他情节严重的情形</w:t>
            </w:r>
            <w:r>
              <w:rPr>
                <w:rFonts w:hint="eastAsia" w:ascii="宋体" w:hAnsi="宋体" w:eastAsia="宋体" w:cs="宋体"/>
                <w:b w:val="0"/>
                <w:bCs w:val="0"/>
                <w:color w:val="000000"/>
                <w:kern w:val="0"/>
                <w:sz w:val="24"/>
                <w:szCs w:val="24"/>
                <w:highlight w:val="none"/>
              </w:rPr>
              <w:t>。</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7986B9D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没收直销产品和违法销售收入，处30万元以上50万元以下罚款，吊销有违法经营行为的直销企业分支机构的营业执照。</w:t>
            </w:r>
          </w:p>
        </w:tc>
      </w:tr>
      <w:tr w14:paraId="355F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trPr>
        <w:tc>
          <w:tcPr>
            <w:tcW w:w="268" w:type="pct"/>
            <w:vMerge w:val="restart"/>
            <w:tcBorders>
              <w:top w:val="single" w:color="auto" w:sz="4" w:space="0"/>
              <w:bottom w:val="single" w:color="auto" w:sz="4" w:space="0"/>
            </w:tcBorders>
            <w:noWrap w:val="0"/>
            <w:vAlign w:val="center"/>
          </w:tcPr>
          <w:p w14:paraId="5B0460C5">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3</w:t>
            </w:r>
            <w:r>
              <w:rPr>
                <w:rFonts w:hint="eastAsia" w:ascii="宋体" w:hAnsi="宋体" w:cs="宋体"/>
                <w:b w:val="0"/>
                <w:bCs w:val="0"/>
                <w:color w:val="000000"/>
                <w:kern w:val="0"/>
                <w:sz w:val="24"/>
                <w:szCs w:val="24"/>
                <w:highlight w:val="none"/>
                <w:lang w:val="en-US" w:eastAsia="zh-CN" w:bidi="ar-SA"/>
              </w:rPr>
              <w:t>67</w:t>
            </w:r>
          </w:p>
        </w:tc>
        <w:tc>
          <w:tcPr>
            <w:tcW w:w="613" w:type="pct"/>
            <w:vMerge w:val="restart"/>
            <w:tcBorders>
              <w:top w:val="single" w:color="auto" w:sz="4" w:space="0"/>
              <w:bottom w:val="single" w:color="auto" w:sz="4" w:space="0"/>
            </w:tcBorders>
            <w:noWrap w:val="0"/>
            <w:vAlign w:val="center"/>
          </w:tcPr>
          <w:p w14:paraId="676AFD81">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《直销管理条例》</w:t>
            </w:r>
          </w:p>
        </w:tc>
        <w:tc>
          <w:tcPr>
            <w:tcW w:w="1429" w:type="pct"/>
            <w:vMerge w:val="restart"/>
            <w:tcBorders>
              <w:top w:val="single" w:color="auto" w:sz="4" w:space="0"/>
              <w:bottom w:val="single" w:color="auto" w:sz="4" w:space="0"/>
            </w:tcBorders>
            <w:noWrap w:val="0"/>
            <w:vAlign w:val="center"/>
          </w:tcPr>
          <w:p w14:paraId="370A6DF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第四十三条</w:t>
            </w:r>
            <w:r>
              <w:rPr>
                <w:rFonts w:hint="eastAsia" w:ascii="宋体" w:hAnsi="宋体" w:cs="宋体"/>
                <w:b w:val="0"/>
                <w:bCs w:val="0"/>
                <w:color w:val="000000"/>
                <w:kern w:val="0"/>
                <w:sz w:val="24"/>
                <w:szCs w:val="24"/>
                <w:highlight w:val="none"/>
                <w:lang w:val="en-US" w:eastAsia="zh-CN"/>
              </w:rPr>
              <w:t xml:space="preserve"> </w:t>
            </w:r>
            <w:r>
              <w:rPr>
                <w:rFonts w:hint="eastAsia" w:ascii="宋体" w:hAnsi="宋体" w:eastAsia="宋体" w:cs="宋体"/>
                <w:b w:val="0"/>
                <w:bCs w:val="0"/>
                <w:color w:val="000000"/>
                <w:kern w:val="0"/>
                <w:sz w:val="24"/>
                <w:szCs w:val="24"/>
                <w:highlight w:val="none"/>
              </w:rPr>
              <w:t>直销企业及其直销员违反本条例规定，有欺骗、误导等宣传和推销行为的，对直销企业，由工商行政管理部门处3万元以上10万元以下的罚款；情节严重的，处10万元以上30万元以下的罚款，由工商行政管理部门吊销有违法经营行为的直销企业分支机构的营业执照直至由国务院商务主管部门吊销直销企业的直销经营许可证。对直销员，由工商行政管理部门处5万元以下的罚款；情节严重的，责令直销企业撤销其直销员资格。</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5AD7B42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EC7088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违法经营额在5万元以下，或者违法所得在1万元以下的。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226B537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对直销企业，处3万元以上5.1万元以下的罚款；对直销员，处1.5万元以下的罚款。</w:t>
            </w:r>
          </w:p>
        </w:tc>
      </w:tr>
      <w:tr w14:paraId="1354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trPr>
        <w:tc>
          <w:tcPr>
            <w:tcW w:w="268" w:type="pct"/>
            <w:vMerge w:val="continue"/>
            <w:tcBorders>
              <w:top w:val="single" w:color="auto" w:sz="4" w:space="0"/>
              <w:bottom w:val="single" w:color="auto" w:sz="4" w:space="0"/>
            </w:tcBorders>
            <w:noWrap w:val="0"/>
            <w:vAlign w:val="top"/>
          </w:tcPr>
          <w:p w14:paraId="3386A059">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2A690C3D">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7ECF94F8">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326277C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32ED363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违法经营额在5万元以上</w:t>
            </w:r>
            <w:r>
              <w:rPr>
                <w:rFonts w:hint="eastAsia" w:ascii="宋体" w:hAnsi="宋体" w:eastAsia="宋体" w:cs="宋体"/>
                <w:b w:val="0"/>
                <w:bCs w:val="0"/>
                <w:color w:val="000000"/>
                <w:kern w:val="0"/>
                <w:sz w:val="24"/>
                <w:szCs w:val="24"/>
                <w:highlight w:val="none"/>
                <w:lang w:val="en-US" w:eastAsia="zh-CN"/>
              </w:rPr>
              <w:t>3</w:t>
            </w:r>
            <w:r>
              <w:rPr>
                <w:rFonts w:hint="eastAsia" w:ascii="宋体" w:hAnsi="宋体" w:eastAsia="宋体" w:cs="宋体"/>
                <w:b w:val="0"/>
                <w:bCs w:val="0"/>
                <w:color w:val="000000"/>
                <w:kern w:val="0"/>
                <w:sz w:val="24"/>
                <w:szCs w:val="24"/>
                <w:highlight w:val="none"/>
              </w:rPr>
              <w:t>0万元以下，或者违法所得在1万元以上</w:t>
            </w:r>
            <w:r>
              <w:rPr>
                <w:rFonts w:hint="eastAsia" w:ascii="宋体" w:hAnsi="宋体" w:eastAsia="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521C821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对直销企业，处5.1万元以上7.9万元以下的罚款；对直销员，处1.5万元以上3.5万元以下的罚款。</w:t>
            </w:r>
          </w:p>
        </w:tc>
      </w:tr>
      <w:tr w14:paraId="69C1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8" w:hRule="atLeast"/>
        </w:trPr>
        <w:tc>
          <w:tcPr>
            <w:tcW w:w="268" w:type="pct"/>
            <w:vMerge w:val="continue"/>
            <w:tcBorders>
              <w:top w:val="single" w:color="auto" w:sz="4" w:space="0"/>
              <w:bottom w:val="single" w:color="auto" w:sz="4" w:space="0"/>
            </w:tcBorders>
            <w:noWrap w:val="0"/>
            <w:vAlign w:val="top"/>
          </w:tcPr>
          <w:p w14:paraId="02B42260">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05758DC6">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69A000F5">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56B3E51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98AE3F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违法经营额在</w:t>
            </w:r>
            <w:r>
              <w:rPr>
                <w:rFonts w:hint="eastAsia" w:ascii="宋体" w:hAnsi="宋体" w:eastAsia="宋体" w:cs="宋体"/>
                <w:b w:val="0"/>
                <w:bCs w:val="0"/>
                <w:color w:val="000000"/>
                <w:kern w:val="0"/>
                <w:sz w:val="24"/>
                <w:szCs w:val="24"/>
                <w:highlight w:val="none"/>
                <w:lang w:val="en-US" w:eastAsia="zh-CN"/>
              </w:rPr>
              <w:t>3</w:t>
            </w:r>
            <w:r>
              <w:rPr>
                <w:rFonts w:hint="eastAsia" w:ascii="宋体" w:hAnsi="宋体" w:eastAsia="宋体" w:cs="宋体"/>
                <w:b w:val="0"/>
                <w:bCs w:val="0"/>
                <w:color w:val="000000"/>
                <w:kern w:val="0"/>
                <w:sz w:val="24"/>
                <w:szCs w:val="24"/>
                <w:highlight w:val="none"/>
              </w:rPr>
              <w:t>0万元以上</w:t>
            </w:r>
            <w:r>
              <w:rPr>
                <w:rFonts w:hint="eastAsia" w:ascii="宋体" w:hAnsi="宋体" w:eastAsia="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0万元以下，或者违法所得在</w:t>
            </w:r>
            <w:r>
              <w:rPr>
                <w:rFonts w:hint="eastAsia" w:ascii="宋体" w:hAnsi="宋体" w:eastAsia="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万元以上</w:t>
            </w:r>
            <w:r>
              <w:rPr>
                <w:rFonts w:hint="eastAsia" w:ascii="宋体" w:hAnsi="宋体" w:eastAsia="宋体" w:cs="宋体"/>
                <w:b w:val="0"/>
                <w:bCs w:val="0"/>
                <w:color w:val="000000"/>
                <w:kern w:val="0"/>
                <w:sz w:val="24"/>
                <w:szCs w:val="24"/>
                <w:highlight w:val="none"/>
                <w:lang w:val="en-US" w:eastAsia="zh-CN"/>
              </w:rPr>
              <w:t>10</w:t>
            </w:r>
            <w:r>
              <w:rPr>
                <w:rFonts w:hint="eastAsia" w:ascii="宋体" w:hAnsi="宋体" w:eastAsia="宋体" w:cs="宋体"/>
                <w:b w:val="0"/>
                <w:bCs w:val="0"/>
                <w:color w:val="000000"/>
                <w:kern w:val="0"/>
                <w:sz w:val="24"/>
                <w:szCs w:val="24"/>
                <w:highlight w:val="none"/>
              </w:rPr>
              <w:t>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03449A7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对直销企业，处7.9万元以上10万元以下的罚款；对直销员，处3.5万元以上5万元以下的罚款。</w:t>
            </w:r>
          </w:p>
        </w:tc>
      </w:tr>
      <w:tr w14:paraId="662BB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0" w:hRule="atLeast"/>
        </w:trPr>
        <w:tc>
          <w:tcPr>
            <w:tcW w:w="268" w:type="pct"/>
            <w:vMerge w:val="continue"/>
            <w:tcBorders>
              <w:top w:val="single" w:color="auto" w:sz="4" w:space="0"/>
              <w:bottom w:val="single" w:color="auto" w:sz="4" w:space="0"/>
            </w:tcBorders>
            <w:noWrap w:val="0"/>
            <w:vAlign w:val="top"/>
          </w:tcPr>
          <w:p w14:paraId="57988531">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7E48CFE0">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5EE5B736">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2926C9B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严重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A5D538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违法经营额在</w:t>
            </w:r>
            <w:r>
              <w:rPr>
                <w:rFonts w:hint="eastAsia" w:ascii="宋体" w:hAnsi="宋体" w:eastAsia="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0万元以上，或者违法所得在</w:t>
            </w:r>
            <w:r>
              <w:rPr>
                <w:rFonts w:hint="eastAsia" w:ascii="宋体" w:hAnsi="宋体" w:eastAsia="宋体" w:cs="宋体"/>
                <w:b w:val="0"/>
                <w:bCs w:val="0"/>
                <w:color w:val="000000"/>
                <w:kern w:val="0"/>
                <w:sz w:val="24"/>
                <w:szCs w:val="24"/>
                <w:highlight w:val="none"/>
                <w:lang w:val="en-US" w:eastAsia="zh-CN"/>
              </w:rPr>
              <w:t>10</w:t>
            </w:r>
            <w:r>
              <w:rPr>
                <w:rFonts w:hint="eastAsia" w:ascii="宋体" w:hAnsi="宋体" w:eastAsia="宋体" w:cs="宋体"/>
                <w:b w:val="0"/>
                <w:bCs w:val="0"/>
                <w:color w:val="000000"/>
                <w:kern w:val="0"/>
                <w:sz w:val="24"/>
                <w:szCs w:val="24"/>
                <w:highlight w:val="none"/>
              </w:rPr>
              <w:t>万元以上</w:t>
            </w:r>
            <w:r>
              <w:rPr>
                <w:rFonts w:hint="eastAsia" w:ascii="宋体" w:hAnsi="宋体" w:eastAsia="宋体" w:cs="宋体"/>
                <w:b w:val="0"/>
                <w:bCs w:val="0"/>
                <w:color w:val="000000"/>
                <w:kern w:val="0"/>
                <w:sz w:val="24"/>
                <w:szCs w:val="24"/>
                <w:highlight w:val="none"/>
                <w:lang w:eastAsia="zh-CN"/>
              </w:rPr>
              <w:t>，或者有其他情节严重的情形</w:t>
            </w:r>
            <w:r>
              <w:rPr>
                <w:rFonts w:hint="eastAsia" w:ascii="宋体" w:hAnsi="宋体" w:eastAsia="宋体" w:cs="宋体"/>
                <w:b w:val="0"/>
                <w:bCs w:val="0"/>
                <w:color w:val="000000"/>
                <w:kern w:val="0"/>
                <w:sz w:val="24"/>
                <w:szCs w:val="24"/>
                <w:highlight w:val="none"/>
              </w:rPr>
              <w:t>。</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2A519E1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对直销企业处10万元以上30万元以下罚款，吊销有违法经营行为的直销企业分支机构的营业执照；对直销员处3.5万元以上5万元以下的罚款，责令直销企业撤销其直销员资格。</w:t>
            </w:r>
          </w:p>
        </w:tc>
      </w:tr>
      <w:tr w14:paraId="0F3A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68" w:type="pct"/>
            <w:vMerge w:val="restart"/>
            <w:tcBorders>
              <w:top w:val="single" w:color="auto" w:sz="4" w:space="0"/>
              <w:bottom w:val="single" w:color="auto" w:sz="4" w:space="0"/>
            </w:tcBorders>
            <w:noWrap w:val="0"/>
            <w:vAlign w:val="center"/>
          </w:tcPr>
          <w:p w14:paraId="6889D239">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3</w:t>
            </w:r>
            <w:r>
              <w:rPr>
                <w:rFonts w:hint="eastAsia" w:ascii="宋体" w:hAnsi="宋体" w:cs="宋体"/>
                <w:b w:val="0"/>
                <w:bCs w:val="0"/>
                <w:color w:val="000000"/>
                <w:kern w:val="0"/>
                <w:sz w:val="24"/>
                <w:szCs w:val="24"/>
                <w:highlight w:val="none"/>
                <w:lang w:val="en-US" w:eastAsia="zh-CN" w:bidi="ar-SA"/>
              </w:rPr>
              <w:t>68</w:t>
            </w:r>
          </w:p>
        </w:tc>
        <w:tc>
          <w:tcPr>
            <w:tcW w:w="613" w:type="pct"/>
            <w:vMerge w:val="restart"/>
            <w:tcBorders>
              <w:top w:val="single" w:color="auto" w:sz="4" w:space="0"/>
              <w:bottom w:val="single" w:color="auto" w:sz="4" w:space="0"/>
            </w:tcBorders>
            <w:noWrap w:val="0"/>
            <w:vAlign w:val="center"/>
          </w:tcPr>
          <w:p w14:paraId="22362AC3">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《直销管理条例》</w:t>
            </w:r>
          </w:p>
        </w:tc>
        <w:tc>
          <w:tcPr>
            <w:tcW w:w="1429" w:type="pct"/>
            <w:vMerge w:val="restart"/>
            <w:tcBorders>
              <w:top w:val="single" w:color="auto" w:sz="4" w:space="0"/>
              <w:bottom w:val="single" w:color="auto" w:sz="4" w:space="0"/>
            </w:tcBorders>
            <w:noWrap w:val="0"/>
            <w:vAlign w:val="center"/>
          </w:tcPr>
          <w:p w14:paraId="1726B9EB">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第四十四条</w:t>
            </w:r>
            <w:r>
              <w:rPr>
                <w:rFonts w:hint="eastAsia" w:ascii="宋体" w:hAnsi="宋体" w:cs="宋体"/>
                <w:b w:val="0"/>
                <w:bCs w:val="0"/>
                <w:color w:val="000000"/>
                <w:kern w:val="0"/>
                <w:sz w:val="24"/>
                <w:szCs w:val="24"/>
                <w:highlight w:val="none"/>
                <w:lang w:val="en-US" w:eastAsia="zh-CN"/>
              </w:rPr>
              <w:t xml:space="preserve"> </w:t>
            </w:r>
            <w:r>
              <w:rPr>
                <w:rFonts w:hint="eastAsia" w:ascii="宋体" w:hAnsi="宋体" w:eastAsia="宋体" w:cs="宋体"/>
                <w:b w:val="0"/>
                <w:bCs w:val="0"/>
                <w:color w:val="000000"/>
                <w:kern w:val="0"/>
                <w:sz w:val="24"/>
                <w:szCs w:val="24"/>
                <w:highlight w:val="none"/>
              </w:rPr>
              <w:t>直销企业及其分支机构违反本条例规定招募直销员的，由工商行政管理部门责令改正，处3万元以上10万元以下的罚款；情节严重的，处10万元以上30万元以下的罚款，由工商行政管理部门吊销有违法经营行为的直销企业分支机构的营业执照直至由国务院商务主管部门吊销直销企业的直销经营许可证。</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5E0FB04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6050674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违法招募30人以下的。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2B1D5427">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责令改正，处3万元以上5.1万元以下的罚款。</w:t>
            </w:r>
          </w:p>
        </w:tc>
      </w:tr>
      <w:tr w14:paraId="726FC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68" w:type="pct"/>
            <w:vMerge w:val="continue"/>
            <w:tcBorders>
              <w:top w:val="single" w:color="auto" w:sz="4" w:space="0"/>
              <w:bottom w:val="single" w:color="auto" w:sz="4" w:space="0"/>
            </w:tcBorders>
            <w:noWrap w:val="0"/>
            <w:vAlign w:val="top"/>
          </w:tcPr>
          <w:p w14:paraId="5A2FC4E2">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7B363C58">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6B871C83">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088E64E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456B653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违法招募30人以上50人以下的。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358B5F98">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责令改正，处5.1万元以上7.9万元以下的罚款。</w:t>
            </w:r>
          </w:p>
        </w:tc>
      </w:tr>
      <w:tr w14:paraId="59F2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exact"/>
        </w:trPr>
        <w:tc>
          <w:tcPr>
            <w:tcW w:w="268" w:type="pct"/>
            <w:vMerge w:val="continue"/>
            <w:tcBorders>
              <w:top w:val="single" w:color="auto" w:sz="4" w:space="0"/>
              <w:bottom w:val="single" w:color="auto" w:sz="4" w:space="0"/>
            </w:tcBorders>
            <w:noWrap w:val="0"/>
            <w:vAlign w:val="top"/>
          </w:tcPr>
          <w:p w14:paraId="4CA1B188">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07C8727F">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07BCF08D">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61134EE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647719F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违法招募50人以上的。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629FD4A7">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责令改正，处7.9万元以上10万元以下的罚款。</w:t>
            </w:r>
          </w:p>
        </w:tc>
      </w:tr>
      <w:tr w14:paraId="0179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exact"/>
        </w:trPr>
        <w:tc>
          <w:tcPr>
            <w:tcW w:w="268" w:type="pct"/>
            <w:vMerge w:val="continue"/>
            <w:tcBorders>
              <w:top w:val="single" w:color="auto" w:sz="4" w:space="0"/>
              <w:bottom w:val="single" w:color="auto" w:sz="4" w:space="0"/>
            </w:tcBorders>
            <w:noWrap w:val="0"/>
            <w:vAlign w:val="top"/>
          </w:tcPr>
          <w:p w14:paraId="0B33C583">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5D8FDA5E">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61322837">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6FB9F9F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严重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408E565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情节严重的。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46E90E19">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责令改正，处10万元以上30万元以下的罚款，吊销有违法经营行为的直销企业分支机构的营业执照。</w:t>
            </w:r>
          </w:p>
        </w:tc>
      </w:tr>
      <w:tr w14:paraId="1A98C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268" w:type="pct"/>
            <w:vMerge w:val="restart"/>
            <w:tcBorders>
              <w:top w:val="single" w:color="auto" w:sz="4" w:space="0"/>
              <w:bottom w:val="single" w:color="auto" w:sz="4" w:space="0"/>
            </w:tcBorders>
            <w:noWrap w:val="0"/>
            <w:vAlign w:val="center"/>
          </w:tcPr>
          <w:p w14:paraId="143540E5">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3</w:t>
            </w:r>
            <w:r>
              <w:rPr>
                <w:rFonts w:hint="eastAsia" w:ascii="宋体" w:hAnsi="宋体" w:cs="宋体"/>
                <w:b w:val="0"/>
                <w:bCs w:val="0"/>
                <w:color w:val="000000"/>
                <w:kern w:val="0"/>
                <w:sz w:val="24"/>
                <w:szCs w:val="24"/>
                <w:highlight w:val="none"/>
                <w:lang w:val="en-US" w:eastAsia="zh-CN" w:bidi="ar-SA"/>
              </w:rPr>
              <w:t>69</w:t>
            </w:r>
          </w:p>
        </w:tc>
        <w:tc>
          <w:tcPr>
            <w:tcW w:w="613" w:type="pct"/>
            <w:vMerge w:val="restart"/>
            <w:tcBorders>
              <w:top w:val="single" w:color="auto" w:sz="4" w:space="0"/>
              <w:bottom w:val="single" w:color="auto" w:sz="4" w:space="0"/>
            </w:tcBorders>
            <w:noWrap w:val="0"/>
            <w:vAlign w:val="center"/>
          </w:tcPr>
          <w:p w14:paraId="43C76479">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《直销管理条例》</w:t>
            </w:r>
          </w:p>
        </w:tc>
        <w:tc>
          <w:tcPr>
            <w:tcW w:w="1429" w:type="pct"/>
            <w:vMerge w:val="restart"/>
            <w:tcBorders>
              <w:top w:val="single" w:color="auto" w:sz="4" w:space="0"/>
              <w:bottom w:val="single" w:color="auto" w:sz="4" w:space="0"/>
            </w:tcBorders>
            <w:noWrap w:val="0"/>
            <w:vAlign w:val="center"/>
          </w:tcPr>
          <w:p w14:paraId="4D4876B0">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第四十五条</w:t>
            </w:r>
            <w:r>
              <w:rPr>
                <w:rFonts w:hint="eastAsia" w:ascii="宋体" w:hAnsi="宋体" w:cs="宋体"/>
                <w:b w:val="0"/>
                <w:bCs w:val="0"/>
                <w:color w:val="000000"/>
                <w:kern w:val="0"/>
                <w:sz w:val="24"/>
                <w:szCs w:val="24"/>
                <w:highlight w:val="none"/>
                <w:lang w:val="en-US" w:eastAsia="zh-CN"/>
              </w:rPr>
              <w:t xml:space="preserve"> </w:t>
            </w:r>
            <w:r>
              <w:rPr>
                <w:rFonts w:hint="eastAsia" w:ascii="宋体" w:hAnsi="宋体" w:eastAsia="宋体" w:cs="宋体"/>
                <w:b w:val="0"/>
                <w:bCs w:val="0"/>
                <w:color w:val="000000"/>
                <w:kern w:val="0"/>
                <w:sz w:val="24"/>
                <w:szCs w:val="24"/>
                <w:highlight w:val="none"/>
              </w:rPr>
              <w:t>违反本条例规定，未取得直销员证从事直销活动的，由工商行政管理部门责令改正，没收直销产品和违法销售收入，可以处2万元以下的罚款；情节严重的，处2万元以上20万元以下的罚款。</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025CA04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29BBD5F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违法经营额在1万元以下，或者违法所得在2000元以下的。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67D992C6">
            <w:pPr>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责令改正，没收直销产品和违法销售收入，可以处6000元以下的罚款。</w:t>
            </w:r>
          </w:p>
        </w:tc>
      </w:tr>
      <w:tr w14:paraId="26FC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268" w:type="pct"/>
            <w:vMerge w:val="continue"/>
            <w:tcBorders>
              <w:top w:val="single" w:color="auto" w:sz="4" w:space="0"/>
              <w:bottom w:val="single" w:color="auto" w:sz="4" w:space="0"/>
            </w:tcBorders>
            <w:noWrap w:val="0"/>
            <w:vAlign w:val="top"/>
          </w:tcPr>
          <w:p w14:paraId="29AE0612">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4DDBC293">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7FB77EE6">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021814A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3C4484A0">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违法经营额在1万元以上</w:t>
            </w:r>
            <w:r>
              <w:rPr>
                <w:rFonts w:hint="eastAsia" w:ascii="宋体" w:hAnsi="宋体" w:eastAsia="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万元以下，或者违法所得在2000元以上</w:t>
            </w:r>
            <w:r>
              <w:rPr>
                <w:rFonts w:hint="eastAsia" w:ascii="宋体" w:hAnsi="宋体" w:eastAsia="宋体" w:cs="宋体"/>
                <w:b w:val="0"/>
                <w:bCs w:val="0"/>
                <w:color w:val="000000"/>
                <w:kern w:val="0"/>
                <w:sz w:val="24"/>
                <w:szCs w:val="24"/>
                <w:highlight w:val="none"/>
                <w:lang w:val="en-US" w:eastAsia="zh-CN"/>
              </w:rPr>
              <w:t>1万</w:t>
            </w:r>
            <w:r>
              <w:rPr>
                <w:rFonts w:hint="eastAsia" w:ascii="宋体" w:hAnsi="宋体" w:eastAsia="宋体" w:cs="宋体"/>
                <w:b w:val="0"/>
                <w:bCs w:val="0"/>
                <w:color w:val="000000"/>
                <w:kern w:val="0"/>
                <w:sz w:val="24"/>
                <w:szCs w:val="24"/>
                <w:highlight w:val="none"/>
              </w:rPr>
              <w:t>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189756F8">
            <w:pPr>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责令改正，没收直销产品和违法销售收入，可以处6000元以上1.4万元以下的罚款。</w:t>
            </w:r>
          </w:p>
        </w:tc>
      </w:tr>
      <w:tr w14:paraId="1B191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268" w:type="pct"/>
            <w:vMerge w:val="continue"/>
            <w:tcBorders>
              <w:top w:val="single" w:color="auto" w:sz="4" w:space="0"/>
              <w:bottom w:val="single" w:color="auto" w:sz="4" w:space="0"/>
            </w:tcBorders>
            <w:noWrap w:val="0"/>
            <w:vAlign w:val="top"/>
          </w:tcPr>
          <w:p w14:paraId="15984C6C">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6285FAC0">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0533D370">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074F8E4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FD138DC">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违法经营额在</w:t>
            </w:r>
            <w:r>
              <w:rPr>
                <w:rFonts w:hint="eastAsia" w:ascii="宋体" w:hAnsi="宋体" w:eastAsia="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万元以上</w:t>
            </w:r>
            <w:r>
              <w:rPr>
                <w:rFonts w:hint="eastAsia" w:ascii="宋体" w:hAnsi="宋体" w:eastAsia="宋体" w:cs="宋体"/>
                <w:b w:val="0"/>
                <w:bCs w:val="0"/>
                <w:color w:val="000000"/>
                <w:kern w:val="0"/>
                <w:sz w:val="24"/>
                <w:szCs w:val="24"/>
                <w:highlight w:val="none"/>
                <w:lang w:val="en-US" w:eastAsia="zh-CN"/>
              </w:rPr>
              <w:t>10</w:t>
            </w:r>
            <w:r>
              <w:rPr>
                <w:rFonts w:hint="eastAsia" w:ascii="宋体" w:hAnsi="宋体" w:eastAsia="宋体" w:cs="宋体"/>
                <w:b w:val="0"/>
                <w:bCs w:val="0"/>
                <w:color w:val="000000"/>
                <w:kern w:val="0"/>
                <w:sz w:val="24"/>
                <w:szCs w:val="24"/>
                <w:highlight w:val="none"/>
              </w:rPr>
              <w:t>万元以下，或者违法所得在</w:t>
            </w:r>
            <w:r>
              <w:rPr>
                <w:rFonts w:hint="eastAsia" w:ascii="宋体" w:hAnsi="宋体" w:eastAsia="宋体" w:cs="宋体"/>
                <w:b w:val="0"/>
                <w:bCs w:val="0"/>
                <w:color w:val="000000"/>
                <w:kern w:val="0"/>
                <w:sz w:val="24"/>
                <w:szCs w:val="24"/>
                <w:highlight w:val="none"/>
                <w:lang w:val="en-US" w:eastAsia="zh-CN"/>
              </w:rPr>
              <w:t>1万</w:t>
            </w:r>
            <w:r>
              <w:rPr>
                <w:rFonts w:hint="eastAsia" w:ascii="宋体" w:hAnsi="宋体" w:eastAsia="宋体" w:cs="宋体"/>
                <w:b w:val="0"/>
                <w:bCs w:val="0"/>
                <w:color w:val="000000"/>
                <w:kern w:val="0"/>
                <w:sz w:val="24"/>
                <w:szCs w:val="24"/>
                <w:highlight w:val="none"/>
              </w:rPr>
              <w:t>元以上</w:t>
            </w:r>
            <w:r>
              <w:rPr>
                <w:rFonts w:hint="eastAsia" w:ascii="宋体" w:hAnsi="宋体" w:eastAsia="宋体" w:cs="宋体"/>
                <w:b w:val="0"/>
                <w:bCs w:val="0"/>
                <w:color w:val="000000"/>
                <w:kern w:val="0"/>
                <w:sz w:val="24"/>
                <w:szCs w:val="24"/>
                <w:highlight w:val="none"/>
                <w:lang w:val="en-US" w:eastAsia="zh-CN"/>
              </w:rPr>
              <w:t>3</w:t>
            </w:r>
            <w:r>
              <w:rPr>
                <w:rFonts w:hint="eastAsia" w:ascii="宋体" w:hAnsi="宋体" w:eastAsia="宋体" w:cs="宋体"/>
                <w:b w:val="0"/>
                <w:bCs w:val="0"/>
                <w:color w:val="000000"/>
                <w:kern w:val="0"/>
                <w:sz w:val="24"/>
                <w:szCs w:val="24"/>
                <w:highlight w:val="none"/>
              </w:rPr>
              <w:t>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222E21EE">
            <w:pPr>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pacing w:val="-11"/>
                <w:kern w:val="0"/>
                <w:sz w:val="24"/>
                <w:szCs w:val="24"/>
                <w:highlight w:val="none"/>
              </w:rPr>
              <w:t>责令改正，没收直销产品和违法销售收入，可以处1.4万元以上2万元以下的罚款。</w:t>
            </w:r>
          </w:p>
        </w:tc>
      </w:tr>
      <w:tr w14:paraId="07F3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268" w:type="pct"/>
            <w:vMerge w:val="continue"/>
            <w:tcBorders>
              <w:top w:val="single" w:color="auto" w:sz="4" w:space="0"/>
              <w:bottom w:val="single" w:color="auto" w:sz="4" w:space="0"/>
            </w:tcBorders>
            <w:noWrap w:val="0"/>
            <w:vAlign w:val="top"/>
          </w:tcPr>
          <w:p w14:paraId="30DFE99F">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00C0F7E3">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2B88DB23">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77E2697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严重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73BF2D7F">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违法经营额在</w:t>
            </w:r>
            <w:r>
              <w:rPr>
                <w:rFonts w:hint="eastAsia" w:ascii="宋体" w:hAnsi="宋体" w:eastAsia="宋体" w:cs="宋体"/>
                <w:b w:val="0"/>
                <w:bCs w:val="0"/>
                <w:color w:val="000000"/>
                <w:kern w:val="0"/>
                <w:sz w:val="24"/>
                <w:szCs w:val="24"/>
                <w:highlight w:val="none"/>
                <w:lang w:val="en-US" w:eastAsia="zh-CN"/>
              </w:rPr>
              <w:t>10</w:t>
            </w:r>
            <w:r>
              <w:rPr>
                <w:rFonts w:hint="eastAsia" w:ascii="宋体" w:hAnsi="宋体" w:eastAsia="宋体" w:cs="宋体"/>
                <w:b w:val="0"/>
                <w:bCs w:val="0"/>
                <w:color w:val="000000"/>
                <w:kern w:val="0"/>
                <w:sz w:val="24"/>
                <w:szCs w:val="24"/>
                <w:highlight w:val="none"/>
              </w:rPr>
              <w:t>万元以上，或者违法所得在</w:t>
            </w:r>
            <w:r>
              <w:rPr>
                <w:rFonts w:hint="eastAsia" w:ascii="宋体" w:hAnsi="宋体" w:eastAsia="宋体" w:cs="宋体"/>
                <w:b w:val="0"/>
                <w:bCs w:val="0"/>
                <w:color w:val="000000"/>
                <w:kern w:val="0"/>
                <w:sz w:val="24"/>
                <w:szCs w:val="24"/>
                <w:highlight w:val="none"/>
                <w:lang w:val="en-US" w:eastAsia="zh-CN"/>
              </w:rPr>
              <w:t>3</w:t>
            </w:r>
            <w:r>
              <w:rPr>
                <w:rFonts w:hint="eastAsia" w:ascii="宋体" w:hAnsi="宋体" w:eastAsia="宋体" w:cs="宋体"/>
                <w:b w:val="0"/>
                <w:bCs w:val="0"/>
                <w:color w:val="000000"/>
                <w:kern w:val="0"/>
                <w:sz w:val="24"/>
                <w:szCs w:val="24"/>
                <w:highlight w:val="none"/>
              </w:rPr>
              <w:t>万元以上</w:t>
            </w:r>
            <w:r>
              <w:rPr>
                <w:rFonts w:hint="eastAsia" w:ascii="宋体" w:hAnsi="宋体" w:eastAsia="宋体" w:cs="宋体"/>
                <w:b w:val="0"/>
                <w:bCs w:val="0"/>
                <w:color w:val="000000"/>
                <w:kern w:val="0"/>
                <w:sz w:val="24"/>
                <w:szCs w:val="24"/>
                <w:highlight w:val="none"/>
                <w:lang w:eastAsia="zh-CN"/>
              </w:rPr>
              <w:t>，或者有其他情节严重的情形</w:t>
            </w:r>
            <w:r>
              <w:rPr>
                <w:rFonts w:hint="eastAsia" w:ascii="宋体" w:hAnsi="宋体" w:eastAsia="宋体" w:cs="宋体"/>
                <w:b w:val="0"/>
                <w:bCs w:val="0"/>
                <w:color w:val="000000"/>
                <w:kern w:val="0"/>
                <w:sz w:val="24"/>
                <w:szCs w:val="24"/>
                <w:highlight w:val="none"/>
              </w:rPr>
              <w:t>。</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3C536DB1">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000000"/>
                <w:spacing w:val="-11"/>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责令改正，没收直销产品和违法销售收入，处2万元以上20万元以下罚款。</w:t>
            </w:r>
          </w:p>
        </w:tc>
      </w:tr>
      <w:tr w14:paraId="4F1A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3" w:hRule="atLeast"/>
        </w:trPr>
        <w:tc>
          <w:tcPr>
            <w:tcW w:w="268" w:type="pct"/>
            <w:vMerge w:val="restart"/>
            <w:tcBorders>
              <w:top w:val="single" w:color="auto" w:sz="4" w:space="0"/>
              <w:bottom w:val="single" w:color="auto" w:sz="4" w:space="0"/>
            </w:tcBorders>
            <w:noWrap w:val="0"/>
            <w:vAlign w:val="center"/>
          </w:tcPr>
          <w:p w14:paraId="7A5864A1">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3</w:t>
            </w:r>
            <w:r>
              <w:rPr>
                <w:rFonts w:hint="eastAsia" w:ascii="宋体" w:hAnsi="宋体" w:cs="宋体"/>
                <w:b w:val="0"/>
                <w:bCs w:val="0"/>
                <w:color w:val="000000"/>
                <w:kern w:val="2"/>
                <w:sz w:val="24"/>
                <w:szCs w:val="24"/>
                <w:highlight w:val="none"/>
                <w:lang w:val="en-US" w:eastAsia="zh-CN" w:bidi="ar-SA"/>
              </w:rPr>
              <w:t>70</w:t>
            </w:r>
          </w:p>
        </w:tc>
        <w:tc>
          <w:tcPr>
            <w:tcW w:w="613" w:type="pct"/>
            <w:vMerge w:val="restart"/>
            <w:tcBorders>
              <w:top w:val="single" w:color="auto" w:sz="4" w:space="0"/>
              <w:bottom w:val="single" w:color="auto" w:sz="4" w:space="0"/>
            </w:tcBorders>
            <w:noWrap w:val="0"/>
            <w:vAlign w:val="center"/>
          </w:tcPr>
          <w:p w14:paraId="6A4B7EF0">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《直销管理条例》</w:t>
            </w:r>
          </w:p>
        </w:tc>
        <w:tc>
          <w:tcPr>
            <w:tcW w:w="1429" w:type="pct"/>
            <w:vMerge w:val="restart"/>
            <w:tcBorders>
              <w:top w:val="single" w:color="auto" w:sz="4" w:space="0"/>
              <w:bottom w:val="single" w:color="auto" w:sz="4" w:space="0"/>
            </w:tcBorders>
            <w:noWrap w:val="0"/>
            <w:vAlign w:val="center"/>
          </w:tcPr>
          <w:p w14:paraId="3913A03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第四十六条</w:t>
            </w:r>
            <w:r>
              <w:rPr>
                <w:rFonts w:hint="eastAsia" w:ascii="宋体" w:hAnsi="宋体" w:cs="宋体"/>
                <w:b w:val="0"/>
                <w:bCs w:val="0"/>
                <w:color w:val="000000"/>
                <w:kern w:val="0"/>
                <w:sz w:val="24"/>
                <w:szCs w:val="24"/>
                <w:highlight w:val="none"/>
                <w:lang w:val="en-US" w:eastAsia="zh-CN"/>
              </w:rPr>
              <w:t xml:space="preserve"> </w:t>
            </w:r>
            <w:r>
              <w:rPr>
                <w:rFonts w:hint="eastAsia" w:ascii="宋体" w:hAnsi="宋体" w:eastAsia="宋体" w:cs="宋体"/>
                <w:b w:val="0"/>
                <w:bCs w:val="0"/>
                <w:color w:val="000000"/>
                <w:kern w:val="0"/>
                <w:sz w:val="24"/>
                <w:szCs w:val="24"/>
                <w:highlight w:val="none"/>
              </w:rPr>
              <w:t>第一款直销企业进行直销员业务培训违反本条例规定的，由工商行政管理部门责令改正，没收违法所得，处3万元以上10万元以下的罚款；情节严重的，处10万元以上30万元以下的罚款，由工商行政管理部门吊销有违法经营行为的直销企业分支机构的营业执照直至由国务院商务主管部门吊销直销企业的直销经营许可证；对授课人员，由工商行政管理部门处5万元以下的罚款，是直销培训员的，责令直销企业撤销其直销培训员资格。</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21DDED5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77A0E15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培训人数在20人次以下，或者违法所得在5000元以下的。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4DA38B59">
            <w:pPr>
              <w:keepNext w:val="0"/>
              <w:keepLines w:val="0"/>
              <w:pageBreakBefore w:val="0"/>
              <w:widowControl/>
              <w:kinsoku/>
              <w:wordWrap/>
              <w:overflowPunct/>
              <w:topLinePunct w:val="0"/>
              <w:autoSpaceDE/>
              <w:autoSpaceDN/>
              <w:bidi w:val="0"/>
              <w:adjustRightInd/>
              <w:snapToGrid/>
              <w:spacing w:line="37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责令改正</w:t>
            </w:r>
            <w:r>
              <w:rPr>
                <w:rFonts w:hint="eastAsia" w:ascii="宋体" w:hAnsi="宋体" w:eastAsia="宋体" w:cs="宋体"/>
                <w:b w:val="0"/>
                <w:bCs w:val="0"/>
                <w:color w:val="000000"/>
                <w:kern w:val="0"/>
                <w:sz w:val="24"/>
                <w:szCs w:val="24"/>
                <w:highlight w:val="none"/>
                <w:lang w:eastAsia="zh-CN"/>
              </w:rPr>
              <w:t>。</w:t>
            </w:r>
            <w:r>
              <w:rPr>
                <w:rFonts w:hint="eastAsia" w:ascii="宋体" w:hAnsi="宋体" w:eastAsia="宋体" w:cs="宋体"/>
                <w:b w:val="0"/>
                <w:bCs w:val="0"/>
                <w:color w:val="000000"/>
                <w:kern w:val="0"/>
                <w:sz w:val="24"/>
                <w:szCs w:val="24"/>
                <w:highlight w:val="none"/>
              </w:rPr>
              <w:t>对直销企业，没收违法所得，处3万元以上5.1万元以下的罚款；对授课人员，处1.5万元以下的罚款，是直销培训员的，责令直销企业撤销其直销培训员资格。</w:t>
            </w:r>
          </w:p>
        </w:tc>
      </w:tr>
      <w:tr w14:paraId="3BC14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4" w:hRule="atLeast"/>
        </w:trPr>
        <w:tc>
          <w:tcPr>
            <w:tcW w:w="268" w:type="pct"/>
            <w:vMerge w:val="continue"/>
            <w:tcBorders>
              <w:top w:val="single" w:color="auto" w:sz="4" w:space="0"/>
              <w:bottom w:val="single" w:color="auto" w:sz="4" w:space="0"/>
            </w:tcBorders>
            <w:noWrap w:val="0"/>
            <w:vAlign w:val="top"/>
          </w:tcPr>
          <w:p w14:paraId="79530306">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2FEE6B8F">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6CC29542">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646520B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0D50ECE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培训人数在20人次以上50人次以下，或者违法所得在5000元以上1万元以下的。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279A3A28">
            <w:pPr>
              <w:keepNext w:val="0"/>
              <w:keepLines w:val="0"/>
              <w:pageBreakBefore w:val="0"/>
              <w:widowControl/>
              <w:kinsoku/>
              <w:wordWrap/>
              <w:overflowPunct/>
              <w:topLinePunct w:val="0"/>
              <w:autoSpaceDE/>
              <w:autoSpaceDN/>
              <w:bidi w:val="0"/>
              <w:adjustRightInd/>
              <w:snapToGrid/>
              <w:spacing w:line="37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责令改正</w:t>
            </w:r>
            <w:r>
              <w:rPr>
                <w:rFonts w:hint="eastAsia" w:ascii="宋体" w:hAnsi="宋体" w:eastAsia="宋体" w:cs="宋体"/>
                <w:b w:val="0"/>
                <w:bCs w:val="0"/>
                <w:color w:val="000000"/>
                <w:kern w:val="0"/>
                <w:sz w:val="24"/>
                <w:szCs w:val="24"/>
                <w:highlight w:val="none"/>
                <w:lang w:eastAsia="zh-CN"/>
              </w:rPr>
              <w:t>。</w:t>
            </w:r>
            <w:r>
              <w:rPr>
                <w:rFonts w:hint="eastAsia" w:ascii="宋体" w:hAnsi="宋体" w:eastAsia="宋体" w:cs="宋体"/>
                <w:b w:val="0"/>
                <w:bCs w:val="0"/>
                <w:color w:val="000000"/>
                <w:kern w:val="0"/>
                <w:sz w:val="24"/>
                <w:szCs w:val="24"/>
                <w:highlight w:val="none"/>
              </w:rPr>
              <w:t>对直销企业，没收违法所得，处5.1万元以上7.9万元以下罚款；对授课人员，处1.5万元以上3.5万元以下的罚款，是直销培训员的，责令直销企业撤销其直销培训员资格。</w:t>
            </w:r>
          </w:p>
        </w:tc>
      </w:tr>
      <w:tr w14:paraId="34D8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3" w:hRule="atLeast"/>
        </w:trPr>
        <w:tc>
          <w:tcPr>
            <w:tcW w:w="268" w:type="pct"/>
            <w:vMerge w:val="continue"/>
            <w:tcBorders>
              <w:top w:val="single" w:color="auto" w:sz="4" w:space="0"/>
              <w:bottom w:val="single" w:color="auto" w:sz="4" w:space="0"/>
            </w:tcBorders>
            <w:noWrap w:val="0"/>
            <w:vAlign w:val="top"/>
          </w:tcPr>
          <w:p w14:paraId="461DB2DF">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33A3F2D9">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098F939C">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6310423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A2762B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培训人数在50人次以上100人次以下，或者违法所得在1万元以上3万元以下的。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22ED1A94">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spacing w:val="-6"/>
                <w:kern w:val="0"/>
                <w:sz w:val="24"/>
                <w:szCs w:val="24"/>
                <w:highlight w:val="none"/>
              </w:rPr>
              <w:t>责令改正</w:t>
            </w:r>
            <w:r>
              <w:rPr>
                <w:rFonts w:hint="eastAsia" w:ascii="宋体" w:hAnsi="宋体" w:eastAsia="宋体" w:cs="宋体"/>
                <w:b w:val="0"/>
                <w:bCs w:val="0"/>
                <w:color w:val="000000"/>
                <w:spacing w:val="-6"/>
                <w:kern w:val="0"/>
                <w:sz w:val="24"/>
                <w:szCs w:val="24"/>
                <w:highlight w:val="none"/>
                <w:lang w:eastAsia="zh-CN"/>
              </w:rPr>
              <w:t>。</w:t>
            </w:r>
            <w:r>
              <w:rPr>
                <w:rFonts w:hint="eastAsia" w:ascii="宋体" w:hAnsi="宋体" w:eastAsia="宋体" w:cs="宋体"/>
                <w:b w:val="0"/>
                <w:bCs w:val="0"/>
                <w:color w:val="000000"/>
                <w:spacing w:val="-6"/>
                <w:kern w:val="0"/>
                <w:sz w:val="24"/>
                <w:szCs w:val="24"/>
                <w:highlight w:val="none"/>
              </w:rPr>
              <w:t>对直销企业，没收违法所得，处7.9万元以上10万元以下的罚款；对授课人员，处3.5万元以上5万元以下的罚款，是直销培训员的，责令直销企业撤销其直销培训员资格。</w:t>
            </w:r>
          </w:p>
        </w:tc>
      </w:tr>
      <w:tr w14:paraId="0169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268" w:type="pct"/>
            <w:vMerge w:val="continue"/>
            <w:tcBorders>
              <w:top w:val="single" w:color="auto" w:sz="4" w:space="0"/>
              <w:bottom w:val="single" w:color="auto" w:sz="4" w:space="0"/>
            </w:tcBorders>
            <w:noWrap w:val="0"/>
            <w:vAlign w:val="top"/>
          </w:tcPr>
          <w:p w14:paraId="5E49DF5D">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7289CD50">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7ED0BB5D">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0E9CB91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严重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7B2694C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培训人数在100人次以上，或者违法所得在3万元以上，或者情节严重的。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4DD438A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责令改正</w:t>
            </w:r>
            <w:r>
              <w:rPr>
                <w:rFonts w:hint="eastAsia" w:ascii="宋体" w:hAnsi="宋体" w:eastAsia="宋体" w:cs="宋体"/>
                <w:b w:val="0"/>
                <w:bCs w:val="0"/>
                <w:color w:val="000000"/>
                <w:kern w:val="0"/>
                <w:sz w:val="24"/>
                <w:szCs w:val="24"/>
                <w:highlight w:val="none"/>
                <w:lang w:eastAsia="zh-CN"/>
              </w:rPr>
              <w:t>。</w:t>
            </w:r>
            <w:r>
              <w:rPr>
                <w:rFonts w:hint="eastAsia" w:ascii="宋体" w:hAnsi="宋体" w:eastAsia="宋体" w:cs="宋体"/>
                <w:b w:val="0"/>
                <w:bCs w:val="0"/>
                <w:color w:val="000000"/>
                <w:kern w:val="0"/>
                <w:sz w:val="24"/>
                <w:szCs w:val="24"/>
                <w:highlight w:val="none"/>
              </w:rPr>
              <w:t>对直销企业没收违法所得，处10万元以上30万元以下的罚款，吊销有违法经营行为的直销企业分支机构的营业执照。对授课人员，处3.5万元以上5万元以下的罚款，是直销培训员的，责令直销企业撤销其直销培训员资格。</w:t>
            </w:r>
          </w:p>
        </w:tc>
      </w:tr>
      <w:tr w14:paraId="3429D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268" w:type="pct"/>
            <w:vMerge w:val="restart"/>
            <w:tcBorders>
              <w:top w:val="single" w:color="auto" w:sz="4" w:space="0"/>
              <w:bottom w:val="single" w:color="auto" w:sz="4" w:space="0"/>
            </w:tcBorders>
            <w:noWrap w:val="0"/>
            <w:vAlign w:val="center"/>
          </w:tcPr>
          <w:p w14:paraId="311BF84E">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3</w:t>
            </w:r>
            <w:r>
              <w:rPr>
                <w:rFonts w:hint="eastAsia" w:ascii="宋体" w:hAnsi="宋体" w:cs="宋体"/>
                <w:b w:val="0"/>
                <w:bCs w:val="0"/>
                <w:color w:val="000000"/>
                <w:kern w:val="0"/>
                <w:sz w:val="24"/>
                <w:szCs w:val="24"/>
                <w:highlight w:val="none"/>
                <w:lang w:val="en-US" w:eastAsia="zh-CN" w:bidi="ar-SA"/>
              </w:rPr>
              <w:t>71</w:t>
            </w:r>
          </w:p>
        </w:tc>
        <w:tc>
          <w:tcPr>
            <w:tcW w:w="613" w:type="pct"/>
            <w:vMerge w:val="restart"/>
            <w:tcBorders>
              <w:top w:val="single" w:color="auto" w:sz="4" w:space="0"/>
              <w:bottom w:val="single" w:color="auto" w:sz="4" w:space="0"/>
            </w:tcBorders>
            <w:noWrap w:val="0"/>
            <w:vAlign w:val="center"/>
          </w:tcPr>
          <w:p w14:paraId="3D2B2A3F">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《直销管理条例》</w:t>
            </w:r>
          </w:p>
        </w:tc>
        <w:tc>
          <w:tcPr>
            <w:tcW w:w="1429" w:type="pct"/>
            <w:vMerge w:val="restart"/>
            <w:tcBorders>
              <w:top w:val="single" w:color="auto" w:sz="4" w:space="0"/>
              <w:bottom w:val="single" w:color="auto" w:sz="4" w:space="0"/>
            </w:tcBorders>
            <w:noWrap w:val="0"/>
            <w:vAlign w:val="center"/>
          </w:tcPr>
          <w:p w14:paraId="71858104">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第四十六条第二款</w:t>
            </w:r>
            <w:r>
              <w:rPr>
                <w:rFonts w:hint="eastAsia" w:ascii="宋体" w:hAnsi="宋体" w:cs="宋体"/>
                <w:b w:val="0"/>
                <w:bCs w:val="0"/>
                <w:color w:val="000000"/>
                <w:kern w:val="0"/>
                <w:sz w:val="24"/>
                <w:szCs w:val="24"/>
                <w:highlight w:val="none"/>
                <w:lang w:val="en-US" w:eastAsia="zh-CN"/>
              </w:rPr>
              <w:t xml:space="preserve"> </w:t>
            </w:r>
            <w:r>
              <w:rPr>
                <w:rFonts w:hint="eastAsia" w:ascii="宋体" w:hAnsi="宋体" w:eastAsia="宋体" w:cs="宋体"/>
                <w:b w:val="0"/>
                <w:bCs w:val="0"/>
                <w:color w:val="000000"/>
                <w:kern w:val="0"/>
                <w:sz w:val="24"/>
                <w:szCs w:val="24"/>
                <w:highlight w:val="none"/>
              </w:rPr>
              <w:t>直销企业以外的单位和个人组织直销员业务培训的，由工商行政管理部门责令改正，没收违法所得，处2万元以上20万元以下的罚款。</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1D05728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5556158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累计培训人数在20人次以下，或者违法所得在5000元以下的。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7680312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责令改正，没收违法所得，处2万元以上7.4万元以下的罚款。</w:t>
            </w:r>
          </w:p>
        </w:tc>
      </w:tr>
      <w:tr w14:paraId="7884F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268" w:type="pct"/>
            <w:vMerge w:val="continue"/>
            <w:tcBorders>
              <w:top w:val="single" w:color="auto" w:sz="4" w:space="0"/>
              <w:bottom w:val="single" w:color="auto" w:sz="4" w:space="0"/>
            </w:tcBorders>
            <w:noWrap w:val="0"/>
            <w:vAlign w:val="top"/>
          </w:tcPr>
          <w:p w14:paraId="6CE89272">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6D9961DF">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0AF5800A">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06C0442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017214C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累计培训人数在20人次以上100人次以下，或者违法所得在5000元以上3万元以下的。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1D239E5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责令改正，没收违法所得，处7.4万元以上14.6万元以下的罚款。</w:t>
            </w:r>
          </w:p>
        </w:tc>
      </w:tr>
      <w:tr w14:paraId="1898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268" w:type="pct"/>
            <w:vMerge w:val="continue"/>
            <w:tcBorders>
              <w:top w:val="single" w:color="auto" w:sz="4" w:space="0"/>
              <w:bottom w:val="single" w:color="auto" w:sz="4" w:space="0"/>
            </w:tcBorders>
            <w:noWrap w:val="0"/>
            <w:vAlign w:val="top"/>
          </w:tcPr>
          <w:p w14:paraId="3A9F09AF">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3E96BF0A">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5DDF09DD">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790098A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09AD65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累计培训人数在100人次以上，或者违法所得在3万元以上的。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603CD3D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责令改正，没收违法所得，处14.6万元以上20万元以下的罚款。</w:t>
            </w:r>
          </w:p>
        </w:tc>
      </w:tr>
      <w:tr w14:paraId="3AE6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268" w:type="pct"/>
            <w:vMerge w:val="restart"/>
            <w:tcBorders>
              <w:top w:val="single" w:color="auto" w:sz="4" w:space="0"/>
              <w:bottom w:val="single" w:color="auto" w:sz="4" w:space="0"/>
            </w:tcBorders>
            <w:noWrap w:val="0"/>
            <w:vAlign w:val="center"/>
          </w:tcPr>
          <w:p w14:paraId="17898FDD">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3</w:t>
            </w:r>
            <w:r>
              <w:rPr>
                <w:rFonts w:hint="eastAsia" w:ascii="宋体" w:hAnsi="宋体" w:cs="宋体"/>
                <w:b w:val="0"/>
                <w:bCs w:val="0"/>
                <w:color w:val="000000"/>
                <w:kern w:val="0"/>
                <w:sz w:val="24"/>
                <w:szCs w:val="24"/>
                <w:highlight w:val="none"/>
                <w:lang w:val="en-US" w:eastAsia="zh-CN" w:bidi="ar-SA"/>
              </w:rPr>
              <w:t>72</w:t>
            </w:r>
          </w:p>
        </w:tc>
        <w:tc>
          <w:tcPr>
            <w:tcW w:w="613" w:type="pct"/>
            <w:vMerge w:val="restart"/>
            <w:tcBorders>
              <w:top w:val="single" w:color="auto" w:sz="4" w:space="0"/>
              <w:bottom w:val="single" w:color="auto" w:sz="4" w:space="0"/>
            </w:tcBorders>
            <w:noWrap w:val="0"/>
            <w:vAlign w:val="center"/>
          </w:tcPr>
          <w:p w14:paraId="552B7CE2">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《直销管理条例》</w:t>
            </w:r>
          </w:p>
        </w:tc>
        <w:tc>
          <w:tcPr>
            <w:tcW w:w="1429" w:type="pct"/>
            <w:vMerge w:val="restart"/>
            <w:tcBorders>
              <w:top w:val="single" w:color="auto" w:sz="4" w:space="0"/>
              <w:bottom w:val="single" w:color="auto" w:sz="4" w:space="0"/>
            </w:tcBorders>
            <w:noWrap w:val="0"/>
            <w:vAlign w:val="center"/>
          </w:tcPr>
          <w:p w14:paraId="49C2D87A">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第四十七条</w:t>
            </w:r>
            <w:r>
              <w:rPr>
                <w:rFonts w:hint="eastAsia" w:ascii="宋体" w:hAnsi="宋体" w:cs="宋体"/>
                <w:b w:val="0"/>
                <w:bCs w:val="0"/>
                <w:color w:val="000000"/>
                <w:kern w:val="0"/>
                <w:sz w:val="24"/>
                <w:szCs w:val="24"/>
                <w:highlight w:val="none"/>
                <w:lang w:val="en-US" w:eastAsia="zh-CN"/>
              </w:rPr>
              <w:t xml:space="preserve"> </w:t>
            </w:r>
            <w:r>
              <w:rPr>
                <w:rFonts w:hint="eastAsia" w:ascii="宋体" w:hAnsi="宋体" w:eastAsia="宋体" w:cs="宋体"/>
                <w:b w:val="0"/>
                <w:bCs w:val="0"/>
                <w:color w:val="000000"/>
                <w:kern w:val="0"/>
                <w:sz w:val="24"/>
                <w:szCs w:val="24"/>
                <w:highlight w:val="none"/>
              </w:rPr>
              <w:t>直销员违反本条例第二十二条规定的，由工商行政管理部门没收违法销售收入，可以处5万元以下的罚款；情节严重的，责令直销企业撤销其直销员资格，并对直销企业处1万元以上10万元以下的罚款。</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7EB8C07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F466B2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违法经营额在2万元以下，或者违法所得在1万元以下的。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19D243D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没收违法销售收入，可以处1.5万元以下的罚款。</w:t>
            </w:r>
          </w:p>
        </w:tc>
      </w:tr>
      <w:tr w14:paraId="3E48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7" w:hRule="atLeast"/>
        </w:trPr>
        <w:tc>
          <w:tcPr>
            <w:tcW w:w="268" w:type="pct"/>
            <w:vMerge w:val="continue"/>
            <w:tcBorders>
              <w:top w:val="single" w:color="auto" w:sz="4" w:space="0"/>
              <w:bottom w:val="single" w:color="auto" w:sz="4" w:space="0"/>
            </w:tcBorders>
            <w:noWrap w:val="0"/>
            <w:vAlign w:val="top"/>
          </w:tcPr>
          <w:p w14:paraId="5FADFB06">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2813BC33">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133D1E20">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7B11AEE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2E502B7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违法经营额在2万元以上5万元以下，或者违法所得在1万元以上3万元以下的。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492C8CC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没收违法销售收入，可以处1.5万元以上3.5万元以下的罚款。</w:t>
            </w:r>
          </w:p>
        </w:tc>
      </w:tr>
      <w:tr w14:paraId="0B8B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8" w:hRule="atLeast"/>
        </w:trPr>
        <w:tc>
          <w:tcPr>
            <w:tcW w:w="268" w:type="pct"/>
            <w:vMerge w:val="continue"/>
            <w:tcBorders>
              <w:top w:val="single" w:color="auto" w:sz="4" w:space="0"/>
              <w:bottom w:val="single" w:color="auto" w:sz="4" w:space="0"/>
            </w:tcBorders>
            <w:noWrap w:val="0"/>
            <w:vAlign w:val="top"/>
          </w:tcPr>
          <w:p w14:paraId="744AF0DF">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629175AD">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028341E6">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0B057E8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498B7D7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违法经营额在5万元以上10万元以下，或者违法所得在3万元以上5万元以下的。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6D8A46D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没收违法销售收入，可以处3.5万元以上5万元以下的罚款。</w:t>
            </w:r>
          </w:p>
        </w:tc>
      </w:tr>
      <w:tr w14:paraId="4DDD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7" w:hRule="atLeast"/>
        </w:trPr>
        <w:tc>
          <w:tcPr>
            <w:tcW w:w="268" w:type="pct"/>
            <w:vMerge w:val="continue"/>
            <w:tcBorders>
              <w:top w:val="single" w:color="auto" w:sz="4" w:space="0"/>
              <w:bottom w:val="single" w:color="auto" w:sz="4" w:space="0"/>
            </w:tcBorders>
            <w:noWrap w:val="0"/>
            <w:vAlign w:val="top"/>
          </w:tcPr>
          <w:p w14:paraId="0609A838">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0C56DAE7">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5F828442">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3D887A0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严重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2F33E8D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违法经营额在10万元以上，或者违法所得在5万元以上，</w:t>
            </w:r>
            <w:r>
              <w:rPr>
                <w:rFonts w:hint="eastAsia" w:ascii="宋体" w:hAnsi="宋体" w:eastAsia="宋体" w:cs="宋体"/>
                <w:b w:val="0"/>
                <w:bCs w:val="0"/>
                <w:color w:val="000000"/>
                <w:kern w:val="0"/>
                <w:sz w:val="24"/>
                <w:szCs w:val="24"/>
                <w:highlight w:val="none"/>
                <w:lang w:val="en-US" w:eastAsia="zh-CN"/>
              </w:rPr>
              <w:t>或者有其他情节严重的情形。</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35813FD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没收违法销售收入，责令直销企业撤销其直销员资格，对直销企业处</w:t>
            </w:r>
            <w:r>
              <w:rPr>
                <w:rFonts w:hint="eastAsia" w:ascii="宋体" w:hAnsi="宋体" w:eastAsia="宋体" w:cs="宋体"/>
                <w:b w:val="0"/>
                <w:bCs w:val="0"/>
                <w:color w:val="000000"/>
                <w:kern w:val="0"/>
                <w:sz w:val="24"/>
                <w:szCs w:val="24"/>
                <w:highlight w:val="none"/>
                <w:lang w:val="en-US" w:eastAsia="zh-CN"/>
              </w:rPr>
              <w:t>1</w:t>
            </w:r>
            <w:r>
              <w:rPr>
                <w:rFonts w:hint="eastAsia" w:ascii="宋体" w:hAnsi="宋体" w:eastAsia="宋体" w:cs="宋体"/>
                <w:b w:val="0"/>
                <w:bCs w:val="0"/>
                <w:color w:val="000000"/>
                <w:kern w:val="0"/>
                <w:sz w:val="24"/>
                <w:szCs w:val="24"/>
                <w:highlight w:val="none"/>
              </w:rPr>
              <w:t>万元以上10万元以下罚款。</w:t>
            </w:r>
          </w:p>
        </w:tc>
      </w:tr>
      <w:tr w14:paraId="5FDC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trPr>
        <w:tc>
          <w:tcPr>
            <w:tcW w:w="268" w:type="pct"/>
            <w:vMerge w:val="restart"/>
            <w:tcBorders>
              <w:top w:val="single" w:color="auto" w:sz="4" w:space="0"/>
              <w:bottom w:val="single" w:color="auto" w:sz="4" w:space="0"/>
            </w:tcBorders>
            <w:noWrap w:val="0"/>
            <w:vAlign w:val="center"/>
          </w:tcPr>
          <w:p w14:paraId="034491EC">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3</w:t>
            </w:r>
            <w:r>
              <w:rPr>
                <w:rFonts w:hint="eastAsia" w:ascii="宋体" w:hAnsi="宋体" w:cs="宋体"/>
                <w:b w:val="0"/>
                <w:bCs w:val="0"/>
                <w:color w:val="000000"/>
                <w:kern w:val="0"/>
                <w:sz w:val="24"/>
                <w:szCs w:val="24"/>
                <w:highlight w:val="none"/>
                <w:lang w:val="en-US" w:eastAsia="zh-CN" w:bidi="ar-SA"/>
              </w:rPr>
              <w:t>73</w:t>
            </w:r>
          </w:p>
        </w:tc>
        <w:tc>
          <w:tcPr>
            <w:tcW w:w="613" w:type="pct"/>
            <w:vMerge w:val="restart"/>
            <w:tcBorders>
              <w:top w:val="single" w:color="auto" w:sz="4" w:space="0"/>
              <w:bottom w:val="single" w:color="auto" w:sz="4" w:space="0"/>
            </w:tcBorders>
            <w:noWrap w:val="0"/>
            <w:vAlign w:val="center"/>
          </w:tcPr>
          <w:p w14:paraId="6310D16C">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《直销管理条例》</w:t>
            </w:r>
          </w:p>
        </w:tc>
        <w:tc>
          <w:tcPr>
            <w:tcW w:w="1429" w:type="pct"/>
            <w:vMerge w:val="restart"/>
            <w:tcBorders>
              <w:top w:val="single" w:color="auto" w:sz="4" w:space="0"/>
              <w:bottom w:val="single" w:color="auto" w:sz="4" w:space="0"/>
            </w:tcBorders>
            <w:noWrap w:val="0"/>
            <w:vAlign w:val="center"/>
          </w:tcPr>
          <w:p w14:paraId="1C821C2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第四十九条</w:t>
            </w:r>
            <w:r>
              <w:rPr>
                <w:rFonts w:hint="eastAsia" w:ascii="宋体" w:hAnsi="宋体" w:cs="宋体"/>
                <w:b w:val="0"/>
                <w:bCs w:val="0"/>
                <w:color w:val="000000"/>
                <w:kern w:val="0"/>
                <w:sz w:val="24"/>
                <w:szCs w:val="24"/>
                <w:highlight w:val="none"/>
                <w:lang w:val="en-US" w:eastAsia="zh-CN"/>
              </w:rPr>
              <w:t xml:space="preserve"> </w:t>
            </w:r>
            <w:r>
              <w:rPr>
                <w:rFonts w:hint="eastAsia" w:ascii="宋体" w:hAnsi="宋体" w:eastAsia="宋体" w:cs="宋体"/>
                <w:b w:val="0"/>
                <w:bCs w:val="0"/>
                <w:color w:val="000000"/>
                <w:kern w:val="0"/>
                <w:sz w:val="24"/>
                <w:szCs w:val="24"/>
                <w:highlight w:val="none"/>
              </w:rPr>
              <w:t>直销企业违反本条例第二十四条和第二十五条规定的，由工商行政管理部门责令改正，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5929124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00089AB6">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违反规定支付报酬或者办理换货、退货30人次以下的。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6196E39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责令改正，处5万元以上12.5万元以下的罚款。</w:t>
            </w:r>
          </w:p>
        </w:tc>
      </w:tr>
      <w:tr w14:paraId="1511F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8" w:hRule="atLeast"/>
        </w:trPr>
        <w:tc>
          <w:tcPr>
            <w:tcW w:w="268" w:type="pct"/>
            <w:vMerge w:val="continue"/>
            <w:tcBorders>
              <w:top w:val="single" w:color="auto" w:sz="4" w:space="0"/>
              <w:bottom w:val="single" w:color="auto" w:sz="4" w:space="0"/>
            </w:tcBorders>
            <w:noWrap w:val="0"/>
            <w:vAlign w:val="top"/>
          </w:tcPr>
          <w:p w14:paraId="4A26E20D">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46FCEEE9">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5673693B">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20416A1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341C2FF">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违反规定支付报酬或者办理换货、退货30人次以上50人次以下的。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0D73007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责令改正，处12.5万元以上22.5万元以下的罚款。</w:t>
            </w:r>
          </w:p>
        </w:tc>
      </w:tr>
      <w:tr w14:paraId="7494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trPr>
        <w:tc>
          <w:tcPr>
            <w:tcW w:w="268" w:type="pct"/>
            <w:vMerge w:val="continue"/>
            <w:tcBorders>
              <w:top w:val="single" w:color="auto" w:sz="4" w:space="0"/>
              <w:bottom w:val="single" w:color="auto" w:sz="4" w:space="0"/>
            </w:tcBorders>
            <w:noWrap w:val="0"/>
            <w:vAlign w:val="top"/>
          </w:tcPr>
          <w:p w14:paraId="194250F2">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0C6F0124">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16611479">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713B03D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E2B6D75">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违反规定支付报酬或者办理换货、退货50人次以上100人次以下的。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5E5978F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责令改正，处22.5万元以上30万元以下的罚款。</w:t>
            </w:r>
          </w:p>
        </w:tc>
      </w:tr>
      <w:tr w14:paraId="610A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268" w:type="pct"/>
            <w:vMerge w:val="continue"/>
            <w:tcBorders>
              <w:top w:val="single" w:color="auto" w:sz="4" w:space="0"/>
              <w:bottom w:val="single" w:color="auto" w:sz="4" w:space="0"/>
            </w:tcBorders>
            <w:noWrap w:val="0"/>
            <w:vAlign w:val="top"/>
          </w:tcPr>
          <w:p w14:paraId="2A6AEFB9">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078CE463">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2AE595DC">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2B85714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严重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67A16816">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违反规定支付报酬或者办理换货、退货100人次以上，情节严重的。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50284BD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处30万元以上50万元以下的罚款，吊销有违法经营行为的直销企业分支机构的营业执照。</w:t>
            </w:r>
          </w:p>
        </w:tc>
      </w:tr>
      <w:tr w14:paraId="5F8AF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trPr>
        <w:tc>
          <w:tcPr>
            <w:tcW w:w="268" w:type="pct"/>
            <w:vMerge w:val="restart"/>
            <w:tcBorders>
              <w:top w:val="single" w:color="auto" w:sz="4" w:space="0"/>
              <w:bottom w:val="single" w:color="auto" w:sz="4" w:space="0"/>
            </w:tcBorders>
            <w:noWrap w:val="0"/>
            <w:vAlign w:val="center"/>
          </w:tcPr>
          <w:p w14:paraId="2644061A">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3</w:t>
            </w:r>
            <w:r>
              <w:rPr>
                <w:rFonts w:hint="eastAsia" w:ascii="宋体" w:hAnsi="宋体" w:cs="宋体"/>
                <w:b w:val="0"/>
                <w:bCs w:val="0"/>
                <w:color w:val="000000"/>
                <w:kern w:val="0"/>
                <w:sz w:val="24"/>
                <w:szCs w:val="24"/>
                <w:highlight w:val="none"/>
                <w:lang w:val="en-US" w:eastAsia="zh-CN" w:bidi="ar-SA"/>
              </w:rPr>
              <w:t>74</w:t>
            </w:r>
          </w:p>
        </w:tc>
        <w:tc>
          <w:tcPr>
            <w:tcW w:w="613" w:type="pct"/>
            <w:vMerge w:val="restart"/>
            <w:tcBorders>
              <w:top w:val="single" w:color="auto" w:sz="4" w:space="0"/>
              <w:bottom w:val="single" w:color="auto" w:sz="4" w:space="0"/>
            </w:tcBorders>
            <w:noWrap w:val="0"/>
            <w:vAlign w:val="center"/>
          </w:tcPr>
          <w:p w14:paraId="2443A52F">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《直销管理条例》</w:t>
            </w:r>
          </w:p>
        </w:tc>
        <w:tc>
          <w:tcPr>
            <w:tcW w:w="1429" w:type="pct"/>
            <w:vMerge w:val="restart"/>
            <w:tcBorders>
              <w:top w:val="single" w:color="auto" w:sz="4" w:space="0"/>
              <w:bottom w:val="single" w:color="auto" w:sz="4" w:space="0"/>
            </w:tcBorders>
            <w:noWrap w:val="0"/>
            <w:vAlign w:val="center"/>
          </w:tcPr>
          <w:p w14:paraId="1B6A468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第五十条</w:t>
            </w:r>
            <w:r>
              <w:rPr>
                <w:rFonts w:hint="eastAsia" w:ascii="宋体" w:hAnsi="宋体" w:cs="宋体"/>
                <w:b w:val="0"/>
                <w:bCs w:val="0"/>
                <w:color w:val="000000"/>
                <w:kern w:val="0"/>
                <w:sz w:val="24"/>
                <w:szCs w:val="24"/>
                <w:highlight w:val="none"/>
                <w:lang w:val="en-US" w:eastAsia="zh-CN"/>
              </w:rPr>
              <w:t xml:space="preserve"> </w:t>
            </w:r>
            <w:r>
              <w:rPr>
                <w:rFonts w:hint="eastAsia" w:ascii="宋体" w:hAnsi="宋体" w:eastAsia="宋体" w:cs="宋体"/>
                <w:b w:val="0"/>
                <w:bCs w:val="0"/>
                <w:color w:val="000000"/>
                <w:kern w:val="0"/>
                <w:sz w:val="24"/>
                <w:szCs w:val="24"/>
                <w:highlight w:val="none"/>
              </w:rPr>
              <w:t>直销企业未依照有关规定进行信息报备和披露的，由工商行政管理部门责令限期改正，处10万元以下的罚款；情节严重的，处10万元以上30万元以下的罚款；拒不改正的，由国务院商务主管部门吊销其直销经营许可证。</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06CC265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49F42A72">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1项未报备和披露的，或者危害性较小的。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0E81C62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责令限期改正，处3万元以下的罚款。</w:t>
            </w:r>
          </w:p>
        </w:tc>
      </w:tr>
      <w:tr w14:paraId="4CE1A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trPr>
        <w:tc>
          <w:tcPr>
            <w:tcW w:w="268" w:type="pct"/>
            <w:vMerge w:val="continue"/>
            <w:tcBorders>
              <w:top w:val="single" w:color="auto" w:sz="4" w:space="0"/>
              <w:bottom w:val="single" w:color="auto" w:sz="4" w:space="0"/>
            </w:tcBorders>
            <w:noWrap w:val="0"/>
            <w:vAlign w:val="top"/>
          </w:tcPr>
          <w:p w14:paraId="241056EC">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62C01423">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286056B5">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10B7E83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6D09A455">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1项以上3项以下未报备和披露的，或者危害性较大的。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510734C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责令限期改正，处3万元以上7万元以下的罚款。</w:t>
            </w:r>
          </w:p>
        </w:tc>
      </w:tr>
      <w:tr w14:paraId="38AF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trPr>
        <w:tc>
          <w:tcPr>
            <w:tcW w:w="268" w:type="pct"/>
            <w:vMerge w:val="continue"/>
            <w:tcBorders>
              <w:top w:val="single" w:color="auto" w:sz="4" w:space="0"/>
              <w:bottom w:val="single" w:color="auto" w:sz="4" w:space="0"/>
            </w:tcBorders>
            <w:noWrap w:val="0"/>
            <w:vAlign w:val="top"/>
          </w:tcPr>
          <w:p w14:paraId="1DD88FCE">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320E115A">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14CE838C">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33AFA39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7C969F01">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3项以上6项以下未报备和披露的，或者危害性大的。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2DC6A28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责令限期改正，处7万元以上10万元以下的罚款。</w:t>
            </w:r>
          </w:p>
        </w:tc>
      </w:tr>
      <w:tr w14:paraId="0FA1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268" w:type="pct"/>
            <w:vMerge w:val="continue"/>
            <w:tcBorders>
              <w:top w:val="single" w:color="auto" w:sz="4" w:space="0"/>
              <w:bottom w:val="single" w:color="auto" w:sz="4" w:space="0"/>
            </w:tcBorders>
            <w:noWrap w:val="0"/>
            <w:vAlign w:val="top"/>
          </w:tcPr>
          <w:p w14:paraId="5E2253C9">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2943B088">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5E7C4F2C">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5D0D042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严重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0B0162F8">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6项以上未报备和披露的，或者危害性重大的，或者造成危害后果的。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68CDCE9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责令限期改正，处10万元以上30万元以下的罚款。</w:t>
            </w:r>
          </w:p>
        </w:tc>
      </w:tr>
      <w:tr w14:paraId="684E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268" w:type="pct"/>
            <w:vMerge w:val="restart"/>
            <w:tcBorders>
              <w:top w:val="single" w:color="auto" w:sz="4" w:space="0"/>
              <w:bottom w:val="single" w:color="auto" w:sz="4" w:space="0"/>
            </w:tcBorders>
            <w:noWrap w:val="0"/>
            <w:vAlign w:val="center"/>
          </w:tcPr>
          <w:p w14:paraId="598BB5B2">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default"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3</w:t>
            </w:r>
            <w:r>
              <w:rPr>
                <w:rFonts w:hint="eastAsia" w:ascii="宋体" w:hAnsi="宋体" w:cs="宋体"/>
                <w:b w:val="0"/>
                <w:bCs w:val="0"/>
                <w:color w:val="000000"/>
                <w:kern w:val="0"/>
                <w:sz w:val="24"/>
                <w:szCs w:val="24"/>
                <w:highlight w:val="none"/>
                <w:lang w:val="en-US" w:eastAsia="zh-CN" w:bidi="ar-SA"/>
              </w:rPr>
              <w:t>75</w:t>
            </w:r>
          </w:p>
        </w:tc>
        <w:tc>
          <w:tcPr>
            <w:tcW w:w="613" w:type="pct"/>
            <w:vMerge w:val="restart"/>
            <w:tcBorders>
              <w:top w:val="single" w:color="auto" w:sz="4" w:space="0"/>
              <w:bottom w:val="single" w:color="auto" w:sz="4" w:space="0"/>
            </w:tcBorders>
            <w:noWrap w:val="0"/>
            <w:vAlign w:val="center"/>
          </w:tcPr>
          <w:p w14:paraId="36A5E6DF">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《直销管理条例》</w:t>
            </w:r>
          </w:p>
        </w:tc>
        <w:tc>
          <w:tcPr>
            <w:tcW w:w="1429" w:type="pct"/>
            <w:vMerge w:val="restart"/>
            <w:tcBorders>
              <w:top w:val="single" w:color="auto" w:sz="4" w:space="0"/>
              <w:bottom w:val="single" w:color="auto" w:sz="4" w:space="0"/>
            </w:tcBorders>
            <w:noWrap w:val="0"/>
            <w:vAlign w:val="center"/>
          </w:tcPr>
          <w:p w14:paraId="05F36D42">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第五十一条</w:t>
            </w:r>
            <w:r>
              <w:rPr>
                <w:rFonts w:hint="eastAsia" w:ascii="宋体" w:hAnsi="宋体" w:cs="宋体"/>
                <w:b w:val="0"/>
                <w:bCs w:val="0"/>
                <w:color w:val="000000"/>
                <w:kern w:val="0"/>
                <w:sz w:val="24"/>
                <w:szCs w:val="24"/>
                <w:highlight w:val="none"/>
                <w:lang w:val="en-US" w:eastAsia="zh-CN"/>
              </w:rPr>
              <w:t xml:space="preserve"> </w:t>
            </w:r>
            <w:r>
              <w:rPr>
                <w:rFonts w:hint="eastAsia" w:ascii="宋体" w:hAnsi="宋体" w:eastAsia="宋体" w:cs="宋体"/>
                <w:b w:val="0"/>
                <w:bCs w:val="0"/>
                <w:color w:val="000000"/>
                <w:kern w:val="0"/>
                <w:sz w:val="24"/>
                <w:szCs w:val="24"/>
                <w:highlight w:val="none"/>
              </w:rPr>
              <w:t>直销企业违反本条例第五章有关规定的，由工商行政管理部门责令限期改正，处10万元以下的罚款；拒不改正的，处10万元以上30万元以下的罚款，由国务院商务主管部门吊销其直销经营许可证。</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5B83379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46E65B47">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未及时调整、补足额度或未按规定动用保证金额度占总额的30％以下的。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61F59299">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责令限期改正，处3万元以下罚款。</w:t>
            </w:r>
          </w:p>
        </w:tc>
      </w:tr>
      <w:tr w14:paraId="5043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268" w:type="pct"/>
            <w:vMerge w:val="continue"/>
            <w:tcBorders>
              <w:top w:val="single" w:color="auto" w:sz="4" w:space="0"/>
              <w:bottom w:val="single" w:color="auto" w:sz="4" w:space="0"/>
            </w:tcBorders>
            <w:noWrap w:val="0"/>
            <w:vAlign w:val="top"/>
          </w:tcPr>
          <w:p w14:paraId="6894DAC5">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18212948">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0D68AC13">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03EEDE1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4E35FF6C">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未及时调整、补足额度或未按规定动用保证金额度占总额的30％以上50％以下的。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5DA3805D">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责令限期改正，处3万元以上7万元以下的罚款。</w:t>
            </w:r>
          </w:p>
        </w:tc>
      </w:tr>
      <w:tr w14:paraId="2475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268" w:type="pct"/>
            <w:vMerge w:val="continue"/>
            <w:tcBorders>
              <w:top w:val="single" w:color="auto" w:sz="4" w:space="0"/>
              <w:bottom w:val="single" w:color="auto" w:sz="4" w:space="0"/>
            </w:tcBorders>
            <w:noWrap w:val="0"/>
            <w:vAlign w:val="top"/>
          </w:tcPr>
          <w:p w14:paraId="3C026FBA">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77ACA89A">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04FCBC73">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2D2FE4A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019B3CA1">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未及时调整、补足额度或未按规定动用保证金额度占总额的50％以上的。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519BEBC7">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责令限期改正，处7万元以上10万元以下的罚款。</w:t>
            </w:r>
          </w:p>
        </w:tc>
      </w:tr>
      <w:tr w14:paraId="4A8B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268" w:type="pct"/>
            <w:vMerge w:val="continue"/>
            <w:tcBorders>
              <w:top w:val="single" w:color="auto" w:sz="4" w:space="0"/>
              <w:bottom w:val="single" w:color="auto" w:sz="4" w:space="0"/>
            </w:tcBorders>
            <w:noWrap w:val="0"/>
            <w:vAlign w:val="top"/>
          </w:tcPr>
          <w:p w14:paraId="5EAEBD68">
            <w:pPr>
              <w:keepNext w:val="0"/>
              <w:keepLines w:val="0"/>
              <w:pageBreakBefore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top"/>
          </w:tcPr>
          <w:p w14:paraId="01D9C3E1">
            <w:pPr>
              <w:keepNext w:val="0"/>
              <w:keepLines w:val="0"/>
              <w:pageBreakBefore w:val="0"/>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top"/>
          </w:tcPr>
          <w:p w14:paraId="3590E176">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5047E05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strike w:val="0"/>
                <w:color w:val="000000"/>
                <w:kern w:val="0"/>
                <w:sz w:val="24"/>
                <w:szCs w:val="24"/>
                <w:highlight w:val="none"/>
              </w:rPr>
              <w:t>严重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708936D4">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strike w:val="0"/>
                <w:color w:val="000000"/>
                <w:kern w:val="0"/>
                <w:sz w:val="24"/>
                <w:szCs w:val="24"/>
                <w:highlight w:val="none"/>
              </w:rPr>
              <w:t>责令限期改正后仍拒不改正的。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1AD1817A">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strike w:val="0"/>
                <w:color w:val="000000"/>
                <w:kern w:val="0"/>
                <w:sz w:val="24"/>
                <w:szCs w:val="24"/>
                <w:highlight w:val="none"/>
              </w:rPr>
              <w:t>处10万元以上30万元以下罚款。</w:t>
            </w:r>
          </w:p>
        </w:tc>
      </w:tr>
      <w:tr w14:paraId="4A4F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268" w:type="pct"/>
            <w:vMerge w:val="restart"/>
            <w:tcBorders>
              <w:top w:val="single" w:color="auto" w:sz="4" w:space="0"/>
              <w:bottom w:val="single" w:color="auto" w:sz="4" w:space="0"/>
            </w:tcBorders>
            <w:noWrap w:val="0"/>
            <w:vAlign w:val="center"/>
          </w:tcPr>
          <w:p w14:paraId="04131B2B">
            <w:pPr>
              <w:keepNext w:val="0"/>
              <w:keepLines w:val="0"/>
              <w:pageBreakBefore w:val="0"/>
              <w:widowControl/>
              <w:kinsoku/>
              <w:wordWrap/>
              <w:overflowPunct/>
              <w:topLinePunct w:val="0"/>
              <w:autoSpaceDE/>
              <w:autoSpaceDN/>
              <w:bidi w:val="0"/>
              <w:adjustRightInd/>
              <w:snapToGrid/>
              <w:spacing w:line="400" w:lineRule="exact"/>
              <w:ind w:left="0" w:leftChars="0" w:right="0" w:rightChars="0"/>
              <w:jc w:val="center"/>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rPr>
              <w:t>3</w:t>
            </w:r>
            <w:r>
              <w:rPr>
                <w:rFonts w:hint="eastAsia" w:ascii="宋体" w:hAnsi="宋体" w:cs="宋体"/>
                <w:b w:val="0"/>
                <w:bCs w:val="0"/>
                <w:color w:val="000000"/>
                <w:kern w:val="0"/>
                <w:sz w:val="24"/>
                <w:szCs w:val="24"/>
                <w:highlight w:val="none"/>
                <w:lang w:val="en-US" w:eastAsia="zh-CN"/>
              </w:rPr>
              <w:t>76</w:t>
            </w:r>
          </w:p>
        </w:tc>
        <w:tc>
          <w:tcPr>
            <w:tcW w:w="613" w:type="pct"/>
            <w:vMerge w:val="restart"/>
            <w:tcBorders>
              <w:top w:val="single" w:color="auto" w:sz="4" w:space="0"/>
              <w:bottom w:val="single" w:color="auto" w:sz="4" w:space="0"/>
            </w:tcBorders>
            <w:noWrap w:val="0"/>
            <w:vAlign w:val="center"/>
          </w:tcPr>
          <w:p w14:paraId="1C44FBD6">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outlineLvl w:val="1"/>
              <w:rPr>
                <w:rFonts w:hint="eastAsia" w:ascii="宋体" w:hAnsi="宋体" w:eastAsia="宋体" w:cs="宋体"/>
                <w:b w:val="0"/>
                <w:bCs w:val="0"/>
                <w:color w:val="000000"/>
                <w:kern w:val="0"/>
                <w:sz w:val="24"/>
                <w:szCs w:val="24"/>
                <w:highlight w:val="none"/>
                <w:lang w:val="en-US" w:eastAsia="zh-CN"/>
              </w:rPr>
            </w:pPr>
            <w:bookmarkStart w:id="468" w:name="_Toc12316"/>
            <w:r>
              <w:rPr>
                <w:rFonts w:hint="eastAsia" w:ascii="宋体" w:hAnsi="宋体" w:eastAsia="宋体" w:cs="宋体"/>
                <w:b w:val="0"/>
                <w:bCs w:val="0"/>
                <w:color w:val="000000"/>
                <w:kern w:val="0"/>
                <w:sz w:val="24"/>
                <w:szCs w:val="24"/>
                <w:highlight w:val="none"/>
              </w:rPr>
              <w:t>《禁止传销条例》</w:t>
            </w:r>
            <w:r>
              <w:rPr>
                <w:rFonts w:hint="eastAsia" w:ascii="宋体" w:hAnsi="宋体" w:eastAsia="宋体" w:cs="宋体"/>
                <w:b w:val="0"/>
                <w:bCs w:val="0"/>
                <w:color w:val="000000"/>
                <w:kern w:val="0"/>
                <w:sz w:val="24"/>
                <w:szCs w:val="24"/>
                <w:highlight w:val="none"/>
                <w:lang w:eastAsia="zh-CN"/>
              </w:rPr>
              <w:t>（</w:t>
            </w:r>
            <w:r>
              <w:rPr>
                <w:rFonts w:hint="eastAsia" w:ascii="宋体" w:hAnsi="宋体" w:eastAsia="宋体" w:cs="宋体"/>
                <w:b w:val="0"/>
                <w:bCs w:val="0"/>
                <w:color w:val="000000"/>
                <w:kern w:val="0"/>
                <w:sz w:val="24"/>
                <w:szCs w:val="24"/>
                <w:highlight w:val="none"/>
                <w:lang w:val="en-US" w:eastAsia="zh-CN"/>
              </w:rPr>
              <w:t>2005年</w:t>
            </w:r>
            <w:r>
              <w:rPr>
                <w:rFonts w:hint="eastAsia" w:ascii="宋体" w:hAnsi="宋体" w:cs="宋体"/>
                <w:b w:val="0"/>
                <w:bCs w:val="0"/>
                <w:color w:val="000000"/>
                <w:kern w:val="0"/>
                <w:sz w:val="24"/>
                <w:szCs w:val="24"/>
                <w:highlight w:val="none"/>
                <w:lang w:val="en-US" w:eastAsia="zh-CN"/>
              </w:rPr>
              <w:t>11</w:t>
            </w:r>
            <w:r>
              <w:rPr>
                <w:rFonts w:hint="eastAsia" w:ascii="宋体" w:hAnsi="宋体" w:eastAsia="宋体" w:cs="宋体"/>
                <w:b w:val="0"/>
                <w:bCs w:val="0"/>
                <w:color w:val="000000"/>
                <w:kern w:val="0"/>
                <w:sz w:val="24"/>
                <w:szCs w:val="24"/>
                <w:highlight w:val="none"/>
                <w:lang w:val="en-US" w:eastAsia="zh-CN"/>
              </w:rPr>
              <w:t>月</w:t>
            </w:r>
            <w:r>
              <w:rPr>
                <w:rFonts w:hint="eastAsia" w:ascii="宋体" w:hAnsi="宋体" w:cs="宋体"/>
                <w:b w:val="0"/>
                <w:bCs w:val="0"/>
                <w:color w:val="000000"/>
                <w:kern w:val="0"/>
                <w:sz w:val="24"/>
                <w:szCs w:val="24"/>
                <w:highlight w:val="none"/>
                <w:lang w:val="en-US" w:eastAsia="zh-CN"/>
              </w:rPr>
              <w:t>1</w:t>
            </w:r>
            <w:r>
              <w:rPr>
                <w:rFonts w:hint="eastAsia" w:ascii="宋体" w:hAnsi="宋体" w:eastAsia="宋体" w:cs="宋体"/>
                <w:b w:val="0"/>
                <w:bCs w:val="0"/>
                <w:color w:val="000000"/>
                <w:kern w:val="0"/>
                <w:sz w:val="24"/>
                <w:szCs w:val="24"/>
                <w:highlight w:val="none"/>
                <w:lang w:val="en-US" w:eastAsia="zh-CN"/>
              </w:rPr>
              <w:t>日</w:t>
            </w:r>
            <w:r>
              <w:rPr>
                <w:rFonts w:hint="eastAsia" w:ascii="宋体" w:hAnsi="宋体" w:cs="宋体"/>
                <w:b w:val="0"/>
                <w:bCs w:val="0"/>
                <w:color w:val="000000"/>
                <w:kern w:val="0"/>
                <w:sz w:val="24"/>
                <w:szCs w:val="24"/>
                <w:highlight w:val="none"/>
                <w:lang w:val="en-US" w:eastAsia="zh-CN"/>
              </w:rPr>
              <w:t>起施行</w:t>
            </w:r>
            <w:r>
              <w:rPr>
                <w:rFonts w:hint="eastAsia" w:ascii="宋体" w:hAnsi="宋体" w:eastAsia="宋体" w:cs="宋体"/>
                <w:b w:val="0"/>
                <w:bCs w:val="0"/>
                <w:color w:val="000000"/>
                <w:kern w:val="0"/>
                <w:sz w:val="24"/>
                <w:szCs w:val="24"/>
                <w:highlight w:val="none"/>
                <w:lang w:eastAsia="zh-CN"/>
              </w:rPr>
              <w:t>）</w:t>
            </w:r>
            <w:bookmarkEnd w:id="468"/>
          </w:p>
        </w:tc>
        <w:tc>
          <w:tcPr>
            <w:tcW w:w="1429" w:type="pct"/>
            <w:vMerge w:val="restart"/>
            <w:tcBorders>
              <w:top w:val="single" w:color="auto" w:sz="4" w:space="0"/>
              <w:bottom w:val="single" w:color="auto" w:sz="4" w:space="0"/>
            </w:tcBorders>
            <w:noWrap w:val="0"/>
            <w:vAlign w:val="center"/>
          </w:tcPr>
          <w:p w14:paraId="24B378D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第二十四条第一款</w:t>
            </w:r>
            <w:r>
              <w:rPr>
                <w:rFonts w:hint="eastAsia" w:ascii="宋体" w:hAnsi="宋体" w:cs="宋体"/>
                <w:b w:val="0"/>
                <w:bCs w:val="0"/>
                <w:color w:val="000000"/>
                <w:kern w:val="0"/>
                <w:sz w:val="24"/>
                <w:szCs w:val="24"/>
                <w:highlight w:val="none"/>
                <w:lang w:val="en-US" w:eastAsia="zh-CN"/>
              </w:rPr>
              <w:t xml:space="preserve"> </w:t>
            </w:r>
            <w:r>
              <w:rPr>
                <w:rFonts w:hint="eastAsia" w:ascii="宋体" w:hAnsi="宋体" w:eastAsia="宋体" w:cs="宋体"/>
                <w:b w:val="0"/>
                <w:bCs w:val="0"/>
                <w:color w:val="000000"/>
                <w:kern w:val="0"/>
                <w:sz w:val="24"/>
                <w:szCs w:val="24"/>
                <w:highlight w:val="none"/>
              </w:rPr>
              <w:t>有本条例第七条规定的行为，组织策划传销的，由工商行政管理部门没收非法财物，没收违法所得，处50万元以上200万元以下的罚款；构成犯罪的，依法追究刑事责任。</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7CE3A77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trike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1EF17A9">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strike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rPr>
              <w:t>发展人员在</w:t>
            </w:r>
            <w:r>
              <w:rPr>
                <w:rFonts w:hint="eastAsia" w:ascii="宋体" w:hAnsi="宋体" w:eastAsia="宋体" w:cs="宋体"/>
                <w:b w:val="0"/>
                <w:bCs w:val="0"/>
                <w:color w:val="000000"/>
                <w:kern w:val="0"/>
                <w:sz w:val="24"/>
                <w:szCs w:val="24"/>
                <w:highlight w:val="none"/>
                <w:lang w:val="en-US" w:eastAsia="zh-CN"/>
              </w:rPr>
              <w:t>20</w:t>
            </w:r>
            <w:r>
              <w:rPr>
                <w:rFonts w:hint="eastAsia" w:ascii="宋体" w:hAnsi="宋体" w:eastAsia="宋体" w:cs="宋体"/>
                <w:b w:val="0"/>
                <w:bCs w:val="0"/>
                <w:color w:val="000000"/>
                <w:kern w:val="0"/>
                <w:sz w:val="24"/>
                <w:szCs w:val="24"/>
                <w:highlight w:val="none"/>
              </w:rPr>
              <w:t>人以下，或者聚众传销在20人以上50人以下，或者非法经营额在20万元以下的。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6F587EC9">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strike w:val="0"/>
                <w:color w:val="000000"/>
                <w:kern w:val="0"/>
                <w:sz w:val="24"/>
                <w:szCs w:val="24"/>
                <w:highlight w:val="none"/>
                <w:lang w:val="en-US" w:eastAsia="zh-CN" w:bidi="ar-SA"/>
              </w:rPr>
            </w:pPr>
            <w:r>
              <w:rPr>
                <w:rFonts w:hint="eastAsia" w:ascii="宋体" w:hAnsi="宋体" w:eastAsia="宋体" w:cs="宋体"/>
                <w:b w:val="0"/>
                <w:bCs w:val="0"/>
                <w:strike w:val="0"/>
                <w:dstrike w:val="0"/>
                <w:color w:val="000000"/>
                <w:kern w:val="0"/>
                <w:sz w:val="24"/>
                <w:szCs w:val="24"/>
                <w:highlight w:val="none"/>
                <w:u w:val="none"/>
              </w:rPr>
              <w:t>没收非法财物，没收违法所得，处50万元以上95万元以下的罚款。</w:t>
            </w:r>
          </w:p>
        </w:tc>
      </w:tr>
      <w:tr w14:paraId="62F6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268" w:type="pct"/>
            <w:vMerge w:val="continue"/>
            <w:tcBorders>
              <w:top w:val="single" w:color="auto" w:sz="4" w:space="0"/>
              <w:bottom w:val="single" w:color="auto" w:sz="4" w:space="0"/>
            </w:tcBorders>
            <w:noWrap w:val="0"/>
            <w:vAlign w:val="center"/>
          </w:tcPr>
          <w:p w14:paraId="70706438">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center"/>
          </w:tcPr>
          <w:p w14:paraId="77DFA04E">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center"/>
          </w:tcPr>
          <w:p w14:paraId="5A4C6A3B">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56F3247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64CA19DE">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发展人员在20人以上100人以下，或者聚众传销在50人以上150人以下，或者非法经营额在20万元以上100万元以下的。</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509B9365">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没收非法财物，没收违法所得，处95万元以上155万元以下的罚款。</w:t>
            </w:r>
          </w:p>
        </w:tc>
      </w:tr>
      <w:tr w14:paraId="6DA4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268" w:type="pct"/>
            <w:vMerge w:val="continue"/>
            <w:tcBorders>
              <w:top w:val="single" w:color="auto" w:sz="4" w:space="0"/>
              <w:bottom w:val="single" w:color="auto" w:sz="4" w:space="0"/>
            </w:tcBorders>
            <w:noWrap w:val="0"/>
            <w:vAlign w:val="center"/>
          </w:tcPr>
          <w:p w14:paraId="5CE46721">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jc w:val="center"/>
              <w:textAlignment w:val="auto"/>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center"/>
          </w:tcPr>
          <w:p w14:paraId="0CB5AEB3">
            <w:pPr>
              <w:keepNext w:val="0"/>
              <w:keepLines w:val="0"/>
              <w:pageBreakBefore w:val="0"/>
              <w:widowControl/>
              <w:kinsoku/>
              <w:wordWrap/>
              <w:overflowPunct/>
              <w:topLinePunct w:val="0"/>
              <w:autoSpaceDE/>
              <w:autoSpaceDN/>
              <w:bidi w:val="0"/>
              <w:adjustRightInd/>
              <w:snapToGrid/>
              <w:spacing w:line="400" w:lineRule="exact"/>
              <w:ind w:left="42" w:leftChars="20"/>
              <w:jc w:val="both"/>
              <w:textAlignment w:val="auto"/>
              <w:rPr>
                <w:rFonts w:hint="eastAsia" w:ascii="宋体" w:hAnsi="宋体" w:eastAsia="宋体" w:cs="宋体"/>
                <w:b w:val="0"/>
                <w:bCs w:val="0"/>
                <w:strike/>
                <w:color w:val="000000"/>
                <w:kern w:val="0"/>
                <w:sz w:val="24"/>
                <w:szCs w:val="24"/>
                <w:highlight w:val="none"/>
              </w:rPr>
            </w:pPr>
          </w:p>
        </w:tc>
        <w:tc>
          <w:tcPr>
            <w:tcW w:w="1429" w:type="pct"/>
            <w:vMerge w:val="continue"/>
            <w:tcBorders>
              <w:top w:val="single" w:color="auto" w:sz="4" w:space="0"/>
              <w:bottom w:val="single" w:color="auto" w:sz="4" w:space="0"/>
            </w:tcBorders>
            <w:noWrap w:val="0"/>
            <w:vAlign w:val="center"/>
          </w:tcPr>
          <w:p w14:paraId="2F93E5FD">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trike/>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4967355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1A5A355">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发展人员在100人以上，或者聚众传销在150人以上，或者非法经营额在100万元以上。</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6D8870FE">
            <w:pPr>
              <w:keepNext w:val="0"/>
              <w:keepLines w:val="0"/>
              <w:pageBreakBefore w:val="0"/>
              <w:widowControl/>
              <w:kinsoku/>
              <w:wordWrap/>
              <w:overflowPunct/>
              <w:topLinePunct w:val="0"/>
              <w:autoSpaceDE/>
              <w:autoSpaceDN/>
              <w:bidi w:val="0"/>
              <w:adjustRightInd/>
              <w:snapToGrid/>
              <w:spacing w:line="380" w:lineRule="exact"/>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没收非法财物，没收违法所得，处155万元以上200万元以下的罚款。</w:t>
            </w:r>
          </w:p>
        </w:tc>
      </w:tr>
      <w:tr w14:paraId="49895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268" w:type="pct"/>
            <w:vMerge w:val="restart"/>
            <w:tcBorders>
              <w:top w:val="single" w:color="auto" w:sz="4" w:space="0"/>
              <w:bottom w:val="single" w:color="auto" w:sz="4" w:space="0"/>
            </w:tcBorders>
            <w:noWrap w:val="0"/>
            <w:vAlign w:val="center"/>
          </w:tcPr>
          <w:p w14:paraId="3B555A86">
            <w:pPr>
              <w:keepNext w:val="0"/>
              <w:keepLines w:val="0"/>
              <w:widowControl/>
              <w:suppressLineNumbers w:val="0"/>
              <w:spacing w:line="400" w:lineRule="exact"/>
              <w:jc w:val="center"/>
              <w:textAlignment w:val="auto"/>
              <w:rPr>
                <w:rFonts w:hint="default" w:ascii="宋体" w:hAnsi="宋体" w:eastAsia="宋体" w:cs="宋体"/>
                <w:b w:val="0"/>
                <w:bCs w:val="0"/>
                <w:color w:val="000000"/>
                <w:kern w:val="0"/>
                <w:sz w:val="24"/>
                <w:szCs w:val="24"/>
                <w:highlight w:val="none"/>
              </w:rPr>
            </w:pPr>
            <w:r>
              <w:rPr>
                <w:rFonts w:hint="eastAsia" w:ascii="宋体" w:hAnsi="宋体" w:cs="宋体"/>
                <w:i w:val="0"/>
                <w:color w:val="000000"/>
                <w:kern w:val="0"/>
                <w:sz w:val="24"/>
                <w:szCs w:val="24"/>
                <w:highlight w:val="none"/>
                <w:u w:val="none"/>
                <w:lang w:val="en-US" w:eastAsia="zh-CN" w:bidi="ar"/>
              </w:rPr>
              <w:t>377</w:t>
            </w:r>
          </w:p>
        </w:tc>
        <w:tc>
          <w:tcPr>
            <w:tcW w:w="613" w:type="pct"/>
            <w:vMerge w:val="restart"/>
            <w:tcBorders>
              <w:top w:val="single" w:color="auto" w:sz="4" w:space="0"/>
              <w:bottom w:val="single" w:color="auto" w:sz="4" w:space="0"/>
            </w:tcBorders>
            <w:noWrap w:val="0"/>
            <w:vAlign w:val="center"/>
          </w:tcPr>
          <w:p w14:paraId="6472AE4B">
            <w:pPr>
              <w:keepNext w:val="0"/>
              <w:keepLines w:val="0"/>
              <w:widowControl/>
              <w:suppressLineNumbers w:val="0"/>
              <w:spacing w:line="400" w:lineRule="exact"/>
              <w:ind w:left="42" w:leftChars="20"/>
              <w:jc w:val="both"/>
              <w:textAlignment w:val="auto"/>
              <w:rPr>
                <w:rFonts w:hint="eastAsia" w:ascii="宋体" w:hAnsi="宋体" w:eastAsia="宋体" w:cs="宋体"/>
                <w:b w:val="0"/>
                <w:bCs w:val="0"/>
                <w:strike w:val="0"/>
                <w:color w:val="000000"/>
                <w:kern w:val="0"/>
                <w:sz w:val="24"/>
                <w:szCs w:val="24"/>
                <w:highlight w:val="none"/>
              </w:rPr>
            </w:pPr>
            <w:r>
              <w:rPr>
                <w:rFonts w:hint="eastAsia" w:ascii="宋体" w:hAnsi="宋体" w:eastAsia="宋体" w:cs="宋体"/>
                <w:i w:val="0"/>
                <w:color w:val="000000"/>
                <w:kern w:val="0"/>
                <w:sz w:val="24"/>
                <w:szCs w:val="24"/>
                <w:highlight w:val="none"/>
                <w:u w:val="none"/>
                <w:lang w:val="en-US" w:eastAsia="zh-CN" w:bidi="ar"/>
              </w:rPr>
              <w:t>《禁止传销条例》</w:t>
            </w:r>
          </w:p>
        </w:tc>
        <w:tc>
          <w:tcPr>
            <w:tcW w:w="1429" w:type="pct"/>
            <w:vMerge w:val="restart"/>
            <w:tcBorders>
              <w:top w:val="single" w:color="auto" w:sz="4" w:space="0"/>
              <w:bottom w:val="single" w:color="auto" w:sz="4" w:space="0"/>
            </w:tcBorders>
            <w:noWrap w:val="0"/>
            <w:vAlign w:val="center"/>
          </w:tcPr>
          <w:p w14:paraId="0753FCA1">
            <w:pPr>
              <w:keepNext w:val="0"/>
              <w:keepLines w:val="0"/>
              <w:widowControl/>
              <w:suppressLineNumbers w:val="0"/>
              <w:spacing w:line="400" w:lineRule="exact"/>
              <w:jc w:val="both"/>
              <w:textAlignment w:val="auto"/>
              <w:rPr>
                <w:rFonts w:hint="eastAsia" w:ascii="宋体" w:hAnsi="宋体" w:eastAsia="宋体" w:cs="宋体"/>
                <w:b w:val="0"/>
                <w:bCs w:val="0"/>
                <w:strike w:val="0"/>
                <w:color w:val="000000"/>
                <w:kern w:val="0"/>
                <w:sz w:val="24"/>
                <w:szCs w:val="24"/>
                <w:highlight w:val="none"/>
              </w:rPr>
            </w:pPr>
            <w:r>
              <w:rPr>
                <w:rFonts w:hint="eastAsia" w:ascii="宋体" w:hAnsi="宋体" w:eastAsia="宋体" w:cs="宋体"/>
                <w:i w:val="0"/>
                <w:color w:val="000000"/>
                <w:kern w:val="0"/>
                <w:sz w:val="24"/>
                <w:szCs w:val="24"/>
                <w:highlight w:val="none"/>
                <w:u w:val="none"/>
                <w:lang w:val="en-US" w:eastAsia="zh-CN" w:bidi="ar"/>
              </w:rPr>
              <w:t>第二十四条第二款</w:t>
            </w:r>
            <w:r>
              <w:rPr>
                <w:rFonts w:hint="eastAsia" w:ascii="宋体" w:hAnsi="宋体" w:cs="宋体"/>
                <w:i w:val="0"/>
                <w:color w:val="000000"/>
                <w:kern w:val="0"/>
                <w:sz w:val="24"/>
                <w:szCs w:val="24"/>
                <w:highlight w:val="none"/>
                <w:u w:val="none"/>
                <w:lang w:val="en-US" w:eastAsia="zh-CN" w:bidi="ar"/>
              </w:rPr>
              <w:t xml:space="preserve"> </w:t>
            </w:r>
            <w:r>
              <w:rPr>
                <w:rFonts w:hint="eastAsia" w:ascii="宋体" w:hAnsi="宋体" w:eastAsia="宋体" w:cs="宋体"/>
                <w:i w:val="0"/>
                <w:color w:val="000000"/>
                <w:kern w:val="0"/>
                <w:sz w:val="24"/>
                <w:szCs w:val="24"/>
                <w:highlight w:val="none"/>
                <w:u w:val="none"/>
                <w:lang w:val="en-US" w:eastAsia="zh-CN" w:bidi="ar"/>
              </w:rPr>
              <w:t>有本条例第七条规定的行为，介绍、诱骗、胁迫他人参加传销的，由工商行政管理部门责令停止违法行为，没收非法财物，没收违法所得，处10万元以上50万元以下的罚款；构成犯罪的，依法追究刑事责任。</w:t>
            </w:r>
          </w:p>
        </w:tc>
        <w:tc>
          <w:tcPr>
            <w:tcW w:w="407" w:type="pct"/>
            <w:tcBorders>
              <w:top w:val="single" w:color="auto" w:sz="4" w:space="0"/>
              <w:left w:val="single" w:color="auto" w:sz="4" w:space="0"/>
              <w:bottom w:val="single" w:color="auto" w:sz="4" w:space="0"/>
              <w:right w:val="single" w:color="auto" w:sz="4" w:space="0"/>
            </w:tcBorders>
            <w:noWrap w:val="0"/>
            <w:vAlign w:val="center"/>
          </w:tcPr>
          <w:p w14:paraId="7D97652F">
            <w:pPr>
              <w:keepNext w:val="0"/>
              <w:keepLines w:val="0"/>
              <w:widowControl/>
              <w:suppressLineNumbers w:val="0"/>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i w:val="0"/>
                <w:color w:val="000000"/>
                <w:kern w:val="0"/>
                <w:sz w:val="24"/>
                <w:szCs w:val="24"/>
                <w:highlight w:val="none"/>
                <w:u w:val="none"/>
                <w:lang w:val="en-US" w:eastAsia="zh-CN" w:bidi="ar"/>
              </w:rPr>
              <w:t>较轻</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17D99AA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i w:val="0"/>
                <w:color w:val="000000"/>
                <w:kern w:val="0"/>
                <w:sz w:val="24"/>
                <w:szCs w:val="24"/>
                <w:highlight w:val="none"/>
                <w:u w:val="none"/>
                <w:lang w:val="en-US" w:eastAsia="zh-CN" w:bidi="ar"/>
              </w:rPr>
              <w:t>介绍、诱骗、胁迫</w:t>
            </w:r>
            <w:r>
              <w:rPr>
                <w:rFonts w:hint="eastAsia" w:ascii="宋体" w:hAnsi="宋体" w:eastAsia="宋体" w:cs="宋体"/>
                <w:b w:val="0"/>
                <w:bCs w:val="0"/>
                <w:color w:val="000000"/>
                <w:kern w:val="0"/>
                <w:sz w:val="24"/>
                <w:szCs w:val="24"/>
                <w:highlight w:val="none"/>
              </w:rPr>
              <w:t>人员在</w:t>
            </w:r>
            <w:r>
              <w:rPr>
                <w:rFonts w:hint="eastAsia" w:ascii="宋体" w:hAnsi="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人以下</w:t>
            </w:r>
            <w:r>
              <w:rPr>
                <w:rFonts w:hint="eastAsia" w:ascii="宋体" w:hAnsi="宋体" w:cs="宋体"/>
                <w:b w:val="0"/>
                <w:bCs w:val="0"/>
                <w:color w:val="000000"/>
                <w:kern w:val="0"/>
                <w:sz w:val="24"/>
                <w:szCs w:val="24"/>
                <w:highlight w:val="none"/>
                <w:lang w:eastAsia="zh-CN"/>
              </w:rPr>
              <w:t>的</w:t>
            </w:r>
            <w:r>
              <w:rPr>
                <w:rFonts w:hint="eastAsia" w:ascii="宋体" w:hAnsi="宋体" w:eastAsia="宋体" w:cs="宋体"/>
                <w:b w:val="0"/>
                <w:bCs w:val="0"/>
                <w:color w:val="000000"/>
                <w:kern w:val="0"/>
                <w:sz w:val="24"/>
                <w:szCs w:val="24"/>
                <w:highlight w:val="none"/>
              </w:rPr>
              <w:t>。</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4FD473D5">
            <w:pPr>
              <w:keepNext w:val="0"/>
              <w:keepLines w:val="0"/>
              <w:widowControl/>
              <w:suppressLineNumbers w:val="0"/>
              <w:spacing w:line="40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i w:val="0"/>
                <w:color w:val="000000"/>
                <w:kern w:val="0"/>
                <w:sz w:val="24"/>
                <w:szCs w:val="24"/>
                <w:highlight w:val="none"/>
                <w:u w:val="none"/>
                <w:lang w:val="en-US" w:eastAsia="zh-CN" w:bidi="ar"/>
              </w:rPr>
              <w:t>没收非法财物，没收违法所得，处10万元以上到22万元的罚款。</w:t>
            </w:r>
          </w:p>
        </w:tc>
      </w:tr>
      <w:tr w14:paraId="1823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268" w:type="pct"/>
            <w:vMerge w:val="continue"/>
            <w:tcBorders>
              <w:top w:val="single" w:color="auto" w:sz="4" w:space="0"/>
              <w:bottom w:val="single" w:color="auto" w:sz="4" w:space="0"/>
            </w:tcBorders>
            <w:noWrap w:val="0"/>
            <w:vAlign w:val="center"/>
          </w:tcPr>
          <w:p w14:paraId="229726C5">
            <w:pPr>
              <w:widowControl/>
              <w:spacing w:line="400" w:lineRule="exact"/>
              <w:jc w:val="left"/>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center"/>
          </w:tcPr>
          <w:p w14:paraId="17AD4D91">
            <w:pPr>
              <w:widowControl/>
              <w:spacing w:line="400" w:lineRule="exact"/>
              <w:ind w:left="42" w:leftChars="20"/>
              <w:jc w:val="both"/>
              <w:rPr>
                <w:rFonts w:hint="eastAsia" w:ascii="宋体" w:hAnsi="宋体" w:eastAsia="宋体" w:cs="宋体"/>
                <w:b w:val="0"/>
                <w:bCs w:val="0"/>
                <w:strike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center"/>
          </w:tcPr>
          <w:p w14:paraId="1FE6EBAD">
            <w:pPr>
              <w:widowControl/>
              <w:spacing w:line="400" w:lineRule="exact"/>
              <w:jc w:val="both"/>
              <w:rPr>
                <w:rFonts w:hint="eastAsia" w:ascii="宋体" w:hAnsi="宋体" w:eastAsia="宋体" w:cs="宋体"/>
                <w:b w:val="0"/>
                <w:bCs w:val="0"/>
                <w:strike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7636F2A0">
            <w:pPr>
              <w:keepNext w:val="0"/>
              <w:keepLines w:val="0"/>
              <w:widowControl/>
              <w:suppressLineNumbers w:val="0"/>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i w:val="0"/>
                <w:color w:val="000000"/>
                <w:kern w:val="0"/>
                <w:sz w:val="24"/>
                <w:szCs w:val="24"/>
                <w:highlight w:val="none"/>
                <w:u w:val="none"/>
                <w:lang w:val="en-US" w:eastAsia="zh-CN" w:bidi="ar"/>
              </w:rPr>
              <w:t>一般</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0FBC5E85">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i w:val="0"/>
                <w:color w:val="000000"/>
                <w:kern w:val="0"/>
                <w:sz w:val="24"/>
                <w:szCs w:val="24"/>
                <w:highlight w:val="none"/>
                <w:u w:val="none"/>
                <w:lang w:val="en-US" w:eastAsia="zh-CN" w:bidi="ar"/>
              </w:rPr>
              <w:t>介绍、诱骗、胁迫</w:t>
            </w:r>
            <w:r>
              <w:rPr>
                <w:rFonts w:hint="eastAsia" w:ascii="宋体" w:hAnsi="宋体" w:eastAsia="宋体" w:cs="宋体"/>
                <w:b w:val="0"/>
                <w:bCs w:val="0"/>
                <w:color w:val="000000"/>
                <w:kern w:val="0"/>
                <w:sz w:val="24"/>
                <w:szCs w:val="24"/>
                <w:highlight w:val="none"/>
              </w:rPr>
              <w:t>人员在</w:t>
            </w:r>
            <w:r>
              <w:rPr>
                <w:rFonts w:hint="eastAsia" w:ascii="宋体" w:hAnsi="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rPr>
              <w:t>人</w:t>
            </w:r>
            <w:r>
              <w:rPr>
                <w:rFonts w:hint="eastAsia" w:ascii="宋体" w:hAnsi="宋体" w:cs="宋体"/>
                <w:b w:val="0"/>
                <w:bCs w:val="0"/>
                <w:color w:val="000000"/>
                <w:kern w:val="0"/>
                <w:sz w:val="24"/>
                <w:szCs w:val="24"/>
                <w:highlight w:val="none"/>
                <w:lang w:val="en-US" w:eastAsia="zh-CN"/>
              </w:rPr>
              <w:t>以上10人</w:t>
            </w:r>
            <w:r>
              <w:rPr>
                <w:rFonts w:hint="eastAsia" w:ascii="宋体" w:hAnsi="宋体" w:eastAsia="宋体" w:cs="宋体"/>
                <w:b w:val="0"/>
                <w:bCs w:val="0"/>
                <w:color w:val="000000"/>
                <w:kern w:val="0"/>
                <w:sz w:val="24"/>
                <w:szCs w:val="24"/>
                <w:highlight w:val="none"/>
              </w:rPr>
              <w:t>以下</w:t>
            </w:r>
            <w:r>
              <w:rPr>
                <w:rFonts w:hint="eastAsia" w:ascii="宋体" w:hAnsi="宋体" w:cs="宋体"/>
                <w:b w:val="0"/>
                <w:bCs w:val="0"/>
                <w:color w:val="000000"/>
                <w:kern w:val="0"/>
                <w:sz w:val="24"/>
                <w:szCs w:val="24"/>
                <w:highlight w:val="none"/>
                <w:lang w:eastAsia="zh-CN"/>
              </w:rPr>
              <w:t>的</w:t>
            </w:r>
            <w:r>
              <w:rPr>
                <w:rFonts w:hint="eastAsia" w:ascii="宋体" w:hAnsi="宋体" w:eastAsia="宋体" w:cs="宋体"/>
                <w:b w:val="0"/>
                <w:bCs w:val="0"/>
                <w:color w:val="000000"/>
                <w:kern w:val="0"/>
                <w:sz w:val="24"/>
                <w:szCs w:val="24"/>
                <w:highlight w:val="none"/>
              </w:rPr>
              <w:t>。</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7574B001">
            <w:pPr>
              <w:keepNext w:val="0"/>
              <w:keepLines w:val="0"/>
              <w:widowControl/>
              <w:suppressLineNumbers w:val="0"/>
              <w:spacing w:line="40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i w:val="0"/>
                <w:color w:val="000000"/>
                <w:kern w:val="0"/>
                <w:sz w:val="24"/>
                <w:szCs w:val="24"/>
                <w:highlight w:val="none"/>
                <w:u w:val="none"/>
                <w:lang w:val="en-US" w:eastAsia="zh-CN" w:bidi="ar"/>
              </w:rPr>
              <w:t>没收非法财物，没收违法所得，处22万元以上到38万元的罚款。</w:t>
            </w:r>
          </w:p>
        </w:tc>
      </w:tr>
      <w:tr w14:paraId="7D33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268" w:type="pct"/>
            <w:vMerge w:val="continue"/>
            <w:tcBorders>
              <w:top w:val="single" w:color="auto" w:sz="4" w:space="0"/>
              <w:bottom w:val="single" w:color="auto" w:sz="4" w:space="0"/>
            </w:tcBorders>
            <w:noWrap w:val="0"/>
            <w:vAlign w:val="center"/>
          </w:tcPr>
          <w:p w14:paraId="45A2302F">
            <w:pPr>
              <w:widowControl/>
              <w:spacing w:line="400" w:lineRule="exact"/>
              <w:jc w:val="left"/>
              <w:rPr>
                <w:rFonts w:hint="eastAsia" w:ascii="宋体" w:hAnsi="宋体" w:eastAsia="宋体" w:cs="宋体"/>
                <w:b w:val="0"/>
                <w:bCs w:val="0"/>
                <w:color w:val="000000"/>
                <w:kern w:val="0"/>
                <w:sz w:val="24"/>
                <w:szCs w:val="24"/>
                <w:highlight w:val="none"/>
              </w:rPr>
            </w:pPr>
          </w:p>
        </w:tc>
        <w:tc>
          <w:tcPr>
            <w:tcW w:w="613" w:type="pct"/>
            <w:vMerge w:val="continue"/>
            <w:tcBorders>
              <w:top w:val="single" w:color="auto" w:sz="4" w:space="0"/>
              <w:bottom w:val="single" w:color="auto" w:sz="4" w:space="0"/>
            </w:tcBorders>
            <w:noWrap w:val="0"/>
            <w:vAlign w:val="center"/>
          </w:tcPr>
          <w:p w14:paraId="3952D5C9">
            <w:pPr>
              <w:widowControl/>
              <w:spacing w:line="400" w:lineRule="exact"/>
              <w:ind w:left="42" w:leftChars="20"/>
              <w:jc w:val="both"/>
              <w:rPr>
                <w:rFonts w:hint="eastAsia" w:ascii="宋体" w:hAnsi="宋体" w:eastAsia="宋体" w:cs="宋体"/>
                <w:b w:val="0"/>
                <w:bCs w:val="0"/>
                <w:strike w:val="0"/>
                <w:color w:val="000000"/>
                <w:kern w:val="0"/>
                <w:sz w:val="24"/>
                <w:szCs w:val="24"/>
                <w:highlight w:val="none"/>
              </w:rPr>
            </w:pPr>
          </w:p>
        </w:tc>
        <w:tc>
          <w:tcPr>
            <w:tcW w:w="1429" w:type="pct"/>
            <w:vMerge w:val="continue"/>
            <w:tcBorders>
              <w:top w:val="single" w:color="auto" w:sz="4" w:space="0"/>
              <w:bottom w:val="single" w:color="auto" w:sz="4" w:space="0"/>
            </w:tcBorders>
            <w:noWrap w:val="0"/>
            <w:vAlign w:val="center"/>
          </w:tcPr>
          <w:p w14:paraId="3A600C6D">
            <w:pPr>
              <w:widowControl/>
              <w:spacing w:line="400" w:lineRule="exact"/>
              <w:jc w:val="both"/>
              <w:rPr>
                <w:rFonts w:hint="eastAsia" w:ascii="宋体" w:hAnsi="宋体" w:eastAsia="宋体" w:cs="宋体"/>
                <w:b w:val="0"/>
                <w:bCs w:val="0"/>
                <w:strike w:val="0"/>
                <w:color w:val="000000"/>
                <w:kern w:val="0"/>
                <w:sz w:val="24"/>
                <w:szCs w:val="24"/>
                <w:highlight w:val="none"/>
              </w:rPr>
            </w:pPr>
          </w:p>
        </w:tc>
        <w:tc>
          <w:tcPr>
            <w:tcW w:w="407" w:type="pct"/>
            <w:tcBorders>
              <w:top w:val="single" w:color="auto" w:sz="4" w:space="0"/>
              <w:left w:val="single" w:color="auto" w:sz="4" w:space="0"/>
              <w:bottom w:val="single" w:color="auto" w:sz="4" w:space="0"/>
              <w:right w:val="single" w:color="auto" w:sz="4" w:space="0"/>
            </w:tcBorders>
            <w:noWrap w:val="0"/>
            <w:vAlign w:val="center"/>
          </w:tcPr>
          <w:p w14:paraId="357777ED">
            <w:pPr>
              <w:keepNext w:val="0"/>
              <w:keepLines w:val="0"/>
              <w:widowControl/>
              <w:suppressLineNumbers w:val="0"/>
              <w:spacing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i w:val="0"/>
                <w:color w:val="000000"/>
                <w:kern w:val="0"/>
                <w:sz w:val="24"/>
                <w:szCs w:val="24"/>
                <w:highlight w:val="none"/>
                <w:u w:val="none"/>
                <w:lang w:val="en-US" w:eastAsia="zh-CN" w:bidi="ar"/>
              </w:rPr>
              <w:t>较重</w:t>
            </w:r>
          </w:p>
        </w:tc>
        <w:tc>
          <w:tcPr>
            <w:tcW w:w="1161" w:type="pct"/>
            <w:tcBorders>
              <w:top w:val="single" w:color="auto" w:sz="4" w:space="0"/>
              <w:left w:val="single" w:color="auto" w:sz="4" w:space="0"/>
              <w:bottom w:val="single" w:color="auto" w:sz="4" w:space="0"/>
              <w:right w:val="single" w:color="auto" w:sz="4" w:space="0"/>
            </w:tcBorders>
            <w:noWrap w:val="0"/>
            <w:vAlign w:val="center"/>
          </w:tcPr>
          <w:p w14:paraId="3BC4BDD8">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i w:val="0"/>
                <w:color w:val="000000"/>
                <w:kern w:val="0"/>
                <w:sz w:val="24"/>
                <w:szCs w:val="24"/>
                <w:highlight w:val="none"/>
                <w:u w:val="none"/>
                <w:lang w:val="en-US" w:eastAsia="zh-CN" w:bidi="ar"/>
              </w:rPr>
              <w:t>介绍、诱骗、胁迫</w:t>
            </w:r>
            <w:r>
              <w:rPr>
                <w:rFonts w:hint="eastAsia" w:ascii="宋体" w:hAnsi="宋体" w:eastAsia="宋体" w:cs="宋体"/>
                <w:b w:val="0"/>
                <w:bCs w:val="0"/>
                <w:color w:val="000000"/>
                <w:kern w:val="0"/>
                <w:sz w:val="24"/>
                <w:szCs w:val="24"/>
                <w:highlight w:val="none"/>
              </w:rPr>
              <w:t>人员在</w:t>
            </w:r>
            <w:r>
              <w:rPr>
                <w:rFonts w:hint="eastAsia" w:ascii="宋体" w:hAnsi="宋体" w:cs="宋体"/>
                <w:b w:val="0"/>
                <w:bCs w:val="0"/>
                <w:color w:val="000000"/>
                <w:kern w:val="0"/>
                <w:sz w:val="24"/>
                <w:szCs w:val="24"/>
                <w:highlight w:val="none"/>
                <w:lang w:val="en-US" w:eastAsia="zh-CN"/>
              </w:rPr>
              <w:t>10</w:t>
            </w:r>
            <w:r>
              <w:rPr>
                <w:rFonts w:hint="eastAsia" w:ascii="宋体" w:hAnsi="宋体" w:eastAsia="宋体" w:cs="宋体"/>
                <w:b w:val="0"/>
                <w:bCs w:val="0"/>
                <w:color w:val="000000"/>
                <w:kern w:val="0"/>
                <w:sz w:val="24"/>
                <w:szCs w:val="24"/>
                <w:highlight w:val="none"/>
              </w:rPr>
              <w:t>人以</w:t>
            </w:r>
            <w:r>
              <w:rPr>
                <w:rFonts w:hint="eastAsia" w:ascii="宋体" w:hAnsi="宋体" w:cs="宋体"/>
                <w:b w:val="0"/>
                <w:bCs w:val="0"/>
                <w:color w:val="000000"/>
                <w:kern w:val="0"/>
                <w:sz w:val="24"/>
                <w:szCs w:val="24"/>
                <w:highlight w:val="none"/>
                <w:lang w:val="en-US" w:eastAsia="zh-CN"/>
              </w:rPr>
              <w:t>上</w:t>
            </w:r>
            <w:r>
              <w:rPr>
                <w:rFonts w:hint="eastAsia" w:ascii="宋体" w:hAnsi="宋体" w:cs="宋体"/>
                <w:b w:val="0"/>
                <w:bCs w:val="0"/>
                <w:color w:val="000000"/>
                <w:kern w:val="0"/>
                <w:sz w:val="24"/>
                <w:szCs w:val="24"/>
                <w:highlight w:val="none"/>
                <w:lang w:eastAsia="zh-CN"/>
              </w:rPr>
              <w:t>的</w:t>
            </w:r>
            <w:r>
              <w:rPr>
                <w:rFonts w:hint="eastAsia" w:ascii="宋体" w:hAnsi="宋体" w:eastAsia="宋体" w:cs="宋体"/>
                <w:b w:val="0"/>
                <w:bCs w:val="0"/>
                <w:color w:val="000000"/>
                <w:kern w:val="0"/>
                <w:sz w:val="24"/>
                <w:szCs w:val="24"/>
                <w:highlight w:val="none"/>
              </w:rPr>
              <w:t>。</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303268FF">
            <w:pPr>
              <w:keepNext w:val="0"/>
              <w:keepLines w:val="0"/>
              <w:widowControl/>
              <w:suppressLineNumbers w:val="0"/>
              <w:spacing w:line="40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i w:val="0"/>
                <w:color w:val="000000"/>
                <w:kern w:val="0"/>
                <w:sz w:val="24"/>
                <w:szCs w:val="24"/>
                <w:highlight w:val="none"/>
                <w:u w:val="none"/>
                <w:lang w:val="en-US" w:eastAsia="zh-CN" w:bidi="ar"/>
              </w:rPr>
              <w:t>没收非法财物，没收违法所得，处38万元以上50万元以下的罚款。</w:t>
            </w:r>
          </w:p>
        </w:tc>
      </w:tr>
    </w:tbl>
    <w:p w14:paraId="0CA93502"/>
    <w:p w14:paraId="521477D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1"/>
        <w:rPr>
          <w:rFonts w:hint="eastAsia" w:ascii="方正小标宋简体" w:hAnsi="方正小标宋简体" w:eastAsia="方正小标宋简体" w:cs="方正小标宋简体"/>
          <w:b w:val="0"/>
          <w:bCs/>
          <w:kern w:val="44"/>
          <w:sz w:val="36"/>
          <w:szCs w:val="20"/>
          <w:lang w:val="en-US" w:eastAsia="zh-CN" w:bidi="ar-SA"/>
        </w:rPr>
      </w:pPr>
      <w:bookmarkStart w:id="469" w:name="_Toc11493"/>
      <w:bookmarkStart w:id="470" w:name="_Toc22066"/>
      <w:bookmarkStart w:id="471" w:name="_Toc1326"/>
      <w:bookmarkStart w:id="472" w:name="_Toc4375"/>
      <w:bookmarkStart w:id="473" w:name="_Toc20191"/>
      <w:r>
        <w:rPr>
          <w:rFonts w:hint="eastAsia" w:ascii="方正小标宋简体" w:hAnsi="方正小标宋简体" w:eastAsia="方正小标宋简体" w:cs="方正小标宋简体"/>
          <w:b w:val="0"/>
          <w:bCs/>
          <w:kern w:val="44"/>
          <w:sz w:val="36"/>
          <w:szCs w:val="20"/>
          <w:lang w:val="en-US" w:eastAsia="zh-CN" w:bidi="ar-SA"/>
        </w:rPr>
        <w:t>第十二节</w:t>
      </w:r>
      <w:r>
        <w:rPr>
          <w:rFonts w:hint="default" w:ascii="方正小标宋简体" w:hAnsi="方正小标宋简体" w:eastAsia="方正小标宋简体" w:cs="方正小标宋简体"/>
          <w:b w:val="0"/>
          <w:bCs/>
          <w:kern w:val="44"/>
          <w:sz w:val="36"/>
          <w:szCs w:val="20"/>
          <w:lang w:val="en-US" w:eastAsia="zh-CN" w:bidi="ar-SA"/>
        </w:rPr>
        <w:t xml:space="preserve"> 适用</w:t>
      </w:r>
      <w:r>
        <w:rPr>
          <w:rFonts w:hint="eastAsia" w:ascii="方正小标宋简体" w:hAnsi="方正小标宋简体" w:eastAsia="方正小标宋简体" w:cs="方正小标宋简体"/>
          <w:b w:val="0"/>
          <w:bCs/>
          <w:kern w:val="44"/>
          <w:sz w:val="36"/>
          <w:szCs w:val="20"/>
          <w:lang w:val="en-US" w:eastAsia="zh-CN" w:bidi="ar-SA"/>
        </w:rPr>
        <w:t>其他法律、法规、规章的裁量标准</w:t>
      </w:r>
      <w:bookmarkEnd w:id="469"/>
      <w:bookmarkEnd w:id="470"/>
      <w:bookmarkEnd w:id="471"/>
      <w:bookmarkEnd w:id="472"/>
      <w:bookmarkEnd w:id="473"/>
    </w:p>
    <w:tbl>
      <w:tblPr>
        <w:tblStyle w:val="1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700"/>
        <w:gridCol w:w="4146"/>
        <w:gridCol w:w="1174"/>
        <w:gridCol w:w="3526"/>
        <w:gridCol w:w="2952"/>
      </w:tblGrid>
      <w:tr w14:paraId="2336A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exact"/>
          <w:tblHeader/>
          <w:jc w:val="center"/>
        </w:trPr>
        <w:tc>
          <w:tcPr>
            <w:tcW w:w="250" w:type="pct"/>
            <w:noWrap w:val="0"/>
            <w:vAlign w:val="center"/>
          </w:tcPr>
          <w:p w14:paraId="3F8C1021">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5" w:leftChars="-50" w:right="-105" w:rightChars="-50"/>
              <w:jc w:val="center"/>
              <w:textAlignment w:val="auto"/>
              <w:rPr>
                <w:rFonts w:hint="eastAsia" w:ascii="黑体" w:hAnsi="黑体" w:eastAsia="黑体" w:cs="黑体"/>
                <w:b w:val="0"/>
                <w:bCs w:val="0"/>
                <w:color w:val="000000"/>
                <w:kern w:val="0"/>
                <w:sz w:val="24"/>
                <w:szCs w:val="24"/>
                <w:highlight w:val="none"/>
                <w:lang w:val="en-US" w:eastAsia="zh-CN"/>
              </w:rPr>
            </w:pPr>
            <w:r>
              <w:rPr>
                <w:rFonts w:hint="eastAsia" w:ascii="黑体" w:hAnsi="黑体" w:eastAsia="黑体" w:cs="黑体"/>
                <w:b w:val="0"/>
                <w:bCs w:val="0"/>
                <w:color w:val="000000"/>
                <w:kern w:val="0"/>
                <w:sz w:val="24"/>
                <w:szCs w:val="24"/>
                <w:highlight w:val="none"/>
                <w:lang w:val="en-US" w:eastAsia="zh-CN"/>
              </w:rPr>
              <w:t>序号</w:t>
            </w:r>
          </w:p>
        </w:tc>
        <w:tc>
          <w:tcPr>
            <w:tcW w:w="598" w:type="pct"/>
            <w:noWrap w:val="0"/>
            <w:vAlign w:val="center"/>
          </w:tcPr>
          <w:p w14:paraId="2570992E">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5" w:leftChars="-50" w:right="-105" w:rightChars="-50"/>
              <w:jc w:val="center"/>
              <w:textAlignment w:val="auto"/>
              <w:rPr>
                <w:rFonts w:hint="eastAsia" w:ascii="黑体" w:hAnsi="黑体" w:eastAsia="黑体" w:cs="黑体"/>
                <w:b w:val="0"/>
                <w:bCs w:val="0"/>
                <w:color w:val="000000"/>
                <w:kern w:val="0"/>
                <w:sz w:val="24"/>
                <w:szCs w:val="24"/>
                <w:highlight w:val="none"/>
                <w:lang w:val="en-US" w:eastAsia="zh-CN"/>
              </w:rPr>
            </w:pPr>
            <w:r>
              <w:rPr>
                <w:rFonts w:hint="eastAsia" w:ascii="黑体" w:hAnsi="黑体" w:eastAsia="黑体" w:cs="黑体"/>
                <w:b w:val="0"/>
                <w:bCs w:val="0"/>
                <w:color w:val="000000"/>
                <w:kern w:val="0"/>
                <w:sz w:val="24"/>
                <w:szCs w:val="24"/>
                <w:highlight w:val="none"/>
                <w:lang w:val="en-US" w:eastAsia="zh-CN"/>
              </w:rPr>
              <w:t>法律名称</w:t>
            </w:r>
          </w:p>
        </w:tc>
        <w:tc>
          <w:tcPr>
            <w:tcW w:w="1458" w:type="pct"/>
            <w:noWrap w:val="0"/>
            <w:vAlign w:val="center"/>
          </w:tcPr>
          <w:p w14:paraId="3C74F7D2">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5" w:leftChars="-50" w:right="-105" w:rightChars="-50"/>
              <w:jc w:val="center"/>
              <w:textAlignment w:val="auto"/>
              <w:rPr>
                <w:rFonts w:hint="eastAsia" w:ascii="黑体" w:hAnsi="黑体" w:eastAsia="黑体" w:cs="黑体"/>
                <w:b w:val="0"/>
                <w:bCs w:val="0"/>
                <w:color w:val="000000"/>
                <w:kern w:val="0"/>
                <w:sz w:val="24"/>
                <w:szCs w:val="24"/>
                <w:highlight w:val="none"/>
                <w:lang w:eastAsia="zh-CN"/>
              </w:rPr>
            </w:pPr>
            <w:r>
              <w:rPr>
                <w:rFonts w:hint="eastAsia" w:ascii="黑体" w:hAnsi="黑体" w:eastAsia="黑体" w:cs="黑体"/>
                <w:b w:val="0"/>
                <w:bCs w:val="0"/>
                <w:color w:val="000000"/>
                <w:kern w:val="0"/>
                <w:sz w:val="24"/>
                <w:szCs w:val="24"/>
                <w:highlight w:val="none"/>
                <w:lang w:eastAsia="zh-CN"/>
              </w:rPr>
              <w:t>法律依据</w:t>
            </w:r>
          </w:p>
        </w:tc>
        <w:tc>
          <w:tcPr>
            <w:tcW w:w="413" w:type="pct"/>
            <w:noWrap w:val="0"/>
            <w:vAlign w:val="center"/>
          </w:tcPr>
          <w:p w14:paraId="7BADE3FD">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5" w:leftChars="-50" w:right="-105" w:rightChars="-50"/>
              <w:jc w:val="center"/>
              <w:textAlignment w:val="auto"/>
              <w:rPr>
                <w:rFonts w:hint="eastAsia" w:ascii="黑体" w:hAnsi="黑体" w:eastAsia="黑体" w:cs="黑体"/>
                <w:b w:val="0"/>
                <w:bCs w:val="0"/>
                <w:color w:val="000000"/>
                <w:kern w:val="0"/>
                <w:sz w:val="24"/>
                <w:szCs w:val="24"/>
                <w:highlight w:val="none"/>
                <w:lang w:eastAsia="zh-CN"/>
              </w:rPr>
            </w:pPr>
            <w:r>
              <w:rPr>
                <w:rFonts w:hint="eastAsia" w:ascii="黑体" w:hAnsi="黑体" w:eastAsia="黑体" w:cs="黑体"/>
                <w:b w:val="0"/>
                <w:bCs w:val="0"/>
                <w:color w:val="000000"/>
                <w:kern w:val="0"/>
                <w:sz w:val="24"/>
                <w:szCs w:val="24"/>
                <w:highlight w:val="none"/>
                <w:lang w:eastAsia="zh-CN"/>
              </w:rPr>
              <w:t>违法程度</w:t>
            </w:r>
          </w:p>
        </w:tc>
        <w:tc>
          <w:tcPr>
            <w:tcW w:w="1240" w:type="pct"/>
            <w:noWrap w:val="0"/>
            <w:vAlign w:val="center"/>
          </w:tcPr>
          <w:p w14:paraId="67DD36B5">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5" w:leftChars="-50" w:right="-105" w:rightChars="-50"/>
              <w:jc w:val="center"/>
              <w:textAlignment w:val="auto"/>
              <w:rPr>
                <w:rFonts w:hint="eastAsia" w:ascii="黑体" w:hAnsi="黑体" w:eastAsia="黑体" w:cs="黑体"/>
                <w:b w:val="0"/>
                <w:bCs w:val="0"/>
                <w:color w:val="000000"/>
                <w:kern w:val="0"/>
                <w:sz w:val="24"/>
                <w:szCs w:val="24"/>
                <w:highlight w:val="none"/>
                <w:lang w:eastAsia="zh-CN"/>
              </w:rPr>
            </w:pPr>
            <w:r>
              <w:rPr>
                <w:rFonts w:hint="eastAsia" w:ascii="黑体" w:hAnsi="黑体" w:eastAsia="黑体" w:cs="黑体"/>
                <w:b w:val="0"/>
                <w:bCs w:val="0"/>
                <w:color w:val="000000"/>
                <w:kern w:val="0"/>
                <w:sz w:val="24"/>
                <w:szCs w:val="24"/>
                <w:highlight w:val="none"/>
                <w:lang w:eastAsia="zh-CN"/>
              </w:rPr>
              <w:t>判断标准</w:t>
            </w:r>
          </w:p>
        </w:tc>
        <w:tc>
          <w:tcPr>
            <w:tcW w:w="1038" w:type="pct"/>
            <w:noWrap w:val="0"/>
            <w:vAlign w:val="center"/>
          </w:tcPr>
          <w:p w14:paraId="1FCC872B">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5" w:leftChars="-50" w:right="-105" w:rightChars="-50"/>
              <w:jc w:val="center"/>
              <w:textAlignment w:val="auto"/>
              <w:rPr>
                <w:rFonts w:hint="eastAsia" w:ascii="黑体" w:hAnsi="黑体" w:eastAsia="黑体" w:cs="黑体"/>
                <w:b w:val="0"/>
                <w:bCs w:val="0"/>
                <w:color w:val="000000"/>
                <w:kern w:val="0"/>
                <w:sz w:val="24"/>
                <w:szCs w:val="24"/>
                <w:highlight w:val="none"/>
                <w:lang w:eastAsia="zh-CN"/>
              </w:rPr>
            </w:pPr>
            <w:r>
              <w:rPr>
                <w:rFonts w:hint="eastAsia" w:ascii="黑体" w:hAnsi="黑体" w:eastAsia="黑体" w:cs="黑体"/>
                <w:b w:val="0"/>
                <w:bCs w:val="0"/>
                <w:color w:val="000000"/>
                <w:kern w:val="0"/>
                <w:sz w:val="24"/>
                <w:szCs w:val="24"/>
                <w:highlight w:val="none"/>
                <w:lang w:eastAsia="zh-CN"/>
              </w:rPr>
              <w:t>处罚标准</w:t>
            </w:r>
          </w:p>
        </w:tc>
      </w:tr>
      <w:tr w14:paraId="51A6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1" w:hRule="atLeast"/>
          <w:jc w:val="center"/>
        </w:trPr>
        <w:tc>
          <w:tcPr>
            <w:tcW w:w="250" w:type="pct"/>
            <w:vMerge w:val="restart"/>
            <w:noWrap w:val="0"/>
            <w:vAlign w:val="center"/>
          </w:tcPr>
          <w:p w14:paraId="7456FCA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rPr>
              <w:t>3</w:t>
            </w:r>
            <w:r>
              <w:rPr>
                <w:rFonts w:hint="eastAsia" w:ascii="宋体" w:hAnsi="宋体" w:cs="宋体"/>
                <w:b w:val="0"/>
                <w:bCs w:val="0"/>
                <w:color w:val="000000"/>
                <w:kern w:val="0"/>
                <w:sz w:val="24"/>
                <w:szCs w:val="24"/>
                <w:highlight w:val="none"/>
                <w:lang w:val="en-US" w:eastAsia="zh-CN"/>
              </w:rPr>
              <w:t>78</w:t>
            </w:r>
          </w:p>
        </w:tc>
        <w:tc>
          <w:tcPr>
            <w:tcW w:w="598" w:type="pct"/>
            <w:vMerge w:val="restart"/>
            <w:noWrap w:val="0"/>
            <w:vAlign w:val="center"/>
          </w:tcPr>
          <w:p w14:paraId="16EE1036">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left"/>
              <w:textAlignment w:val="auto"/>
              <w:outlineLvl w:val="1"/>
              <w:rPr>
                <w:rFonts w:hint="eastAsia" w:ascii="宋体" w:hAnsi="宋体" w:eastAsia="宋体" w:cs="宋体"/>
                <w:b w:val="0"/>
                <w:bCs w:val="0"/>
                <w:color w:val="000000"/>
                <w:kern w:val="0"/>
                <w:sz w:val="24"/>
                <w:szCs w:val="24"/>
                <w:highlight w:val="none"/>
                <w:lang w:val="en-US" w:eastAsia="zh-CN"/>
              </w:rPr>
            </w:pPr>
            <w:bookmarkStart w:id="474" w:name="_Toc12307"/>
            <w:bookmarkStart w:id="475" w:name="_Toc3732"/>
            <w:bookmarkStart w:id="476" w:name="_Toc501"/>
            <w:bookmarkStart w:id="477" w:name="_Toc17701"/>
            <w:bookmarkStart w:id="478" w:name="_Toc25334"/>
            <w:r>
              <w:rPr>
                <w:rFonts w:hint="eastAsia" w:ascii="宋体" w:hAnsi="宋体" w:eastAsia="宋体" w:cs="宋体"/>
                <w:b w:val="0"/>
                <w:bCs w:val="0"/>
                <w:color w:val="auto"/>
                <w:kern w:val="0"/>
                <w:sz w:val="24"/>
                <w:szCs w:val="24"/>
                <w:highlight w:val="none"/>
                <w:lang w:val="en-US" w:eastAsia="zh-CN"/>
              </w:rPr>
              <w:t>《中华人民共和国节约能源法》（</w:t>
            </w:r>
            <w:r>
              <w:rPr>
                <w:rFonts w:hint="eastAsia" w:ascii="宋体" w:hAnsi="宋体" w:eastAsia="宋体" w:cs="宋体"/>
                <w:color w:val="auto"/>
                <w:kern w:val="0"/>
                <w:sz w:val="24"/>
                <w:szCs w:val="24"/>
                <w:lang w:val="en-US" w:eastAsia="zh-CN" w:bidi="ar"/>
              </w:rPr>
              <w:t>2018年10月26日</w:t>
            </w:r>
            <w:r>
              <w:rPr>
                <w:rFonts w:hint="eastAsia" w:ascii="宋体" w:hAnsi="宋体" w:cs="宋体"/>
                <w:color w:val="auto"/>
                <w:kern w:val="0"/>
                <w:sz w:val="24"/>
                <w:szCs w:val="24"/>
                <w:lang w:val="en-US" w:eastAsia="zh-CN" w:bidi="ar"/>
              </w:rPr>
              <w:t>起施行</w:t>
            </w:r>
            <w:r>
              <w:rPr>
                <w:rFonts w:hint="eastAsia" w:ascii="宋体" w:hAnsi="宋体" w:eastAsia="宋体" w:cs="宋体"/>
                <w:b w:val="0"/>
                <w:bCs w:val="0"/>
                <w:color w:val="auto"/>
                <w:kern w:val="0"/>
                <w:sz w:val="24"/>
                <w:szCs w:val="24"/>
                <w:highlight w:val="none"/>
                <w:lang w:val="en-US" w:eastAsia="zh-CN"/>
              </w:rPr>
              <w:t>）</w:t>
            </w:r>
            <w:bookmarkEnd w:id="474"/>
            <w:bookmarkEnd w:id="475"/>
            <w:bookmarkEnd w:id="476"/>
            <w:bookmarkEnd w:id="477"/>
            <w:bookmarkEnd w:id="478"/>
          </w:p>
        </w:tc>
        <w:tc>
          <w:tcPr>
            <w:tcW w:w="1458" w:type="pct"/>
            <w:vMerge w:val="restart"/>
            <w:noWrap w:val="0"/>
            <w:vAlign w:val="center"/>
          </w:tcPr>
          <w:p w14:paraId="3A707F6E">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kern w:val="0"/>
                <w:sz w:val="24"/>
                <w:szCs w:val="24"/>
                <w:lang w:val="en-US" w:eastAsia="zh-CN" w:bidi="ar"/>
              </w:rPr>
              <w:t>第七十条</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生产、进口、销售不符合强制性能源效率标准的用能产品、设备的，由市场监督管理部门责令停止生产、进口、销售，没收违法生产、进口、销售的用能产品、设备和违法所得，并处违法所得一倍以上五倍以下罚款；情节严重的，吊销营业执照。</w:t>
            </w:r>
          </w:p>
        </w:tc>
        <w:tc>
          <w:tcPr>
            <w:tcW w:w="413" w:type="pct"/>
            <w:noWrap w:val="0"/>
            <w:vAlign w:val="center"/>
          </w:tcPr>
          <w:p w14:paraId="5F71E43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较轻</w:t>
            </w:r>
          </w:p>
        </w:tc>
        <w:tc>
          <w:tcPr>
            <w:tcW w:w="1240" w:type="pct"/>
            <w:noWrap w:val="0"/>
            <w:vAlign w:val="center"/>
          </w:tcPr>
          <w:p w14:paraId="5FF00FFE">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货值金额5万元以下，或者确实不知道该产品为不符合强制性能源效率标准的用能产品、设备而销售并能如实说明其进货来源的。</w:t>
            </w:r>
          </w:p>
        </w:tc>
        <w:tc>
          <w:tcPr>
            <w:tcW w:w="1038" w:type="pct"/>
            <w:noWrap w:val="0"/>
            <w:vAlign w:val="center"/>
          </w:tcPr>
          <w:p w14:paraId="333214D8">
            <w:pPr>
              <w:keepNext w:val="0"/>
              <w:keepLines w:val="0"/>
              <w:pageBreakBefore w:val="0"/>
              <w:widowControl/>
              <w:suppressLineNumbers w:val="0"/>
              <w:kinsoku/>
              <w:wordWrap/>
              <w:overflowPunct/>
              <w:topLinePunct w:val="0"/>
              <w:autoSpaceDE/>
              <w:autoSpaceDN/>
              <w:bidi w:val="0"/>
              <w:adjustRightInd/>
              <w:snapToGrid/>
              <w:spacing w:beforeAutospacing="0" w:afterAutospacing="0" w:line="34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责令停止生产、进口、销售，没收违法生产、进口、销售的用能产品、设备和违法所得，并处违法所得1倍罚款。</w:t>
            </w:r>
          </w:p>
        </w:tc>
      </w:tr>
      <w:tr w14:paraId="48E55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jc w:val="center"/>
        </w:trPr>
        <w:tc>
          <w:tcPr>
            <w:tcW w:w="250" w:type="pct"/>
            <w:vMerge w:val="continue"/>
            <w:noWrap w:val="0"/>
            <w:vAlign w:val="center"/>
          </w:tcPr>
          <w:p w14:paraId="520B9CB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p>
        </w:tc>
        <w:tc>
          <w:tcPr>
            <w:tcW w:w="598" w:type="pct"/>
            <w:vMerge w:val="continue"/>
            <w:noWrap w:val="0"/>
            <w:vAlign w:val="center"/>
          </w:tcPr>
          <w:p w14:paraId="695CA0F0">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color w:val="000000"/>
                <w:kern w:val="0"/>
                <w:sz w:val="24"/>
                <w:szCs w:val="24"/>
                <w:highlight w:val="none"/>
              </w:rPr>
            </w:pPr>
          </w:p>
        </w:tc>
        <w:tc>
          <w:tcPr>
            <w:tcW w:w="1458" w:type="pct"/>
            <w:vMerge w:val="continue"/>
            <w:noWrap w:val="0"/>
            <w:vAlign w:val="center"/>
          </w:tcPr>
          <w:p w14:paraId="1EEF5BCE">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color w:val="000000"/>
                <w:kern w:val="0"/>
                <w:sz w:val="24"/>
                <w:szCs w:val="24"/>
                <w:highlight w:val="none"/>
              </w:rPr>
            </w:pPr>
          </w:p>
        </w:tc>
        <w:tc>
          <w:tcPr>
            <w:tcW w:w="413" w:type="pct"/>
            <w:noWrap w:val="0"/>
            <w:vAlign w:val="center"/>
          </w:tcPr>
          <w:p w14:paraId="593BAA4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一般</w:t>
            </w:r>
          </w:p>
        </w:tc>
        <w:tc>
          <w:tcPr>
            <w:tcW w:w="1240" w:type="pct"/>
            <w:noWrap w:val="0"/>
            <w:vAlign w:val="center"/>
          </w:tcPr>
          <w:p w14:paraId="02FCAAD4">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货值金额5万元以上</w:t>
            </w:r>
            <w:r>
              <w:rPr>
                <w:rFonts w:hint="eastAsia" w:ascii="宋体" w:hAnsi="宋体" w:cs="宋体"/>
                <w:kern w:val="0"/>
                <w:sz w:val="24"/>
                <w:szCs w:val="24"/>
                <w:lang w:val="en-US" w:eastAsia="zh-CN" w:bidi="ar"/>
              </w:rPr>
              <w:t>2</w:t>
            </w:r>
            <w:r>
              <w:rPr>
                <w:rFonts w:hint="eastAsia" w:ascii="宋体" w:hAnsi="宋体" w:eastAsia="宋体" w:cs="宋体"/>
                <w:kern w:val="0"/>
                <w:sz w:val="24"/>
                <w:szCs w:val="24"/>
                <w:lang w:val="en-US" w:eastAsia="zh-CN" w:bidi="ar"/>
              </w:rPr>
              <w:t>0万元以下，或者销售者无法说明其进货来源的。</w:t>
            </w:r>
          </w:p>
        </w:tc>
        <w:tc>
          <w:tcPr>
            <w:tcW w:w="1038" w:type="pct"/>
            <w:noWrap w:val="0"/>
            <w:vAlign w:val="center"/>
          </w:tcPr>
          <w:p w14:paraId="2C9646BA">
            <w:pPr>
              <w:keepNext w:val="0"/>
              <w:keepLines w:val="0"/>
              <w:pageBreakBefore w:val="0"/>
              <w:widowControl/>
              <w:suppressLineNumbers w:val="0"/>
              <w:kinsoku/>
              <w:wordWrap/>
              <w:overflowPunct/>
              <w:topLinePunct w:val="0"/>
              <w:autoSpaceDE/>
              <w:autoSpaceDN/>
              <w:bidi w:val="0"/>
              <w:adjustRightInd/>
              <w:snapToGrid/>
              <w:spacing w:beforeAutospacing="0" w:afterAutospacing="0" w:line="37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责令停止生产、进口、销售，没收违法生产、进口、销售的用能产品、设备和违法所得，并处违法所得1倍以上3倍以下罚款。</w:t>
            </w:r>
          </w:p>
        </w:tc>
      </w:tr>
      <w:tr w14:paraId="5AD4F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250" w:type="pct"/>
            <w:vMerge w:val="continue"/>
            <w:noWrap w:val="0"/>
            <w:vAlign w:val="center"/>
          </w:tcPr>
          <w:p w14:paraId="65F319B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p>
        </w:tc>
        <w:tc>
          <w:tcPr>
            <w:tcW w:w="598" w:type="pct"/>
            <w:vMerge w:val="continue"/>
            <w:noWrap w:val="0"/>
            <w:vAlign w:val="center"/>
          </w:tcPr>
          <w:p w14:paraId="66C03A58">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p>
        </w:tc>
        <w:tc>
          <w:tcPr>
            <w:tcW w:w="1458" w:type="pct"/>
            <w:vMerge w:val="continue"/>
            <w:noWrap w:val="0"/>
            <w:vAlign w:val="center"/>
          </w:tcPr>
          <w:p w14:paraId="5032D2B5">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strike/>
                <w:color w:val="000000"/>
                <w:kern w:val="0"/>
                <w:sz w:val="24"/>
                <w:szCs w:val="24"/>
                <w:highlight w:val="none"/>
              </w:rPr>
            </w:pPr>
          </w:p>
        </w:tc>
        <w:tc>
          <w:tcPr>
            <w:tcW w:w="413" w:type="pct"/>
            <w:noWrap w:val="0"/>
            <w:vAlign w:val="center"/>
          </w:tcPr>
          <w:p w14:paraId="02A8AC5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较重</w:t>
            </w:r>
          </w:p>
        </w:tc>
        <w:tc>
          <w:tcPr>
            <w:tcW w:w="1240" w:type="pct"/>
            <w:noWrap w:val="0"/>
            <w:vAlign w:val="center"/>
          </w:tcPr>
          <w:p w14:paraId="2406EFAE">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货值金额</w:t>
            </w:r>
            <w:r>
              <w:rPr>
                <w:rFonts w:hint="eastAsia" w:ascii="宋体" w:hAnsi="宋体" w:cs="宋体"/>
                <w:kern w:val="0"/>
                <w:sz w:val="24"/>
                <w:szCs w:val="24"/>
                <w:lang w:val="en-US" w:eastAsia="zh-CN" w:bidi="ar"/>
              </w:rPr>
              <w:t>2</w:t>
            </w:r>
            <w:r>
              <w:rPr>
                <w:rFonts w:hint="eastAsia" w:ascii="宋体" w:hAnsi="宋体" w:eastAsia="宋体" w:cs="宋体"/>
                <w:kern w:val="0"/>
                <w:sz w:val="24"/>
                <w:szCs w:val="24"/>
                <w:lang w:val="en-US" w:eastAsia="zh-CN" w:bidi="ar"/>
              </w:rPr>
              <w:t>0万元以上50万元以下，或者属主观故意等其他较重情节。</w:t>
            </w:r>
          </w:p>
        </w:tc>
        <w:tc>
          <w:tcPr>
            <w:tcW w:w="1038" w:type="pct"/>
            <w:noWrap w:val="0"/>
            <w:vAlign w:val="center"/>
          </w:tcPr>
          <w:p w14:paraId="344141D4">
            <w:pPr>
              <w:keepNext w:val="0"/>
              <w:keepLines w:val="0"/>
              <w:pageBreakBefore w:val="0"/>
              <w:widowControl/>
              <w:suppressLineNumbers w:val="0"/>
              <w:kinsoku/>
              <w:wordWrap/>
              <w:overflowPunct/>
              <w:topLinePunct w:val="0"/>
              <w:autoSpaceDE/>
              <w:autoSpaceDN/>
              <w:bidi w:val="0"/>
              <w:adjustRightInd/>
              <w:snapToGrid/>
              <w:spacing w:beforeAutospacing="0" w:afterAutospacing="0" w:line="37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责令停止生产、进口、销售，没收违法生产、进口、销售的用能产品、设备和违法所得，并处违法所得3倍以上5倍以下罚款。</w:t>
            </w:r>
          </w:p>
        </w:tc>
      </w:tr>
      <w:tr w14:paraId="0AA2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6" w:hRule="atLeast"/>
          <w:jc w:val="center"/>
        </w:trPr>
        <w:tc>
          <w:tcPr>
            <w:tcW w:w="250" w:type="pct"/>
            <w:vMerge w:val="continue"/>
            <w:noWrap w:val="0"/>
            <w:vAlign w:val="center"/>
          </w:tcPr>
          <w:p w14:paraId="2A6D3DD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p>
        </w:tc>
        <w:tc>
          <w:tcPr>
            <w:tcW w:w="598" w:type="pct"/>
            <w:vMerge w:val="continue"/>
            <w:noWrap w:val="0"/>
            <w:vAlign w:val="center"/>
          </w:tcPr>
          <w:p w14:paraId="5A339D06">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p>
        </w:tc>
        <w:tc>
          <w:tcPr>
            <w:tcW w:w="1458" w:type="pct"/>
            <w:vMerge w:val="continue"/>
            <w:noWrap w:val="0"/>
            <w:vAlign w:val="center"/>
          </w:tcPr>
          <w:p w14:paraId="1C6F4ED6">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strike/>
                <w:color w:val="000000"/>
                <w:kern w:val="0"/>
                <w:sz w:val="24"/>
                <w:szCs w:val="24"/>
                <w:highlight w:val="none"/>
              </w:rPr>
            </w:pPr>
          </w:p>
        </w:tc>
        <w:tc>
          <w:tcPr>
            <w:tcW w:w="413" w:type="pct"/>
            <w:noWrap w:val="0"/>
            <w:vAlign w:val="center"/>
          </w:tcPr>
          <w:p w14:paraId="7E1F810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strike w:val="0"/>
                <w:color w:val="000000"/>
                <w:kern w:val="0"/>
                <w:sz w:val="24"/>
                <w:szCs w:val="24"/>
                <w:highlight w:val="none"/>
              </w:rPr>
              <w:t>严重</w:t>
            </w:r>
          </w:p>
        </w:tc>
        <w:tc>
          <w:tcPr>
            <w:tcW w:w="1240" w:type="pct"/>
            <w:noWrap w:val="0"/>
            <w:vAlign w:val="center"/>
          </w:tcPr>
          <w:p w14:paraId="198E4609">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货值金额50万元以上，或者违法行为造成危害后果的。</w:t>
            </w:r>
          </w:p>
        </w:tc>
        <w:tc>
          <w:tcPr>
            <w:tcW w:w="1038" w:type="pct"/>
            <w:noWrap w:val="0"/>
            <w:vAlign w:val="center"/>
          </w:tcPr>
          <w:p w14:paraId="006581E6">
            <w:pPr>
              <w:keepNext w:val="0"/>
              <w:keepLines w:val="0"/>
              <w:pageBreakBefore w:val="0"/>
              <w:widowControl/>
              <w:suppressLineNumbers w:val="0"/>
              <w:kinsoku/>
              <w:wordWrap/>
              <w:overflowPunct/>
              <w:topLinePunct w:val="0"/>
              <w:autoSpaceDE/>
              <w:autoSpaceDN/>
              <w:bidi w:val="0"/>
              <w:adjustRightInd/>
              <w:snapToGrid/>
              <w:spacing w:beforeAutospacing="0" w:afterAutospacing="0" w:line="37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责令停止生产、进口、销售，没收违法生产、进口、销售的用能产品、设备和违法所得，并处违法所得5倍罚款；情节严重的，吊销营业执照。</w:t>
            </w:r>
          </w:p>
        </w:tc>
      </w:tr>
      <w:tr w14:paraId="45DF2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50" w:type="pct"/>
            <w:vMerge w:val="restart"/>
            <w:noWrap w:val="0"/>
            <w:vAlign w:val="center"/>
          </w:tcPr>
          <w:p w14:paraId="028F0BB7">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rPr>
              <w:t>3</w:t>
            </w:r>
            <w:r>
              <w:rPr>
                <w:rFonts w:hint="eastAsia" w:ascii="宋体" w:hAnsi="宋体" w:cs="宋体"/>
                <w:b w:val="0"/>
                <w:bCs w:val="0"/>
                <w:color w:val="000000"/>
                <w:kern w:val="0"/>
                <w:sz w:val="24"/>
                <w:szCs w:val="24"/>
                <w:highlight w:val="none"/>
                <w:lang w:val="en-US" w:eastAsia="zh-CN"/>
              </w:rPr>
              <w:t>79</w:t>
            </w:r>
          </w:p>
        </w:tc>
        <w:tc>
          <w:tcPr>
            <w:tcW w:w="598" w:type="pct"/>
            <w:vMerge w:val="restart"/>
            <w:noWrap w:val="0"/>
            <w:vAlign w:val="center"/>
          </w:tcPr>
          <w:p w14:paraId="045AC28E">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r>
              <w:rPr>
                <w:rFonts w:hint="eastAsia" w:ascii="宋体" w:hAnsi="宋体" w:eastAsia="宋体" w:cs="宋体"/>
                <w:b w:val="0"/>
                <w:bCs w:val="0"/>
                <w:color w:val="auto"/>
                <w:kern w:val="0"/>
                <w:sz w:val="24"/>
                <w:szCs w:val="24"/>
                <w:highlight w:val="none"/>
                <w:lang w:val="en-US" w:eastAsia="zh-CN"/>
              </w:rPr>
              <w:t>《中华人民共和国节约能源法》</w:t>
            </w:r>
          </w:p>
        </w:tc>
        <w:tc>
          <w:tcPr>
            <w:tcW w:w="1458" w:type="pct"/>
            <w:vMerge w:val="restart"/>
            <w:noWrap w:val="0"/>
            <w:vAlign w:val="center"/>
          </w:tcPr>
          <w:p w14:paraId="6863EA5E">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strike/>
                <w:color w:val="000000"/>
                <w:kern w:val="0"/>
                <w:sz w:val="24"/>
                <w:szCs w:val="24"/>
                <w:highlight w:val="none"/>
              </w:rPr>
            </w:pPr>
            <w:r>
              <w:rPr>
                <w:rFonts w:hint="eastAsia" w:ascii="宋体" w:hAnsi="宋体" w:eastAsia="宋体" w:cs="宋体"/>
                <w:kern w:val="0"/>
                <w:sz w:val="24"/>
                <w:szCs w:val="24"/>
                <w:lang w:val="en-US" w:eastAsia="zh-CN" w:bidi="ar"/>
              </w:rPr>
              <w:t>第七十三条第一款</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违反本法规定，应当标注能源效率标识而未标注的，由市场监督管理部门责令改正，处三万元以上五万元以下罚款。</w:t>
            </w:r>
          </w:p>
        </w:tc>
        <w:tc>
          <w:tcPr>
            <w:tcW w:w="413" w:type="pct"/>
            <w:noWrap w:val="0"/>
            <w:vAlign w:val="center"/>
          </w:tcPr>
          <w:p w14:paraId="3115492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strike w:val="0"/>
                <w:color w:val="000000"/>
                <w:kern w:val="0"/>
                <w:sz w:val="24"/>
                <w:szCs w:val="24"/>
                <w:highlight w:val="none"/>
              </w:rPr>
            </w:pPr>
            <w:r>
              <w:rPr>
                <w:rFonts w:hint="eastAsia" w:ascii="宋体" w:hAnsi="宋体" w:eastAsia="宋体" w:cs="宋体"/>
                <w:b w:val="0"/>
                <w:bCs w:val="0"/>
                <w:color w:val="000000"/>
                <w:kern w:val="0"/>
                <w:sz w:val="24"/>
                <w:szCs w:val="24"/>
                <w:highlight w:val="none"/>
              </w:rPr>
              <w:t>较轻</w:t>
            </w:r>
          </w:p>
        </w:tc>
        <w:tc>
          <w:tcPr>
            <w:tcW w:w="1240" w:type="pct"/>
            <w:noWrap w:val="0"/>
            <w:vAlign w:val="center"/>
          </w:tcPr>
          <w:p w14:paraId="601C4170">
            <w:pPr>
              <w:keepNext w:val="0"/>
              <w:keepLines w:val="0"/>
              <w:pageBreakBefore w:val="0"/>
              <w:widowControl/>
              <w:suppressLineNumbers w:val="0"/>
              <w:kinsoku/>
              <w:wordWrap/>
              <w:overflowPunct/>
              <w:topLinePunct w:val="0"/>
              <w:autoSpaceDE/>
              <w:autoSpaceDN/>
              <w:bidi w:val="0"/>
              <w:adjustRightInd/>
              <w:snapToGrid/>
              <w:spacing w:beforeAutospacing="0" w:afterAutospacing="0" w:line="38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货值金额</w:t>
            </w:r>
            <w:r>
              <w:rPr>
                <w:rFonts w:hint="default" w:ascii="宋体" w:hAnsi="宋体" w:cs="宋体"/>
                <w:kern w:val="0"/>
                <w:sz w:val="24"/>
                <w:szCs w:val="24"/>
                <w:lang w:val="en" w:eastAsia="zh-CN" w:bidi="ar"/>
              </w:rPr>
              <w:t>5</w:t>
            </w:r>
            <w:r>
              <w:rPr>
                <w:rFonts w:hint="eastAsia" w:ascii="宋体" w:hAnsi="宋体" w:eastAsia="宋体" w:cs="宋体"/>
                <w:kern w:val="0"/>
                <w:sz w:val="24"/>
                <w:szCs w:val="24"/>
                <w:lang w:val="en-US" w:eastAsia="zh-CN" w:bidi="ar"/>
              </w:rPr>
              <w:t>万元以下的。</w:t>
            </w:r>
          </w:p>
        </w:tc>
        <w:tc>
          <w:tcPr>
            <w:tcW w:w="1038" w:type="pct"/>
            <w:noWrap w:val="0"/>
            <w:vAlign w:val="center"/>
          </w:tcPr>
          <w:p w14:paraId="7F7A95BF">
            <w:pPr>
              <w:keepNext w:val="0"/>
              <w:keepLines w:val="0"/>
              <w:pageBreakBefore w:val="0"/>
              <w:widowControl/>
              <w:suppressLineNumbers w:val="0"/>
              <w:kinsoku/>
              <w:wordWrap/>
              <w:overflowPunct/>
              <w:topLinePunct w:val="0"/>
              <w:autoSpaceDE/>
              <w:autoSpaceDN/>
              <w:bidi w:val="0"/>
              <w:adjustRightInd/>
              <w:snapToGrid/>
              <w:spacing w:beforeAutospacing="0" w:afterAutospacing="0" w:line="38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责令改正，处</w:t>
            </w:r>
            <w:r>
              <w:rPr>
                <w:rFonts w:hint="eastAsia" w:ascii="宋体" w:hAnsi="宋体" w:cs="宋体"/>
                <w:kern w:val="0"/>
                <w:sz w:val="24"/>
                <w:szCs w:val="24"/>
                <w:lang w:val="en-US" w:eastAsia="zh-CN" w:bidi="ar"/>
              </w:rPr>
              <w:t>3</w:t>
            </w:r>
            <w:r>
              <w:rPr>
                <w:rFonts w:hint="eastAsia" w:ascii="宋体" w:hAnsi="宋体" w:eastAsia="宋体" w:cs="宋体"/>
                <w:kern w:val="0"/>
                <w:sz w:val="24"/>
                <w:szCs w:val="24"/>
                <w:lang w:val="en-US" w:eastAsia="zh-CN" w:bidi="ar"/>
              </w:rPr>
              <w:t>万元罚款。</w:t>
            </w:r>
          </w:p>
        </w:tc>
      </w:tr>
      <w:tr w14:paraId="7B0D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250" w:type="pct"/>
            <w:vMerge w:val="continue"/>
            <w:noWrap w:val="0"/>
            <w:vAlign w:val="center"/>
          </w:tcPr>
          <w:p w14:paraId="193E7EA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p>
        </w:tc>
        <w:tc>
          <w:tcPr>
            <w:tcW w:w="598" w:type="pct"/>
            <w:vMerge w:val="continue"/>
            <w:noWrap w:val="0"/>
            <w:vAlign w:val="center"/>
          </w:tcPr>
          <w:p w14:paraId="38F3A545">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p>
        </w:tc>
        <w:tc>
          <w:tcPr>
            <w:tcW w:w="1458" w:type="pct"/>
            <w:vMerge w:val="continue"/>
            <w:noWrap w:val="0"/>
            <w:vAlign w:val="center"/>
          </w:tcPr>
          <w:p w14:paraId="49899690">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strike/>
                <w:color w:val="000000"/>
                <w:kern w:val="0"/>
                <w:sz w:val="24"/>
                <w:szCs w:val="24"/>
                <w:highlight w:val="none"/>
              </w:rPr>
            </w:pPr>
          </w:p>
        </w:tc>
        <w:tc>
          <w:tcPr>
            <w:tcW w:w="413" w:type="pct"/>
            <w:noWrap w:val="0"/>
            <w:vAlign w:val="center"/>
          </w:tcPr>
          <w:p w14:paraId="70769F6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strike w:val="0"/>
                <w:color w:val="000000"/>
                <w:kern w:val="0"/>
                <w:sz w:val="24"/>
                <w:szCs w:val="24"/>
                <w:highlight w:val="none"/>
              </w:rPr>
            </w:pPr>
            <w:r>
              <w:rPr>
                <w:rFonts w:hint="eastAsia" w:ascii="宋体" w:hAnsi="宋体" w:eastAsia="宋体" w:cs="宋体"/>
                <w:b w:val="0"/>
                <w:bCs w:val="0"/>
                <w:color w:val="000000"/>
                <w:kern w:val="0"/>
                <w:sz w:val="24"/>
                <w:szCs w:val="24"/>
                <w:highlight w:val="none"/>
              </w:rPr>
              <w:t>一般</w:t>
            </w:r>
          </w:p>
        </w:tc>
        <w:tc>
          <w:tcPr>
            <w:tcW w:w="1240" w:type="pct"/>
            <w:noWrap w:val="0"/>
            <w:vAlign w:val="center"/>
          </w:tcPr>
          <w:p w14:paraId="5F1D22DC">
            <w:pPr>
              <w:keepNext w:val="0"/>
              <w:keepLines w:val="0"/>
              <w:pageBreakBefore w:val="0"/>
              <w:widowControl/>
              <w:suppressLineNumbers w:val="0"/>
              <w:kinsoku/>
              <w:wordWrap/>
              <w:overflowPunct/>
              <w:topLinePunct w:val="0"/>
              <w:autoSpaceDE/>
              <w:autoSpaceDN/>
              <w:bidi w:val="0"/>
              <w:adjustRightInd/>
              <w:snapToGrid/>
              <w:spacing w:beforeAutospacing="0" w:afterAutospacing="0" w:line="38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货值金额</w:t>
            </w:r>
            <w:r>
              <w:rPr>
                <w:rFonts w:hint="default" w:ascii="宋体" w:hAnsi="宋体" w:cs="宋体"/>
                <w:kern w:val="0"/>
                <w:sz w:val="24"/>
                <w:szCs w:val="24"/>
                <w:lang w:val="en" w:eastAsia="zh-CN" w:bidi="ar"/>
              </w:rPr>
              <w:t>5</w:t>
            </w:r>
            <w:r>
              <w:rPr>
                <w:rFonts w:hint="eastAsia" w:ascii="宋体" w:hAnsi="宋体" w:eastAsia="宋体" w:cs="宋体"/>
                <w:kern w:val="0"/>
                <w:sz w:val="24"/>
                <w:szCs w:val="24"/>
                <w:lang w:val="en-US" w:eastAsia="zh-CN" w:bidi="ar"/>
              </w:rPr>
              <w:t>万元以上</w:t>
            </w:r>
            <w:r>
              <w:rPr>
                <w:rFonts w:hint="eastAsia" w:ascii="宋体" w:hAnsi="宋体" w:cs="宋体"/>
                <w:kern w:val="0"/>
                <w:sz w:val="24"/>
                <w:szCs w:val="24"/>
                <w:lang w:val="en-US" w:eastAsia="zh-CN" w:bidi="ar"/>
              </w:rPr>
              <w:t>2</w:t>
            </w:r>
            <w:r>
              <w:rPr>
                <w:rFonts w:hint="default" w:ascii="宋体" w:hAnsi="宋体" w:cs="宋体"/>
                <w:kern w:val="0"/>
                <w:sz w:val="24"/>
                <w:szCs w:val="24"/>
                <w:lang w:val="en" w:eastAsia="zh-CN" w:bidi="ar"/>
              </w:rPr>
              <w:t>0</w:t>
            </w:r>
            <w:r>
              <w:rPr>
                <w:rFonts w:hint="eastAsia" w:ascii="宋体" w:hAnsi="宋体" w:eastAsia="宋体" w:cs="宋体"/>
                <w:kern w:val="0"/>
                <w:sz w:val="24"/>
                <w:szCs w:val="24"/>
                <w:lang w:val="en-US" w:eastAsia="zh-CN" w:bidi="ar"/>
              </w:rPr>
              <w:t>万元以下的。</w:t>
            </w:r>
          </w:p>
        </w:tc>
        <w:tc>
          <w:tcPr>
            <w:tcW w:w="1038" w:type="pct"/>
            <w:noWrap w:val="0"/>
            <w:vAlign w:val="center"/>
          </w:tcPr>
          <w:p w14:paraId="0ABEFF8C">
            <w:pPr>
              <w:keepNext w:val="0"/>
              <w:keepLines w:val="0"/>
              <w:pageBreakBefore w:val="0"/>
              <w:widowControl/>
              <w:suppressLineNumbers w:val="0"/>
              <w:kinsoku/>
              <w:wordWrap/>
              <w:overflowPunct/>
              <w:topLinePunct w:val="0"/>
              <w:autoSpaceDE/>
              <w:autoSpaceDN/>
              <w:bidi w:val="0"/>
              <w:adjustRightInd/>
              <w:snapToGrid/>
              <w:spacing w:beforeAutospacing="0" w:afterAutospacing="0" w:line="38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责令改正，处</w:t>
            </w:r>
            <w:r>
              <w:rPr>
                <w:rFonts w:hint="eastAsia" w:ascii="宋体" w:hAnsi="宋体" w:cs="宋体"/>
                <w:kern w:val="0"/>
                <w:sz w:val="24"/>
                <w:szCs w:val="24"/>
                <w:lang w:val="en-US" w:eastAsia="zh-CN" w:bidi="ar"/>
              </w:rPr>
              <w:t>3</w:t>
            </w:r>
            <w:r>
              <w:rPr>
                <w:rFonts w:hint="eastAsia" w:ascii="宋体" w:hAnsi="宋体" w:eastAsia="宋体" w:cs="宋体"/>
                <w:kern w:val="0"/>
                <w:sz w:val="24"/>
                <w:szCs w:val="24"/>
                <w:lang w:val="en-US" w:eastAsia="zh-CN" w:bidi="ar"/>
              </w:rPr>
              <w:t>万元以上</w:t>
            </w:r>
            <w:r>
              <w:rPr>
                <w:rFonts w:hint="eastAsia" w:ascii="宋体" w:hAnsi="宋体" w:cs="宋体"/>
                <w:kern w:val="0"/>
                <w:sz w:val="24"/>
                <w:szCs w:val="24"/>
                <w:lang w:val="en-US" w:eastAsia="zh-CN" w:bidi="ar"/>
              </w:rPr>
              <w:t>4</w:t>
            </w:r>
            <w:r>
              <w:rPr>
                <w:rFonts w:hint="eastAsia" w:ascii="宋体" w:hAnsi="宋体" w:eastAsia="宋体" w:cs="宋体"/>
                <w:kern w:val="0"/>
                <w:sz w:val="24"/>
                <w:szCs w:val="24"/>
                <w:lang w:val="en-US" w:eastAsia="zh-CN" w:bidi="ar"/>
              </w:rPr>
              <w:t>万元以下罚款。</w:t>
            </w:r>
          </w:p>
        </w:tc>
      </w:tr>
      <w:tr w14:paraId="3D74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2EB406E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p>
        </w:tc>
        <w:tc>
          <w:tcPr>
            <w:tcW w:w="598" w:type="pct"/>
            <w:vMerge w:val="continue"/>
            <w:noWrap w:val="0"/>
            <w:vAlign w:val="center"/>
          </w:tcPr>
          <w:p w14:paraId="1EFE6222">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p>
        </w:tc>
        <w:tc>
          <w:tcPr>
            <w:tcW w:w="1458" w:type="pct"/>
            <w:vMerge w:val="continue"/>
            <w:noWrap w:val="0"/>
            <w:vAlign w:val="center"/>
          </w:tcPr>
          <w:p w14:paraId="3104BDD7">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strike/>
                <w:color w:val="000000"/>
                <w:kern w:val="0"/>
                <w:sz w:val="24"/>
                <w:szCs w:val="24"/>
                <w:highlight w:val="none"/>
              </w:rPr>
            </w:pPr>
          </w:p>
        </w:tc>
        <w:tc>
          <w:tcPr>
            <w:tcW w:w="413" w:type="pct"/>
            <w:noWrap w:val="0"/>
            <w:vAlign w:val="center"/>
          </w:tcPr>
          <w:p w14:paraId="5297208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strike w:val="0"/>
                <w:color w:val="000000"/>
                <w:kern w:val="0"/>
                <w:sz w:val="24"/>
                <w:szCs w:val="24"/>
                <w:highlight w:val="none"/>
              </w:rPr>
            </w:pPr>
            <w:r>
              <w:rPr>
                <w:rFonts w:hint="eastAsia" w:ascii="宋体" w:hAnsi="宋体" w:eastAsia="宋体" w:cs="宋体"/>
                <w:b w:val="0"/>
                <w:bCs w:val="0"/>
                <w:color w:val="000000"/>
                <w:kern w:val="0"/>
                <w:sz w:val="24"/>
                <w:szCs w:val="24"/>
                <w:highlight w:val="none"/>
              </w:rPr>
              <w:t>较重</w:t>
            </w:r>
          </w:p>
        </w:tc>
        <w:tc>
          <w:tcPr>
            <w:tcW w:w="1240" w:type="pct"/>
            <w:noWrap w:val="0"/>
            <w:vAlign w:val="center"/>
          </w:tcPr>
          <w:p w14:paraId="405E6A42">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lang w:eastAsia="zh-CN"/>
              </w:rPr>
              <w:t>货值金额</w:t>
            </w:r>
            <w:r>
              <w:rPr>
                <w:rFonts w:hint="eastAsia" w:ascii="宋体" w:hAnsi="宋体" w:cs="宋体"/>
                <w:b w:val="0"/>
                <w:bCs w:val="0"/>
                <w:color w:val="000000"/>
                <w:kern w:val="0"/>
                <w:sz w:val="24"/>
                <w:szCs w:val="24"/>
                <w:highlight w:val="none"/>
                <w:lang w:val="en-US" w:eastAsia="zh-CN"/>
              </w:rPr>
              <w:t>2</w:t>
            </w:r>
            <w:r>
              <w:rPr>
                <w:rFonts w:hint="default" w:ascii="宋体" w:hAnsi="宋体" w:cs="宋体"/>
                <w:b w:val="0"/>
                <w:bCs w:val="0"/>
                <w:color w:val="000000"/>
                <w:kern w:val="0"/>
                <w:sz w:val="24"/>
                <w:szCs w:val="24"/>
                <w:highlight w:val="none"/>
                <w:lang w:val="en" w:eastAsia="zh-CN"/>
              </w:rPr>
              <w:t>0</w:t>
            </w:r>
            <w:r>
              <w:rPr>
                <w:rFonts w:hint="eastAsia" w:ascii="宋体" w:hAnsi="宋体" w:eastAsia="宋体" w:cs="宋体"/>
                <w:b w:val="0"/>
                <w:bCs w:val="0"/>
                <w:color w:val="000000"/>
                <w:kern w:val="0"/>
                <w:sz w:val="24"/>
                <w:szCs w:val="24"/>
                <w:highlight w:val="none"/>
                <w:lang w:eastAsia="zh-CN"/>
              </w:rPr>
              <w:t>万元以上的。</w:t>
            </w:r>
          </w:p>
        </w:tc>
        <w:tc>
          <w:tcPr>
            <w:tcW w:w="1038" w:type="pct"/>
            <w:noWrap w:val="0"/>
            <w:vAlign w:val="center"/>
          </w:tcPr>
          <w:p w14:paraId="1F74AA05">
            <w:pPr>
              <w:keepNext w:val="0"/>
              <w:keepLines w:val="0"/>
              <w:pageBreakBefore w:val="0"/>
              <w:widowControl/>
              <w:suppressLineNumbers w:val="0"/>
              <w:kinsoku/>
              <w:wordWrap/>
              <w:overflowPunct/>
              <w:topLinePunct w:val="0"/>
              <w:autoSpaceDE/>
              <w:autoSpaceDN/>
              <w:bidi w:val="0"/>
              <w:adjustRightInd/>
              <w:snapToGrid/>
              <w:spacing w:beforeAutospacing="0" w:afterAutospacing="0" w:line="38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责令改正，处</w:t>
            </w:r>
            <w:r>
              <w:rPr>
                <w:rFonts w:hint="eastAsia" w:ascii="宋体" w:hAnsi="宋体" w:cs="宋体"/>
                <w:kern w:val="0"/>
                <w:sz w:val="24"/>
                <w:szCs w:val="24"/>
                <w:lang w:val="en-US" w:eastAsia="zh-CN" w:bidi="ar"/>
              </w:rPr>
              <w:t>4</w:t>
            </w:r>
            <w:r>
              <w:rPr>
                <w:rFonts w:hint="eastAsia" w:ascii="宋体" w:hAnsi="宋体" w:eastAsia="宋体" w:cs="宋体"/>
                <w:kern w:val="0"/>
                <w:sz w:val="24"/>
                <w:szCs w:val="24"/>
                <w:lang w:val="en-US" w:eastAsia="zh-CN" w:bidi="ar"/>
              </w:rPr>
              <w:t>万元以上</w:t>
            </w:r>
            <w:r>
              <w:rPr>
                <w:rFonts w:hint="eastAsia" w:ascii="宋体" w:hAnsi="宋体" w:cs="宋体"/>
                <w:kern w:val="0"/>
                <w:sz w:val="24"/>
                <w:szCs w:val="24"/>
                <w:lang w:val="en-US" w:eastAsia="zh-CN" w:bidi="ar"/>
              </w:rPr>
              <w:t>5</w:t>
            </w:r>
            <w:r>
              <w:rPr>
                <w:rFonts w:hint="eastAsia" w:ascii="宋体" w:hAnsi="宋体" w:eastAsia="宋体" w:cs="宋体"/>
                <w:kern w:val="0"/>
                <w:sz w:val="24"/>
                <w:szCs w:val="24"/>
                <w:lang w:val="en-US" w:eastAsia="zh-CN" w:bidi="ar"/>
              </w:rPr>
              <w:t>万元以下罚款。</w:t>
            </w:r>
          </w:p>
        </w:tc>
      </w:tr>
      <w:tr w14:paraId="05BB4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50" w:type="pct"/>
            <w:vMerge w:val="restart"/>
            <w:noWrap w:val="0"/>
            <w:vAlign w:val="center"/>
          </w:tcPr>
          <w:p w14:paraId="436DA04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rPr>
              <w:t>3</w:t>
            </w:r>
            <w:r>
              <w:rPr>
                <w:rFonts w:hint="eastAsia" w:ascii="宋体" w:hAnsi="宋体" w:cs="宋体"/>
                <w:b w:val="0"/>
                <w:bCs w:val="0"/>
                <w:color w:val="000000"/>
                <w:kern w:val="0"/>
                <w:sz w:val="24"/>
                <w:szCs w:val="24"/>
                <w:highlight w:val="none"/>
                <w:lang w:val="en-US" w:eastAsia="zh-CN"/>
              </w:rPr>
              <w:t>80</w:t>
            </w:r>
          </w:p>
        </w:tc>
        <w:tc>
          <w:tcPr>
            <w:tcW w:w="598" w:type="pct"/>
            <w:vMerge w:val="restart"/>
            <w:noWrap w:val="0"/>
            <w:vAlign w:val="center"/>
          </w:tcPr>
          <w:p w14:paraId="1C938BA4">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r>
              <w:rPr>
                <w:rFonts w:hint="eastAsia" w:ascii="宋体" w:hAnsi="宋体" w:eastAsia="宋体" w:cs="宋体"/>
                <w:b w:val="0"/>
                <w:bCs w:val="0"/>
                <w:color w:val="auto"/>
                <w:kern w:val="0"/>
                <w:sz w:val="24"/>
                <w:szCs w:val="24"/>
                <w:highlight w:val="none"/>
                <w:lang w:val="en-US" w:eastAsia="zh-CN"/>
              </w:rPr>
              <w:t>《中华人民共和国节约能源法》</w:t>
            </w:r>
          </w:p>
        </w:tc>
        <w:tc>
          <w:tcPr>
            <w:tcW w:w="1458" w:type="pct"/>
            <w:vMerge w:val="restart"/>
            <w:noWrap w:val="0"/>
            <w:vAlign w:val="center"/>
          </w:tcPr>
          <w:p w14:paraId="180701AC">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第七十三条第二款</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违反本法规定，未办理能源效率标识备案，或者使用的能源效率标识不符合规定的，由市场监督管理部门责令限期改正；逾期不改正的，处一万元以上三万元以下罚款。</w:t>
            </w:r>
          </w:p>
        </w:tc>
        <w:tc>
          <w:tcPr>
            <w:tcW w:w="413" w:type="pct"/>
            <w:noWrap w:val="0"/>
            <w:vAlign w:val="center"/>
          </w:tcPr>
          <w:p w14:paraId="2C7AAEF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较轻</w:t>
            </w:r>
          </w:p>
        </w:tc>
        <w:tc>
          <w:tcPr>
            <w:tcW w:w="1240" w:type="pct"/>
            <w:noWrap w:val="0"/>
            <w:vAlign w:val="center"/>
          </w:tcPr>
          <w:p w14:paraId="73DB5314">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lang w:eastAsia="zh-CN"/>
              </w:rPr>
              <w:t>货值金额</w:t>
            </w:r>
            <w:r>
              <w:rPr>
                <w:rFonts w:hint="default" w:ascii="宋体" w:hAnsi="宋体" w:cs="宋体"/>
                <w:b w:val="0"/>
                <w:bCs w:val="0"/>
                <w:color w:val="000000"/>
                <w:kern w:val="0"/>
                <w:sz w:val="24"/>
                <w:szCs w:val="24"/>
                <w:highlight w:val="none"/>
                <w:lang w:val="en" w:eastAsia="zh-CN"/>
              </w:rPr>
              <w:t>5</w:t>
            </w:r>
            <w:r>
              <w:rPr>
                <w:rFonts w:hint="eastAsia" w:ascii="宋体" w:hAnsi="宋体" w:eastAsia="宋体" w:cs="宋体"/>
                <w:b w:val="0"/>
                <w:bCs w:val="0"/>
                <w:color w:val="000000"/>
                <w:kern w:val="0"/>
                <w:sz w:val="24"/>
                <w:szCs w:val="24"/>
                <w:highlight w:val="none"/>
                <w:lang w:eastAsia="zh-CN"/>
              </w:rPr>
              <w:t>万元以下的。</w:t>
            </w:r>
          </w:p>
        </w:tc>
        <w:tc>
          <w:tcPr>
            <w:tcW w:w="1038" w:type="pct"/>
            <w:noWrap w:val="0"/>
            <w:vAlign w:val="center"/>
          </w:tcPr>
          <w:p w14:paraId="64A86260">
            <w:pPr>
              <w:keepNext w:val="0"/>
              <w:keepLines w:val="0"/>
              <w:pageBreakBefore w:val="0"/>
              <w:widowControl/>
              <w:suppressLineNumbers w:val="0"/>
              <w:kinsoku/>
              <w:wordWrap/>
              <w:overflowPunct/>
              <w:topLinePunct w:val="0"/>
              <w:autoSpaceDE/>
              <w:autoSpaceDN/>
              <w:bidi w:val="0"/>
              <w:adjustRightInd/>
              <w:snapToGrid/>
              <w:spacing w:beforeAutospacing="0" w:afterAutospacing="0" w:line="380" w:lineRule="exact"/>
              <w:jc w:val="both"/>
              <w:textAlignment w:val="auto"/>
              <w:rPr>
                <w:rFonts w:hint="eastAsia" w:ascii="宋体" w:hAnsi="宋体" w:eastAsia="宋体" w:cs="宋体"/>
                <w:b w:val="0"/>
                <w:bCs w:val="0"/>
                <w:kern w:val="0"/>
                <w:sz w:val="24"/>
                <w:szCs w:val="24"/>
                <w:lang w:val="en-US" w:eastAsia="zh-CN" w:bidi="ar"/>
              </w:rPr>
            </w:pPr>
            <w:r>
              <w:rPr>
                <w:rFonts w:hint="eastAsia" w:ascii="宋体" w:hAnsi="宋体" w:eastAsia="宋体" w:cs="宋体"/>
                <w:kern w:val="0"/>
                <w:sz w:val="24"/>
                <w:szCs w:val="24"/>
                <w:lang w:val="en-US" w:eastAsia="zh-CN" w:bidi="ar"/>
              </w:rPr>
              <w:t>处1万元以上1.6万元以下罚款</w:t>
            </w:r>
            <w:r>
              <w:rPr>
                <w:rFonts w:hint="eastAsia" w:ascii="宋体" w:hAnsi="宋体" w:eastAsia="宋体" w:cs="宋体"/>
                <w:b w:val="0"/>
                <w:bCs w:val="0"/>
                <w:kern w:val="0"/>
                <w:sz w:val="24"/>
                <w:szCs w:val="24"/>
                <w:lang w:val="en-US" w:eastAsia="zh-CN" w:bidi="ar"/>
              </w:rPr>
              <w:t>。</w:t>
            </w:r>
          </w:p>
        </w:tc>
      </w:tr>
      <w:tr w14:paraId="4726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50" w:type="pct"/>
            <w:vMerge w:val="continue"/>
            <w:noWrap w:val="0"/>
            <w:vAlign w:val="center"/>
          </w:tcPr>
          <w:p w14:paraId="5F75B1B8">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p>
        </w:tc>
        <w:tc>
          <w:tcPr>
            <w:tcW w:w="598" w:type="pct"/>
            <w:vMerge w:val="continue"/>
            <w:noWrap w:val="0"/>
            <w:vAlign w:val="center"/>
          </w:tcPr>
          <w:p w14:paraId="31C0606C">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p>
        </w:tc>
        <w:tc>
          <w:tcPr>
            <w:tcW w:w="1458" w:type="pct"/>
            <w:vMerge w:val="continue"/>
            <w:noWrap w:val="0"/>
            <w:vAlign w:val="center"/>
          </w:tcPr>
          <w:p w14:paraId="092CD4E3">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kern w:val="0"/>
                <w:sz w:val="24"/>
                <w:szCs w:val="24"/>
                <w:lang w:val="en-US" w:eastAsia="zh-CN" w:bidi="ar"/>
              </w:rPr>
            </w:pPr>
          </w:p>
        </w:tc>
        <w:tc>
          <w:tcPr>
            <w:tcW w:w="413" w:type="pct"/>
            <w:noWrap w:val="0"/>
            <w:vAlign w:val="center"/>
          </w:tcPr>
          <w:p w14:paraId="7913E13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一般</w:t>
            </w:r>
          </w:p>
        </w:tc>
        <w:tc>
          <w:tcPr>
            <w:tcW w:w="1240" w:type="pct"/>
            <w:noWrap w:val="0"/>
            <w:vAlign w:val="center"/>
          </w:tcPr>
          <w:p w14:paraId="7F02146D">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lang w:eastAsia="zh-CN"/>
              </w:rPr>
              <w:t>货值金额</w:t>
            </w:r>
            <w:r>
              <w:rPr>
                <w:rFonts w:hint="default" w:ascii="宋体" w:hAnsi="宋体" w:cs="宋体"/>
                <w:b w:val="0"/>
                <w:bCs w:val="0"/>
                <w:color w:val="000000"/>
                <w:kern w:val="0"/>
                <w:sz w:val="24"/>
                <w:szCs w:val="24"/>
                <w:highlight w:val="none"/>
                <w:lang w:val="en" w:eastAsia="zh-CN"/>
              </w:rPr>
              <w:t>5</w:t>
            </w:r>
            <w:r>
              <w:rPr>
                <w:rFonts w:hint="eastAsia" w:ascii="宋体" w:hAnsi="宋体" w:eastAsia="宋体" w:cs="宋体"/>
                <w:b w:val="0"/>
                <w:bCs w:val="0"/>
                <w:color w:val="000000"/>
                <w:kern w:val="0"/>
                <w:sz w:val="24"/>
                <w:szCs w:val="24"/>
                <w:highlight w:val="none"/>
                <w:lang w:eastAsia="zh-CN"/>
              </w:rPr>
              <w:t>万元以上</w:t>
            </w:r>
            <w:r>
              <w:rPr>
                <w:rFonts w:hint="eastAsia" w:ascii="宋体" w:hAnsi="宋体" w:cs="宋体"/>
                <w:b w:val="0"/>
                <w:bCs w:val="0"/>
                <w:color w:val="000000"/>
                <w:kern w:val="0"/>
                <w:sz w:val="24"/>
                <w:szCs w:val="24"/>
                <w:highlight w:val="none"/>
                <w:lang w:val="en-US" w:eastAsia="zh-CN"/>
              </w:rPr>
              <w:t>2</w:t>
            </w:r>
            <w:r>
              <w:rPr>
                <w:rFonts w:hint="default" w:ascii="宋体" w:hAnsi="宋体" w:cs="宋体"/>
                <w:b w:val="0"/>
                <w:bCs w:val="0"/>
                <w:color w:val="000000"/>
                <w:kern w:val="0"/>
                <w:sz w:val="24"/>
                <w:szCs w:val="24"/>
                <w:highlight w:val="none"/>
                <w:lang w:val="en" w:eastAsia="zh-CN"/>
              </w:rPr>
              <w:t>0</w:t>
            </w:r>
            <w:r>
              <w:rPr>
                <w:rFonts w:hint="eastAsia" w:ascii="宋体" w:hAnsi="宋体" w:eastAsia="宋体" w:cs="宋体"/>
                <w:b w:val="0"/>
                <w:bCs w:val="0"/>
                <w:color w:val="000000"/>
                <w:kern w:val="0"/>
                <w:sz w:val="24"/>
                <w:szCs w:val="24"/>
                <w:highlight w:val="none"/>
                <w:lang w:eastAsia="zh-CN"/>
              </w:rPr>
              <w:t>万元以下的。</w:t>
            </w:r>
          </w:p>
        </w:tc>
        <w:tc>
          <w:tcPr>
            <w:tcW w:w="1038" w:type="pct"/>
            <w:noWrap w:val="0"/>
            <w:vAlign w:val="center"/>
          </w:tcPr>
          <w:p w14:paraId="3A570D8F">
            <w:pPr>
              <w:keepNext w:val="0"/>
              <w:keepLines w:val="0"/>
              <w:pageBreakBefore w:val="0"/>
              <w:widowControl/>
              <w:suppressLineNumbers w:val="0"/>
              <w:kinsoku/>
              <w:wordWrap/>
              <w:overflowPunct/>
              <w:topLinePunct w:val="0"/>
              <w:autoSpaceDE/>
              <w:autoSpaceDN/>
              <w:bidi w:val="0"/>
              <w:adjustRightInd/>
              <w:snapToGrid/>
              <w:spacing w:beforeAutospacing="0" w:afterAutospacing="0" w:line="38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处1.6万元以上2.4万元以下罚款。</w:t>
            </w:r>
          </w:p>
        </w:tc>
      </w:tr>
      <w:tr w14:paraId="3D1F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250" w:type="pct"/>
            <w:vMerge w:val="continue"/>
            <w:noWrap w:val="0"/>
            <w:vAlign w:val="center"/>
          </w:tcPr>
          <w:p w14:paraId="531E442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p>
        </w:tc>
        <w:tc>
          <w:tcPr>
            <w:tcW w:w="598" w:type="pct"/>
            <w:vMerge w:val="continue"/>
            <w:noWrap w:val="0"/>
            <w:vAlign w:val="center"/>
          </w:tcPr>
          <w:p w14:paraId="349E90EB">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p>
        </w:tc>
        <w:tc>
          <w:tcPr>
            <w:tcW w:w="1458" w:type="pct"/>
            <w:vMerge w:val="continue"/>
            <w:noWrap w:val="0"/>
            <w:vAlign w:val="center"/>
          </w:tcPr>
          <w:p w14:paraId="0BF4A3E7">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kern w:val="0"/>
                <w:sz w:val="24"/>
                <w:szCs w:val="24"/>
                <w:lang w:val="en-US" w:eastAsia="zh-CN" w:bidi="ar"/>
              </w:rPr>
            </w:pPr>
          </w:p>
        </w:tc>
        <w:tc>
          <w:tcPr>
            <w:tcW w:w="413" w:type="pct"/>
            <w:noWrap w:val="0"/>
            <w:vAlign w:val="center"/>
          </w:tcPr>
          <w:p w14:paraId="03EB956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较重</w:t>
            </w:r>
          </w:p>
        </w:tc>
        <w:tc>
          <w:tcPr>
            <w:tcW w:w="1240" w:type="pct"/>
            <w:noWrap w:val="0"/>
            <w:vAlign w:val="center"/>
          </w:tcPr>
          <w:p w14:paraId="13312ABA">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lang w:eastAsia="zh-CN"/>
              </w:rPr>
              <w:t>货值金额</w:t>
            </w:r>
            <w:r>
              <w:rPr>
                <w:rFonts w:hint="eastAsia" w:ascii="宋体" w:hAnsi="宋体" w:cs="宋体"/>
                <w:b w:val="0"/>
                <w:bCs w:val="0"/>
                <w:color w:val="000000"/>
                <w:kern w:val="0"/>
                <w:sz w:val="24"/>
                <w:szCs w:val="24"/>
                <w:highlight w:val="none"/>
                <w:lang w:val="en-US" w:eastAsia="zh-CN"/>
              </w:rPr>
              <w:t>2</w:t>
            </w:r>
            <w:r>
              <w:rPr>
                <w:rFonts w:hint="default" w:ascii="宋体" w:hAnsi="宋体" w:cs="宋体"/>
                <w:b w:val="0"/>
                <w:bCs w:val="0"/>
                <w:color w:val="000000"/>
                <w:kern w:val="0"/>
                <w:sz w:val="24"/>
                <w:szCs w:val="24"/>
                <w:highlight w:val="none"/>
                <w:lang w:val="en" w:eastAsia="zh-CN"/>
              </w:rPr>
              <w:t>0</w:t>
            </w:r>
            <w:r>
              <w:rPr>
                <w:rFonts w:hint="eastAsia" w:ascii="宋体" w:hAnsi="宋体" w:eastAsia="宋体" w:cs="宋体"/>
                <w:b w:val="0"/>
                <w:bCs w:val="0"/>
                <w:color w:val="000000"/>
                <w:kern w:val="0"/>
                <w:sz w:val="24"/>
                <w:szCs w:val="24"/>
                <w:highlight w:val="none"/>
                <w:lang w:eastAsia="zh-CN"/>
              </w:rPr>
              <w:t>万元以上的。</w:t>
            </w:r>
          </w:p>
        </w:tc>
        <w:tc>
          <w:tcPr>
            <w:tcW w:w="1038" w:type="pct"/>
            <w:noWrap w:val="0"/>
            <w:vAlign w:val="center"/>
          </w:tcPr>
          <w:p w14:paraId="65F1C59E">
            <w:pPr>
              <w:keepNext w:val="0"/>
              <w:keepLines w:val="0"/>
              <w:pageBreakBefore w:val="0"/>
              <w:widowControl/>
              <w:suppressLineNumbers w:val="0"/>
              <w:kinsoku/>
              <w:wordWrap/>
              <w:overflowPunct/>
              <w:topLinePunct w:val="0"/>
              <w:autoSpaceDE/>
              <w:autoSpaceDN/>
              <w:bidi w:val="0"/>
              <w:adjustRightInd/>
              <w:snapToGrid/>
              <w:spacing w:beforeAutospacing="0" w:afterAutospacing="0" w:line="38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处2.4万元以上3万元以下罚款。</w:t>
            </w:r>
          </w:p>
        </w:tc>
      </w:tr>
      <w:tr w14:paraId="5F0F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250" w:type="pct"/>
            <w:vMerge w:val="restart"/>
            <w:noWrap w:val="0"/>
            <w:vAlign w:val="center"/>
          </w:tcPr>
          <w:p w14:paraId="549C158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rPr>
              <w:t>3</w:t>
            </w:r>
            <w:r>
              <w:rPr>
                <w:rFonts w:hint="eastAsia" w:ascii="宋体" w:hAnsi="宋体" w:cs="宋体"/>
                <w:b w:val="0"/>
                <w:bCs w:val="0"/>
                <w:color w:val="000000"/>
                <w:kern w:val="0"/>
                <w:sz w:val="24"/>
                <w:szCs w:val="24"/>
                <w:highlight w:val="none"/>
                <w:lang w:val="en-US" w:eastAsia="zh-CN"/>
              </w:rPr>
              <w:t>81</w:t>
            </w:r>
          </w:p>
        </w:tc>
        <w:tc>
          <w:tcPr>
            <w:tcW w:w="598" w:type="pct"/>
            <w:vMerge w:val="restart"/>
            <w:noWrap w:val="0"/>
            <w:vAlign w:val="center"/>
          </w:tcPr>
          <w:p w14:paraId="739A10FE">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r>
              <w:rPr>
                <w:rFonts w:hint="eastAsia" w:ascii="宋体" w:hAnsi="宋体" w:eastAsia="宋体" w:cs="宋体"/>
                <w:b w:val="0"/>
                <w:bCs w:val="0"/>
                <w:color w:val="auto"/>
                <w:kern w:val="0"/>
                <w:sz w:val="24"/>
                <w:szCs w:val="24"/>
                <w:highlight w:val="none"/>
                <w:lang w:val="en-US" w:eastAsia="zh-CN"/>
              </w:rPr>
              <w:t>《中华人民共和国节约能源法》</w:t>
            </w:r>
          </w:p>
        </w:tc>
        <w:tc>
          <w:tcPr>
            <w:tcW w:w="1458" w:type="pct"/>
            <w:vMerge w:val="restart"/>
            <w:noWrap w:val="0"/>
            <w:vAlign w:val="center"/>
          </w:tcPr>
          <w:p w14:paraId="28DFA751">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第七十三条第三款</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伪造、冒用能源效率标识或者利用能源效率标识进行虚假宣传的，由市场监督管理部门责令改正，处五万元以上十万元以下罚款；情节严重的，吊销营业执照。</w:t>
            </w:r>
          </w:p>
          <w:p w14:paraId="6A9BE774">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kern w:val="0"/>
                <w:sz w:val="24"/>
                <w:szCs w:val="24"/>
                <w:lang w:val="en-US" w:eastAsia="zh-CN" w:bidi="ar"/>
              </w:rPr>
            </w:pPr>
          </w:p>
        </w:tc>
        <w:tc>
          <w:tcPr>
            <w:tcW w:w="413" w:type="pct"/>
            <w:noWrap w:val="0"/>
            <w:vAlign w:val="center"/>
          </w:tcPr>
          <w:p w14:paraId="7DE54C7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strike w:val="0"/>
                <w:color w:val="000000"/>
                <w:kern w:val="0"/>
                <w:sz w:val="24"/>
                <w:szCs w:val="24"/>
                <w:highlight w:val="none"/>
              </w:rPr>
            </w:pPr>
            <w:r>
              <w:rPr>
                <w:rFonts w:hint="eastAsia" w:ascii="宋体" w:hAnsi="宋体" w:eastAsia="宋体" w:cs="宋体"/>
                <w:b w:val="0"/>
                <w:bCs w:val="0"/>
                <w:color w:val="000000"/>
                <w:kern w:val="0"/>
                <w:sz w:val="24"/>
                <w:szCs w:val="24"/>
                <w:highlight w:val="none"/>
              </w:rPr>
              <w:t>较轻</w:t>
            </w:r>
          </w:p>
        </w:tc>
        <w:tc>
          <w:tcPr>
            <w:tcW w:w="1240" w:type="pct"/>
            <w:noWrap w:val="0"/>
            <w:vAlign w:val="center"/>
          </w:tcPr>
          <w:p w14:paraId="1AD87696">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lang w:eastAsia="zh-CN"/>
              </w:rPr>
              <w:t>货值金额</w:t>
            </w:r>
            <w:r>
              <w:rPr>
                <w:rFonts w:hint="default" w:ascii="宋体" w:hAnsi="宋体" w:cs="宋体"/>
                <w:b w:val="0"/>
                <w:bCs w:val="0"/>
                <w:color w:val="000000"/>
                <w:kern w:val="0"/>
                <w:sz w:val="24"/>
                <w:szCs w:val="24"/>
                <w:highlight w:val="none"/>
                <w:lang w:val="en" w:eastAsia="zh-CN"/>
              </w:rPr>
              <w:t>5</w:t>
            </w:r>
            <w:r>
              <w:rPr>
                <w:rFonts w:hint="eastAsia" w:ascii="宋体" w:hAnsi="宋体" w:eastAsia="宋体" w:cs="宋体"/>
                <w:b w:val="0"/>
                <w:bCs w:val="0"/>
                <w:color w:val="000000"/>
                <w:kern w:val="0"/>
                <w:sz w:val="24"/>
                <w:szCs w:val="24"/>
                <w:highlight w:val="none"/>
                <w:lang w:eastAsia="zh-CN"/>
              </w:rPr>
              <w:t>万元以下，且未造成严重后果的。</w:t>
            </w:r>
          </w:p>
        </w:tc>
        <w:tc>
          <w:tcPr>
            <w:tcW w:w="1038" w:type="pct"/>
            <w:noWrap w:val="0"/>
            <w:vAlign w:val="center"/>
          </w:tcPr>
          <w:p w14:paraId="2354FF64">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处5万元以上6.5万元以下罚款。</w:t>
            </w:r>
          </w:p>
        </w:tc>
      </w:tr>
      <w:tr w14:paraId="4800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250" w:type="pct"/>
            <w:vMerge w:val="continue"/>
            <w:noWrap w:val="0"/>
            <w:vAlign w:val="center"/>
          </w:tcPr>
          <w:p w14:paraId="7957C47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p>
        </w:tc>
        <w:tc>
          <w:tcPr>
            <w:tcW w:w="598" w:type="pct"/>
            <w:vMerge w:val="continue"/>
            <w:noWrap w:val="0"/>
            <w:vAlign w:val="center"/>
          </w:tcPr>
          <w:p w14:paraId="6901A06B">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p>
        </w:tc>
        <w:tc>
          <w:tcPr>
            <w:tcW w:w="1458" w:type="pct"/>
            <w:vMerge w:val="continue"/>
            <w:noWrap w:val="0"/>
            <w:vAlign w:val="center"/>
          </w:tcPr>
          <w:p w14:paraId="09FD85FC">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strike/>
                <w:color w:val="000000"/>
                <w:kern w:val="0"/>
                <w:sz w:val="24"/>
                <w:szCs w:val="24"/>
                <w:highlight w:val="none"/>
              </w:rPr>
            </w:pPr>
          </w:p>
        </w:tc>
        <w:tc>
          <w:tcPr>
            <w:tcW w:w="413" w:type="pct"/>
            <w:noWrap w:val="0"/>
            <w:vAlign w:val="center"/>
          </w:tcPr>
          <w:p w14:paraId="1422D27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strike w:val="0"/>
                <w:color w:val="000000"/>
                <w:kern w:val="0"/>
                <w:sz w:val="24"/>
                <w:szCs w:val="24"/>
                <w:highlight w:val="none"/>
              </w:rPr>
            </w:pPr>
            <w:r>
              <w:rPr>
                <w:rFonts w:hint="eastAsia" w:ascii="宋体" w:hAnsi="宋体" w:eastAsia="宋体" w:cs="宋体"/>
                <w:b w:val="0"/>
                <w:bCs w:val="0"/>
                <w:color w:val="000000"/>
                <w:kern w:val="0"/>
                <w:sz w:val="24"/>
                <w:szCs w:val="24"/>
                <w:highlight w:val="none"/>
              </w:rPr>
              <w:t>一般</w:t>
            </w:r>
          </w:p>
        </w:tc>
        <w:tc>
          <w:tcPr>
            <w:tcW w:w="1240" w:type="pct"/>
            <w:noWrap w:val="0"/>
            <w:vAlign w:val="center"/>
          </w:tcPr>
          <w:p w14:paraId="318206AD">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lang w:eastAsia="zh-CN"/>
              </w:rPr>
              <w:t>货值金额</w:t>
            </w:r>
            <w:r>
              <w:rPr>
                <w:rFonts w:hint="default" w:ascii="宋体" w:hAnsi="宋体" w:cs="宋体"/>
                <w:b w:val="0"/>
                <w:bCs w:val="0"/>
                <w:color w:val="000000"/>
                <w:kern w:val="0"/>
                <w:sz w:val="24"/>
                <w:szCs w:val="24"/>
                <w:highlight w:val="none"/>
                <w:lang w:val="en" w:eastAsia="zh-CN"/>
              </w:rPr>
              <w:t>5</w:t>
            </w:r>
            <w:r>
              <w:rPr>
                <w:rFonts w:hint="eastAsia" w:ascii="宋体" w:hAnsi="宋体" w:eastAsia="宋体" w:cs="宋体"/>
                <w:b w:val="0"/>
                <w:bCs w:val="0"/>
                <w:color w:val="000000"/>
                <w:kern w:val="0"/>
                <w:sz w:val="24"/>
                <w:szCs w:val="24"/>
                <w:highlight w:val="none"/>
                <w:lang w:eastAsia="zh-CN"/>
              </w:rPr>
              <w:t>万元以上</w:t>
            </w:r>
            <w:r>
              <w:rPr>
                <w:rFonts w:hint="eastAsia" w:ascii="宋体" w:hAnsi="宋体" w:cs="宋体"/>
                <w:b w:val="0"/>
                <w:bCs w:val="0"/>
                <w:color w:val="000000"/>
                <w:kern w:val="0"/>
                <w:sz w:val="24"/>
                <w:szCs w:val="24"/>
                <w:highlight w:val="none"/>
                <w:lang w:val="en-US" w:eastAsia="zh-CN"/>
              </w:rPr>
              <w:t>20</w:t>
            </w:r>
            <w:r>
              <w:rPr>
                <w:rFonts w:hint="eastAsia" w:ascii="宋体" w:hAnsi="宋体" w:eastAsia="宋体" w:cs="宋体"/>
                <w:b w:val="0"/>
                <w:bCs w:val="0"/>
                <w:color w:val="000000"/>
                <w:kern w:val="0"/>
                <w:sz w:val="24"/>
                <w:szCs w:val="24"/>
                <w:highlight w:val="none"/>
                <w:lang w:eastAsia="zh-CN"/>
              </w:rPr>
              <w:t>万元以下，且未造成严重后果的。</w:t>
            </w:r>
          </w:p>
        </w:tc>
        <w:tc>
          <w:tcPr>
            <w:tcW w:w="1038" w:type="pct"/>
            <w:noWrap w:val="0"/>
            <w:vAlign w:val="center"/>
          </w:tcPr>
          <w:p w14:paraId="23874989">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处6.5万元以上8.5万元以下罚款。</w:t>
            </w:r>
          </w:p>
        </w:tc>
      </w:tr>
      <w:tr w14:paraId="5544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250" w:type="pct"/>
            <w:vMerge w:val="continue"/>
            <w:noWrap w:val="0"/>
            <w:vAlign w:val="center"/>
          </w:tcPr>
          <w:p w14:paraId="178CE3A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p>
        </w:tc>
        <w:tc>
          <w:tcPr>
            <w:tcW w:w="598" w:type="pct"/>
            <w:vMerge w:val="continue"/>
            <w:noWrap w:val="0"/>
            <w:vAlign w:val="center"/>
          </w:tcPr>
          <w:p w14:paraId="2082483E">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p>
        </w:tc>
        <w:tc>
          <w:tcPr>
            <w:tcW w:w="1458" w:type="pct"/>
            <w:vMerge w:val="continue"/>
            <w:noWrap w:val="0"/>
            <w:vAlign w:val="center"/>
          </w:tcPr>
          <w:p w14:paraId="337531ED">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strike/>
                <w:color w:val="000000"/>
                <w:kern w:val="0"/>
                <w:sz w:val="24"/>
                <w:szCs w:val="24"/>
                <w:highlight w:val="none"/>
              </w:rPr>
            </w:pPr>
          </w:p>
        </w:tc>
        <w:tc>
          <w:tcPr>
            <w:tcW w:w="413" w:type="pct"/>
            <w:noWrap w:val="0"/>
            <w:vAlign w:val="center"/>
          </w:tcPr>
          <w:p w14:paraId="6124962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strike w:val="0"/>
                <w:color w:val="000000"/>
                <w:kern w:val="0"/>
                <w:sz w:val="24"/>
                <w:szCs w:val="24"/>
                <w:highlight w:val="none"/>
              </w:rPr>
            </w:pPr>
            <w:r>
              <w:rPr>
                <w:rFonts w:hint="eastAsia" w:ascii="宋体" w:hAnsi="宋体" w:eastAsia="宋体" w:cs="宋体"/>
                <w:b w:val="0"/>
                <w:bCs w:val="0"/>
                <w:color w:val="000000"/>
                <w:kern w:val="0"/>
                <w:sz w:val="24"/>
                <w:szCs w:val="24"/>
                <w:highlight w:val="none"/>
              </w:rPr>
              <w:t>较重</w:t>
            </w:r>
          </w:p>
        </w:tc>
        <w:tc>
          <w:tcPr>
            <w:tcW w:w="1240" w:type="pct"/>
            <w:noWrap w:val="0"/>
            <w:vAlign w:val="center"/>
          </w:tcPr>
          <w:p w14:paraId="41FCE59D">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lang w:eastAsia="zh-CN"/>
              </w:rPr>
              <w:t>货值金额</w:t>
            </w:r>
            <w:r>
              <w:rPr>
                <w:rFonts w:hint="eastAsia" w:ascii="宋体" w:hAnsi="宋体" w:cs="宋体"/>
                <w:b w:val="0"/>
                <w:bCs w:val="0"/>
                <w:color w:val="000000"/>
                <w:kern w:val="0"/>
                <w:sz w:val="24"/>
                <w:szCs w:val="24"/>
                <w:highlight w:val="none"/>
                <w:lang w:val="en-US" w:eastAsia="zh-CN"/>
              </w:rPr>
              <w:t>20</w:t>
            </w:r>
            <w:r>
              <w:rPr>
                <w:rFonts w:hint="eastAsia" w:ascii="宋体" w:hAnsi="宋体" w:eastAsia="宋体" w:cs="宋体"/>
                <w:b w:val="0"/>
                <w:bCs w:val="0"/>
                <w:color w:val="000000"/>
                <w:kern w:val="0"/>
                <w:sz w:val="24"/>
                <w:szCs w:val="24"/>
                <w:highlight w:val="none"/>
                <w:lang w:eastAsia="zh-CN"/>
              </w:rPr>
              <w:t>万元以上</w:t>
            </w:r>
            <w:r>
              <w:rPr>
                <w:rFonts w:hint="eastAsia" w:ascii="宋体" w:hAnsi="宋体" w:cs="宋体"/>
                <w:b w:val="0"/>
                <w:bCs w:val="0"/>
                <w:color w:val="000000"/>
                <w:kern w:val="0"/>
                <w:sz w:val="24"/>
                <w:szCs w:val="24"/>
                <w:highlight w:val="none"/>
                <w:lang w:val="en-US" w:eastAsia="zh-CN"/>
              </w:rPr>
              <w:t>5</w:t>
            </w:r>
            <w:r>
              <w:rPr>
                <w:rFonts w:hint="default" w:ascii="宋体" w:hAnsi="宋体" w:cs="宋体"/>
                <w:b w:val="0"/>
                <w:bCs w:val="0"/>
                <w:color w:val="000000"/>
                <w:kern w:val="0"/>
                <w:sz w:val="24"/>
                <w:szCs w:val="24"/>
                <w:highlight w:val="none"/>
                <w:lang w:val="en" w:eastAsia="zh-CN"/>
              </w:rPr>
              <w:t>0</w:t>
            </w:r>
            <w:r>
              <w:rPr>
                <w:rFonts w:hint="eastAsia" w:ascii="宋体" w:hAnsi="宋体" w:eastAsia="宋体" w:cs="宋体"/>
                <w:b w:val="0"/>
                <w:bCs w:val="0"/>
                <w:color w:val="000000"/>
                <w:kern w:val="0"/>
                <w:sz w:val="24"/>
                <w:szCs w:val="24"/>
                <w:highlight w:val="none"/>
                <w:lang w:eastAsia="zh-CN"/>
              </w:rPr>
              <w:t>万元以下。</w:t>
            </w:r>
          </w:p>
        </w:tc>
        <w:tc>
          <w:tcPr>
            <w:tcW w:w="1038" w:type="pct"/>
            <w:noWrap w:val="0"/>
            <w:vAlign w:val="center"/>
          </w:tcPr>
          <w:p w14:paraId="73E1D7C2">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处8.5万元以上10万元以下罚款。</w:t>
            </w:r>
          </w:p>
        </w:tc>
      </w:tr>
      <w:tr w14:paraId="01FF8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250" w:type="pct"/>
            <w:vMerge w:val="continue"/>
            <w:noWrap w:val="0"/>
            <w:vAlign w:val="center"/>
          </w:tcPr>
          <w:p w14:paraId="21A5B0C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p>
        </w:tc>
        <w:tc>
          <w:tcPr>
            <w:tcW w:w="598" w:type="pct"/>
            <w:vMerge w:val="continue"/>
            <w:noWrap w:val="0"/>
            <w:vAlign w:val="center"/>
          </w:tcPr>
          <w:p w14:paraId="717FA695">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p>
        </w:tc>
        <w:tc>
          <w:tcPr>
            <w:tcW w:w="1458" w:type="pct"/>
            <w:vMerge w:val="continue"/>
            <w:noWrap w:val="0"/>
            <w:vAlign w:val="center"/>
          </w:tcPr>
          <w:p w14:paraId="69D46000">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strike/>
                <w:color w:val="000000"/>
                <w:kern w:val="0"/>
                <w:sz w:val="24"/>
                <w:szCs w:val="24"/>
                <w:highlight w:val="none"/>
              </w:rPr>
            </w:pPr>
          </w:p>
        </w:tc>
        <w:tc>
          <w:tcPr>
            <w:tcW w:w="413" w:type="pct"/>
            <w:noWrap w:val="0"/>
            <w:vAlign w:val="center"/>
          </w:tcPr>
          <w:p w14:paraId="5EC46C3E">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strike w:val="0"/>
                <w:color w:val="000000"/>
                <w:kern w:val="0"/>
                <w:sz w:val="24"/>
                <w:szCs w:val="24"/>
                <w:highlight w:val="none"/>
              </w:rPr>
            </w:pPr>
            <w:r>
              <w:rPr>
                <w:rFonts w:hint="eastAsia" w:ascii="宋体" w:hAnsi="宋体" w:eastAsia="宋体" w:cs="宋体"/>
                <w:b w:val="0"/>
                <w:bCs w:val="0"/>
                <w:strike w:val="0"/>
                <w:color w:val="000000"/>
                <w:kern w:val="0"/>
                <w:sz w:val="24"/>
                <w:szCs w:val="24"/>
                <w:highlight w:val="none"/>
              </w:rPr>
              <w:t>严重</w:t>
            </w:r>
          </w:p>
        </w:tc>
        <w:tc>
          <w:tcPr>
            <w:tcW w:w="1240" w:type="pct"/>
            <w:noWrap w:val="0"/>
            <w:vAlign w:val="center"/>
          </w:tcPr>
          <w:p w14:paraId="465A7D0E">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lang w:eastAsia="zh-CN"/>
              </w:rPr>
              <w:t>货值金额</w:t>
            </w:r>
            <w:r>
              <w:rPr>
                <w:rFonts w:hint="eastAsia" w:ascii="宋体" w:hAnsi="宋体" w:cs="宋体"/>
                <w:b w:val="0"/>
                <w:bCs w:val="0"/>
                <w:color w:val="000000"/>
                <w:kern w:val="0"/>
                <w:sz w:val="24"/>
                <w:szCs w:val="24"/>
                <w:highlight w:val="none"/>
                <w:lang w:val="en-US" w:eastAsia="zh-CN"/>
              </w:rPr>
              <w:t>5</w:t>
            </w:r>
            <w:r>
              <w:rPr>
                <w:rFonts w:hint="default" w:ascii="宋体" w:hAnsi="宋体" w:cs="宋体"/>
                <w:b w:val="0"/>
                <w:bCs w:val="0"/>
                <w:color w:val="000000"/>
                <w:kern w:val="0"/>
                <w:sz w:val="24"/>
                <w:szCs w:val="24"/>
                <w:highlight w:val="none"/>
                <w:lang w:val="en" w:eastAsia="zh-CN"/>
              </w:rPr>
              <w:t>0</w:t>
            </w:r>
            <w:r>
              <w:rPr>
                <w:rFonts w:hint="eastAsia" w:ascii="宋体" w:hAnsi="宋体" w:eastAsia="宋体" w:cs="宋体"/>
                <w:b w:val="0"/>
                <w:bCs w:val="0"/>
                <w:color w:val="000000"/>
                <w:kern w:val="0"/>
                <w:sz w:val="24"/>
                <w:szCs w:val="24"/>
                <w:highlight w:val="none"/>
                <w:lang w:eastAsia="zh-CN"/>
              </w:rPr>
              <w:t>万元以上的，或违法行为造成严重后果的。</w:t>
            </w:r>
          </w:p>
        </w:tc>
        <w:tc>
          <w:tcPr>
            <w:tcW w:w="1038" w:type="pct"/>
            <w:noWrap w:val="0"/>
            <w:vAlign w:val="center"/>
          </w:tcPr>
          <w:p w14:paraId="16BD2E24">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处10万元罚款</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情节严重的，吊销营业执照。</w:t>
            </w:r>
          </w:p>
        </w:tc>
      </w:tr>
      <w:tr w14:paraId="171F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250" w:type="pct"/>
            <w:vMerge w:val="restart"/>
            <w:noWrap w:val="0"/>
            <w:vAlign w:val="center"/>
          </w:tcPr>
          <w:p w14:paraId="42C052E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rPr>
              <w:t>3</w:t>
            </w:r>
            <w:r>
              <w:rPr>
                <w:rFonts w:hint="eastAsia" w:ascii="宋体" w:hAnsi="宋体" w:cs="宋体"/>
                <w:b w:val="0"/>
                <w:bCs w:val="0"/>
                <w:color w:val="000000"/>
                <w:kern w:val="0"/>
                <w:sz w:val="24"/>
                <w:szCs w:val="24"/>
                <w:highlight w:val="none"/>
                <w:lang w:val="en-US" w:eastAsia="zh-CN"/>
              </w:rPr>
              <w:t>82</w:t>
            </w:r>
          </w:p>
        </w:tc>
        <w:tc>
          <w:tcPr>
            <w:tcW w:w="598" w:type="pct"/>
            <w:vMerge w:val="restart"/>
            <w:noWrap w:val="0"/>
            <w:vAlign w:val="center"/>
          </w:tcPr>
          <w:p w14:paraId="05FA8704">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r>
              <w:rPr>
                <w:rFonts w:hint="eastAsia" w:ascii="宋体" w:hAnsi="宋体" w:eastAsia="宋体" w:cs="宋体"/>
                <w:b w:val="0"/>
                <w:bCs w:val="0"/>
                <w:color w:val="auto"/>
                <w:kern w:val="0"/>
                <w:sz w:val="24"/>
                <w:szCs w:val="24"/>
                <w:highlight w:val="none"/>
                <w:lang w:val="en-US" w:eastAsia="zh-CN"/>
              </w:rPr>
              <w:t>《中华人民共和国节约能源法》</w:t>
            </w:r>
          </w:p>
        </w:tc>
        <w:tc>
          <w:tcPr>
            <w:tcW w:w="1458" w:type="pct"/>
            <w:vMerge w:val="restart"/>
            <w:noWrap w:val="0"/>
            <w:vAlign w:val="center"/>
          </w:tcPr>
          <w:p w14:paraId="143DB7B5">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strike/>
                <w:color w:val="000000"/>
                <w:kern w:val="0"/>
                <w:sz w:val="24"/>
                <w:szCs w:val="24"/>
                <w:highlight w:val="none"/>
              </w:rPr>
            </w:pPr>
            <w:r>
              <w:rPr>
                <w:rFonts w:hint="eastAsia" w:ascii="宋体" w:hAnsi="宋体" w:eastAsia="宋体" w:cs="宋体"/>
                <w:kern w:val="0"/>
                <w:sz w:val="24"/>
                <w:szCs w:val="24"/>
                <w:lang w:val="en-US" w:eastAsia="zh-CN" w:bidi="ar"/>
              </w:rPr>
              <w:t>第七十四条</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用能单位未按照规定配备、使用能源计量器具的，由市场监督管理部门责令限期改正；逾期不改正的，处一万元以上五万元以下罚款。</w:t>
            </w:r>
          </w:p>
        </w:tc>
        <w:tc>
          <w:tcPr>
            <w:tcW w:w="413" w:type="pct"/>
            <w:noWrap w:val="0"/>
            <w:vAlign w:val="center"/>
          </w:tcPr>
          <w:p w14:paraId="3791F5B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strike w:val="0"/>
                <w:color w:val="000000"/>
                <w:kern w:val="0"/>
                <w:sz w:val="24"/>
                <w:szCs w:val="24"/>
                <w:highlight w:val="none"/>
              </w:rPr>
            </w:pPr>
            <w:r>
              <w:rPr>
                <w:rFonts w:hint="eastAsia" w:ascii="宋体" w:hAnsi="宋体" w:eastAsia="宋体" w:cs="宋体"/>
                <w:b w:val="0"/>
                <w:bCs w:val="0"/>
                <w:color w:val="000000"/>
                <w:kern w:val="0"/>
                <w:sz w:val="24"/>
                <w:szCs w:val="24"/>
                <w:highlight w:val="none"/>
              </w:rPr>
              <w:t>较轻</w:t>
            </w:r>
          </w:p>
        </w:tc>
        <w:tc>
          <w:tcPr>
            <w:tcW w:w="1240" w:type="pct"/>
            <w:noWrap w:val="0"/>
            <w:vAlign w:val="center"/>
          </w:tcPr>
          <w:p w14:paraId="2E22C0B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eastAsia="zh-CN"/>
              </w:rPr>
              <w:t>仍未按照规定配备、使用能源计量器具</w:t>
            </w:r>
            <w:r>
              <w:rPr>
                <w:rFonts w:hint="eastAsia" w:ascii="宋体" w:hAnsi="宋体" w:eastAsia="宋体" w:cs="宋体"/>
                <w:b w:val="0"/>
                <w:bCs w:val="0"/>
                <w:color w:val="000000"/>
                <w:kern w:val="0"/>
                <w:sz w:val="24"/>
                <w:szCs w:val="24"/>
                <w:highlight w:val="none"/>
                <w:lang w:val="en-US" w:eastAsia="zh-CN"/>
              </w:rPr>
              <w:t>1台（件）的。</w:t>
            </w:r>
          </w:p>
        </w:tc>
        <w:tc>
          <w:tcPr>
            <w:tcW w:w="1038" w:type="pct"/>
            <w:noWrap w:val="0"/>
            <w:vAlign w:val="center"/>
          </w:tcPr>
          <w:p w14:paraId="1B42D94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处1万元以上2.2万元以下罚款。</w:t>
            </w:r>
          </w:p>
        </w:tc>
      </w:tr>
      <w:tr w14:paraId="6B59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50" w:type="pct"/>
            <w:vMerge w:val="continue"/>
            <w:noWrap w:val="0"/>
            <w:vAlign w:val="center"/>
          </w:tcPr>
          <w:p w14:paraId="5FE49ED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p>
        </w:tc>
        <w:tc>
          <w:tcPr>
            <w:tcW w:w="598" w:type="pct"/>
            <w:vMerge w:val="continue"/>
            <w:noWrap w:val="0"/>
            <w:vAlign w:val="center"/>
          </w:tcPr>
          <w:p w14:paraId="3C86D086">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p>
        </w:tc>
        <w:tc>
          <w:tcPr>
            <w:tcW w:w="1458" w:type="pct"/>
            <w:vMerge w:val="continue"/>
            <w:noWrap w:val="0"/>
            <w:vAlign w:val="center"/>
          </w:tcPr>
          <w:p w14:paraId="7960696F">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strike/>
                <w:color w:val="000000"/>
                <w:kern w:val="0"/>
                <w:sz w:val="24"/>
                <w:szCs w:val="24"/>
                <w:highlight w:val="none"/>
              </w:rPr>
            </w:pPr>
          </w:p>
        </w:tc>
        <w:tc>
          <w:tcPr>
            <w:tcW w:w="413" w:type="pct"/>
            <w:noWrap w:val="0"/>
            <w:vAlign w:val="center"/>
          </w:tcPr>
          <w:p w14:paraId="1A92EEF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strike w:val="0"/>
                <w:color w:val="000000"/>
                <w:kern w:val="0"/>
                <w:sz w:val="24"/>
                <w:szCs w:val="24"/>
                <w:highlight w:val="none"/>
              </w:rPr>
            </w:pPr>
            <w:r>
              <w:rPr>
                <w:rFonts w:hint="eastAsia" w:ascii="宋体" w:hAnsi="宋体" w:eastAsia="宋体" w:cs="宋体"/>
                <w:b w:val="0"/>
                <w:bCs w:val="0"/>
                <w:color w:val="000000"/>
                <w:kern w:val="0"/>
                <w:sz w:val="24"/>
                <w:szCs w:val="24"/>
                <w:highlight w:val="none"/>
              </w:rPr>
              <w:t>一般</w:t>
            </w:r>
          </w:p>
        </w:tc>
        <w:tc>
          <w:tcPr>
            <w:tcW w:w="1240" w:type="pct"/>
            <w:noWrap w:val="0"/>
            <w:vAlign w:val="center"/>
          </w:tcPr>
          <w:p w14:paraId="7206C39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lang w:eastAsia="zh-CN"/>
              </w:rPr>
              <w:t>仍未按照规定配备、使用能源计量器具</w:t>
            </w:r>
            <w:r>
              <w:rPr>
                <w:rFonts w:hint="eastAsia" w:ascii="宋体" w:hAnsi="宋体" w:eastAsia="宋体" w:cs="宋体"/>
                <w:b w:val="0"/>
                <w:bCs w:val="0"/>
                <w:color w:val="000000"/>
                <w:kern w:val="0"/>
                <w:sz w:val="24"/>
                <w:szCs w:val="24"/>
                <w:highlight w:val="none"/>
                <w:lang w:val="en-US" w:eastAsia="zh-CN"/>
              </w:rPr>
              <w:t>2台（件）的。</w:t>
            </w:r>
          </w:p>
        </w:tc>
        <w:tc>
          <w:tcPr>
            <w:tcW w:w="1038" w:type="pct"/>
            <w:noWrap w:val="0"/>
            <w:vAlign w:val="center"/>
          </w:tcPr>
          <w:p w14:paraId="6F8413E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处2.2万元以上3.8万元以下罚款。</w:t>
            </w:r>
          </w:p>
        </w:tc>
      </w:tr>
      <w:tr w14:paraId="215C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57B93FC6">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p>
        </w:tc>
        <w:tc>
          <w:tcPr>
            <w:tcW w:w="598" w:type="pct"/>
            <w:vMerge w:val="continue"/>
            <w:noWrap w:val="0"/>
            <w:vAlign w:val="center"/>
          </w:tcPr>
          <w:p w14:paraId="2A080015">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p>
        </w:tc>
        <w:tc>
          <w:tcPr>
            <w:tcW w:w="1458" w:type="pct"/>
            <w:vMerge w:val="continue"/>
            <w:noWrap w:val="0"/>
            <w:vAlign w:val="center"/>
          </w:tcPr>
          <w:p w14:paraId="5A6E6C7F">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strike/>
                <w:color w:val="000000"/>
                <w:kern w:val="0"/>
                <w:sz w:val="24"/>
                <w:szCs w:val="24"/>
                <w:highlight w:val="none"/>
              </w:rPr>
            </w:pPr>
          </w:p>
        </w:tc>
        <w:tc>
          <w:tcPr>
            <w:tcW w:w="413" w:type="pct"/>
            <w:noWrap w:val="0"/>
            <w:vAlign w:val="center"/>
          </w:tcPr>
          <w:p w14:paraId="0B59CBD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strike w:val="0"/>
                <w:color w:val="000000"/>
                <w:kern w:val="0"/>
                <w:sz w:val="24"/>
                <w:szCs w:val="24"/>
                <w:highlight w:val="none"/>
              </w:rPr>
            </w:pPr>
            <w:r>
              <w:rPr>
                <w:rFonts w:hint="eastAsia" w:ascii="宋体" w:hAnsi="宋体" w:eastAsia="宋体" w:cs="宋体"/>
                <w:b w:val="0"/>
                <w:bCs w:val="0"/>
                <w:color w:val="000000"/>
                <w:kern w:val="0"/>
                <w:sz w:val="24"/>
                <w:szCs w:val="24"/>
                <w:highlight w:val="none"/>
              </w:rPr>
              <w:t>较重</w:t>
            </w:r>
          </w:p>
        </w:tc>
        <w:tc>
          <w:tcPr>
            <w:tcW w:w="1240" w:type="pct"/>
            <w:noWrap w:val="0"/>
            <w:vAlign w:val="center"/>
          </w:tcPr>
          <w:p w14:paraId="2BC8244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lang w:eastAsia="zh-CN"/>
              </w:rPr>
              <w:t>仍未按照规定配备、使用能源计量器具</w:t>
            </w:r>
            <w:r>
              <w:rPr>
                <w:rFonts w:hint="eastAsia" w:ascii="宋体" w:hAnsi="宋体" w:eastAsia="宋体" w:cs="宋体"/>
                <w:b w:val="0"/>
                <w:bCs w:val="0"/>
                <w:color w:val="000000"/>
                <w:kern w:val="0"/>
                <w:sz w:val="24"/>
                <w:szCs w:val="24"/>
                <w:highlight w:val="none"/>
                <w:lang w:val="en-US" w:eastAsia="zh-CN"/>
              </w:rPr>
              <w:t>3台（件）以上的。</w:t>
            </w:r>
          </w:p>
        </w:tc>
        <w:tc>
          <w:tcPr>
            <w:tcW w:w="1038" w:type="pct"/>
            <w:noWrap w:val="0"/>
            <w:vAlign w:val="center"/>
          </w:tcPr>
          <w:p w14:paraId="0949BAD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处3.8万元以上5万元以下罚款。</w:t>
            </w:r>
          </w:p>
        </w:tc>
      </w:tr>
      <w:tr w14:paraId="19C0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jc w:val="center"/>
        </w:trPr>
        <w:tc>
          <w:tcPr>
            <w:tcW w:w="250" w:type="pct"/>
            <w:vMerge w:val="restart"/>
            <w:noWrap w:val="0"/>
            <w:vAlign w:val="center"/>
          </w:tcPr>
          <w:p w14:paraId="1D9318D0">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rPr>
              <w:t>3</w:t>
            </w:r>
            <w:r>
              <w:rPr>
                <w:rFonts w:hint="eastAsia" w:ascii="宋体" w:hAnsi="宋体" w:cs="宋体"/>
                <w:b w:val="0"/>
                <w:bCs w:val="0"/>
                <w:color w:val="000000"/>
                <w:kern w:val="0"/>
                <w:sz w:val="24"/>
                <w:szCs w:val="24"/>
                <w:highlight w:val="none"/>
                <w:lang w:val="en-US" w:eastAsia="zh-CN"/>
              </w:rPr>
              <w:t>83</w:t>
            </w:r>
          </w:p>
        </w:tc>
        <w:tc>
          <w:tcPr>
            <w:tcW w:w="598" w:type="pct"/>
            <w:vMerge w:val="restart"/>
            <w:noWrap w:val="0"/>
            <w:vAlign w:val="center"/>
          </w:tcPr>
          <w:p w14:paraId="36FBFC7F">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left"/>
              <w:textAlignment w:val="auto"/>
              <w:outlineLvl w:val="1"/>
              <w:rPr>
                <w:rFonts w:hint="eastAsia" w:ascii="宋体" w:hAnsi="宋体" w:eastAsia="宋体" w:cs="宋体"/>
                <w:b w:val="0"/>
                <w:bCs w:val="0"/>
                <w:strike w:val="0"/>
                <w:color w:val="000000"/>
                <w:kern w:val="0"/>
                <w:sz w:val="24"/>
                <w:szCs w:val="24"/>
                <w:highlight w:val="none"/>
              </w:rPr>
            </w:pPr>
            <w:bookmarkStart w:id="479" w:name="_Toc8408"/>
            <w:bookmarkStart w:id="480" w:name="_Toc20783"/>
            <w:bookmarkStart w:id="481" w:name="_Toc19158"/>
            <w:bookmarkStart w:id="482" w:name="_Toc12439"/>
            <w:bookmarkStart w:id="483" w:name="_Toc29659"/>
            <w:r>
              <w:rPr>
                <w:rFonts w:hint="eastAsia" w:ascii="宋体" w:hAnsi="宋体" w:eastAsia="宋体" w:cs="宋体"/>
                <w:b w:val="0"/>
                <w:bCs w:val="0"/>
                <w:strike w:val="0"/>
                <w:color w:val="000000"/>
                <w:kern w:val="0"/>
                <w:sz w:val="24"/>
                <w:szCs w:val="24"/>
                <w:highlight w:val="none"/>
                <w:lang w:eastAsia="zh-CN"/>
              </w:rPr>
              <w:t>《</w:t>
            </w:r>
            <w:r>
              <w:rPr>
                <w:rFonts w:hint="eastAsia" w:ascii="宋体" w:hAnsi="宋体" w:eastAsia="宋体" w:cs="宋体"/>
                <w:b w:val="0"/>
                <w:bCs w:val="0"/>
                <w:strike w:val="0"/>
                <w:color w:val="000000"/>
                <w:kern w:val="0"/>
                <w:sz w:val="24"/>
                <w:szCs w:val="24"/>
                <w:highlight w:val="none"/>
              </w:rPr>
              <w:t>中华人民共和国大气污染防治法</w:t>
            </w:r>
            <w:r>
              <w:rPr>
                <w:rFonts w:hint="eastAsia" w:ascii="宋体" w:hAnsi="宋体" w:eastAsia="宋体" w:cs="宋体"/>
                <w:b w:val="0"/>
                <w:bCs w:val="0"/>
                <w:strike w:val="0"/>
                <w:color w:val="000000"/>
                <w:kern w:val="0"/>
                <w:sz w:val="24"/>
                <w:szCs w:val="24"/>
                <w:highlight w:val="none"/>
                <w:lang w:eastAsia="zh-CN"/>
              </w:rPr>
              <w:t>》（</w:t>
            </w:r>
            <w:r>
              <w:rPr>
                <w:rFonts w:hint="eastAsia" w:ascii="宋体" w:hAnsi="宋体" w:eastAsia="宋体" w:cs="宋体"/>
                <w:b w:val="0"/>
                <w:bCs w:val="0"/>
                <w:strike w:val="0"/>
                <w:color w:val="000000"/>
                <w:kern w:val="0"/>
                <w:sz w:val="24"/>
                <w:szCs w:val="24"/>
                <w:highlight w:val="none"/>
                <w:lang w:val="en-US" w:eastAsia="zh-CN"/>
              </w:rPr>
              <w:t>201</w:t>
            </w:r>
            <w:r>
              <w:rPr>
                <w:rFonts w:hint="eastAsia" w:ascii="宋体" w:hAnsi="宋体" w:cs="宋体"/>
                <w:b w:val="0"/>
                <w:bCs w:val="0"/>
                <w:strike w:val="0"/>
                <w:color w:val="000000"/>
                <w:kern w:val="0"/>
                <w:sz w:val="24"/>
                <w:szCs w:val="24"/>
                <w:highlight w:val="none"/>
                <w:lang w:val="en-US" w:eastAsia="zh-CN"/>
              </w:rPr>
              <w:t>8</w:t>
            </w:r>
            <w:r>
              <w:rPr>
                <w:rFonts w:hint="eastAsia" w:ascii="宋体" w:hAnsi="宋体" w:eastAsia="宋体" w:cs="宋体"/>
                <w:b w:val="0"/>
                <w:bCs w:val="0"/>
                <w:strike w:val="0"/>
                <w:color w:val="000000"/>
                <w:kern w:val="0"/>
                <w:sz w:val="24"/>
                <w:szCs w:val="24"/>
                <w:highlight w:val="none"/>
                <w:lang w:val="en-US" w:eastAsia="zh-CN"/>
              </w:rPr>
              <w:t>年</w:t>
            </w:r>
            <w:r>
              <w:rPr>
                <w:rFonts w:hint="eastAsia" w:ascii="宋体" w:hAnsi="宋体" w:cs="宋体"/>
                <w:b w:val="0"/>
                <w:bCs w:val="0"/>
                <w:strike w:val="0"/>
                <w:color w:val="000000"/>
                <w:kern w:val="0"/>
                <w:sz w:val="24"/>
                <w:szCs w:val="24"/>
                <w:highlight w:val="none"/>
                <w:lang w:val="en-US" w:eastAsia="zh-CN"/>
              </w:rPr>
              <w:t>10</w:t>
            </w:r>
            <w:r>
              <w:rPr>
                <w:rFonts w:hint="eastAsia" w:ascii="宋体" w:hAnsi="宋体" w:eastAsia="宋体" w:cs="宋体"/>
                <w:b w:val="0"/>
                <w:bCs w:val="0"/>
                <w:strike w:val="0"/>
                <w:color w:val="000000"/>
                <w:kern w:val="0"/>
                <w:sz w:val="24"/>
                <w:szCs w:val="24"/>
                <w:highlight w:val="none"/>
                <w:lang w:val="en-US" w:eastAsia="zh-CN"/>
              </w:rPr>
              <w:t>月2</w:t>
            </w:r>
            <w:r>
              <w:rPr>
                <w:rFonts w:hint="eastAsia" w:ascii="宋体" w:hAnsi="宋体" w:cs="宋体"/>
                <w:b w:val="0"/>
                <w:bCs w:val="0"/>
                <w:strike w:val="0"/>
                <w:color w:val="000000"/>
                <w:kern w:val="0"/>
                <w:sz w:val="24"/>
                <w:szCs w:val="24"/>
                <w:highlight w:val="none"/>
                <w:lang w:val="en-US" w:eastAsia="zh-CN"/>
              </w:rPr>
              <w:t>6</w:t>
            </w:r>
            <w:r>
              <w:rPr>
                <w:rFonts w:hint="eastAsia" w:ascii="宋体" w:hAnsi="宋体" w:eastAsia="宋体" w:cs="宋体"/>
                <w:b w:val="0"/>
                <w:bCs w:val="0"/>
                <w:strike w:val="0"/>
                <w:color w:val="000000"/>
                <w:kern w:val="0"/>
                <w:sz w:val="24"/>
                <w:szCs w:val="24"/>
                <w:highlight w:val="none"/>
                <w:lang w:val="en-US" w:eastAsia="zh-CN"/>
              </w:rPr>
              <w:t>日</w:t>
            </w:r>
            <w:bookmarkEnd w:id="479"/>
            <w:bookmarkEnd w:id="480"/>
            <w:bookmarkEnd w:id="481"/>
            <w:bookmarkEnd w:id="482"/>
            <w:bookmarkEnd w:id="483"/>
          </w:p>
          <w:p w14:paraId="2065E45D">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r>
              <w:rPr>
                <w:rFonts w:hint="eastAsia" w:ascii="宋体" w:hAnsi="宋体" w:cs="宋体"/>
                <w:b w:val="0"/>
                <w:bCs w:val="0"/>
                <w:strike w:val="0"/>
                <w:color w:val="000000"/>
                <w:kern w:val="0"/>
                <w:sz w:val="24"/>
                <w:szCs w:val="24"/>
                <w:highlight w:val="none"/>
                <w:lang w:val="en-US" w:eastAsia="zh-CN"/>
              </w:rPr>
              <w:t>起施行</w:t>
            </w:r>
            <w:r>
              <w:rPr>
                <w:rFonts w:hint="eastAsia" w:ascii="宋体" w:hAnsi="宋体" w:eastAsia="宋体" w:cs="宋体"/>
                <w:b w:val="0"/>
                <w:bCs w:val="0"/>
                <w:strike w:val="0"/>
                <w:color w:val="000000"/>
                <w:kern w:val="0"/>
                <w:sz w:val="24"/>
                <w:szCs w:val="24"/>
                <w:highlight w:val="none"/>
                <w:lang w:eastAsia="zh-CN"/>
              </w:rPr>
              <w:t>）</w:t>
            </w:r>
          </w:p>
        </w:tc>
        <w:tc>
          <w:tcPr>
            <w:tcW w:w="1458" w:type="pct"/>
            <w:vMerge w:val="restart"/>
            <w:noWrap w:val="0"/>
            <w:vAlign w:val="center"/>
          </w:tcPr>
          <w:p w14:paraId="7788882A">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第一百零三条</w:t>
            </w:r>
            <w:r>
              <w:rPr>
                <w:rFonts w:hint="eastAsia" w:ascii="宋体" w:hAnsi="宋体" w:cs="宋体"/>
                <w:kern w:val="0"/>
                <w:sz w:val="24"/>
                <w:szCs w:val="24"/>
                <w:lang w:val="en-US" w:eastAsia="zh-CN" w:bidi="ar"/>
              </w:rPr>
              <w:t xml:space="preserve"> </w:t>
            </w:r>
            <w:r>
              <w:rPr>
                <w:rFonts w:hint="eastAsia" w:ascii="宋体" w:hAnsi="宋体" w:eastAsia="宋体" w:cs="宋体"/>
                <w:i w:val="0"/>
                <w:iCs w:val="0"/>
                <w:caps w:val="0"/>
                <w:color w:val="000000"/>
                <w:spacing w:val="0"/>
                <w:sz w:val="24"/>
                <w:szCs w:val="24"/>
                <w:shd w:val="clear" w:color="auto" w:fill="auto"/>
              </w:rPr>
              <w:t>违反本法规定，有下列行为之一的，由县级以上地方人民政府市场监督管理部门责令改正，没收原材料、产品和违法所得，并处货值金额一倍以上三倍以下的罚款：</w:t>
            </w:r>
          </w:p>
          <w:p w14:paraId="6A947C63">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（一）</w:t>
            </w:r>
            <w:r>
              <w:rPr>
                <w:rFonts w:hint="eastAsia" w:ascii="宋体" w:hAnsi="宋体" w:eastAsia="宋体" w:cs="宋体"/>
                <w:kern w:val="0"/>
                <w:sz w:val="24"/>
                <w:szCs w:val="24"/>
                <w:lang w:val="en-US" w:eastAsia="zh-CN" w:bidi="ar"/>
              </w:rPr>
              <w:t>销售不符合质量标准的煤炭、石油焦的；</w:t>
            </w:r>
          </w:p>
          <w:p w14:paraId="4AB298A2">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（二）</w:t>
            </w:r>
            <w:r>
              <w:rPr>
                <w:rFonts w:hint="eastAsia" w:ascii="宋体" w:hAnsi="宋体" w:eastAsia="宋体" w:cs="宋体"/>
                <w:kern w:val="0"/>
                <w:sz w:val="24"/>
                <w:szCs w:val="24"/>
                <w:lang w:val="en-US" w:eastAsia="zh-CN" w:bidi="ar"/>
              </w:rPr>
              <w:t>生产、销售挥发性有机物含量不符合质量标准或者要求的原材料和产品的；</w:t>
            </w:r>
          </w:p>
          <w:p w14:paraId="62727BF9">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（三）</w:t>
            </w:r>
            <w:r>
              <w:rPr>
                <w:rFonts w:hint="eastAsia" w:ascii="宋体" w:hAnsi="宋体" w:eastAsia="宋体" w:cs="宋体"/>
                <w:kern w:val="0"/>
                <w:sz w:val="24"/>
                <w:szCs w:val="24"/>
                <w:lang w:val="en-US" w:eastAsia="zh-CN" w:bidi="ar"/>
              </w:rPr>
              <w:t>生产、销售不符合标准的机动车船和非道路移动机械用燃料、发动机油、氮氧化物还原剂、燃料和润滑油添加剂以及其他添加剂的；</w:t>
            </w:r>
          </w:p>
          <w:p w14:paraId="431285BE">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jc w:val="both"/>
              <w:textAlignment w:val="auto"/>
              <w:rPr>
                <w:rFonts w:hint="eastAsia" w:ascii="宋体" w:hAnsi="宋体" w:eastAsia="宋体" w:cs="宋体"/>
                <w:b w:val="0"/>
                <w:bCs w:val="0"/>
                <w:strike/>
                <w:color w:val="000000"/>
                <w:kern w:val="0"/>
                <w:sz w:val="24"/>
                <w:szCs w:val="24"/>
                <w:highlight w:val="none"/>
              </w:rPr>
            </w:pPr>
            <w:r>
              <w:rPr>
                <w:rFonts w:hint="eastAsia" w:ascii="宋体" w:hAnsi="宋体" w:eastAsia="宋体" w:cs="宋体"/>
                <w:kern w:val="0"/>
                <w:sz w:val="24"/>
                <w:szCs w:val="24"/>
                <w:lang w:val="en-US" w:eastAsia="zh-CN" w:bidi="ar"/>
              </w:rPr>
              <w:t>（四）在禁燃区内销售高污染燃料的。</w:t>
            </w:r>
          </w:p>
        </w:tc>
        <w:tc>
          <w:tcPr>
            <w:tcW w:w="413" w:type="pct"/>
            <w:noWrap w:val="0"/>
            <w:vAlign w:val="center"/>
          </w:tcPr>
          <w:p w14:paraId="4D3649C1">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较轻</w:t>
            </w:r>
          </w:p>
        </w:tc>
        <w:tc>
          <w:tcPr>
            <w:tcW w:w="1240" w:type="pct"/>
            <w:noWrap w:val="0"/>
            <w:vAlign w:val="center"/>
          </w:tcPr>
          <w:p w14:paraId="758ADC3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eastAsia="zh-CN"/>
              </w:rPr>
              <w:t>货值金额</w:t>
            </w:r>
            <w:r>
              <w:rPr>
                <w:rFonts w:hint="eastAsia" w:ascii="宋体" w:hAnsi="宋体" w:cs="宋体"/>
                <w:b w:val="0"/>
                <w:bCs w:val="0"/>
                <w:color w:val="000000"/>
                <w:kern w:val="0"/>
                <w:sz w:val="24"/>
                <w:szCs w:val="24"/>
                <w:highlight w:val="none"/>
                <w:lang w:val="en-US" w:eastAsia="zh-CN"/>
              </w:rPr>
              <w:t>10</w:t>
            </w:r>
            <w:r>
              <w:rPr>
                <w:rFonts w:hint="eastAsia" w:ascii="宋体" w:hAnsi="宋体" w:eastAsia="宋体" w:cs="宋体"/>
                <w:b w:val="0"/>
                <w:bCs w:val="0"/>
                <w:color w:val="000000"/>
                <w:kern w:val="0"/>
                <w:sz w:val="24"/>
                <w:szCs w:val="24"/>
                <w:highlight w:val="none"/>
                <w:lang w:val="en-US" w:eastAsia="zh-CN"/>
              </w:rPr>
              <w:t>万元以下的。</w:t>
            </w:r>
          </w:p>
        </w:tc>
        <w:tc>
          <w:tcPr>
            <w:tcW w:w="1038" w:type="pct"/>
            <w:noWrap w:val="0"/>
            <w:vAlign w:val="center"/>
          </w:tcPr>
          <w:p w14:paraId="71C8570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kern w:val="0"/>
                <w:sz w:val="24"/>
                <w:szCs w:val="24"/>
                <w:lang w:val="en-US" w:eastAsia="zh-CN" w:bidi="ar"/>
              </w:rPr>
            </w:pPr>
            <w:r>
              <w:rPr>
                <w:rFonts w:hint="eastAsia" w:ascii="宋体" w:hAnsi="宋体" w:eastAsia="宋体" w:cs="宋体"/>
                <w:i w:val="0"/>
                <w:iCs w:val="0"/>
                <w:caps w:val="0"/>
                <w:spacing w:val="0"/>
                <w:sz w:val="24"/>
                <w:szCs w:val="24"/>
                <w:shd w:val="clear" w:color="auto" w:fill="auto"/>
              </w:rPr>
              <w:t>责令改正，没收原材料、产品和违法所得，并处</w:t>
            </w:r>
            <w:r>
              <w:rPr>
                <w:rFonts w:hint="eastAsia" w:ascii="宋体" w:hAnsi="宋体" w:eastAsia="宋体" w:cs="宋体"/>
                <w:kern w:val="0"/>
                <w:sz w:val="24"/>
                <w:szCs w:val="24"/>
                <w:lang w:val="en-US" w:eastAsia="zh-CN" w:bidi="ar"/>
              </w:rPr>
              <w:t>货值金额</w:t>
            </w:r>
            <w:r>
              <w:rPr>
                <w:rFonts w:hint="eastAsia" w:ascii="宋体" w:hAnsi="宋体" w:cs="宋体"/>
                <w:kern w:val="0"/>
                <w:sz w:val="24"/>
                <w:szCs w:val="24"/>
                <w:lang w:val="en-US" w:eastAsia="zh-CN" w:bidi="ar"/>
              </w:rPr>
              <w:t>1</w:t>
            </w:r>
            <w:r>
              <w:rPr>
                <w:rFonts w:hint="eastAsia" w:ascii="宋体" w:hAnsi="宋体" w:eastAsia="宋体" w:cs="宋体"/>
                <w:kern w:val="0"/>
                <w:sz w:val="24"/>
                <w:szCs w:val="24"/>
                <w:lang w:val="en-US" w:eastAsia="zh-CN" w:bidi="ar"/>
              </w:rPr>
              <w:t>倍的罚款。</w:t>
            </w:r>
          </w:p>
        </w:tc>
      </w:tr>
      <w:tr w14:paraId="2C179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jc w:val="center"/>
        </w:trPr>
        <w:tc>
          <w:tcPr>
            <w:tcW w:w="250" w:type="pct"/>
            <w:vMerge w:val="continue"/>
            <w:noWrap w:val="0"/>
            <w:vAlign w:val="center"/>
          </w:tcPr>
          <w:p w14:paraId="40DF058B">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p>
        </w:tc>
        <w:tc>
          <w:tcPr>
            <w:tcW w:w="598" w:type="pct"/>
            <w:vMerge w:val="continue"/>
            <w:noWrap w:val="0"/>
            <w:vAlign w:val="center"/>
          </w:tcPr>
          <w:p w14:paraId="7B1B19ED">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p>
        </w:tc>
        <w:tc>
          <w:tcPr>
            <w:tcW w:w="1458" w:type="pct"/>
            <w:vMerge w:val="continue"/>
            <w:noWrap w:val="0"/>
            <w:vAlign w:val="center"/>
          </w:tcPr>
          <w:p w14:paraId="3E5D8189">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strike/>
                <w:color w:val="000000"/>
                <w:kern w:val="0"/>
                <w:sz w:val="24"/>
                <w:szCs w:val="24"/>
                <w:highlight w:val="none"/>
              </w:rPr>
            </w:pPr>
          </w:p>
        </w:tc>
        <w:tc>
          <w:tcPr>
            <w:tcW w:w="413" w:type="pct"/>
            <w:noWrap w:val="0"/>
            <w:vAlign w:val="center"/>
          </w:tcPr>
          <w:p w14:paraId="7E88981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一般</w:t>
            </w:r>
          </w:p>
        </w:tc>
        <w:tc>
          <w:tcPr>
            <w:tcW w:w="1240" w:type="pct"/>
            <w:noWrap w:val="0"/>
            <w:vAlign w:val="center"/>
          </w:tcPr>
          <w:p w14:paraId="79044A83">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lang w:eastAsia="zh-CN"/>
              </w:rPr>
              <w:t>货值金额</w:t>
            </w:r>
            <w:r>
              <w:rPr>
                <w:rFonts w:hint="eastAsia" w:ascii="宋体" w:hAnsi="宋体" w:cs="宋体"/>
                <w:b w:val="0"/>
                <w:bCs w:val="0"/>
                <w:color w:val="000000"/>
                <w:kern w:val="0"/>
                <w:sz w:val="24"/>
                <w:szCs w:val="24"/>
                <w:highlight w:val="none"/>
                <w:lang w:val="en-US" w:eastAsia="zh-CN"/>
              </w:rPr>
              <w:t>10</w:t>
            </w:r>
            <w:r>
              <w:rPr>
                <w:rFonts w:hint="eastAsia" w:ascii="宋体" w:hAnsi="宋体" w:eastAsia="宋体" w:cs="宋体"/>
                <w:b w:val="0"/>
                <w:bCs w:val="0"/>
                <w:color w:val="000000"/>
                <w:kern w:val="0"/>
                <w:sz w:val="24"/>
                <w:szCs w:val="24"/>
                <w:highlight w:val="none"/>
                <w:lang w:eastAsia="zh-CN"/>
              </w:rPr>
              <w:t>万元以上</w:t>
            </w:r>
            <w:r>
              <w:rPr>
                <w:rFonts w:hint="eastAsia" w:ascii="宋体" w:hAnsi="宋体" w:cs="宋体"/>
                <w:b w:val="0"/>
                <w:bCs w:val="0"/>
                <w:color w:val="000000"/>
                <w:kern w:val="0"/>
                <w:sz w:val="24"/>
                <w:szCs w:val="24"/>
                <w:highlight w:val="none"/>
                <w:lang w:val="en-US" w:eastAsia="zh-CN"/>
              </w:rPr>
              <w:t>5</w:t>
            </w:r>
            <w:r>
              <w:rPr>
                <w:rFonts w:hint="default" w:ascii="宋体" w:hAnsi="宋体" w:cs="宋体"/>
                <w:b w:val="0"/>
                <w:bCs w:val="0"/>
                <w:color w:val="000000"/>
                <w:kern w:val="0"/>
                <w:sz w:val="24"/>
                <w:szCs w:val="24"/>
                <w:highlight w:val="none"/>
                <w:lang w:val="en" w:eastAsia="zh-CN"/>
              </w:rPr>
              <w:t>0</w:t>
            </w:r>
            <w:r>
              <w:rPr>
                <w:rFonts w:hint="eastAsia" w:ascii="宋体" w:hAnsi="宋体" w:eastAsia="宋体" w:cs="宋体"/>
                <w:b w:val="0"/>
                <w:bCs w:val="0"/>
                <w:color w:val="000000"/>
                <w:kern w:val="0"/>
                <w:sz w:val="24"/>
                <w:szCs w:val="24"/>
                <w:highlight w:val="none"/>
                <w:lang w:eastAsia="zh-CN"/>
              </w:rPr>
              <w:t>万元以下的。</w:t>
            </w:r>
          </w:p>
        </w:tc>
        <w:tc>
          <w:tcPr>
            <w:tcW w:w="1038" w:type="pct"/>
            <w:noWrap w:val="0"/>
            <w:vAlign w:val="center"/>
          </w:tcPr>
          <w:p w14:paraId="28B2A48C">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kern w:val="0"/>
                <w:sz w:val="24"/>
                <w:szCs w:val="24"/>
                <w:lang w:val="en-US" w:eastAsia="zh-CN" w:bidi="ar"/>
              </w:rPr>
            </w:pPr>
            <w:r>
              <w:rPr>
                <w:rFonts w:hint="eastAsia" w:ascii="宋体" w:hAnsi="宋体" w:eastAsia="宋体" w:cs="宋体"/>
                <w:i w:val="0"/>
                <w:iCs w:val="0"/>
                <w:caps w:val="0"/>
                <w:spacing w:val="0"/>
                <w:sz w:val="24"/>
                <w:szCs w:val="24"/>
                <w:shd w:val="clear" w:color="auto" w:fill="auto"/>
              </w:rPr>
              <w:t>责令改正，没收原材料、产品和违法所得，并处</w:t>
            </w:r>
            <w:r>
              <w:rPr>
                <w:rFonts w:hint="eastAsia" w:ascii="宋体" w:hAnsi="宋体" w:eastAsia="宋体" w:cs="宋体"/>
                <w:kern w:val="0"/>
                <w:sz w:val="24"/>
                <w:szCs w:val="24"/>
                <w:lang w:val="en-US" w:eastAsia="zh-CN" w:bidi="ar"/>
              </w:rPr>
              <w:t>货值金额</w:t>
            </w:r>
            <w:r>
              <w:rPr>
                <w:rFonts w:hint="eastAsia" w:ascii="宋体" w:hAnsi="宋体" w:cs="宋体"/>
                <w:kern w:val="0"/>
                <w:sz w:val="24"/>
                <w:szCs w:val="24"/>
                <w:lang w:val="en-US" w:eastAsia="zh-CN" w:bidi="ar"/>
              </w:rPr>
              <w:t>1</w:t>
            </w:r>
            <w:r>
              <w:rPr>
                <w:rFonts w:hint="eastAsia" w:ascii="宋体" w:hAnsi="宋体" w:eastAsia="宋体" w:cs="宋体"/>
                <w:kern w:val="0"/>
                <w:sz w:val="24"/>
                <w:szCs w:val="24"/>
                <w:lang w:val="en-US" w:eastAsia="zh-CN" w:bidi="ar"/>
              </w:rPr>
              <w:t>倍以上</w:t>
            </w:r>
            <w:r>
              <w:rPr>
                <w:rFonts w:hint="eastAsia" w:ascii="宋体" w:hAnsi="宋体" w:cs="宋体"/>
                <w:kern w:val="0"/>
                <w:sz w:val="24"/>
                <w:szCs w:val="24"/>
                <w:lang w:val="en-US" w:eastAsia="zh-CN" w:bidi="ar"/>
              </w:rPr>
              <w:t>2</w:t>
            </w:r>
            <w:r>
              <w:rPr>
                <w:rFonts w:hint="eastAsia" w:ascii="宋体" w:hAnsi="宋体" w:eastAsia="宋体" w:cs="宋体"/>
                <w:kern w:val="0"/>
                <w:sz w:val="24"/>
                <w:szCs w:val="24"/>
                <w:lang w:val="en-US" w:eastAsia="zh-CN" w:bidi="ar"/>
              </w:rPr>
              <w:t>倍以下的罚款。</w:t>
            </w:r>
          </w:p>
        </w:tc>
      </w:tr>
      <w:tr w14:paraId="58A10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9" w:hRule="atLeast"/>
          <w:jc w:val="center"/>
        </w:trPr>
        <w:tc>
          <w:tcPr>
            <w:tcW w:w="250" w:type="pct"/>
            <w:vMerge w:val="continue"/>
            <w:noWrap w:val="0"/>
            <w:vAlign w:val="center"/>
          </w:tcPr>
          <w:p w14:paraId="4FC5B98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p>
        </w:tc>
        <w:tc>
          <w:tcPr>
            <w:tcW w:w="598" w:type="pct"/>
            <w:vMerge w:val="continue"/>
            <w:noWrap w:val="0"/>
            <w:vAlign w:val="center"/>
          </w:tcPr>
          <w:p w14:paraId="524FB41E">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p>
        </w:tc>
        <w:tc>
          <w:tcPr>
            <w:tcW w:w="1458" w:type="pct"/>
            <w:vMerge w:val="continue"/>
            <w:noWrap w:val="0"/>
            <w:vAlign w:val="center"/>
          </w:tcPr>
          <w:p w14:paraId="06C62493">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strike/>
                <w:color w:val="000000"/>
                <w:kern w:val="0"/>
                <w:sz w:val="24"/>
                <w:szCs w:val="24"/>
                <w:highlight w:val="none"/>
              </w:rPr>
            </w:pPr>
          </w:p>
        </w:tc>
        <w:tc>
          <w:tcPr>
            <w:tcW w:w="413" w:type="pct"/>
            <w:noWrap w:val="0"/>
            <w:vAlign w:val="center"/>
          </w:tcPr>
          <w:p w14:paraId="7CB7C61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较重</w:t>
            </w:r>
          </w:p>
        </w:tc>
        <w:tc>
          <w:tcPr>
            <w:tcW w:w="1240" w:type="pct"/>
            <w:noWrap w:val="0"/>
            <w:vAlign w:val="center"/>
          </w:tcPr>
          <w:p w14:paraId="11871AB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lang w:eastAsia="zh-CN"/>
              </w:rPr>
              <w:t>货值金额</w:t>
            </w:r>
            <w:r>
              <w:rPr>
                <w:rFonts w:hint="eastAsia" w:ascii="宋体" w:hAnsi="宋体" w:cs="宋体"/>
                <w:b w:val="0"/>
                <w:bCs w:val="0"/>
                <w:color w:val="000000"/>
                <w:kern w:val="0"/>
                <w:sz w:val="24"/>
                <w:szCs w:val="24"/>
                <w:highlight w:val="none"/>
                <w:lang w:val="en-US" w:eastAsia="zh-CN"/>
              </w:rPr>
              <w:t>5</w:t>
            </w:r>
            <w:r>
              <w:rPr>
                <w:rFonts w:hint="default" w:ascii="宋体" w:hAnsi="宋体" w:cs="宋体"/>
                <w:b w:val="0"/>
                <w:bCs w:val="0"/>
                <w:color w:val="000000"/>
                <w:kern w:val="0"/>
                <w:sz w:val="24"/>
                <w:szCs w:val="24"/>
                <w:highlight w:val="none"/>
                <w:lang w:val="en" w:eastAsia="zh-CN"/>
              </w:rPr>
              <w:t>0</w:t>
            </w:r>
            <w:r>
              <w:rPr>
                <w:rFonts w:hint="eastAsia" w:ascii="宋体" w:hAnsi="宋体" w:eastAsia="宋体" w:cs="宋体"/>
                <w:b w:val="0"/>
                <w:bCs w:val="0"/>
                <w:color w:val="000000"/>
                <w:kern w:val="0"/>
                <w:sz w:val="24"/>
                <w:szCs w:val="24"/>
                <w:highlight w:val="none"/>
                <w:lang w:eastAsia="zh-CN"/>
              </w:rPr>
              <w:t>万元以上的。</w:t>
            </w:r>
          </w:p>
        </w:tc>
        <w:tc>
          <w:tcPr>
            <w:tcW w:w="1038" w:type="pct"/>
            <w:noWrap w:val="0"/>
            <w:vAlign w:val="center"/>
          </w:tcPr>
          <w:p w14:paraId="192D9496">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kern w:val="0"/>
                <w:sz w:val="24"/>
                <w:szCs w:val="24"/>
                <w:lang w:val="en-US" w:eastAsia="zh-CN" w:bidi="ar"/>
              </w:rPr>
            </w:pPr>
            <w:r>
              <w:rPr>
                <w:rFonts w:hint="eastAsia" w:ascii="宋体" w:hAnsi="宋体" w:eastAsia="宋体" w:cs="宋体"/>
                <w:i w:val="0"/>
                <w:iCs w:val="0"/>
                <w:caps w:val="0"/>
                <w:spacing w:val="0"/>
                <w:sz w:val="24"/>
                <w:szCs w:val="24"/>
                <w:shd w:val="clear" w:color="auto" w:fill="auto"/>
              </w:rPr>
              <w:t>责令改正，没收原材料、产品和违法所得，并处</w:t>
            </w:r>
            <w:r>
              <w:rPr>
                <w:rFonts w:hint="eastAsia" w:ascii="宋体" w:hAnsi="宋体" w:eastAsia="宋体" w:cs="宋体"/>
                <w:kern w:val="0"/>
                <w:sz w:val="24"/>
                <w:szCs w:val="24"/>
                <w:lang w:val="en-US" w:eastAsia="zh-CN" w:bidi="ar"/>
              </w:rPr>
              <w:t>货值金额</w:t>
            </w:r>
            <w:r>
              <w:rPr>
                <w:rFonts w:hint="eastAsia" w:ascii="宋体" w:hAnsi="宋体" w:cs="宋体"/>
                <w:kern w:val="0"/>
                <w:sz w:val="24"/>
                <w:szCs w:val="24"/>
                <w:lang w:val="en-US" w:eastAsia="zh-CN" w:bidi="ar"/>
              </w:rPr>
              <w:t>2</w:t>
            </w:r>
            <w:r>
              <w:rPr>
                <w:rFonts w:hint="eastAsia" w:ascii="宋体" w:hAnsi="宋体" w:eastAsia="宋体" w:cs="宋体"/>
                <w:kern w:val="0"/>
                <w:sz w:val="24"/>
                <w:szCs w:val="24"/>
                <w:lang w:val="en-US" w:eastAsia="zh-CN" w:bidi="ar"/>
              </w:rPr>
              <w:t>倍以上</w:t>
            </w:r>
            <w:r>
              <w:rPr>
                <w:rFonts w:hint="eastAsia" w:ascii="宋体" w:hAnsi="宋体" w:cs="宋体"/>
                <w:kern w:val="0"/>
                <w:sz w:val="24"/>
                <w:szCs w:val="24"/>
                <w:lang w:val="en-US" w:eastAsia="zh-CN" w:bidi="ar"/>
              </w:rPr>
              <w:t>3</w:t>
            </w:r>
            <w:r>
              <w:rPr>
                <w:rFonts w:hint="eastAsia" w:ascii="宋体" w:hAnsi="宋体" w:eastAsia="宋体" w:cs="宋体"/>
                <w:kern w:val="0"/>
                <w:sz w:val="24"/>
                <w:szCs w:val="24"/>
                <w:lang w:val="en-US" w:eastAsia="zh-CN" w:bidi="ar"/>
              </w:rPr>
              <w:t>倍以下的罚款。</w:t>
            </w:r>
          </w:p>
        </w:tc>
      </w:tr>
      <w:tr w14:paraId="6469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250" w:type="pct"/>
            <w:vMerge w:val="restart"/>
            <w:noWrap w:val="0"/>
            <w:vAlign w:val="center"/>
          </w:tcPr>
          <w:p w14:paraId="4F0D30F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rPr>
              <w:t>3</w:t>
            </w:r>
            <w:r>
              <w:rPr>
                <w:rFonts w:hint="eastAsia" w:ascii="宋体" w:hAnsi="宋体" w:cs="宋体"/>
                <w:b w:val="0"/>
                <w:bCs w:val="0"/>
                <w:color w:val="000000"/>
                <w:kern w:val="0"/>
                <w:sz w:val="24"/>
                <w:szCs w:val="24"/>
                <w:highlight w:val="none"/>
                <w:lang w:val="en-US" w:eastAsia="zh-CN"/>
              </w:rPr>
              <w:t>84</w:t>
            </w:r>
          </w:p>
        </w:tc>
        <w:tc>
          <w:tcPr>
            <w:tcW w:w="598" w:type="pct"/>
            <w:vMerge w:val="restart"/>
            <w:noWrap w:val="0"/>
            <w:vAlign w:val="center"/>
          </w:tcPr>
          <w:p w14:paraId="53861216">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left"/>
              <w:textAlignment w:val="auto"/>
              <w:outlineLvl w:val="1"/>
              <w:rPr>
                <w:rFonts w:hint="eastAsia" w:ascii="宋体" w:hAnsi="宋体" w:eastAsia="宋体" w:cs="宋体"/>
                <w:b w:val="0"/>
                <w:bCs w:val="0"/>
                <w:strike/>
                <w:color w:val="000000"/>
                <w:kern w:val="0"/>
                <w:sz w:val="24"/>
                <w:szCs w:val="24"/>
                <w:highlight w:val="none"/>
                <w:lang w:eastAsia="zh-CN"/>
              </w:rPr>
            </w:pPr>
            <w:bookmarkStart w:id="484" w:name="_Toc9436"/>
            <w:bookmarkStart w:id="485" w:name="_Toc16147"/>
            <w:bookmarkStart w:id="486" w:name="_Toc757"/>
            <w:bookmarkStart w:id="487" w:name="_Toc15179"/>
            <w:bookmarkStart w:id="488" w:name="_Toc26660"/>
            <w:r>
              <w:rPr>
                <w:rFonts w:hint="eastAsia" w:ascii="宋体" w:hAnsi="宋体" w:eastAsia="宋体" w:cs="宋体"/>
                <w:b w:val="0"/>
                <w:bCs w:val="0"/>
                <w:strike w:val="0"/>
                <w:color w:val="000000"/>
                <w:kern w:val="0"/>
                <w:sz w:val="24"/>
                <w:szCs w:val="24"/>
                <w:highlight w:val="none"/>
                <w:lang w:val="en-US" w:eastAsia="zh-CN" w:bidi="ar-SA"/>
              </w:rPr>
              <w:t>《危险化学品安全管理条例》（2013年12月7日</w:t>
            </w:r>
            <w:r>
              <w:rPr>
                <w:rFonts w:hint="eastAsia" w:cs="宋体"/>
                <w:b w:val="0"/>
                <w:bCs w:val="0"/>
                <w:strike w:val="0"/>
                <w:color w:val="000000"/>
                <w:kern w:val="0"/>
                <w:sz w:val="24"/>
                <w:szCs w:val="24"/>
                <w:highlight w:val="none"/>
                <w:lang w:val="en-US" w:eastAsia="zh-CN" w:bidi="ar-SA"/>
              </w:rPr>
              <w:t>起施行</w:t>
            </w:r>
            <w:r>
              <w:rPr>
                <w:rFonts w:hint="eastAsia" w:ascii="宋体" w:hAnsi="宋体" w:eastAsia="宋体" w:cs="宋体"/>
                <w:b w:val="0"/>
                <w:bCs w:val="0"/>
                <w:strike w:val="0"/>
                <w:color w:val="000000"/>
                <w:kern w:val="0"/>
                <w:sz w:val="24"/>
                <w:szCs w:val="24"/>
                <w:highlight w:val="none"/>
                <w:lang w:val="en-US" w:eastAsia="zh-CN" w:bidi="ar-SA"/>
              </w:rPr>
              <w:t>）</w:t>
            </w:r>
            <w:bookmarkEnd w:id="484"/>
            <w:bookmarkEnd w:id="485"/>
            <w:bookmarkEnd w:id="486"/>
            <w:bookmarkEnd w:id="487"/>
            <w:bookmarkEnd w:id="488"/>
          </w:p>
        </w:tc>
        <w:tc>
          <w:tcPr>
            <w:tcW w:w="1458" w:type="pct"/>
            <w:vMerge w:val="restart"/>
            <w:noWrap w:val="0"/>
            <w:vAlign w:val="center"/>
          </w:tcPr>
          <w:p w14:paraId="55503FED">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第七十九条</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危险化学品包装物、容器生产企业销售未经检验或者经检验不合格的危险化学品包装物、容器的，由质量监督检验检疫部门责令改正，处10万元以上20万元以下的罚款，有违法所得的，没收违法所得；拒不改正的，责令停产停业整顿；构成犯罪的，依法追究刑事责任。</w:t>
            </w:r>
          </w:p>
          <w:p w14:paraId="16817D08">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strike/>
                <w:color w:val="000000"/>
                <w:kern w:val="0"/>
                <w:sz w:val="24"/>
                <w:szCs w:val="24"/>
                <w:highlight w:val="none"/>
              </w:rPr>
            </w:pPr>
          </w:p>
        </w:tc>
        <w:tc>
          <w:tcPr>
            <w:tcW w:w="413" w:type="pct"/>
            <w:noWrap w:val="0"/>
            <w:vAlign w:val="center"/>
          </w:tcPr>
          <w:p w14:paraId="6474055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较轻</w:t>
            </w:r>
          </w:p>
        </w:tc>
        <w:tc>
          <w:tcPr>
            <w:tcW w:w="1240" w:type="pct"/>
            <w:noWrap w:val="0"/>
            <w:vAlign w:val="center"/>
          </w:tcPr>
          <w:p w14:paraId="02036DC7">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lang w:eastAsia="zh-CN"/>
              </w:rPr>
              <w:t>货值金额</w:t>
            </w:r>
            <w:r>
              <w:rPr>
                <w:rFonts w:hint="eastAsia" w:ascii="宋体" w:hAnsi="宋体" w:eastAsia="宋体" w:cs="宋体"/>
                <w:b w:val="0"/>
                <w:bCs w:val="0"/>
                <w:color w:val="000000"/>
                <w:kern w:val="0"/>
                <w:sz w:val="24"/>
                <w:szCs w:val="24"/>
                <w:highlight w:val="none"/>
                <w:lang w:val="en-US" w:eastAsia="zh-CN"/>
              </w:rPr>
              <w:t>5万元以下的。</w:t>
            </w:r>
          </w:p>
        </w:tc>
        <w:tc>
          <w:tcPr>
            <w:tcW w:w="1038" w:type="pct"/>
            <w:noWrap w:val="0"/>
            <w:vAlign w:val="center"/>
          </w:tcPr>
          <w:p w14:paraId="0DA310F0">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责令改正，处10万元以上13万元以下的罚款，有违法所得的，没收违法所得。</w:t>
            </w:r>
          </w:p>
        </w:tc>
      </w:tr>
      <w:tr w14:paraId="19C3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250" w:type="pct"/>
            <w:vMerge w:val="continue"/>
            <w:noWrap w:val="0"/>
            <w:vAlign w:val="center"/>
          </w:tcPr>
          <w:p w14:paraId="19EB689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p>
        </w:tc>
        <w:tc>
          <w:tcPr>
            <w:tcW w:w="598" w:type="pct"/>
            <w:vMerge w:val="continue"/>
            <w:noWrap w:val="0"/>
            <w:vAlign w:val="center"/>
          </w:tcPr>
          <w:p w14:paraId="056E8491">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p>
        </w:tc>
        <w:tc>
          <w:tcPr>
            <w:tcW w:w="1458" w:type="pct"/>
            <w:vMerge w:val="continue"/>
            <w:noWrap w:val="0"/>
            <w:vAlign w:val="center"/>
          </w:tcPr>
          <w:p w14:paraId="205E767A">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strike/>
                <w:color w:val="000000"/>
                <w:kern w:val="0"/>
                <w:sz w:val="24"/>
                <w:szCs w:val="24"/>
                <w:highlight w:val="none"/>
              </w:rPr>
            </w:pPr>
          </w:p>
        </w:tc>
        <w:tc>
          <w:tcPr>
            <w:tcW w:w="413" w:type="pct"/>
            <w:noWrap w:val="0"/>
            <w:vAlign w:val="center"/>
          </w:tcPr>
          <w:p w14:paraId="79A5A55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一般</w:t>
            </w:r>
          </w:p>
        </w:tc>
        <w:tc>
          <w:tcPr>
            <w:tcW w:w="1240" w:type="pct"/>
            <w:noWrap w:val="0"/>
            <w:vAlign w:val="center"/>
          </w:tcPr>
          <w:p w14:paraId="28002C44">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lang w:eastAsia="zh-CN"/>
              </w:rPr>
              <w:t>货值金额</w:t>
            </w:r>
            <w:r>
              <w:rPr>
                <w:rFonts w:hint="eastAsia" w:ascii="宋体" w:hAnsi="宋体" w:eastAsia="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lang w:eastAsia="zh-CN"/>
              </w:rPr>
              <w:t>万元以上</w:t>
            </w:r>
            <w:r>
              <w:rPr>
                <w:rFonts w:hint="eastAsia" w:ascii="宋体" w:hAnsi="宋体" w:eastAsia="宋体" w:cs="宋体"/>
                <w:b w:val="0"/>
                <w:bCs w:val="0"/>
                <w:color w:val="000000"/>
                <w:kern w:val="0"/>
                <w:sz w:val="24"/>
                <w:szCs w:val="24"/>
                <w:highlight w:val="none"/>
                <w:lang w:val="en-US" w:eastAsia="zh-CN"/>
              </w:rPr>
              <w:t>10</w:t>
            </w:r>
            <w:r>
              <w:rPr>
                <w:rFonts w:hint="eastAsia" w:ascii="宋体" w:hAnsi="宋体" w:eastAsia="宋体" w:cs="宋体"/>
                <w:b w:val="0"/>
                <w:bCs w:val="0"/>
                <w:color w:val="000000"/>
                <w:kern w:val="0"/>
                <w:sz w:val="24"/>
                <w:szCs w:val="24"/>
                <w:highlight w:val="none"/>
                <w:lang w:eastAsia="zh-CN"/>
              </w:rPr>
              <w:t>万元以下的。</w:t>
            </w:r>
          </w:p>
        </w:tc>
        <w:tc>
          <w:tcPr>
            <w:tcW w:w="1038" w:type="pct"/>
            <w:noWrap w:val="0"/>
            <w:vAlign w:val="center"/>
          </w:tcPr>
          <w:p w14:paraId="56F8DA8A">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责令改正，处13万元以上17万元以下的罚款，有违法所得的，没收违法所得。</w:t>
            </w:r>
          </w:p>
        </w:tc>
      </w:tr>
      <w:tr w14:paraId="42F72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250" w:type="pct"/>
            <w:vMerge w:val="continue"/>
            <w:noWrap w:val="0"/>
            <w:vAlign w:val="center"/>
          </w:tcPr>
          <w:p w14:paraId="1DF5B3C5">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p>
        </w:tc>
        <w:tc>
          <w:tcPr>
            <w:tcW w:w="598" w:type="pct"/>
            <w:vMerge w:val="continue"/>
            <w:noWrap w:val="0"/>
            <w:vAlign w:val="center"/>
          </w:tcPr>
          <w:p w14:paraId="562934FF">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p>
        </w:tc>
        <w:tc>
          <w:tcPr>
            <w:tcW w:w="1458" w:type="pct"/>
            <w:vMerge w:val="continue"/>
            <w:noWrap w:val="0"/>
            <w:vAlign w:val="center"/>
          </w:tcPr>
          <w:p w14:paraId="6F0A9B30">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strike/>
                <w:color w:val="000000"/>
                <w:kern w:val="0"/>
                <w:sz w:val="24"/>
                <w:szCs w:val="24"/>
                <w:highlight w:val="none"/>
              </w:rPr>
            </w:pPr>
          </w:p>
        </w:tc>
        <w:tc>
          <w:tcPr>
            <w:tcW w:w="413" w:type="pct"/>
            <w:noWrap w:val="0"/>
            <w:vAlign w:val="center"/>
          </w:tcPr>
          <w:p w14:paraId="2424124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color w:val="000000"/>
                <w:kern w:val="0"/>
                <w:sz w:val="24"/>
                <w:szCs w:val="24"/>
                <w:highlight w:val="none"/>
              </w:rPr>
              <w:t>较重</w:t>
            </w:r>
          </w:p>
        </w:tc>
        <w:tc>
          <w:tcPr>
            <w:tcW w:w="1240" w:type="pct"/>
            <w:noWrap w:val="0"/>
            <w:vAlign w:val="center"/>
          </w:tcPr>
          <w:p w14:paraId="699E52B5">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lang w:eastAsia="zh-CN"/>
              </w:rPr>
              <w:t>货值金额</w:t>
            </w:r>
            <w:r>
              <w:rPr>
                <w:rFonts w:hint="eastAsia" w:ascii="宋体" w:hAnsi="宋体" w:eastAsia="宋体" w:cs="宋体"/>
                <w:b w:val="0"/>
                <w:bCs w:val="0"/>
                <w:color w:val="000000"/>
                <w:kern w:val="0"/>
                <w:sz w:val="24"/>
                <w:szCs w:val="24"/>
                <w:highlight w:val="none"/>
                <w:lang w:val="en-US" w:eastAsia="zh-CN"/>
              </w:rPr>
              <w:t>10</w:t>
            </w:r>
            <w:r>
              <w:rPr>
                <w:rFonts w:hint="eastAsia" w:ascii="宋体" w:hAnsi="宋体" w:eastAsia="宋体" w:cs="宋体"/>
                <w:b w:val="0"/>
                <w:bCs w:val="0"/>
                <w:color w:val="000000"/>
                <w:kern w:val="0"/>
                <w:sz w:val="24"/>
                <w:szCs w:val="24"/>
                <w:highlight w:val="none"/>
                <w:lang w:eastAsia="zh-CN"/>
              </w:rPr>
              <w:t>万元以上的。</w:t>
            </w:r>
          </w:p>
        </w:tc>
        <w:tc>
          <w:tcPr>
            <w:tcW w:w="1038" w:type="pct"/>
            <w:noWrap w:val="0"/>
            <w:vAlign w:val="center"/>
          </w:tcPr>
          <w:p w14:paraId="0E14D9A1">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责令改正，处17万元以上20万元以下的罚款，有违法所得的，没收违法所得。</w:t>
            </w:r>
          </w:p>
        </w:tc>
      </w:tr>
      <w:tr w14:paraId="55B2B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50" w:type="pct"/>
            <w:vMerge w:val="continue"/>
            <w:noWrap w:val="0"/>
            <w:vAlign w:val="center"/>
          </w:tcPr>
          <w:p w14:paraId="06B037AC">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p>
        </w:tc>
        <w:tc>
          <w:tcPr>
            <w:tcW w:w="598" w:type="pct"/>
            <w:vMerge w:val="continue"/>
            <w:noWrap w:val="0"/>
            <w:vAlign w:val="center"/>
          </w:tcPr>
          <w:p w14:paraId="38DE5593">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p>
        </w:tc>
        <w:tc>
          <w:tcPr>
            <w:tcW w:w="1458" w:type="pct"/>
            <w:vMerge w:val="continue"/>
            <w:noWrap w:val="0"/>
            <w:vAlign w:val="center"/>
          </w:tcPr>
          <w:p w14:paraId="118AE6EF">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strike/>
                <w:color w:val="000000"/>
                <w:kern w:val="0"/>
                <w:sz w:val="24"/>
                <w:szCs w:val="24"/>
                <w:highlight w:val="none"/>
              </w:rPr>
            </w:pPr>
          </w:p>
        </w:tc>
        <w:tc>
          <w:tcPr>
            <w:tcW w:w="413" w:type="pct"/>
            <w:noWrap w:val="0"/>
            <w:vAlign w:val="center"/>
          </w:tcPr>
          <w:p w14:paraId="6F0646D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r>
              <w:rPr>
                <w:rFonts w:hint="eastAsia" w:ascii="宋体" w:hAnsi="宋体" w:eastAsia="宋体" w:cs="宋体"/>
                <w:b w:val="0"/>
                <w:bCs w:val="0"/>
                <w:strike w:val="0"/>
                <w:color w:val="000000"/>
                <w:kern w:val="0"/>
                <w:sz w:val="24"/>
                <w:szCs w:val="24"/>
                <w:highlight w:val="none"/>
              </w:rPr>
              <w:t>严重</w:t>
            </w:r>
          </w:p>
        </w:tc>
        <w:tc>
          <w:tcPr>
            <w:tcW w:w="1240" w:type="pct"/>
            <w:noWrap w:val="0"/>
            <w:vAlign w:val="center"/>
          </w:tcPr>
          <w:p w14:paraId="2443E9DE">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lang w:eastAsia="zh-CN"/>
              </w:rPr>
              <w:t>拒不改正的。</w:t>
            </w:r>
          </w:p>
        </w:tc>
        <w:tc>
          <w:tcPr>
            <w:tcW w:w="1038" w:type="pct"/>
            <w:noWrap w:val="0"/>
            <w:vAlign w:val="center"/>
          </w:tcPr>
          <w:p w14:paraId="070148F2">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责令停产停业整顿。</w:t>
            </w:r>
          </w:p>
        </w:tc>
      </w:tr>
      <w:tr w14:paraId="3D7A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250" w:type="pct"/>
            <w:vMerge w:val="restart"/>
            <w:noWrap w:val="0"/>
            <w:vAlign w:val="center"/>
          </w:tcPr>
          <w:p w14:paraId="2F32CE19">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b w:val="0"/>
                <w:bCs w:val="0"/>
                <w:color w:val="000000"/>
                <w:kern w:val="0"/>
                <w:sz w:val="24"/>
                <w:szCs w:val="24"/>
                <w:highlight w:val="none"/>
                <w:lang w:val="en-US" w:eastAsia="zh-CN"/>
              </w:rPr>
            </w:pPr>
            <w:r>
              <w:rPr>
                <w:rFonts w:hint="eastAsia" w:ascii="宋体" w:hAnsi="宋体" w:eastAsia="宋体" w:cs="宋体"/>
                <w:b w:val="0"/>
                <w:bCs w:val="0"/>
                <w:color w:val="000000"/>
                <w:kern w:val="0"/>
                <w:sz w:val="24"/>
                <w:szCs w:val="24"/>
                <w:highlight w:val="none"/>
                <w:lang w:val="en-US" w:eastAsia="zh-CN"/>
              </w:rPr>
              <w:t>3</w:t>
            </w:r>
            <w:r>
              <w:rPr>
                <w:rFonts w:hint="eastAsia" w:ascii="宋体" w:hAnsi="宋体" w:cs="宋体"/>
                <w:b w:val="0"/>
                <w:bCs w:val="0"/>
                <w:color w:val="000000"/>
                <w:kern w:val="0"/>
                <w:sz w:val="24"/>
                <w:szCs w:val="24"/>
                <w:highlight w:val="none"/>
                <w:lang w:val="en-US" w:eastAsia="zh-CN"/>
              </w:rPr>
              <w:t>85</w:t>
            </w:r>
          </w:p>
        </w:tc>
        <w:tc>
          <w:tcPr>
            <w:tcW w:w="598" w:type="pct"/>
            <w:vMerge w:val="restart"/>
            <w:noWrap w:val="0"/>
            <w:vAlign w:val="center"/>
          </w:tcPr>
          <w:p w14:paraId="32EE4153">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r>
              <w:rPr>
                <w:rFonts w:hint="eastAsia" w:ascii="宋体" w:hAnsi="宋体" w:eastAsia="宋体" w:cs="宋体"/>
                <w:b w:val="0"/>
                <w:bCs w:val="0"/>
                <w:strike w:val="0"/>
                <w:color w:val="000000"/>
                <w:kern w:val="0"/>
                <w:sz w:val="24"/>
                <w:szCs w:val="24"/>
                <w:highlight w:val="none"/>
                <w:lang w:val="en-US" w:eastAsia="zh-CN" w:bidi="ar-SA"/>
              </w:rPr>
              <w:t>《危险化学品安全管理条例》</w:t>
            </w:r>
          </w:p>
        </w:tc>
        <w:tc>
          <w:tcPr>
            <w:tcW w:w="1458" w:type="pct"/>
            <w:vMerge w:val="restart"/>
            <w:noWrap w:val="0"/>
            <w:vAlign w:val="center"/>
          </w:tcPr>
          <w:p w14:paraId="374DFA51">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strike/>
                <w:color w:val="000000"/>
                <w:kern w:val="0"/>
                <w:sz w:val="24"/>
                <w:szCs w:val="24"/>
                <w:highlight w:val="none"/>
              </w:rPr>
            </w:pPr>
            <w:r>
              <w:rPr>
                <w:rFonts w:hint="eastAsia" w:ascii="宋体" w:hAnsi="宋体" w:eastAsia="宋体" w:cs="宋体"/>
                <w:kern w:val="0"/>
                <w:sz w:val="24"/>
                <w:szCs w:val="24"/>
                <w:lang w:val="en-US" w:eastAsia="zh-CN" w:bidi="ar"/>
              </w:rPr>
              <w:t>第八十三条</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危险化学品经营企业向未经许可违法从事危险化学品生产、经营活动的企业采购危险化学品的，由工商行政管理部门责令改正，处10万元以上20万元以下的罚款；拒不改正的，责令停业整顿直至由原发证机关吊销其危险化学品经营许可证，并由工商行政管理部门责令其办理经营范围变更登记或者吊销其营业执照。</w:t>
            </w:r>
          </w:p>
        </w:tc>
        <w:tc>
          <w:tcPr>
            <w:tcW w:w="413" w:type="pct"/>
            <w:noWrap w:val="0"/>
            <w:vAlign w:val="center"/>
          </w:tcPr>
          <w:p w14:paraId="1DE2EFAD">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strike w:val="0"/>
                <w:color w:val="000000"/>
                <w:kern w:val="0"/>
                <w:sz w:val="24"/>
                <w:szCs w:val="24"/>
                <w:highlight w:val="none"/>
              </w:rPr>
            </w:pPr>
            <w:r>
              <w:rPr>
                <w:rFonts w:hint="eastAsia" w:ascii="宋体" w:hAnsi="宋体" w:eastAsia="宋体" w:cs="宋体"/>
                <w:b w:val="0"/>
                <w:bCs w:val="0"/>
                <w:color w:val="000000"/>
                <w:kern w:val="0"/>
                <w:sz w:val="24"/>
                <w:szCs w:val="24"/>
                <w:highlight w:val="none"/>
              </w:rPr>
              <w:t>较轻</w:t>
            </w:r>
          </w:p>
        </w:tc>
        <w:tc>
          <w:tcPr>
            <w:tcW w:w="1240" w:type="pct"/>
            <w:noWrap w:val="0"/>
            <w:vAlign w:val="center"/>
          </w:tcPr>
          <w:p w14:paraId="6C1AD33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lang w:eastAsia="zh-CN"/>
              </w:rPr>
              <w:t>货值金额</w:t>
            </w:r>
            <w:r>
              <w:rPr>
                <w:rFonts w:hint="eastAsia" w:ascii="宋体" w:hAnsi="宋体" w:eastAsia="宋体" w:cs="宋体"/>
                <w:b w:val="0"/>
                <w:bCs w:val="0"/>
                <w:color w:val="000000"/>
                <w:kern w:val="0"/>
                <w:sz w:val="24"/>
                <w:szCs w:val="24"/>
                <w:highlight w:val="none"/>
                <w:lang w:val="en-US" w:eastAsia="zh-CN"/>
              </w:rPr>
              <w:t>5万元以下的。</w:t>
            </w:r>
          </w:p>
        </w:tc>
        <w:tc>
          <w:tcPr>
            <w:tcW w:w="1038" w:type="pct"/>
            <w:noWrap w:val="0"/>
            <w:vAlign w:val="center"/>
          </w:tcPr>
          <w:p w14:paraId="078FB6A6">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责令改正，处10万元以上13万元以下的罚款。</w:t>
            </w:r>
          </w:p>
        </w:tc>
      </w:tr>
      <w:tr w14:paraId="09CA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250" w:type="pct"/>
            <w:vMerge w:val="continue"/>
            <w:noWrap w:val="0"/>
            <w:vAlign w:val="center"/>
          </w:tcPr>
          <w:p w14:paraId="2578A61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p>
        </w:tc>
        <w:tc>
          <w:tcPr>
            <w:tcW w:w="598" w:type="pct"/>
            <w:vMerge w:val="continue"/>
            <w:noWrap w:val="0"/>
            <w:vAlign w:val="center"/>
          </w:tcPr>
          <w:p w14:paraId="7F191E8A">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p>
        </w:tc>
        <w:tc>
          <w:tcPr>
            <w:tcW w:w="1458" w:type="pct"/>
            <w:vMerge w:val="continue"/>
            <w:noWrap w:val="0"/>
            <w:vAlign w:val="center"/>
          </w:tcPr>
          <w:p w14:paraId="09DAAA9F">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strike/>
                <w:color w:val="000000"/>
                <w:kern w:val="0"/>
                <w:sz w:val="24"/>
                <w:szCs w:val="24"/>
                <w:highlight w:val="none"/>
              </w:rPr>
            </w:pPr>
          </w:p>
        </w:tc>
        <w:tc>
          <w:tcPr>
            <w:tcW w:w="413" w:type="pct"/>
            <w:noWrap w:val="0"/>
            <w:vAlign w:val="center"/>
          </w:tcPr>
          <w:p w14:paraId="1E956C24">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strike w:val="0"/>
                <w:color w:val="000000"/>
                <w:kern w:val="0"/>
                <w:sz w:val="24"/>
                <w:szCs w:val="24"/>
                <w:highlight w:val="none"/>
              </w:rPr>
            </w:pPr>
            <w:r>
              <w:rPr>
                <w:rFonts w:hint="eastAsia" w:ascii="宋体" w:hAnsi="宋体" w:eastAsia="宋体" w:cs="宋体"/>
                <w:b w:val="0"/>
                <w:bCs w:val="0"/>
                <w:color w:val="000000"/>
                <w:kern w:val="0"/>
                <w:sz w:val="24"/>
                <w:szCs w:val="24"/>
                <w:highlight w:val="none"/>
              </w:rPr>
              <w:t>一般</w:t>
            </w:r>
          </w:p>
        </w:tc>
        <w:tc>
          <w:tcPr>
            <w:tcW w:w="1240" w:type="pct"/>
            <w:noWrap w:val="0"/>
            <w:vAlign w:val="center"/>
          </w:tcPr>
          <w:p w14:paraId="20765518">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lang w:eastAsia="zh-CN"/>
              </w:rPr>
              <w:t>货值金额</w:t>
            </w:r>
            <w:r>
              <w:rPr>
                <w:rFonts w:hint="eastAsia" w:ascii="宋体" w:hAnsi="宋体" w:eastAsia="宋体" w:cs="宋体"/>
                <w:b w:val="0"/>
                <w:bCs w:val="0"/>
                <w:color w:val="000000"/>
                <w:kern w:val="0"/>
                <w:sz w:val="24"/>
                <w:szCs w:val="24"/>
                <w:highlight w:val="none"/>
                <w:lang w:val="en-US" w:eastAsia="zh-CN"/>
              </w:rPr>
              <w:t>5</w:t>
            </w:r>
            <w:r>
              <w:rPr>
                <w:rFonts w:hint="eastAsia" w:ascii="宋体" w:hAnsi="宋体" w:eastAsia="宋体" w:cs="宋体"/>
                <w:b w:val="0"/>
                <w:bCs w:val="0"/>
                <w:color w:val="000000"/>
                <w:kern w:val="0"/>
                <w:sz w:val="24"/>
                <w:szCs w:val="24"/>
                <w:highlight w:val="none"/>
                <w:lang w:eastAsia="zh-CN"/>
              </w:rPr>
              <w:t>万元以上</w:t>
            </w:r>
            <w:r>
              <w:rPr>
                <w:rFonts w:hint="eastAsia" w:ascii="宋体" w:hAnsi="宋体" w:eastAsia="宋体" w:cs="宋体"/>
                <w:b w:val="0"/>
                <w:bCs w:val="0"/>
                <w:color w:val="000000"/>
                <w:kern w:val="0"/>
                <w:sz w:val="24"/>
                <w:szCs w:val="24"/>
                <w:highlight w:val="none"/>
                <w:lang w:val="en-US" w:eastAsia="zh-CN"/>
              </w:rPr>
              <w:t>10</w:t>
            </w:r>
            <w:r>
              <w:rPr>
                <w:rFonts w:hint="eastAsia" w:ascii="宋体" w:hAnsi="宋体" w:eastAsia="宋体" w:cs="宋体"/>
                <w:b w:val="0"/>
                <w:bCs w:val="0"/>
                <w:color w:val="000000"/>
                <w:kern w:val="0"/>
                <w:sz w:val="24"/>
                <w:szCs w:val="24"/>
                <w:highlight w:val="none"/>
                <w:lang w:eastAsia="zh-CN"/>
              </w:rPr>
              <w:t>万元以下的。</w:t>
            </w:r>
          </w:p>
        </w:tc>
        <w:tc>
          <w:tcPr>
            <w:tcW w:w="1038" w:type="pct"/>
            <w:noWrap w:val="0"/>
            <w:vAlign w:val="center"/>
          </w:tcPr>
          <w:p w14:paraId="140098C7">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责令改正，处13万元以上17万元以下的罚款。</w:t>
            </w:r>
          </w:p>
        </w:tc>
      </w:tr>
      <w:tr w14:paraId="2062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50" w:type="pct"/>
            <w:vMerge w:val="continue"/>
            <w:noWrap w:val="0"/>
            <w:vAlign w:val="center"/>
          </w:tcPr>
          <w:p w14:paraId="6BEB93AF">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p>
        </w:tc>
        <w:tc>
          <w:tcPr>
            <w:tcW w:w="598" w:type="pct"/>
            <w:vMerge w:val="continue"/>
            <w:noWrap w:val="0"/>
            <w:vAlign w:val="center"/>
          </w:tcPr>
          <w:p w14:paraId="46CA61D6">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p>
        </w:tc>
        <w:tc>
          <w:tcPr>
            <w:tcW w:w="1458" w:type="pct"/>
            <w:vMerge w:val="continue"/>
            <w:noWrap w:val="0"/>
            <w:vAlign w:val="center"/>
          </w:tcPr>
          <w:p w14:paraId="013E876B">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strike/>
                <w:color w:val="000000"/>
                <w:kern w:val="0"/>
                <w:sz w:val="24"/>
                <w:szCs w:val="24"/>
                <w:highlight w:val="none"/>
              </w:rPr>
            </w:pPr>
          </w:p>
        </w:tc>
        <w:tc>
          <w:tcPr>
            <w:tcW w:w="413" w:type="pct"/>
            <w:noWrap w:val="0"/>
            <w:vAlign w:val="center"/>
          </w:tcPr>
          <w:p w14:paraId="46BCA9CA">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strike w:val="0"/>
                <w:color w:val="000000"/>
                <w:kern w:val="0"/>
                <w:sz w:val="24"/>
                <w:szCs w:val="24"/>
                <w:highlight w:val="none"/>
              </w:rPr>
            </w:pPr>
            <w:r>
              <w:rPr>
                <w:rFonts w:hint="eastAsia" w:ascii="宋体" w:hAnsi="宋体" w:eastAsia="宋体" w:cs="宋体"/>
                <w:b w:val="0"/>
                <w:bCs w:val="0"/>
                <w:color w:val="000000"/>
                <w:kern w:val="0"/>
                <w:sz w:val="24"/>
                <w:szCs w:val="24"/>
                <w:highlight w:val="none"/>
              </w:rPr>
              <w:t>较重</w:t>
            </w:r>
          </w:p>
        </w:tc>
        <w:tc>
          <w:tcPr>
            <w:tcW w:w="1240" w:type="pct"/>
            <w:noWrap w:val="0"/>
            <w:vAlign w:val="center"/>
          </w:tcPr>
          <w:p w14:paraId="57D1E621">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lang w:eastAsia="zh-CN"/>
              </w:rPr>
              <w:t>货值金额</w:t>
            </w:r>
            <w:r>
              <w:rPr>
                <w:rFonts w:hint="eastAsia" w:ascii="宋体" w:hAnsi="宋体" w:eastAsia="宋体" w:cs="宋体"/>
                <w:b w:val="0"/>
                <w:bCs w:val="0"/>
                <w:color w:val="000000"/>
                <w:kern w:val="0"/>
                <w:sz w:val="24"/>
                <w:szCs w:val="24"/>
                <w:highlight w:val="none"/>
                <w:lang w:val="en-US" w:eastAsia="zh-CN"/>
              </w:rPr>
              <w:t>10</w:t>
            </w:r>
            <w:r>
              <w:rPr>
                <w:rFonts w:hint="eastAsia" w:ascii="宋体" w:hAnsi="宋体" w:eastAsia="宋体" w:cs="宋体"/>
                <w:b w:val="0"/>
                <w:bCs w:val="0"/>
                <w:color w:val="000000"/>
                <w:kern w:val="0"/>
                <w:sz w:val="24"/>
                <w:szCs w:val="24"/>
                <w:highlight w:val="none"/>
                <w:lang w:eastAsia="zh-CN"/>
              </w:rPr>
              <w:t>万元以上的。</w:t>
            </w:r>
          </w:p>
        </w:tc>
        <w:tc>
          <w:tcPr>
            <w:tcW w:w="1038" w:type="pct"/>
            <w:noWrap w:val="0"/>
            <w:vAlign w:val="center"/>
          </w:tcPr>
          <w:p w14:paraId="7043F54B">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责令改正，处17万元以上20万元以下的罚款。</w:t>
            </w:r>
          </w:p>
        </w:tc>
      </w:tr>
      <w:tr w14:paraId="1EB8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50" w:type="pct"/>
            <w:vMerge w:val="continue"/>
            <w:noWrap w:val="0"/>
            <w:vAlign w:val="center"/>
          </w:tcPr>
          <w:p w14:paraId="5FF35DE2">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color w:val="000000"/>
                <w:kern w:val="0"/>
                <w:sz w:val="24"/>
                <w:szCs w:val="24"/>
                <w:highlight w:val="none"/>
              </w:rPr>
            </w:pPr>
          </w:p>
        </w:tc>
        <w:tc>
          <w:tcPr>
            <w:tcW w:w="598" w:type="pct"/>
            <w:vMerge w:val="continue"/>
            <w:noWrap w:val="0"/>
            <w:vAlign w:val="center"/>
          </w:tcPr>
          <w:p w14:paraId="4B3F9C92">
            <w:pPr>
              <w:keepNext w:val="0"/>
              <w:keepLines w:val="0"/>
              <w:pageBreakBefore w:val="0"/>
              <w:widowControl/>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b w:val="0"/>
                <w:bCs w:val="0"/>
                <w:strike/>
                <w:color w:val="000000"/>
                <w:kern w:val="0"/>
                <w:sz w:val="24"/>
                <w:szCs w:val="24"/>
                <w:highlight w:val="none"/>
              </w:rPr>
            </w:pPr>
          </w:p>
        </w:tc>
        <w:tc>
          <w:tcPr>
            <w:tcW w:w="1458" w:type="pct"/>
            <w:vMerge w:val="continue"/>
            <w:noWrap w:val="0"/>
            <w:vAlign w:val="center"/>
          </w:tcPr>
          <w:p w14:paraId="4F1ABCDE">
            <w:pPr>
              <w:keepNext w:val="0"/>
              <w:keepLines w:val="0"/>
              <w:pageBreakBefore w:val="0"/>
              <w:widowControl/>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b w:val="0"/>
                <w:bCs w:val="0"/>
                <w:strike/>
                <w:color w:val="000000"/>
                <w:kern w:val="0"/>
                <w:sz w:val="24"/>
                <w:szCs w:val="24"/>
                <w:highlight w:val="none"/>
              </w:rPr>
            </w:pPr>
          </w:p>
        </w:tc>
        <w:tc>
          <w:tcPr>
            <w:tcW w:w="413" w:type="pct"/>
            <w:noWrap w:val="0"/>
            <w:vAlign w:val="center"/>
          </w:tcPr>
          <w:p w14:paraId="69AE8D33">
            <w:pPr>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b w:val="0"/>
                <w:bCs w:val="0"/>
                <w:strike w:val="0"/>
                <w:color w:val="000000"/>
                <w:kern w:val="0"/>
                <w:sz w:val="24"/>
                <w:szCs w:val="24"/>
                <w:highlight w:val="none"/>
              </w:rPr>
            </w:pPr>
            <w:r>
              <w:rPr>
                <w:rFonts w:hint="eastAsia" w:ascii="宋体" w:hAnsi="宋体" w:eastAsia="宋体" w:cs="宋体"/>
                <w:b w:val="0"/>
                <w:bCs w:val="0"/>
                <w:strike w:val="0"/>
                <w:color w:val="000000"/>
                <w:kern w:val="0"/>
                <w:sz w:val="24"/>
                <w:szCs w:val="24"/>
                <w:highlight w:val="none"/>
              </w:rPr>
              <w:t>严重</w:t>
            </w:r>
          </w:p>
        </w:tc>
        <w:tc>
          <w:tcPr>
            <w:tcW w:w="1240" w:type="pct"/>
            <w:noWrap w:val="0"/>
            <w:vAlign w:val="center"/>
          </w:tcPr>
          <w:p w14:paraId="52A206A9">
            <w:pPr>
              <w:keepNext w:val="0"/>
              <w:keepLines w:val="0"/>
              <w:pageBreakBefore w:val="0"/>
              <w:widowControl/>
              <w:kinsoku/>
              <w:wordWrap/>
              <w:overflowPunct/>
              <w:topLinePunct w:val="0"/>
              <w:autoSpaceDE/>
              <w:autoSpaceDN/>
              <w:bidi w:val="0"/>
              <w:adjustRightInd/>
              <w:snapToGrid/>
              <w:spacing w:beforeAutospacing="0" w:afterAutospacing="0" w:line="400" w:lineRule="exact"/>
              <w:textAlignment w:val="auto"/>
              <w:rPr>
                <w:rFonts w:hint="eastAsia" w:ascii="宋体" w:hAnsi="宋体" w:eastAsia="宋体" w:cs="宋体"/>
                <w:b w:val="0"/>
                <w:bCs w:val="0"/>
                <w:color w:val="000000"/>
                <w:kern w:val="0"/>
                <w:sz w:val="24"/>
                <w:szCs w:val="24"/>
                <w:highlight w:val="none"/>
                <w:lang w:eastAsia="zh-CN"/>
              </w:rPr>
            </w:pPr>
            <w:r>
              <w:rPr>
                <w:rFonts w:hint="eastAsia" w:ascii="宋体" w:hAnsi="宋体" w:eastAsia="宋体" w:cs="宋体"/>
                <w:b w:val="0"/>
                <w:bCs w:val="0"/>
                <w:color w:val="000000"/>
                <w:kern w:val="0"/>
                <w:sz w:val="24"/>
                <w:szCs w:val="24"/>
                <w:highlight w:val="none"/>
                <w:lang w:eastAsia="zh-CN"/>
              </w:rPr>
              <w:t>拒不改正的。</w:t>
            </w:r>
          </w:p>
        </w:tc>
        <w:tc>
          <w:tcPr>
            <w:tcW w:w="1038" w:type="pct"/>
            <w:noWrap w:val="0"/>
            <w:vAlign w:val="center"/>
          </w:tcPr>
          <w:p w14:paraId="672D582F">
            <w:pPr>
              <w:keepNext w:val="0"/>
              <w:keepLines w:val="0"/>
              <w:pageBreakBefore w:val="0"/>
              <w:widowControl/>
              <w:kinsoku/>
              <w:wordWrap/>
              <w:overflowPunct/>
              <w:topLinePunct w:val="0"/>
              <w:autoSpaceDE/>
              <w:autoSpaceDN/>
              <w:bidi w:val="0"/>
              <w:adjustRightInd/>
              <w:snapToGrid/>
              <w:spacing w:beforeAutospacing="0" w:afterAutospacing="0" w:line="380" w:lineRule="exact"/>
              <w:textAlignment w:val="auto"/>
              <w:rPr>
                <w:rFonts w:hint="eastAsia" w:ascii="宋体" w:hAnsi="宋体" w:eastAsia="宋体" w:cs="宋体"/>
                <w:kern w:val="0"/>
                <w:sz w:val="24"/>
                <w:szCs w:val="24"/>
                <w:lang w:val="en-US" w:eastAsia="zh-CN" w:bidi="ar"/>
              </w:rPr>
            </w:pPr>
            <w:r>
              <w:rPr>
                <w:rFonts w:hint="eastAsia" w:ascii="宋体" w:hAnsi="宋体" w:eastAsia="宋体" w:cs="宋体"/>
                <w:spacing w:val="-6"/>
                <w:kern w:val="0"/>
                <w:sz w:val="24"/>
                <w:szCs w:val="24"/>
                <w:lang w:val="en-US" w:eastAsia="zh-CN" w:bidi="ar"/>
              </w:rPr>
              <w:t>责令停业整顿直至</w:t>
            </w:r>
            <w:r>
              <w:rPr>
                <w:rFonts w:hint="eastAsia" w:ascii="宋体" w:hAnsi="宋体" w:cs="宋体"/>
                <w:spacing w:val="-6"/>
                <w:kern w:val="0"/>
                <w:sz w:val="24"/>
                <w:szCs w:val="24"/>
                <w:lang w:val="en-US" w:eastAsia="zh-CN" w:bidi="ar"/>
              </w:rPr>
              <w:t>由原发证机关</w:t>
            </w:r>
            <w:r>
              <w:rPr>
                <w:rFonts w:hint="eastAsia" w:ascii="宋体" w:hAnsi="宋体" w:eastAsia="宋体" w:cs="宋体"/>
                <w:spacing w:val="-6"/>
                <w:kern w:val="0"/>
                <w:sz w:val="24"/>
                <w:szCs w:val="24"/>
                <w:lang w:val="en-US" w:eastAsia="zh-CN" w:bidi="ar"/>
              </w:rPr>
              <w:t>吊销其危险化学品经营许可证，并责令其办理经营范围变更登记或者吊销其营业执照。</w:t>
            </w:r>
          </w:p>
        </w:tc>
      </w:tr>
      <w:tr w14:paraId="54850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250" w:type="pct"/>
            <w:vMerge w:val="restart"/>
            <w:noWrap w:val="0"/>
            <w:vAlign w:val="center"/>
          </w:tcPr>
          <w:p w14:paraId="74DCBC18">
            <w:pPr>
              <w:keepNext w:val="0"/>
              <w:keepLines w:val="0"/>
              <w:widowControl/>
              <w:suppressLineNumbers w:val="0"/>
              <w:spacing w:line="400" w:lineRule="exact"/>
              <w:jc w:val="center"/>
              <w:textAlignment w:val="auto"/>
              <w:rPr>
                <w:rFonts w:hint="eastAsia" w:ascii="宋体" w:hAnsi="宋体" w:eastAsia="宋体" w:cs="宋体"/>
                <w:b w:val="0"/>
                <w:bCs w:val="0"/>
                <w:color w:val="0000FF"/>
                <w:kern w:val="0"/>
                <w:sz w:val="24"/>
                <w:szCs w:val="24"/>
                <w:highlight w:val="none"/>
                <w:lang w:val="en-US" w:bidi="ar"/>
              </w:rPr>
            </w:pPr>
            <w:r>
              <w:rPr>
                <w:rFonts w:hint="eastAsia" w:ascii="宋体" w:hAnsi="宋体" w:eastAsia="宋体" w:cs="宋体"/>
                <w:i w:val="0"/>
                <w:color w:val="auto"/>
                <w:kern w:val="0"/>
                <w:sz w:val="24"/>
                <w:szCs w:val="24"/>
                <w:u w:val="none"/>
                <w:lang w:val="en-US" w:eastAsia="zh-CN" w:bidi="ar"/>
              </w:rPr>
              <w:t>38</w:t>
            </w:r>
            <w:r>
              <w:rPr>
                <w:rFonts w:hint="eastAsia" w:ascii="宋体" w:hAnsi="宋体" w:cs="宋体"/>
                <w:i w:val="0"/>
                <w:color w:val="auto"/>
                <w:kern w:val="0"/>
                <w:sz w:val="24"/>
                <w:szCs w:val="24"/>
                <w:u w:val="none"/>
                <w:lang w:val="en-US" w:eastAsia="zh-CN" w:bidi="ar"/>
              </w:rPr>
              <w:t>6</w:t>
            </w:r>
          </w:p>
        </w:tc>
        <w:tc>
          <w:tcPr>
            <w:tcW w:w="598" w:type="pct"/>
            <w:vMerge w:val="restart"/>
            <w:noWrap w:val="0"/>
            <w:vAlign w:val="center"/>
          </w:tcPr>
          <w:p w14:paraId="56A76910">
            <w:pPr>
              <w:keepNext w:val="0"/>
              <w:keepLines w:val="0"/>
              <w:widowControl/>
              <w:suppressLineNumbers w:val="0"/>
              <w:spacing w:line="400" w:lineRule="exact"/>
              <w:jc w:val="left"/>
              <w:textAlignment w:val="auto"/>
              <w:outlineLvl w:val="2"/>
              <w:rPr>
                <w:rFonts w:hint="eastAsia" w:ascii="宋体" w:hAnsi="宋体" w:eastAsia="宋体" w:cs="宋体"/>
                <w:b w:val="0"/>
                <w:bCs w:val="0"/>
                <w:strike w:val="0"/>
                <w:color w:val="auto"/>
                <w:kern w:val="0"/>
                <w:sz w:val="24"/>
                <w:szCs w:val="24"/>
                <w:highlight w:val="none"/>
                <w:lang w:bidi="ar"/>
              </w:rPr>
            </w:pPr>
            <w:bookmarkStart w:id="489" w:name="_Toc3509"/>
            <w:bookmarkStart w:id="490" w:name="_Toc17855"/>
            <w:bookmarkStart w:id="491" w:name="_Toc16510"/>
            <w:bookmarkStart w:id="492" w:name="_Toc25859"/>
            <w:r>
              <w:rPr>
                <w:rFonts w:hint="eastAsia" w:ascii="宋体" w:hAnsi="宋体" w:eastAsia="宋体" w:cs="宋体"/>
                <w:i w:val="0"/>
                <w:color w:val="auto"/>
                <w:kern w:val="0"/>
                <w:sz w:val="24"/>
                <w:szCs w:val="24"/>
                <w:u w:val="none"/>
                <w:lang w:val="en-US" w:eastAsia="zh-CN" w:bidi="ar"/>
              </w:rPr>
              <w:t>《军服管理条例》</w:t>
            </w:r>
            <w:r>
              <w:rPr>
                <w:rFonts w:hint="eastAsia" w:ascii="宋体" w:hAnsi="宋体" w:cs="宋体"/>
                <w:i w:val="0"/>
                <w:color w:val="auto"/>
                <w:kern w:val="0"/>
                <w:sz w:val="24"/>
                <w:szCs w:val="24"/>
                <w:u w:val="none"/>
                <w:lang w:val="en-US" w:eastAsia="zh-CN" w:bidi="ar"/>
              </w:rPr>
              <w:t>（2009年3月1日起施行）</w:t>
            </w:r>
            <w:bookmarkEnd w:id="489"/>
            <w:bookmarkEnd w:id="490"/>
            <w:bookmarkEnd w:id="491"/>
            <w:bookmarkEnd w:id="492"/>
          </w:p>
        </w:tc>
        <w:tc>
          <w:tcPr>
            <w:tcW w:w="1458" w:type="pct"/>
            <w:vMerge w:val="restart"/>
            <w:noWrap w:val="0"/>
            <w:vAlign w:val="center"/>
          </w:tcPr>
          <w:p w14:paraId="6FADB21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第十二条</w:t>
            </w:r>
            <w:r>
              <w:rPr>
                <w:rFonts w:hint="eastAsia" w:ascii="宋体" w:hAnsi="宋体" w:cs="宋体"/>
                <w:color w:val="auto"/>
                <w:kern w:val="0"/>
                <w:sz w:val="24"/>
                <w:szCs w:val="24"/>
                <w:lang w:val="en-US" w:eastAsia="zh-CN" w:bidi="ar"/>
              </w:rPr>
              <w:t>第一款</w:t>
            </w:r>
            <w:r>
              <w:rPr>
                <w:rFonts w:hint="eastAsia" w:ascii="宋体" w:hAnsi="宋体" w:eastAsia="宋体" w:cs="宋体"/>
                <w:color w:val="auto"/>
                <w:kern w:val="0"/>
                <w:sz w:val="24"/>
                <w:szCs w:val="24"/>
                <w:lang w:val="en-US" w:eastAsia="zh-CN" w:bidi="ar"/>
              </w:rPr>
              <w:t xml:space="preserve"> 违反</w:t>
            </w:r>
            <w:r>
              <w:rPr>
                <w:rFonts w:hint="eastAsia" w:ascii="宋体" w:hAnsi="宋体" w:cs="宋体"/>
                <w:color w:val="auto"/>
                <w:kern w:val="0"/>
                <w:sz w:val="24"/>
                <w:szCs w:val="24"/>
                <w:lang w:val="en-US" w:eastAsia="zh-CN" w:bidi="ar"/>
              </w:rPr>
              <w:t>本</w:t>
            </w:r>
            <w:r>
              <w:rPr>
                <w:rFonts w:hint="eastAsia" w:ascii="宋体" w:hAnsi="宋体" w:eastAsia="宋体" w:cs="宋体"/>
                <w:color w:val="auto"/>
                <w:kern w:val="0"/>
                <w:sz w:val="24"/>
                <w:szCs w:val="24"/>
                <w:lang w:val="en-US" w:eastAsia="zh-CN" w:bidi="ar"/>
              </w:rPr>
              <w:t>条例规定，有下列情形之一的，由工商行政管理部门没收违法物品和违法所得，处1万元以上10万元以下的罚款；违法经营数额巨大的，吊销营业执照；构成犯罪的，依法追究刑事责任：</w:t>
            </w:r>
          </w:p>
          <w:p w14:paraId="540E50E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（一）非法生产军服、军服专用材料的；</w:t>
            </w:r>
          </w:p>
          <w:p w14:paraId="6B6B5E4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（二）买卖军服、军服专用材料的；</w:t>
            </w:r>
          </w:p>
          <w:p w14:paraId="710055E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b w:val="0"/>
                <w:bCs w:val="0"/>
                <w:strike w:val="0"/>
                <w:color w:val="auto"/>
                <w:kern w:val="0"/>
                <w:sz w:val="24"/>
                <w:szCs w:val="24"/>
                <w:highlight w:val="none"/>
                <w:lang w:bidi="ar"/>
              </w:rPr>
            </w:pPr>
            <w:r>
              <w:rPr>
                <w:rFonts w:hint="eastAsia" w:ascii="宋体" w:hAnsi="宋体" w:eastAsia="宋体" w:cs="宋体"/>
                <w:color w:val="auto"/>
                <w:kern w:val="0"/>
                <w:sz w:val="24"/>
                <w:szCs w:val="24"/>
                <w:lang w:val="en-US" w:eastAsia="zh-CN" w:bidi="ar"/>
              </w:rPr>
              <w:t>（三）生产、销售军服仿制品的。</w:t>
            </w:r>
          </w:p>
        </w:tc>
        <w:tc>
          <w:tcPr>
            <w:tcW w:w="413" w:type="pct"/>
            <w:noWrap w:val="0"/>
            <w:vAlign w:val="center"/>
          </w:tcPr>
          <w:p w14:paraId="6F542A67">
            <w:pPr>
              <w:keepNext w:val="0"/>
              <w:keepLines w:val="0"/>
              <w:widowControl/>
              <w:suppressLineNumbers w:val="0"/>
              <w:spacing w:line="360" w:lineRule="exact"/>
              <w:jc w:val="center"/>
              <w:textAlignment w:val="auto"/>
              <w:rPr>
                <w:rFonts w:hint="eastAsia" w:ascii="宋体" w:hAnsi="宋体" w:eastAsia="宋体" w:cs="宋体"/>
                <w:b w:val="0"/>
                <w:bCs w:val="0"/>
                <w:strike w:val="0"/>
                <w:color w:val="auto"/>
                <w:kern w:val="0"/>
                <w:sz w:val="24"/>
                <w:szCs w:val="24"/>
                <w:highlight w:val="none"/>
                <w:lang w:bidi="ar"/>
              </w:rPr>
            </w:pPr>
            <w:r>
              <w:rPr>
                <w:rFonts w:hint="eastAsia" w:ascii="宋体" w:hAnsi="宋体" w:eastAsia="宋体" w:cs="宋体"/>
                <w:i w:val="0"/>
                <w:color w:val="auto"/>
                <w:kern w:val="0"/>
                <w:sz w:val="24"/>
                <w:szCs w:val="24"/>
                <w:u w:val="none"/>
                <w:lang w:val="en-US" w:eastAsia="zh-CN" w:bidi="ar"/>
              </w:rPr>
              <w:t>较轻</w:t>
            </w:r>
          </w:p>
        </w:tc>
        <w:tc>
          <w:tcPr>
            <w:tcW w:w="1240" w:type="pct"/>
            <w:noWrap w:val="0"/>
            <w:vAlign w:val="center"/>
          </w:tcPr>
          <w:p w14:paraId="441E25D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产品尚未售出，或非法生产经营的军服、军服专用材料、军服仿制品货值金额不足2万元</w:t>
            </w:r>
            <w:r>
              <w:rPr>
                <w:rFonts w:hint="eastAsia" w:ascii="宋体" w:hAnsi="宋体" w:cs="宋体"/>
                <w:color w:val="auto"/>
                <w:kern w:val="0"/>
                <w:sz w:val="24"/>
                <w:szCs w:val="24"/>
                <w:lang w:val="en-US" w:eastAsia="zh-CN" w:bidi="ar"/>
              </w:rPr>
              <w:t>。</w:t>
            </w:r>
          </w:p>
        </w:tc>
        <w:tc>
          <w:tcPr>
            <w:tcW w:w="1038" w:type="pct"/>
            <w:noWrap w:val="0"/>
            <w:vAlign w:val="center"/>
          </w:tcPr>
          <w:p w14:paraId="0A56FA9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没收违法物品和违法所得，处1万元以上到3.7万元罚款。</w:t>
            </w:r>
          </w:p>
        </w:tc>
      </w:tr>
      <w:tr w14:paraId="5771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250" w:type="pct"/>
            <w:vMerge w:val="continue"/>
            <w:noWrap w:val="0"/>
            <w:vAlign w:val="center"/>
          </w:tcPr>
          <w:p w14:paraId="32C6847E">
            <w:pPr>
              <w:widowControl/>
              <w:spacing w:line="400" w:lineRule="exact"/>
              <w:jc w:val="center"/>
              <w:rPr>
                <w:rFonts w:hint="eastAsia" w:ascii="宋体" w:hAnsi="宋体" w:eastAsia="宋体" w:cs="宋体"/>
                <w:b w:val="0"/>
                <w:bCs w:val="0"/>
                <w:color w:val="0000FF"/>
                <w:kern w:val="0"/>
                <w:sz w:val="24"/>
                <w:szCs w:val="24"/>
                <w:highlight w:val="none"/>
                <w:lang w:bidi="ar"/>
              </w:rPr>
            </w:pPr>
          </w:p>
        </w:tc>
        <w:tc>
          <w:tcPr>
            <w:tcW w:w="598" w:type="pct"/>
            <w:vMerge w:val="continue"/>
            <w:noWrap w:val="0"/>
            <w:vAlign w:val="center"/>
          </w:tcPr>
          <w:p w14:paraId="406563FA">
            <w:pPr>
              <w:widowControl/>
              <w:spacing w:line="400" w:lineRule="exact"/>
              <w:jc w:val="left"/>
              <w:rPr>
                <w:rFonts w:hint="eastAsia" w:ascii="宋体" w:hAnsi="宋体" w:eastAsia="宋体" w:cs="宋体"/>
                <w:b w:val="0"/>
                <w:bCs w:val="0"/>
                <w:strike w:val="0"/>
                <w:color w:val="auto"/>
                <w:kern w:val="0"/>
                <w:sz w:val="24"/>
                <w:szCs w:val="24"/>
                <w:highlight w:val="none"/>
                <w:lang w:bidi="ar"/>
              </w:rPr>
            </w:pPr>
          </w:p>
        </w:tc>
        <w:tc>
          <w:tcPr>
            <w:tcW w:w="1458" w:type="pct"/>
            <w:vMerge w:val="continue"/>
            <w:noWrap w:val="0"/>
            <w:vAlign w:val="center"/>
          </w:tcPr>
          <w:p w14:paraId="696B79A5">
            <w:pPr>
              <w:widowControl/>
              <w:spacing w:line="360" w:lineRule="exact"/>
              <w:jc w:val="both"/>
              <w:rPr>
                <w:rFonts w:hint="eastAsia" w:ascii="宋体" w:hAnsi="宋体" w:eastAsia="宋体" w:cs="宋体"/>
                <w:b w:val="0"/>
                <w:bCs w:val="0"/>
                <w:strike w:val="0"/>
                <w:color w:val="auto"/>
                <w:kern w:val="0"/>
                <w:sz w:val="24"/>
                <w:szCs w:val="24"/>
                <w:highlight w:val="none"/>
                <w:lang w:bidi="ar"/>
              </w:rPr>
            </w:pPr>
          </w:p>
        </w:tc>
        <w:tc>
          <w:tcPr>
            <w:tcW w:w="413" w:type="pct"/>
            <w:noWrap w:val="0"/>
            <w:vAlign w:val="center"/>
          </w:tcPr>
          <w:p w14:paraId="4255FFFC">
            <w:pPr>
              <w:keepNext w:val="0"/>
              <w:keepLines w:val="0"/>
              <w:widowControl/>
              <w:suppressLineNumbers w:val="0"/>
              <w:spacing w:line="360" w:lineRule="exact"/>
              <w:jc w:val="center"/>
              <w:textAlignment w:val="auto"/>
              <w:rPr>
                <w:rFonts w:hint="eastAsia" w:ascii="宋体" w:hAnsi="宋体" w:eastAsia="宋体" w:cs="宋体"/>
                <w:b w:val="0"/>
                <w:bCs w:val="0"/>
                <w:strike w:val="0"/>
                <w:color w:val="auto"/>
                <w:kern w:val="0"/>
                <w:sz w:val="24"/>
                <w:szCs w:val="24"/>
                <w:highlight w:val="none"/>
                <w:lang w:bidi="ar"/>
              </w:rPr>
            </w:pPr>
            <w:r>
              <w:rPr>
                <w:rFonts w:hint="eastAsia" w:ascii="宋体" w:hAnsi="宋体" w:eastAsia="宋体" w:cs="宋体"/>
                <w:i w:val="0"/>
                <w:color w:val="auto"/>
                <w:kern w:val="0"/>
                <w:sz w:val="24"/>
                <w:szCs w:val="24"/>
                <w:u w:val="none"/>
                <w:lang w:val="en-US" w:eastAsia="zh-CN" w:bidi="ar"/>
              </w:rPr>
              <w:t>一般</w:t>
            </w:r>
          </w:p>
        </w:tc>
        <w:tc>
          <w:tcPr>
            <w:tcW w:w="1240" w:type="pct"/>
            <w:noWrap w:val="0"/>
            <w:vAlign w:val="center"/>
          </w:tcPr>
          <w:p w14:paraId="32BF0B5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非法生产经营的军服、军服专用材料、军服仿制品货值金额2万元以上不足10万元</w:t>
            </w:r>
            <w:r>
              <w:rPr>
                <w:rFonts w:hint="eastAsia" w:ascii="宋体" w:hAnsi="宋体" w:cs="宋体"/>
                <w:color w:val="auto"/>
                <w:kern w:val="0"/>
                <w:sz w:val="24"/>
                <w:szCs w:val="24"/>
                <w:lang w:val="en-US" w:eastAsia="zh-CN" w:bidi="ar"/>
              </w:rPr>
              <w:t>。</w:t>
            </w:r>
          </w:p>
        </w:tc>
        <w:tc>
          <w:tcPr>
            <w:tcW w:w="1038" w:type="pct"/>
            <w:noWrap w:val="0"/>
            <w:vAlign w:val="center"/>
          </w:tcPr>
          <w:p w14:paraId="6D4299B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没收违法物品和违法所得，处3.7万元以上到7.3万元罚款</w:t>
            </w:r>
            <w:r>
              <w:rPr>
                <w:rFonts w:hint="eastAsia" w:ascii="宋体" w:hAnsi="宋体" w:cs="宋体"/>
                <w:color w:val="auto"/>
                <w:kern w:val="0"/>
                <w:sz w:val="24"/>
                <w:szCs w:val="24"/>
                <w:lang w:val="en-US" w:eastAsia="zh-CN" w:bidi="ar"/>
              </w:rPr>
              <w:t>。</w:t>
            </w:r>
          </w:p>
        </w:tc>
      </w:tr>
      <w:tr w14:paraId="122D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53893EAA">
            <w:pPr>
              <w:widowControl/>
              <w:spacing w:line="400" w:lineRule="exact"/>
              <w:jc w:val="center"/>
              <w:rPr>
                <w:rFonts w:hint="eastAsia" w:ascii="宋体" w:hAnsi="宋体" w:eastAsia="宋体" w:cs="宋体"/>
                <w:b w:val="0"/>
                <w:bCs w:val="0"/>
                <w:color w:val="0000FF"/>
                <w:kern w:val="0"/>
                <w:sz w:val="24"/>
                <w:szCs w:val="24"/>
                <w:highlight w:val="none"/>
                <w:lang w:bidi="ar"/>
              </w:rPr>
            </w:pPr>
          </w:p>
        </w:tc>
        <w:tc>
          <w:tcPr>
            <w:tcW w:w="598" w:type="pct"/>
            <w:vMerge w:val="continue"/>
            <w:noWrap w:val="0"/>
            <w:vAlign w:val="center"/>
          </w:tcPr>
          <w:p w14:paraId="6F46B2AB">
            <w:pPr>
              <w:widowControl/>
              <w:spacing w:line="400" w:lineRule="exact"/>
              <w:jc w:val="left"/>
              <w:rPr>
                <w:rFonts w:hint="eastAsia" w:ascii="宋体" w:hAnsi="宋体" w:eastAsia="宋体" w:cs="宋体"/>
                <w:b w:val="0"/>
                <w:bCs w:val="0"/>
                <w:strike w:val="0"/>
                <w:color w:val="auto"/>
                <w:kern w:val="0"/>
                <w:sz w:val="24"/>
                <w:szCs w:val="24"/>
                <w:highlight w:val="none"/>
                <w:lang w:bidi="ar"/>
              </w:rPr>
            </w:pPr>
          </w:p>
        </w:tc>
        <w:tc>
          <w:tcPr>
            <w:tcW w:w="1458" w:type="pct"/>
            <w:vMerge w:val="continue"/>
            <w:noWrap w:val="0"/>
            <w:vAlign w:val="center"/>
          </w:tcPr>
          <w:p w14:paraId="285DBB19">
            <w:pPr>
              <w:widowControl/>
              <w:spacing w:line="360" w:lineRule="exact"/>
              <w:jc w:val="both"/>
              <w:rPr>
                <w:rFonts w:hint="eastAsia" w:ascii="宋体" w:hAnsi="宋体" w:eastAsia="宋体" w:cs="宋体"/>
                <w:b w:val="0"/>
                <w:bCs w:val="0"/>
                <w:strike w:val="0"/>
                <w:color w:val="auto"/>
                <w:kern w:val="0"/>
                <w:sz w:val="24"/>
                <w:szCs w:val="24"/>
                <w:highlight w:val="none"/>
                <w:lang w:bidi="ar"/>
              </w:rPr>
            </w:pPr>
          </w:p>
        </w:tc>
        <w:tc>
          <w:tcPr>
            <w:tcW w:w="413" w:type="pct"/>
            <w:noWrap w:val="0"/>
            <w:vAlign w:val="center"/>
          </w:tcPr>
          <w:p w14:paraId="4A3A763B">
            <w:pPr>
              <w:keepNext w:val="0"/>
              <w:keepLines w:val="0"/>
              <w:widowControl/>
              <w:suppressLineNumbers w:val="0"/>
              <w:spacing w:line="360" w:lineRule="exact"/>
              <w:jc w:val="center"/>
              <w:textAlignment w:val="auto"/>
              <w:rPr>
                <w:rFonts w:hint="eastAsia" w:ascii="宋体" w:hAnsi="宋体" w:eastAsia="宋体" w:cs="宋体"/>
                <w:b w:val="0"/>
                <w:bCs w:val="0"/>
                <w:strike w:val="0"/>
                <w:color w:val="auto"/>
                <w:kern w:val="0"/>
                <w:sz w:val="24"/>
                <w:szCs w:val="24"/>
                <w:highlight w:val="none"/>
                <w:lang w:bidi="ar"/>
              </w:rPr>
            </w:pPr>
            <w:r>
              <w:rPr>
                <w:rFonts w:hint="eastAsia" w:ascii="宋体" w:hAnsi="宋体" w:eastAsia="宋体" w:cs="宋体"/>
                <w:i w:val="0"/>
                <w:color w:val="auto"/>
                <w:kern w:val="0"/>
                <w:sz w:val="24"/>
                <w:szCs w:val="24"/>
                <w:u w:val="none"/>
                <w:lang w:val="en-US" w:eastAsia="zh-CN" w:bidi="ar"/>
              </w:rPr>
              <w:t>较重</w:t>
            </w:r>
          </w:p>
        </w:tc>
        <w:tc>
          <w:tcPr>
            <w:tcW w:w="1240" w:type="pct"/>
            <w:noWrap w:val="0"/>
            <w:vAlign w:val="center"/>
          </w:tcPr>
          <w:p w14:paraId="74C795FA">
            <w:pPr>
              <w:keepNext w:val="0"/>
              <w:keepLines w:val="0"/>
              <w:widowControl/>
              <w:spacing w:line="360" w:lineRule="exact"/>
              <w:textAlignment w:val="auto"/>
              <w:rPr>
                <w:rFonts w:hint="eastAsia" w:ascii="宋体" w:hAnsi="宋体" w:cs="宋体"/>
                <w:color w:val="auto"/>
                <w:kern w:val="0"/>
                <w:sz w:val="24"/>
                <w:lang w:val="en-US" w:eastAsia="zh-CN" w:bidi="ar"/>
              </w:rPr>
            </w:pPr>
            <w:r>
              <w:rPr>
                <w:rFonts w:hint="eastAsia" w:ascii="宋体" w:hAnsi="宋体" w:cs="宋体"/>
                <w:color w:val="auto"/>
                <w:kern w:val="0"/>
                <w:sz w:val="24"/>
                <w:lang w:val="en-US" w:eastAsia="zh-CN" w:bidi="ar"/>
              </w:rPr>
              <w:t>非法生产经营的军服、军服专用材料、军服仿制品货值金额10万元以上的。</w:t>
            </w:r>
          </w:p>
        </w:tc>
        <w:tc>
          <w:tcPr>
            <w:tcW w:w="1038" w:type="pct"/>
            <w:noWrap w:val="0"/>
            <w:vAlign w:val="center"/>
          </w:tcPr>
          <w:p w14:paraId="3C1718A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没收违法物品和违法所得，处7.3万元以上10万元以下的罚款</w:t>
            </w:r>
            <w:r>
              <w:rPr>
                <w:rFonts w:hint="eastAsia" w:ascii="宋体" w:hAnsi="宋体" w:cs="宋体"/>
                <w:color w:val="auto"/>
                <w:kern w:val="0"/>
                <w:sz w:val="24"/>
                <w:szCs w:val="24"/>
                <w:lang w:val="en-US" w:eastAsia="zh-CN" w:bidi="ar"/>
              </w:rPr>
              <w:t>。</w:t>
            </w:r>
          </w:p>
        </w:tc>
      </w:tr>
      <w:tr w14:paraId="592D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50" w:type="pct"/>
            <w:vMerge w:val="continue"/>
            <w:noWrap w:val="0"/>
            <w:vAlign w:val="center"/>
          </w:tcPr>
          <w:p w14:paraId="35A0F5B7">
            <w:pPr>
              <w:widowControl/>
              <w:spacing w:line="400" w:lineRule="exact"/>
              <w:jc w:val="center"/>
              <w:rPr>
                <w:rFonts w:hint="eastAsia" w:ascii="宋体" w:hAnsi="宋体" w:eastAsia="宋体" w:cs="宋体"/>
                <w:b w:val="0"/>
                <w:bCs w:val="0"/>
                <w:kern w:val="0"/>
                <w:sz w:val="24"/>
                <w:szCs w:val="24"/>
                <w:highlight w:val="none"/>
                <w:lang w:bidi="ar"/>
              </w:rPr>
            </w:pPr>
          </w:p>
        </w:tc>
        <w:tc>
          <w:tcPr>
            <w:tcW w:w="598" w:type="pct"/>
            <w:vMerge w:val="continue"/>
            <w:noWrap w:val="0"/>
            <w:vAlign w:val="center"/>
          </w:tcPr>
          <w:p w14:paraId="0207C695">
            <w:pPr>
              <w:widowControl/>
              <w:spacing w:line="400" w:lineRule="exact"/>
              <w:jc w:val="left"/>
              <w:rPr>
                <w:rFonts w:hint="eastAsia" w:ascii="宋体" w:hAnsi="宋体" w:eastAsia="宋体" w:cs="宋体"/>
                <w:b w:val="0"/>
                <w:bCs w:val="0"/>
                <w:strike w:val="0"/>
                <w:color w:val="auto"/>
                <w:kern w:val="0"/>
                <w:sz w:val="24"/>
                <w:szCs w:val="24"/>
                <w:highlight w:val="none"/>
                <w:lang w:bidi="ar"/>
              </w:rPr>
            </w:pPr>
          </w:p>
        </w:tc>
        <w:tc>
          <w:tcPr>
            <w:tcW w:w="1458" w:type="pct"/>
            <w:vMerge w:val="continue"/>
            <w:noWrap w:val="0"/>
            <w:vAlign w:val="center"/>
          </w:tcPr>
          <w:p w14:paraId="720C7003">
            <w:pPr>
              <w:widowControl/>
              <w:spacing w:line="360" w:lineRule="exact"/>
              <w:jc w:val="both"/>
              <w:rPr>
                <w:rFonts w:hint="eastAsia" w:ascii="宋体" w:hAnsi="宋体" w:eastAsia="宋体" w:cs="宋体"/>
                <w:b w:val="0"/>
                <w:bCs w:val="0"/>
                <w:strike w:val="0"/>
                <w:color w:val="auto"/>
                <w:kern w:val="0"/>
                <w:sz w:val="24"/>
                <w:szCs w:val="24"/>
                <w:highlight w:val="none"/>
                <w:lang w:bidi="ar"/>
              </w:rPr>
            </w:pPr>
          </w:p>
        </w:tc>
        <w:tc>
          <w:tcPr>
            <w:tcW w:w="413" w:type="pct"/>
            <w:noWrap w:val="0"/>
            <w:vAlign w:val="center"/>
          </w:tcPr>
          <w:p w14:paraId="2E1899F1">
            <w:pPr>
              <w:keepNext w:val="0"/>
              <w:keepLines w:val="0"/>
              <w:widowControl/>
              <w:suppressLineNumbers w:val="0"/>
              <w:spacing w:line="360" w:lineRule="exact"/>
              <w:jc w:val="center"/>
              <w:textAlignment w:val="auto"/>
              <w:rPr>
                <w:rFonts w:hint="default" w:ascii="宋体" w:hAnsi="宋体" w:eastAsia="宋体" w:cs="宋体"/>
                <w:i w:val="0"/>
                <w:color w:val="auto"/>
                <w:kern w:val="0"/>
                <w:sz w:val="24"/>
                <w:szCs w:val="24"/>
                <w:u w:val="none"/>
                <w:lang w:val="en-US" w:eastAsia="zh-CN" w:bidi="ar"/>
              </w:rPr>
            </w:pPr>
            <w:r>
              <w:rPr>
                <w:rFonts w:hint="eastAsia" w:ascii="宋体" w:hAnsi="宋体" w:cs="宋体"/>
                <w:i w:val="0"/>
                <w:color w:val="auto"/>
                <w:kern w:val="0"/>
                <w:sz w:val="24"/>
                <w:szCs w:val="24"/>
                <w:u w:val="none"/>
                <w:lang w:val="en-US" w:eastAsia="zh-CN" w:bidi="ar"/>
              </w:rPr>
              <w:t>严重</w:t>
            </w:r>
          </w:p>
        </w:tc>
        <w:tc>
          <w:tcPr>
            <w:tcW w:w="1240" w:type="pct"/>
            <w:noWrap w:val="0"/>
            <w:vAlign w:val="center"/>
          </w:tcPr>
          <w:p w14:paraId="07E140A4">
            <w:pPr>
              <w:keepNext w:val="0"/>
              <w:keepLines w:val="0"/>
              <w:widowControl/>
              <w:spacing w:line="360" w:lineRule="exact"/>
              <w:textAlignment w:val="auto"/>
              <w:rPr>
                <w:rFonts w:hint="eastAsia" w:ascii="宋体" w:hAnsi="宋体" w:cs="宋体"/>
                <w:color w:val="auto"/>
                <w:kern w:val="0"/>
                <w:sz w:val="24"/>
                <w:lang w:val="en-US" w:eastAsia="zh-CN" w:bidi="ar"/>
              </w:rPr>
            </w:pPr>
            <w:r>
              <w:rPr>
                <w:rFonts w:hint="eastAsia" w:ascii="宋体" w:hAnsi="宋体" w:eastAsia="宋体" w:cs="宋体"/>
                <w:color w:val="auto"/>
                <w:kern w:val="0"/>
                <w:sz w:val="24"/>
                <w:szCs w:val="24"/>
                <w:lang w:val="en-US" w:eastAsia="zh-CN" w:bidi="ar"/>
              </w:rPr>
              <w:t>违法经营数额巨大的</w:t>
            </w:r>
            <w:r>
              <w:rPr>
                <w:rFonts w:hint="eastAsia" w:ascii="宋体" w:hAnsi="宋体" w:cs="宋体"/>
                <w:color w:val="auto"/>
                <w:kern w:val="0"/>
                <w:sz w:val="24"/>
                <w:szCs w:val="24"/>
                <w:lang w:val="en-US" w:eastAsia="zh-CN" w:bidi="ar"/>
              </w:rPr>
              <w:t>。</w:t>
            </w:r>
          </w:p>
        </w:tc>
        <w:tc>
          <w:tcPr>
            <w:tcW w:w="1038" w:type="pct"/>
            <w:noWrap w:val="0"/>
            <w:vAlign w:val="center"/>
          </w:tcPr>
          <w:p w14:paraId="5C7E2AD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吊销营业执照。</w:t>
            </w:r>
          </w:p>
        </w:tc>
      </w:tr>
      <w:tr w14:paraId="7F91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250" w:type="pct"/>
            <w:vMerge w:val="restart"/>
            <w:noWrap w:val="0"/>
            <w:vAlign w:val="center"/>
          </w:tcPr>
          <w:p w14:paraId="1D7A31DF">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387</w:t>
            </w:r>
          </w:p>
        </w:tc>
        <w:tc>
          <w:tcPr>
            <w:tcW w:w="598" w:type="pct"/>
            <w:vMerge w:val="restart"/>
            <w:noWrap w:val="0"/>
            <w:vAlign w:val="center"/>
          </w:tcPr>
          <w:p w14:paraId="4DF424E1">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《军服管理条例》</w:t>
            </w:r>
          </w:p>
        </w:tc>
        <w:tc>
          <w:tcPr>
            <w:tcW w:w="1458" w:type="pct"/>
            <w:vMerge w:val="restart"/>
            <w:noWrap w:val="0"/>
            <w:vAlign w:val="center"/>
          </w:tcPr>
          <w:p w14:paraId="6AE4B68F">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exact"/>
              <w:jc w:val="both"/>
              <w:textAlignment w:val="auto"/>
              <w:rPr>
                <w:rFonts w:ascii="宋体" w:hAnsi="宋体" w:eastAsia="宋体" w:cs="宋体"/>
                <w:sz w:val="24"/>
                <w:szCs w:val="24"/>
              </w:rPr>
            </w:pPr>
            <w:r>
              <w:rPr>
                <w:rFonts w:hint="eastAsia" w:ascii="宋体" w:hAnsi="宋体" w:cs="宋体"/>
                <w:kern w:val="0"/>
                <w:sz w:val="24"/>
                <w:szCs w:val="24"/>
                <w:lang w:val="en-US" w:eastAsia="zh-CN" w:bidi="ar"/>
              </w:rPr>
              <w:t xml:space="preserve">第十三条第一款 </w:t>
            </w:r>
            <w:r>
              <w:rPr>
                <w:rFonts w:ascii="宋体" w:hAnsi="宋体" w:eastAsia="宋体" w:cs="宋体"/>
                <w:sz w:val="24"/>
                <w:szCs w:val="24"/>
              </w:rPr>
              <w:t>军服承制企业违反本条例规定，有下列情形之一的，由工商行政管理部门责令改正，处1万元以上5万元以下的罚款；拒不改正的，责令停业整顿：</w:t>
            </w:r>
          </w:p>
          <w:p w14:paraId="2B02A3D7">
            <w:pPr>
              <w:keepNext w:val="0"/>
              <w:keepLines w:val="0"/>
              <w:pageBreakBefore w:val="0"/>
              <w:widowControl/>
              <w:numPr>
                <w:ilvl w:val="0"/>
                <w:numId w:val="7"/>
              </w:numPr>
              <w:suppressLineNumbers w:val="0"/>
              <w:kinsoku/>
              <w:wordWrap/>
              <w:overflowPunct/>
              <w:topLinePunct w:val="0"/>
              <w:autoSpaceDE/>
              <w:autoSpaceDN/>
              <w:bidi w:val="0"/>
              <w:adjustRightInd/>
              <w:snapToGrid/>
              <w:spacing w:beforeAutospacing="0" w:afterAutospacing="0" w:line="360" w:lineRule="exact"/>
              <w:jc w:val="both"/>
              <w:textAlignment w:val="auto"/>
              <w:rPr>
                <w:rFonts w:ascii="宋体" w:hAnsi="宋体" w:eastAsia="宋体" w:cs="宋体"/>
                <w:sz w:val="24"/>
                <w:szCs w:val="24"/>
              </w:rPr>
            </w:pPr>
            <w:r>
              <w:rPr>
                <w:rFonts w:ascii="宋体" w:hAnsi="宋体" w:eastAsia="宋体" w:cs="宋体"/>
                <w:sz w:val="24"/>
                <w:szCs w:val="24"/>
              </w:rPr>
              <w:t>转让军服、军服专用材料生产合同或者生产技术规范，或者委托其他企业生产军服、军服专用材料的；</w:t>
            </w:r>
          </w:p>
          <w:p w14:paraId="673668A5">
            <w:pPr>
              <w:keepNext w:val="0"/>
              <w:keepLines w:val="0"/>
              <w:pageBreakBefore w:val="0"/>
              <w:widowControl/>
              <w:numPr>
                <w:ilvl w:val="0"/>
                <w:numId w:val="7"/>
              </w:numPr>
              <w:suppressLineNumbers w:val="0"/>
              <w:kinsoku/>
              <w:wordWrap/>
              <w:overflowPunct/>
              <w:topLinePunct w:val="0"/>
              <w:autoSpaceDE/>
              <w:autoSpaceDN/>
              <w:bidi w:val="0"/>
              <w:adjustRightInd/>
              <w:snapToGrid/>
              <w:spacing w:beforeAutospacing="0" w:afterAutospacing="0" w:line="360" w:lineRule="exact"/>
              <w:jc w:val="both"/>
              <w:textAlignment w:val="auto"/>
              <w:rPr>
                <w:rFonts w:ascii="宋体" w:hAnsi="宋体" w:eastAsia="宋体" w:cs="宋体"/>
                <w:sz w:val="24"/>
                <w:szCs w:val="24"/>
              </w:rPr>
            </w:pPr>
            <w:r>
              <w:rPr>
                <w:rFonts w:ascii="宋体" w:hAnsi="宋体" w:eastAsia="宋体" w:cs="宋体"/>
                <w:sz w:val="24"/>
                <w:szCs w:val="24"/>
              </w:rPr>
              <w:t>销售或者以其他方式转让未经改制、染色等处理的军服、军服专用材料残次品的；</w:t>
            </w:r>
          </w:p>
          <w:p w14:paraId="504287E4">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kern w:val="0"/>
                <w:sz w:val="24"/>
                <w:szCs w:val="24"/>
                <w:lang w:val="en-US" w:eastAsia="zh-CN" w:bidi="ar"/>
              </w:rPr>
            </w:pPr>
            <w:r>
              <w:rPr>
                <w:rFonts w:ascii="宋体" w:hAnsi="宋体" w:eastAsia="宋体" w:cs="宋体"/>
                <w:sz w:val="24"/>
                <w:szCs w:val="24"/>
              </w:rPr>
              <w:t>（三）未将军服生产中剩余的军服专用材料妥善保管、移交的。</w:t>
            </w:r>
          </w:p>
        </w:tc>
        <w:tc>
          <w:tcPr>
            <w:tcW w:w="413" w:type="pct"/>
            <w:noWrap w:val="0"/>
            <w:vAlign w:val="center"/>
          </w:tcPr>
          <w:p w14:paraId="33F27D8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jc w:val="center"/>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较轻</w:t>
            </w:r>
          </w:p>
        </w:tc>
        <w:tc>
          <w:tcPr>
            <w:tcW w:w="1240" w:type="pct"/>
            <w:noWrap w:val="0"/>
            <w:vAlign w:val="center"/>
          </w:tcPr>
          <w:p w14:paraId="4D381C3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涉案</w:t>
            </w:r>
            <w:r>
              <w:rPr>
                <w:rFonts w:hint="eastAsia" w:ascii="宋体" w:hAnsi="宋体" w:eastAsia="宋体" w:cs="宋体"/>
                <w:kern w:val="0"/>
                <w:sz w:val="24"/>
                <w:szCs w:val="24"/>
                <w:lang w:val="en-US" w:eastAsia="zh-CN" w:bidi="ar"/>
              </w:rPr>
              <w:t>军服、军服专用材料、军服专用材料残次品货值金额不足2万元。</w:t>
            </w:r>
          </w:p>
        </w:tc>
        <w:tc>
          <w:tcPr>
            <w:tcW w:w="1038" w:type="pct"/>
            <w:noWrap w:val="0"/>
            <w:vAlign w:val="center"/>
          </w:tcPr>
          <w:p w14:paraId="5CC2AD5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责令改正</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处1万元以上到2.2万元罚款。</w:t>
            </w:r>
          </w:p>
        </w:tc>
      </w:tr>
      <w:tr w14:paraId="06299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296FE529">
            <w:pPr>
              <w:jc w:val="center"/>
              <w:rPr>
                <w:rFonts w:hint="eastAsia" w:ascii="宋体" w:hAnsi="宋体" w:eastAsia="宋体" w:cs="宋体"/>
                <w:kern w:val="0"/>
                <w:sz w:val="24"/>
                <w:szCs w:val="24"/>
                <w:lang w:val="en-US" w:eastAsia="zh-CN" w:bidi="ar"/>
              </w:rPr>
            </w:pPr>
          </w:p>
        </w:tc>
        <w:tc>
          <w:tcPr>
            <w:tcW w:w="598" w:type="pct"/>
            <w:vMerge w:val="continue"/>
            <w:noWrap w:val="0"/>
            <w:vAlign w:val="center"/>
          </w:tcPr>
          <w:p w14:paraId="5CD42342">
            <w:pPr>
              <w:jc w:val="left"/>
              <w:rPr>
                <w:rFonts w:hint="eastAsia" w:ascii="宋体" w:hAnsi="宋体" w:eastAsia="宋体" w:cs="宋体"/>
                <w:kern w:val="0"/>
                <w:sz w:val="24"/>
                <w:szCs w:val="24"/>
                <w:lang w:val="en-US" w:eastAsia="zh-CN" w:bidi="ar"/>
              </w:rPr>
            </w:pPr>
          </w:p>
        </w:tc>
        <w:tc>
          <w:tcPr>
            <w:tcW w:w="1458" w:type="pct"/>
            <w:vMerge w:val="continue"/>
            <w:noWrap w:val="0"/>
            <w:vAlign w:val="center"/>
          </w:tcPr>
          <w:p w14:paraId="45E8CDAA">
            <w:pPr>
              <w:widowControl/>
              <w:spacing w:line="360" w:lineRule="exact"/>
              <w:jc w:val="left"/>
              <w:rPr>
                <w:rFonts w:hint="eastAsia" w:ascii="宋体" w:hAnsi="宋体" w:eastAsia="宋体" w:cs="宋体"/>
                <w:kern w:val="0"/>
                <w:sz w:val="24"/>
                <w:szCs w:val="24"/>
                <w:lang w:val="en-US" w:eastAsia="zh-CN" w:bidi="ar"/>
              </w:rPr>
            </w:pPr>
          </w:p>
        </w:tc>
        <w:tc>
          <w:tcPr>
            <w:tcW w:w="413" w:type="pct"/>
            <w:noWrap w:val="0"/>
            <w:vAlign w:val="center"/>
          </w:tcPr>
          <w:p w14:paraId="67C32D1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jc w:val="center"/>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一般</w:t>
            </w:r>
          </w:p>
        </w:tc>
        <w:tc>
          <w:tcPr>
            <w:tcW w:w="1240" w:type="pct"/>
            <w:noWrap w:val="0"/>
            <w:vAlign w:val="center"/>
          </w:tcPr>
          <w:p w14:paraId="5FC5510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涉案军服、军服专用材料、军服专用材料残次品货值金额2万元以上不足10万元。</w:t>
            </w:r>
          </w:p>
        </w:tc>
        <w:tc>
          <w:tcPr>
            <w:tcW w:w="1038" w:type="pct"/>
            <w:noWrap w:val="0"/>
            <w:vAlign w:val="center"/>
          </w:tcPr>
          <w:p w14:paraId="3B518B5E">
            <w:pPr>
              <w:keepNext w:val="0"/>
              <w:keepLines w:val="0"/>
              <w:widowControl/>
              <w:suppressLineNumbers w:val="0"/>
              <w:spacing w:line="360" w:lineRule="exact"/>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责令改正</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处2.2万元以上到3.8万元罚款。</w:t>
            </w:r>
          </w:p>
        </w:tc>
      </w:tr>
      <w:tr w14:paraId="33D7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250" w:type="pct"/>
            <w:vMerge w:val="continue"/>
            <w:noWrap w:val="0"/>
            <w:vAlign w:val="center"/>
          </w:tcPr>
          <w:p w14:paraId="5B0EE24C">
            <w:pPr>
              <w:jc w:val="center"/>
              <w:rPr>
                <w:rFonts w:hint="eastAsia" w:ascii="宋体" w:hAnsi="宋体" w:eastAsia="宋体" w:cs="宋体"/>
                <w:kern w:val="0"/>
                <w:sz w:val="24"/>
                <w:szCs w:val="24"/>
                <w:lang w:val="en-US" w:eastAsia="zh-CN" w:bidi="ar"/>
              </w:rPr>
            </w:pPr>
          </w:p>
        </w:tc>
        <w:tc>
          <w:tcPr>
            <w:tcW w:w="598" w:type="pct"/>
            <w:vMerge w:val="continue"/>
            <w:noWrap w:val="0"/>
            <w:vAlign w:val="center"/>
          </w:tcPr>
          <w:p w14:paraId="5387FF8F">
            <w:pPr>
              <w:jc w:val="left"/>
              <w:rPr>
                <w:rFonts w:hint="eastAsia" w:ascii="宋体" w:hAnsi="宋体" w:eastAsia="宋体" w:cs="宋体"/>
                <w:kern w:val="0"/>
                <w:sz w:val="24"/>
                <w:szCs w:val="24"/>
                <w:lang w:val="en-US" w:eastAsia="zh-CN" w:bidi="ar"/>
              </w:rPr>
            </w:pPr>
          </w:p>
        </w:tc>
        <w:tc>
          <w:tcPr>
            <w:tcW w:w="1458" w:type="pct"/>
            <w:vMerge w:val="continue"/>
            <w:noWrap w:val="0"/>
            <w:vAlign w:val="center"/>
          </w:tcPr>
          <w:p w14:paraId="061FB0A8">
            <w:pPr>
              <w:widowControl/>
              <w:spacing w:line="360" w:lineRule="exact"/>
              <w:jc w:val="left"/>
              <w:rPr>
                <w:rFonts w:hint="eastAsia" w:ascii="宋体" w:hAnsi="宋体" w:eastAsia="宋体" w:cs="宋体"/>
                <w:kern w:val="0"/>
                <w:sz w:val="24"/>
                <w:szCs w:val="24"/>
                <w:lang w:val="en-US" w:eastAsia="zh-CN" w:bidi="ar"/>
              </w:rPr>
            </w:pPr>
          </w:p>
        </w:tc>
        <w:tc>
          <w:tcPr>
            <w:tcW w:w="413" w:type="pct"/>
            <w:noWrap w:val="0"/>
            <w:vAlign w:val="center"/>
          </w:tcPr>
          <w:p w14:paraId="7B2D828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jc w:val="center"/>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较重</w:t>
            </w:r>
          </w:p>
        </w:tc>
        <w:tc>
          <w:tcPr>
            <w:tcW w:w="1240" w:type="pct"/>
            <w:noWrap w:val="0"/>
            <w:vAlign w:val="center"/>
          </w:tcPr>
          <w:p w14:paraId="4474110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涉案军服、军服专用材料、军服专用材料残次品货值金额10万元以上。</w:t>
            </w:r>
          </w:p>
        </w:tc>
        <w:tc>
          <w:tcPr>
            <w:tcW w:w="1038" w:type="pct"/>
            <w:noWrap w:val="0"/>
            <w:vAlign w:val="center"/>
          </w:tcPr>
          <w:p w14:paraId="28742536">
            <w:pPr>
              <w:keepNext w:val="0"/>
              <w:keepLines w:val="0"/>
              <w:widowControl/>
              <w:suppressLineNumbers w:val="0"/>
              <w:spacing w:line="360" w:lineRule="exact"/>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责令改正</w:t>
            </w:r>
            <w:r>
              <w:rPr>
                <w:rFonts w:hint="eastAsia" w:ascii="宋体" w:hAnsi="宋体" w:cs="宋体"/>
                <w:kern w:val="0"/>
                <w:sz w:val="24"/>
                <w:szCs w:val="24"/>
                <w:lang w:val="en-US" w:eastAsia="zh-CN" w:bidi="ar"/>
              </w:rPr>
              <w:t>，</w:t>
            </w:r>
            <w:r>
              <w:rPr>
                <w:rFonts w:hint="eastAsia" w:ascii="宋体" w:hAnsi="宋体" w:eastAsia="宋体" w:cs="宋体"/>
                <w:kern w:val="0"/>
                <w:sz w:val="24"/>
                <w:szCs w:val="24"/>
                <w:lang w:val="en-US" w:eastAsia="zh-CN" w:bidi="ar"/>
              </w:rPr>
              <w:t>处3.8万元以上5万元以下罚款。</w:t>
            </w:r>
          </w:p>
        </w:tc>
      </w:tr>
      <w:tr w14:paraId="5F0C8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50" w:type="pct"/>
            <w:vMerge w:val="continue"/>
            <w:noWrap w:val="0"/>
            <w:vAlign w:val="center"/>
          </w:tcPr>
          <w:p w14:paraId="73AC23E0">
            <w:pPr>
              <w:jc w:val="center"/>
              <w:rPr>
                <w:rFonts w:hint="eastAsia" w:ascii="宋体" w:hAnsi="宋体" w:eastAsia="宋体" w:cs="宋体"/>
                <w:kern w:val="0"/>
                <w:sz w:val="24"/>
                <w:szCs w:val="24"/>
                <w:lang w:val="en-US" w:eastAsia="zh-CN" w:bidi="ar"/>
              </w:rPr>
            </w:pPr>
          </w:p>
        </w:tc>
        <w:tc>
          <w:tcPr>
            <w:tcW w:w="598" w:type="pct"/>
            <w:vMerge w:val="continue"/>
            <w:noWrap w:val="0"/>
            <w:vAlign w:val="center"/>
          </w:tcPr>
          <w:p w14:paraId="4D781616">
            <w:pPr>
              <w:jc w:val="left"/>
              <w:rPr>
                <w:rFonts w:hint="eastAsia" w:ascii="宋体" w:hAnsi="宋体" w:eastAsia="宋体" w:cs="宋体"/>
                <w:kern w:val="0"/>
                <w:sz w:val="24"/>
                <w:szCs w:val="24"/>
                <w:lang w:val="en-US" w:eastAsia="zh-CN" w:bidi="ar"/>
              </w:rPr>
            </w:pPr>
          </w:p>
        </w:tc>
        <w:tc>
          <w:tcPr>
            <w:tcW w:w="1458" w:type="pct"/>
            <w:vMerge w:val="continue"/>
            <w:noWrap w:val="0"/>
            <w:vAlign w:val="center"/>
          </w:tcPr>
          <w:p w14:paraId="4E2BED00">
            <w:pPr>
              <w:widowControl/>
              <w:spacing w:line="360" w:lineRule="exact"/>
              <w:jc w:val="left"/>
              <w:rPr>
                <w:rFonts w:hint="eastAsia" w:ascii="宋体" w:hAnsi="宋体" w:eastAsia="宋体" w:cs="宋体"/>
                <w:kern w:val="0"/>
                <w:sz w:val="24"/>
                <w:szCs w:val="24"/>
                <w:lang w:val="en-US" w:eastAsia="zh-CN" w:bidi="ar"/>
              </w:rPr>
            </w:pPr>
          </w:p>
        </w:tc>
        <w:tc>
          <w:tcPr>
            <w:tcW w:w="413" w:type="pct"/>
            <w:noWrap w:val="0"/>
            <w:vAlign w:val="center"/>
          </w:tcPr>
          <w:p w14:paraId="3316D40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jc w:val="center"/>
              <w:textAlignment w:val="auto"/>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严重</w:t>
            </w:r>
          </w:p>
        </w:tc>
        <w:tc>
          <w:tcPr>
            <w:tcW w:w="1240" w:type="pct"/>
            <w:noWrap w:val="0"/>
            <w:vAlign w:val="center"/>
          </w:tcPr>
          <w:p w14:paraId="6B00F52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kern w:val="0"/>
                <w:sz w:val="24"/>
                <w:szCs w:val="24"/>
                <w:lang w:val="en-US" w:eastAsia="zh-CN" w:bidi="ar"/>
              </w:rPr>
            </w:pPr>
            <w:r>
              <w:rPr>
                <w:rFonts w:ascii="宋体" w:hAnsi="宋体" w:eastAsia="宋体" w:cs="宋体"/>
                <w:sz w:val="24"/>
                <w:szCs w:val="24"/>
              </w:rPr>
              <w:t>拒不改正的</w:t>
            </w:r>
            <w:r>
              <w:rPr>
                <w:rFonts w:hint="eastAsia" w:ascii="宋体" w:hAnsi="宋体" w:cs="宋体"/>
                <w:sz w:val="24"/>
                <w:szCs w:val="24"/>
                <w:lang w:eastAsia="zh-CN"/>
              </w:rPr>
              <w:t>。</w:t>
            </w:r>
          </w:p>
        </w:tc>
        <w:tc>
          <w:tcPr>
            <w:tcW w:w="1038" w:type="pct"/>
            <w:noWrap w:val="0"/>
            <w:vAlign w:val="center"/>
          </w:tcPr>
          <w:p w14:paraId="04206F82">
            <w:pPr>
              <w:keepNext w:val="0"/>
              <w:keepLines w:val="0"/>
              <w:widowControl/>
              <w:suppressLineNumbers w:val="0"/>
              <w:spacing w:line="360" w:lineRule="exact"/>
              <w:jc w:val="left"/>
              <w:textAlignment w:val="auto"/>
              <w:rPr>
                <w:rFonts w:hint="eastAsia" w:ascii="宋体" w:hAnsi="宋体" w:eastAsia="宋体" w:cs="宋体"/>
                <w:kern w:val="0"/>
                <w:sz w:val="24"/>
                <w:szCs w:val="24"/>
                <w:lang w:val="en-US" w:eastAsia="zh-CN" w:bidi="ar"/>
              </w:rPr>
            </w:pPr>
            <w:r>
              <w:rPr>
                <w:rFonts w:ascii="宋体" w:hAnsi="宋体" w:eastAsia="宋体" w:cs="宋体"/>
                <w:sz w:val="24"/>
                <w:szCs w:val="24"/>
              </w:rPr>
              <w:t>责令停业整顿</w:t>
            </w:r>
            <w:r>
              <w:rPr>
                <w:rFonts w:hint="eastAsia" w:ascii="宋体" w:hAnsi="宋体" w:cs="宋体"/>
                <w:sz w:val="24"/>
                <w:szCs w:val="24"/>
                <w:lang w:eastAsia="zh-CN"/>
              </w:rPr>
              <w:t>。</w:t>
            </w:r>
          </w:p>
        </w:tc>
      </w:tr>
      <w:tr w14:paraId="48EB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250" w:type="pct"/>
            <w:vMerge w:val="restart"/>
            <w:noWrap w:val="0"/>
            <w:vAlign w:val="center"/>
          </w:tcPr>
          <w:p w14:paraId="5B247E57">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center"/>
              <w:textAlignment w:val="auto"/>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388</w:t>
            </w:r>
          </w:p>
        </w:tc>
        <w:tc>
          <w:tcPr>
            <w:tcW w:w="598" w:type="pct"/>
            <w:vMerge w:val="restart"/>
            <w:noWrap w:val="0"/>
            <w:vAlign w:val="center"/>
          </w:tcPr>
          <w:p w14:paraId="6935FDC5">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《军服管理条例》</w:t>
            </w:r>
          </w:p>
        </w:tc>
        <w:tc>
          <w:tcPr>
            <w:tcW w:w="1458" w:type="pct"/>
            <w:vMerge w:val="restart"/>
            <w:noWrap w:val="0"/>
            <w:vAlign w:val="center"/>
          </w:tcPr>
          <w:p w14:paraId="26978380">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第十五条 </w:t>
            </w:r>
            <w:r>
              <w:rPr>
                <w:rFonts w:hint="eastAsia" w:ascii="宋体" w:hAnsi="宋体" w:eastAsia="宋体" w:cs="宋体"/>
                <w:i w:val="0"/>
                <w:iCs w:val="0"/>
                <w:caps w:val="0"/>
                <w:color w:val="000000"/>
                <w:spacing w:val="0"/>
                <w:kern w:val="0"/>
                <w:sz w:val="24"/>
                <w:szCs w:val="24"/>
                <w:shd w:val="clear" w:color="auto" w:fill="auto"/>
                <w:lang w:bidi="ar"/>
              </w:rPr>
              <w:t>违反本条例规定，使用军服和中国人民解放军曾经装备的制式服装从事经营活动，或者以“军需”、“军服”、“军品”等用语招揽顾客的，由工商行政管理部门责令改正，没收违法物品和违法所得，并处2000元以上2万元以下的罚款；拒不改正的，责令停业整顿。</w:t>
            </w:r>
          </w:p>
        </w:tc>
        <w:tc>
          <w:tcPr>
            <w:tcW w:w="413" w:type="pct"/>
            <w:noWrap w:val="0"/>
            <w:vAlign w:val="center"/>
          </w:tcPr>
          <w:p w14:paraId="43BA8D14">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center"/>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较轻</w:t>
            </w:r>
          </w:p>
        </w:tc>
        <w:tc>
          <w:tcPr>
            <w:tcW w:w="1240" w:type="pct"/>
            <w:noWrap w:val="0"/>
            <w:vAlign w:val="center"/>
          </w:tcPr>
          <w:p w14:paraId="00D0031F">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涉案货值金额不足2万元</w:t>
            </w:r>
            <w:r>
              <w:rPr>
                <w:rFonts w:hint="eastAsia" w:ascii="宋体" w:hAnsi="宋体" w:cs="宋体"/>
                <w:kern w:val="0"/>
                <w:sz w:val="24"/>
                <w:szCs w:val="24"/>
                <w:lang w:val="en-US" w:eastAsia="zh-CN" w:bidi="ar"/>
              </w:rPr>
              <w:t>。</w:t>
            </w:r>
          </w:p>
        </w:tc>
        <w:tc>
          <w:tcPr>
            <w:tcW w:w="1038" w:type="pct"/>
            <w:noWrap w:val="0"/>
            <w:vAlign w:val="center"/>
          </w:tcPr>
          <w:p w14:paraId="44F03FE6">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i w:val="0"/>
                <w:iCs w:val="0"/>
                <w:caps w:val="0"/>
                <w:spacing w:val="0"/>
                <w:kern w:val="0"/>
                <w:sz w:val="24"/>
                <w:szCs w:val="24"/>
                <w:shd w:val="clear" w:color="auto" w:fill="auto"/>
                <w:lang w:bidi="ar"/>
              </w:rPr>
              <w:t>责令改正，没收违法物品和违法所得，</w:t>
            </w:r>
            <w:r>
              <w:rPr>
                <w:rFonts w:hint="eastAsia" w:ascii="宋体" w:hAnsi="宋体" w:cs="宋体"/>
                <w:kern w:val="0"/>
                <w:sz w:val="24"/>
                <w:szCs w:val="24"/>
                <w:lang w:val="en-US" w:eastAsia="zh-CN" w:bidi="ar"/>
              </w:rPr>
              <w:t>并</w:t>
            </w:r>
            <w:r>
              <w:rPr>
                <w:rFonts w:hint="eastAsia" w:ascii="宋体" w:hAnsi="宋体" w:eastAsia="宋体" w:cs="宋体"/>
                <w:kern w:val="0"/>
                <w:sz w:val="24"/>
                <w:szCs w:val="24"/>
                <w:lang w:val="en-US" w:eastAsia="zh-CN" w:bidi="ar"/>
              </w:rPr>
              <w:t>处2000元以上到7400元罚款</w:t>
            </w:r>
          </w:p>
        </w:tc>
      </w:tr>
      <w:tr w14:paraId="6B102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250" w:type="pct"/>
            <w:vMerge w:val="continue"/>
            <w:noWrap w:val="0"/>
            <w:vAlign w:val="center"/>
          </w:tcPr>
          <w:p w14:paraId="1D5CF664">
            <w:pPr>
              <w:jc w:val="center"/>
              <w:rPr>
                <w:rFonts w:hint="eastAsia" w:ascii="宋体" w:hAnsi="宋体" w:eastAsia="宋体" w:cs="宋体"/>
                <w:kern w:val="0"/>
                <w:sz w:val="24"/>
                <w:szCs w:val="24"/>
                <w:lang w:val="en-US" w:eastAsia="zh-CN" w:bidi="ar"/>
              </w:rPr>
            </w:pPr>
          </w:p>
        </w:tc>
        <w:tc>
          <w:tcPr>
            <w:tcW w:w="598" w:type="pct"/>
            <w:vMerge w:val="continue"/>
            <w:noWrap w:val="0"/>
            <w:vAlign w:val="center"/>
          </w:tcPr>
          <w:p w14:paraId="7E0AF121">
            <w:pPr>
              <w:jc w:val="left"/>
              <w:rPr>
                <w:rFonts w:hint="eastAsia" w:ascii="宋体" w:hAnsi="宋体" w:eastAsia="宋体" w:cs="宋体"/>
                <w:kern w:val="0"/>
                <w:sz w:val="24"/>
                <w:szCs w:val="24"/>
                <w:lang w:val="en-US" w:eastAsia="zh-CN" w:bidi="ar"/>
              </w:rPr>
            </w:pPr>
          </w:p>
        </w:tc>
        <w:tc>
          <w:tcPr>
            <w:tcW w:w="1458" w:type="pct"/>
            <w:vMerge w:val="continue"/>
            <w:noWrap w:val="0"/>
            <w:vAlign w:val="center"/>
          </w:tcPr>
          <w:p w14:paraId="7CF173A2">
            <w:pPr>
              <w:jc w:val="left"/>
              <w:rPr>
                <w:rFonts w:hint="eastAsia" w:ascii="宋体" w:hAnsi="宋体" w:eastAsia="宋体" w:cs="宋体"/>
                <w:kern w:val="0"/>
                <w:sz w:val="24"/>
                <w:szCs w:val="24"/>
                <w:lang w:val="en-US" w:eastAsia="zh-CN" w:bidi="ar"/>
              </w:rPr>
            </w:pPr>
          </w:p>
        </w:tc>
        <w:tc>
          <w:tcPr>
            <w:tcW w:w="413" w:type="pct"/>
            <w:noWrap w:val="0"/>
            <w:vAlign w:val="center"/>
          </w:tcPr>
          <w:p w14:paraId="4820B368">
            <w:pPr>
              <w:keepNext w:val="0"/>
              <w:keepLines w:val="0"/>
              <w:widowControl/>
              <w:suppressLineNumbers w:val="0"/>
              <w:jc w:val="center"/>
              <w:textAlignment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一般</w:t>
            </w:r>
          </w:p>
        </w:tc>
        <w:tc>
          <w:tcPr>
            <w:tcW w:w="1240" w:type="pct"/>
            <w:noWrap w:val="0"/>
            <w:vAlign w:val="center"/>
          </w:tcPr>
          <w:p w14:paraId="6ED4DE20">
            <w:pPr>
              <w:keepNext w:val="0"/>
              <w:keepLines w:val="0"/>
              <w:widowControl/>
              <w:suppressLineNumbers w:val="0"/>
              <w:spacing w:line="40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涉案货值金额2万元以上不足5万元</w:t>
            </w:r>
            <w:r>
              <w:rPr>
                <w:rFonts w:hint="eastAsia" w:ascii="宋体" w:hAnsi="宋体" w:cs="宋体"/>
                <w:kern w:val="0"/>
                <w:sz w:val="24"/>
                <w:szCs w:val="24"/>
                <w:lang w:val="en-US" w:eastAsia="zh-CN" w:bidi="ar"/>
              </w:rPr>
              <w:t>。</w:t>
            </w:r>
          </w:p>
        </w:tc>
        <w:tc>
          <w:tcPr>
            <w:tcW w:w="1038" w:type="pct"/>
            <w:noWrap w:val="0"/>
            <w:vAlign w:val="center"/>
          </w:tcPr>
          <w:p w14:paraId="28DB3C1A">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i w:val="0"/>
                <w:iCs w:val="0"/>
                <w:caps w:val="0"/>
                <w:spacing w:val="0"/>
                <w:kern w:val="0"/>
                <w:sz w:val="24"/>
                <w:szCs w:val="24"/>
                <w:shd w:val="clear" w:color="auto" w:fill="auto"/>
                <w:lang w:bidi="ar"/>
              </w:rPr>
              <w:t>责令改正，没收违法物品和违法所得，</w:t>
            </w:r>
            <w:r>
              <w:rPr>
                <w:rFonts w:hint="eastAsia" w:ascii="宋体" w:hAnsi="宋体" w:cs="宋体"/>
                <w:kern w:val="0"/>
                <w:sz w:val="24"/>
                <w:szCs w:val="24"/>
                <w:lang w:val="en-US" w:eastAsia="zh-CN" w:bidi="ar"/>
              </w:rPr>
              <w:t>并</w:t>
            </w:r>
            <w:r>
              <w:rPr>
                <w:rFonts w:hint="eastAsia" w:ascii="宋体" w:hAnsi="宋体" w:eastAsia="宋体" w:cs="宋体"/>
                <w:kern w:val="0"/>
                <w:sz w:val="24"/>
                <w:szCs w:val="24"/>
                <w:lang w:val="en-US" w:eastAsia="zh-CN" w:bidi="ar"/>
              </w:rPr>
              <w:t>处7400元以上到1.46万元罚款。</w:t>
            </w:r>
          </w:p>
        </w:tc>
      </w:tr>
      <w:tr w14:paraId="4A43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250" w:type="pct"/>
            <w:vMerge w:val="continue"/>
            <w:noWrap w:val="0"/>
            <w:vAlign w:val="center"/>
          </w:tcPr>
          <w:p w14:paraId="0A334AFE">
            <w:pPr>
              <w:jc w:val="center"/>
              <w:rPr>
                <w:rFonts w:hint="eastAsia" w:ascii="宋体" w:hAnsi="宋体" w:eastAsia="宋体" w:cs="宋体"/>
                <w:kern w:val="0"/>
                <w:sz w:val="24"/>
                <w:szCs w:val="24"/>
                <w:lang w:val="en-US" w:eastAsia="zh-CN" w:bidi="ar"/>
              </w:rPr>
            </w:pPr>
          </w:p>
        </w:tc>
        <w:tc>
          <w:tcPr>
            <w:tcW w:w="598" w:type="pct"/>
            <w:vMerge w:val="continue"/>
            <w:noWrap w:val="0"/>
            <w:vAlign w:val="center"/>
          </w:tcPr>
          <w:p w14:paraId="0E240711">
            <w:pPr>
              <w:jc w:val="left"/>
              <w:rPr>
                <w:rFonts w:hint="eastAsia" w:ascii="宋体" w:hAnsi="宋体" w:eastAsia="宋体" w:cs="宋体"/>
                <w:kern w:val="0"/>
                <w:sz w:val="24"/>
                <w:szCs w:val="24"/>
                <w:lang w:val="en-US" w:eastAsia="zh-CN" w:bidi="ar"/>
              </w:rPr>
            </w:pPr>
          </w:p>
        </w:tc>
        <w:tc>
          <w:tcPr>
            <w:tcW w:w="1458" w:type="pct"/>
            <w:vMerge w:val="continue"/>
            <w:noWrap w:val="0"/>
            <w:vAlign w:val="center"/>
          </w:tcPr>
          <w:p w14:paraId="6FC8320F">
            <w:pPr>
              <w:jc w:val="left"/>
              <w:rPr>
                <w:rFonts w:hint="eastAsia" w:ascii="宋体" w:hAnsi="宋体" w:eastAsia="宋体" w:cs="宋体"/>
                <w:kern w:val="0"/>
                <w:sz w:val="24"/>
                <w:szCs w:val="24"/>
                <w:lang w:val="en-US" w:eastAsia="zh-CN" w:bidi="ar"/>
              </w:rPr>
            </w:pPr>
          </w:p>
        </w:tc>
        <w:tc>
          <w:tcPr>
            <w:tcW w:w="413" w:type="pct"/>
            <w:noWrap w:val="0"/>
            <w:vAlign w:val="center"/>
          </w:tcPr>
          <w:p w14:paraId="39B90B12">
            <w:pPr>
              <w:keepNext w:val="0"/>
              <w:keepLines w:val="0"/>
              <w:widowControl/>
              <w:suppressLineNumbers w:val="0"/>
              <w:jc w:val="center"/>
              <w:textAlignment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较重</w:t>
            </w:r>
          </w:p>
        </w:tc>
        <w:tc>
          <w:tcPr>
            <w:tcW w:w="1240" w:type="pct"/>
            <w:noWrap w:val="0"/>
            <w:vAlign w:val="center"/>
          </w:tcPr>
          <w:p w14:paraId="12A11C60">
            <w:pPr>
              <w:keepNext w:val="0"/>
              <w:keepLines w:val="0"/>
              <w:widowControl/>
              <w:suppressLineNumbers w:val="0"/>
              <w:spacing w:line="40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涉案货值金额5万元以上</w:t>
            </w:r>
            <w:r>
              <w:rPr>
                <w:rFonts w:hint="eastAsia" w:ascii="宋体" w:hAnsi="宋体" w:cs="宋体"/>
                <w:kern w:val="0"/>
                <w:sz w:val="24"/>
                <w:szCs w:val="24"/>
                <w:lang w:val="en-US" w:eastAsia="zh-CN" w:bidi="ar"/>
              </w:rPr>
              <w:t>。</w:t>
            </w:r>
          </w:p>
        </w:tc>
        <w:tc>
          <w:tcPr>
            <w:tcW w:w="1038" w:type="pct"/>
            <w:noWrap w:val="0"/>
            <w:vAlign w:val="center"/>
          </w:tcPr>
          <w:p w14:paraId="067B4DCF">
            <w:pPr>
              <w:keepNext w:val="0"/>
              <w:keepLines w:val="0"/>
              <w:widowControl/>
              <w:numPr>
                <w:ilvl w:val="0"/>
                <w:numId w:val="0"/>
              </w:numPr>
              <w:spacing w:line="400" w:lineRule="exact"/>
              <w:textAlignment w:val="auto"/>
              <w:rPr>
                <w:rFonts w:hint="eastAsia" w:ascii="宋体" w:hAnsi="宋体" w:cs="宋体"/>
                <w:kern w:val="0"/>
                <w:sz w:val="24"/>
                <w:lang w:val="en-US" w:eastAsia="zh-CN" w:bidi="ar"/>
              </w:rPr>
            </w:pPr>
            <w:r>
              <w:rPr>
                <w:rFonts w:hint="eastAsia" w:ascii="宋体" w:hAnsi="宋体" w:eastAsia="宋体" w:cs="宋体"/>
                <w:i w:val="0"/>
                <w:iCs w:val="0"/>
                <w:caps w:val="0"/>
                <w:spacing w:val="0"/>
                <w:kern w:val="0"/>
                <w:sz w:val="24"/>
                <w:szCs w:val="24"/>
                <w:shd w:val="clear" w:color="auto" w:fill="auto"/>
                <w:lang w:bidi="ar"/>
              </w:rPr>
              <w:t>责令改正，没收违法物品和违法所得，</w:t>
            </w:r>
            <w:r>
              <w:rPr>
                <w:rFonts w:hint="eastAsia" w:ascii="宋体" w:hAnsi="宋体" w:cs="宋体"/>
                <w:kern w:val="0"/>
                <w:sz w:val="24"/>
                <w:szCs w:val="24"/>
                <w:lang w:val="en-US" w:eastAsia="zh-CN" w:bidi="ar"/>
              </w:rPr>
              <w:t>并</w:t>
            </w:r>
            <w:r>
              <w:rPr>
                <w:rFonts w:hint="eastAsia" w:ascii="宋体" w:hAnsi="宋体" w:cs="宋体"/>
                <w:kern w:val="0"/>
                <w:sz w:val="24"/>
                <w:lang w:val="en-US" w:eastAsia="zh-CN" w:bidi="ar"/>
              </w:rPr>
              <w:t>处1.46万元以上2万元以下罚款。</w:t>
            </w:r>
          </w:p>
        </w:tc>
      </w:tr>
      <w:tr w14:paraId="39EF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50" w:type="pct"/>
            <w:vMerge w:val="continue"/>
            <w:noWrap w:val="0"/>
            <w:vAlign w:val="center"/>
          </w:tcPr>
          <w:p w14:paraId="4C1CEBFC">
            <w:pPr>
              <w:jc w:val="center"/>
              <w:rPr>
                <w:rFonts w:hint="eastAsia" w:ascii="宋体" w:hAnsi="宋体" w:eastAsia="宋体" w:cs="宋体"/>
                <w:kern w:val="0"/>
                <w:sz w:val="24"/>
                <w:szCs w:val="24"/>
                <w:lang w:val="en-US" w:eastAsia="zh-CN" w:bidi="ar"/>
              </w:rPr>
            </w:pPr>
          </w:p>
        </w:tc>
        <w:tc>
          <w:tcPr>
            <w:tcW w:w="598" w:type="pct"/>
            <w:vMerge w:val="continue"/>
            <w:noWrap w:val="0"/>
            <w:vAlign w:val="center"/>
          </w:tcPr>
          <w:p w14:paraId="63FBD64D">
            <w:pPr>
              <w:jc w:val="left"/>
              <w:rPr>
                <w:rFonts w:hint="eastAsia" w:ascii="宋体" w:hAnsi="宋体" w:eastAsia="宋体" w:cs="宋体"/>
                <w:kern w:val="0"/>
                <w:sz w:val="24"/>
                <w:szCs w:val="24"/>
                <w:lang w:val="en-US" w:eastAsia="zh-CN" w:bidi="ar"/>
              </w:rPr>
            </w:pPr>
          </w:p>
        </w:tc>
        <w:tc>
          <w:tcPr>
            <w:tcW w:w="1458" w:type="pct"/>
            <w:vMerge w:val="continue"/>
            <w:noWrap w:val="0"/>
            <w:vAlign w:val="center"/>
          </w:tcPr>
          <w:p w14:paraId="2C64FCF4">
            <w:pPr>
              <w:jc w:val="left"/>
              <w:rPr>
                <w:rFonts w:hint="eastAsia" w:ascii="宋体" w:hAnsi="宋体" w:eastAsia="宋体" w:cs="宋体"/>
                <w:kern w:val="0"/>
                <w:sz w:val="24"/>
                <w:szCs w:val="24"/>
                <w:lang w:val="en-US" w:eastAsia="zh-CN" w:bidi="ar"/>
              </w:rPr>
            </w:pPr>
          </w:p>
        </w:tc>
        <w:tc>
          <w:tcPr>
            <w:tcW w:w="413" w:type="pct"/>
            <w:noWrap w:val="0"/>
            <w:vAlign w:val="center"/>
          </w:tcPr>
          <w:p w14:paraId="4A55AEF3">
            <w:pPr>
              <w:keepNext w:val="0"/>
              <w:keepLines w:val="0"/>
              <w:widowControl/>
              <w:suppressLineNumbers w:val="0"/>
              <w:jc w:val="center"/>
              <w:textAlignment w:val="center"/>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严重</w:t>
            </w:r>
          </w:p>
        </w:tc>
        <w:tc>
          <w:tcPr>
            <w:tcW w:w="1240" w:type="pct"/>
            <w:noWrap w:val="0"/>
            <w:vAlign w:val="center"/>
          </w:tcPr>
          <w:p w14:paraId="06850246">
            <w:pPr>
              <w:keepNext w:val="0"/>
              <w:keepLines w:val="0"/>
              <w:widowControl/>
              <w:numPr>
                <w:ilvl w:val="0"/>
                <w:numId w:val="0"/>
              </w:numPr>
              <w:suppressLineNumbers w:val="0"/>
              <w:spacing w:line="400" w:lineRule="exact"/>
              <w:jc w:val="both"/>
              <w:textAlignment w:val="auto"/>
              <w:rPr>
                <w:rFonts w:hint="eastAsia"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拒不改正的。</w:t>
            </w:r>
          </w:p>
        </w:tc>
        <w:tc>
          <w:tcPr>
            <w:tcW w:w="1038" w:type="pct"/>
            <w:noWrap w:val="0"/>
            <w:vAlign w:val="center"/>
          </w:tcPr>
          <w:p w14:paraId="15EBC18D">
            <w:pPr>
              <w:keepNext w:val="0"/>
              <w:keepLines w:val="0"/>
              <w:widowControl/>
              <w:numPr>
                <w:ilvl w:val="0"/>
                <w:numId w:val="0"/>
              </w:numPr>
              <w:spacing w:line="400" w:lineRule="exact"/>
              <w:textAlignment w:val="auto"/>
              <w:rPr>
                <w:rFonts w:hint="eastAsia" w:ascii="宋体" w:hAnsi="宋体" w:cs="宋体"/>
                <w:kern w:val="0"/>
                <w:sz w:val="24"/>
                <w:lang w:val="en-US" w:eastAsia="zh-CN" w:bidi="ar"/>
              </w:rPr>
            </w:pPr>
            <w:r>
              <w:rPr>
                <w:rFonts w:hint="eastAsia" w:ascii="宋体" w:hAnsi="宋体" w:eastAsia="宋体" w:cs="宋体"/>
                <w:i w:val="0"/>
                <w:iCs w:val="0"/>
                <w:caps w:val="0"/>
                <w:spacing w:val="0"/>
                <w:kern w:val="0"/>
                <w:sz w:val="24"/>
                <w:szCs w:val="24"/>
                <w:shd w:val="clear" w:color="auto" w:fill="auto"/>
                <w:lang w:bidi="ar"/>
              </w:rPr>
              <w:t>责令停业整顿。</w:t>
            </w:r>
          </w:p>
        </w:tc>
      </w:tr>
      <w:tr w14:paraId="1289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250" w:type="pct"/>
            <w:vMerge w:val="restart"/>
            <w:noWrap w:val="0"/>
            <w:vAlign w:val="center"/>
          </w:tcPr>
          <w:p w14:paraId="3BAA6FC7">
            <w:pPr>
              <w:keepNext w:val="0"/>
              <w:keepLines w:val="0"/>
              <w:widowControl/>
              <w:suppressLineNumbers w:val="0"/>
              <w:spacing w:line="400" w:lineRule="exact"/>
              <w:jc w:val="center"/>
              <w:textAlignment w:val="auto"/>
              <w:rPr>
                <w:rFonts w:hint="eastAsia" w:ascii="宋体" w:hAnsi="宋体" w:eastAsia="宋体" w:cs="宋体"/>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38</w:t>
            </w:r>
            <w:r>
              <w:rPr>
                <w:rFonts w:hint="eastAsia" w:ascii="宋体" w:hAnsi="宋体" w:cs="宋体"/>
                <w:i w:val="0"/>
                <w:color w:val="000000"/>
                <w:kern w:val="0"/>
                <w:sz w:val="24"/>
                <w:szCs w:val="24"/>
                <w:u w:val="none"/>
                <w:lang w:val="en-US" w:eastAsia="zh-CN" w:bidi="ar"/>
              </w:rPr>
              <w:t>9</w:t>
            </w:r>
          </w:p>
        </w:tc>
        <w:tc>
          <w:tcPr>
            <w:tcW w:w="598" w:type="pct"/>
            <w:vMerge w:val="restart"/>
            <w:noWrap w:val="0"/>
            <w:vAlign w:val="center"/>
          </w:tcPr>
          <w:p w14:paraId="7721C6C9">
            <w:pPr>
              <w:keepNext w:val="0"/>
              <w:keepLines w:val="0"/>
              <w:widowControl/>
              <w:suppressLineNumbers w:val="0"/>
              <w:spacing w:line="400" w:lineRule="exact"/>
              <w:jc w:val="left"/>
              <w:textAlignment w:val="auto"/>
              <w:outlineLvl w:val="2"/>
              <w:rPr>
                <w:rFonts w:hint="eastAsia" w:ascii="宋体" w:hAnsi="宋体" w:eastAsia="宋体" w:cs="宋体"/>
                <w:kern w:val="0"/>
                <w:sz w:val="24"/>
                <w:szCs w:val="24"/>
                <w:lang w:val="en-US" w:eastAsia="zh-CN" w:bidi="ar"/>
              </w:rPr>
            </w:pPr>
            <w:bookmarkStart w:id="493" w:name="_Toc21142"/>
            <w:bookmarkStart w:id="494" w:name="_Toc22086"/>
            <w:bookmarkStart w:id="495" w:name="_Toc29176"/>
            <w:bookmarkStart w:id="496" w:name="_Toc12142"/>
            <w:r>
              <w:rPr>
                <w:rFonts w:hint="eastAsia" w:ascii="宋体" w:hAnsi="宋体" w:eastAsia="宋体" w:cs="宋体"/>
                <w:i w:val="0"/>
                <w:color w:val="000000"/>
                <w:kern w:val="0"/>
                <w:sz w:val="24"/>
                <w:szCs w:val="24"/>
                <w:u w:val="none"/>
                <w:lang w:val="en-US" w:eastAsia="zh-CN" w:bidi="ar"/>
              </w:rPr>
              <w:t>《吉林省电动自行车管理暂行办法》</w:t>
            </w:r>
            <w:r>
              <w:rPr>
                <w:rFonts w:hint="eastAsia" w:ascii="宋体" w:hAnsi="宋体" w:cs="宋体"/>
                <w:i w:val="0"/>
                <w:kern w:val="0"/>
                <w:sz w:val="24"/>
                <w:szCs w:val="24"/>
                <w:u w:val="none"/>
                <w:lang w:val="en-US" w:eastAsia="zh-CN" w:bidi="ar"/>
              </w:rPr>
              <w:t>（自2023年5月1日起施行）</w:t>
            </w:r>
            <w:bookmarkEnd w:id="493"/>
            <w:bookmarkEnd w:id="494"/>
            <w:bookmarkEnd w:id="495"/>
            <w:bookmarkEnd w:id="496"/>
          </w:p>
        </w:tc>
        <w:tc>
          <w:tcPr>
            <w:tcW w:w="1458" w:type="pct"/>
            <w:vMerge w:val="restart"/>
            <w:noWrap w:val="0"/>
            <w:vAlign w:val="center"/>
          </w:tcPr>
          <w:p w14:paraId="3DA364F3">
            <w:pPr>
              <w:keepNext w:val="0"/>
              <w:keepLines w:val="0"/>
              <w:widowControl/>
              <w:suppressLineNumbers w:val="0"/>
              <w:spacing w:line="400" w:lineRule="exact"/>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i w:val="0"/>
                <w:color w:val="000000"/>
                <w:kern w:val="0"/>
                <w:sz w:val="24"/>
                <w:szCs w:val="24"/>
                <w:u w:val="none"/>
                <w:lang w:val="en-US" w:eastAsia="zh-CN" w:bidi="ar"/>
              </w:rPr>
              <w:t>第三十六条</w:t>
            </w:r>
            <w:r>
              <w:rPr>
                <w:rFonts w:hint="eastAsia" w:ascii="宋体" w:hAnsi="宋体" w:cs="宋体"/>
                <w:i w:val="0"/>
                <w:kern w:val="0"/>
                <w:sz w:val="24"/>
                <w:szCs w:val="24"/>
                <w:u w:val="none"/>
                <w:lang w:val="en-US" w:eastAsia="zh-CN" w:bidi="ar"/>
              </w:rPr>
              <w:t xml:space="preserve"> </w:t>
            </w:r>
            <w:r>
              <w:rPr>
                <w:rFonts w:ascii="宋体" w:hAnsi="宋体" w:eastAsia="宋体" w:cs="宋体"/>
                <w:sz w:val="24"/>
                <w:szCs w:val="24"/>
              </w:rPr>
              <w:t>违反本办法规定，单位或者个人有拼装电动自行车，改变电动自行车出厂时结构、构造，改变电动自行车整车编码的经营行为的，由市场监督管理部门处5000元以上50000元以下罚款。</w:t>
            </w:r>
          </w:p>
        </w:tc>
        <w:tc>
          <w:tcPr>
            <w:tcW w:w="413" w:type="pct"/>
            <w:noWrap w:val="0"/>
            <w:vAlign w:val="center"/>
          </w:tcPr>
          <w:p w14:paraId="73BD3D4C">
            <w:pPr>
              <w:keepNext w:val="0"/>
              <w:keepLines w:val="0"/>
              <w:widowControl/>
              <w:suppressLineNumbers w:val="0"/>
              <w:spacing w:line="400" w:lineRule="exact"/>
              <w:jc w:val="center"/>
              <w:textAlignment w:val="auto"/>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较轻</w:t>
            </w:r>
          </w:p>
        </w:tc>
        <w:tc>
          <w:tcPr>
            <w:tcW w:w="1240" w:type="pct"/>
            <w:noWrap w:val="0"/>
            <w:vAlign w:val="center"/>
          </w:tcPr>
          <w:p w14:paraId="099BDD1F">
            <w:pPr>
              <w:keepNext w:val="0"/>
              <w:keepLines w:val="0"/>
              <w:widowControl/>
              <w:suppressLineNumbers w:val="0"/>
              <w:spacing w:line="400" w:lineRule="exact"/>
              <w:jc w:val="both"/>
              <w:textAlignment w:val="auto"/>
              <w:rPr>
                <w:rFonts w:hint="eastAsia" w:ascii="宋体" w:hAnsi="宋体" w:eastAsia="宋体" w:cs="宋体"/>
                <w:i w:val="0"/>
                <w:color w:val="000000"/>
                <w:kern w:val="0"/>
                <w:sz w:val="24"/>
                <w:szCs w:val="24"/>
                <w:u w:val="none"/>
                <w:lang w:val="en-US" w:eastAsia="zh-CN" w:bidi="ar"/>
              </w:rPr>
            </w:pPr>
            <w:r>
              <w:rPr>
                <w:rFonts w:hint="eastAsia" w:ascii="宋体" w:hAnsi="宋体" w:cs="宋体"/>
                <w:i w:val="0"/>
                <w:kern w:val="0"/>
                <w:sz w:val="24"/>
                <w:szCs w:val="24"/>
                <w:u w:val="none"/>
                <w:lang w:val="en-US" w:eastAsia="zh-CN" w:bidi="ar"/>
              </w:rPr>
              <w:t>货值金额</w:t>
            </w:r>
            <w:r>
              <w:rPr>
                <w:rFonts w:hint="eastAsia" w:ascii="宋体" w:hAnsi="宋体" w:eastAsia="宋体" w:cs="宋体"/>
                <w:i w:val="0"/>
                <w:color w:val="000000"/>
                <w:kern w:val="0"/>
                <w:sz w:val="24"/>
                <w:szCs w:val="24"/>
                <w:u w:val="none"/>
                <w:lang w:val="en-US" w:eastAsia="zh-CN" w:bidi="ar"/>
              </w:rPr>
              <w:t>不足2万元</w:t>
            </w:r>
            <w:r>
              <w:rPr>
                <w:rFonts w:hint="eastAsia" w:ascii="宋体" w:hAnsi="宋体" w:cs="宋体"/>
                <w:i w:val="0"/>
                <w:kern w:val="0"/>
                <w:sz w:val="24"/>
                <w:szCs w:val="24"/>
                <w:u w:val="none"/>
                <w:lang w:val="en-US" w:eastAsia="zh-CN" w:bidi="ar"/>
              </w:rPr>
              <w:t>。</w:t>
            </w:r>
          </w:p>
        </w:tc>
        <w:tc>
          <w:tcPr>
            <w:tcW w:w="1038" w:type="pct"/>
            <w:noWrap w:val="0"/>
            <w:vAlign w:val="center"/>
          </w:tcPr>
          <w:p w14:paraId="38422DC9">
            <w:pPr>
              <w:keepNext w:val="0"/>
              <w:keepLines w:val="0"/>
              <w:widowControl/>
              <w:suppressLineNumbers w:val="0"/>
              <w:spacing w:line="400" w:lineRule="exact"/>
              <w:jc w:val="both"/>
              <w:textAlignment w:val="auto"/>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处5000元以上</w:t>
            </w:r>
            <w:r>
              <w:rPr>
                <w:rFonts w:hint="eastAsia" w:ascii="宋体" w:hAnsi="宋体" w:cs="宋体"/>
                <w:i w:val="0"/>
                <w:kern w:val="0"/>
                <w:sz w:val="24"/>
                <w:szCs w:val="24"/>
                <w:u w:val="none"/>
                <w:lang w:val="en-US" w:eastAsia="zh-CN" w:bidi="ar"/>
              </w:rPr>
              <w:t>1.85万</w:t>
            </w:r>
            <w:r>
              <w:rPr>
                <w:rFonts w:hint="eastAsia" w:ascii="宋体" w:hAnsi="宋体" w:eastAsia="宋体" w:cs="宋体"/>
                <w:i w:val="0"/>
                <w:color w:val="000000"/>
                <w:kern w:val="0"/>
                <w:sz w:val="24"/>
                <w:szCs w:val="24"/>
                <w:u w:val="none"/>
                <w:lang w:val="en-US" w:eastAsia="zh-CN" w:bidi="ar"/>
              </w:rPr>
              <w:t>元以下罚款</w:t>
            </w:r>
            <w:r>
              <w:rPr>
                <w:rFonts w:hint="eastAsia" w:ascii="宋体" w:hAnsi="宋体" w:cs="宋体"/>
                <w:i w:val="0"/>
                <w:kern w:val="0"/>
                <w:sz w:val="24"/>
                <w:szCs w:val="24"/>
                <w:u w:val="none"/>
                <w:lang w:val="en-US" w:eastAsia="zh-CN" w:bidi="ar"/>
              </w:rPr>
              <w:t>。</w:t>
            </w:r>
          </w:p>
        </w:tc>
      </w:tr>
      <w:tr w14:paraId="6C67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250" w:type="pct"/>
            <w:vMerge w:val="continue"/>
            <w:noWrap w:val="0"/>
            <w:vAlign w:val="center"/>
          </w:tcPr>
          <w:p w14:paraId="1482C1D5">
            <w:pPr>
              <w:widowControl/>
              <w:spacing w:line="400" w:lineRule="exact"/>
              <w:jc w:val="center"/>
              <w:rPr>
                <w:rFonts w:hint="eastAsia" w:ascii="宋体" w:hAnsi="宋体" w:eastAsia="宋体" w:cs="宋体"/>
                <w:kern w:val="0"/>
                <w:sz w:val="24"/>
                <w:szCs w:val="24"/>
                <w:lang w:val="en-US" w:eastAsia="zh-CN" w:bidi="ar"/>
              </w:rPr>
            </w:pPr>
          </w:p>
        </w:tc>
        <w:tc>
          <w:tcPr>
            <w:tcW w:w="598" w:type="pct"/>
            <w:vMerge w:val="continue"/>
            <w:noWrap w:val="0"/>
            <w:vAlign w:val="center"/>
          </w:tcPr>
          <w:p w14:paraId="73C3BB0A">
            <w:pPr>
              <w:widowControl/>
              <w:spacing w:line="400" w:lineRule="exact"/>
              <w:jc w:val="left"/>
              <w:rPr>
                <w:rFonts w:hint="eastAsia" w:ascii="宋体" w:hAnsi="宋体" w:eastAsia="宋体" w:cs="宋体"/>
                <w:kern w:val="0"/>
                <w:sz w:val="24"/>
                <w:szCs w:val="24"/>
                <w:lang w:val="en-US" w:eastAsia="zh-CN" w:bidi="ar"/>
              </w:rPr>
            </w:pPr>
          </w:p>
        </w:tc>
        <w:tc>
          <w:tcPr>
            <w:tcW w:w="1458" w:type="pct"/>
            <w:vMerge w:val="continue"/>
            <w:noWrap w:val="0"/>
            <w:vAlign w:val="center"/>
          </w:tcPr>
          <w:p w14:paraId="6881DAFF">
            <w:pPr>
              <w:widowControl/>
              <w:spacing w:line="400" w:lineRule="exact"/>
              <w:jc w:val="both"/>
              <w:rPr>
                <w:rFonts w:hint="eastAsia" w:ascii="宋体" w:hAnsi="宋体" w:eastAsia="宋体" w:cs="宋体"/>
                <w:kern w:val="0"/>
                <w:sz w:val="24"/>
                <w:szCs w:val="24"/>
                <w:lang w:val="en-US" w:eastAsia="zh-CN" w:bidi="ar"/>
              </w:rPr>
            </w:pPr>
          </w:p>
        </w:tc>
        <w:tc>
          <w:tcPr>
            <w:tcW w:w="413" w:type="pct"/>
            <w:noWrap w:val="0"/>
            <w:vAlign w:val="center"/>
          </w:tcPr>
          <w:p w14:paraId="5C433E13">
            <w:pPr>
              <w:keepNext w:val="0"/>
              <w:keepLines w:val="0"/>
              <w:widowControl/>
              <w:suppressLineNumbers w:val="0"/>
              <w:spacing w:line="400" w:lineRule="exact"/>
              <w:jc w:val="center"/>
              <w:textAlignment w:val="auto"/>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一般</w:t>
            </w:r>
          </w:p>
        </w:tc>
        <w:tc>
          <w:tcPr>
            <w:tcW w:w="1240" w:type="pct"/>
            <w:noWrap w:val="0"/>
            <w:vAlign w:val="center"/>
          </w:tcPr>
          <w:p w14:paraId="4EB51487">
            <w:pPr>
              <w:keepNext w:val="0"/>
              <w:keepLines w:val="0"/>
              <w:widowControl/>
              <w:suppressLineNumbers w:val="0"/>
              <w:spacing w:line="400" w:lineRule="exact"/>
              <w:jc w:val="both"/>
              <w:textAlignment w:val="auto"/>
              <w:rPr>
                <w:rFonts w:hint="eastAsia" w:ascii="宋体" w:hAnsi="宋体" w:eastAsia="宋体" w:cs="宋体"/>
                <w:i w:val="0"/>
                <w:color w:val="000000"/>
                <w:kern w:val="0"/>
                <w:sz w:val="24"/>
                <w:szCs w:val="24"/>
                <w:u w:val="none"/>
                <w:lang w:val="en-US" w:eastAsia="zh-CN" w:bidi="ar"/>
              </w:rPr>
            </w:pPr>
            <w:r>
              <w:rPr>
                <w:rFonts w:hint="eastAsia" w:ascii="宋体" w:hAnsi="宋体" w:cs="宋体"/>
                <w:i w:val="0"/>
                <w:kern w:val="0"/>
                <w:sz w:val="24"/>
                <w:szCs w:val="24"/>
                <w:u w:val="none"/>
                <w:lang w:val="en-US" w:eastAsia="zh-CN" w:bidi="ar"/>
              </w:rPr>
              <w:t>货值金额</w:t>
            </w:r>
            <w:r>
              <w:rPr>
                <w:rFonts w:hint="eastAsia" w:ascii="宋体" w:hAnsi="宋体" w:eastAsia="宋体" w:cs="宋体"/>
                <w:i w:val="0"/>
                <w:color w:val="000000"/>
                <w:kern w:val="0"/>
                <w:sz w:val="24"/>
                <w:szCs w:val="24"/>
                <w:u w:val="none"/>
                <w:lang w:val="en-US" w:eastAsia="zh-CN" w:bidi="ar"/>
              </w:rPr>
              <w:t>2万元以上不足10万元</w:t>
            </w:r>
            <w:r>
              <w:rPr>
                <w:rFonts w:hint="eastAsia" w:ascii="宋体" w:hAnsi="宋体" w:cs="宋体"/>
                <w:i w:val="0"/>
                <w:kern w:val="0"/>
                <w:sz w:val="24"/>
                <w:szCs w:val="24"/>
                <w:u w:val="none"/>
                <w:lang w:val="en-US" w:eastAsia="zh-CN" w:bidi="ar"/>
              </w:rPr>
              <w:t>。</w:t>
            </w:r>
          </w:p>
        </w:tc>
        <w:tc>
          <w:tcPr>
            <w:tcW w:w="1038" w:type="pct"/>
            <w:noWrap w:val="0"/>
            <w:vAlign w:val="center"/>
          </w:tcPr>
          <w:p w14:paraId="0C5A8962">
            <w:pPr>
              <w:keepNext w:val="0"/>
              <w:keepLines w:val="0"/>
              <w:widowControl/>
              <w:suppressLineNumbers w:val="0"/>
              <w:spacing w:line="400" w:lineRule="exact"/>
              <w:jc w:val="both"/>
              <w:textAlignment w:val="auto"/>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处</w:t>
            </w:r>
            <w:r>
              <w:rPr>
                <w:rFonts w:hint="eastAsia" w:ascii="宋体" w:hAnsi="宋体" w:cs="宋体"/>
                <w:i w:val="0"/>
                <w:kern w:val="0"/>
                <w:sz w:val="24"/>
                <w:szCs w:val="24"/>
                <w:u w:val="none"/>
                <w:lang w:val="en-US" w:eastAsia="zh-CN" w:bidi="ar"/>
              </w:rPr>
              <w:t>1.85万</w:t>
            </w:r>
            <w:r>
              <w:rPr>
                <w:rFonts w:hint="eastAsia" w:ascii="宋体" w:hAnsi="宋体" w:eastAsia="宋体" w:cs="宋体"/>
                <w:i w:val="0"/>
                <w:color w:val="000000"/>
                <w:kern w:val="0"/>
                <w:sz w:val="24"/>
                <w:szCs w:val="24"/>
                <w:u w:val="none"/>
                <w:lang w:val="en-US" w:eastAsia="zh-CN" w:bidi="ar"/>
              </w:rPr>
              <w:t>元以上</w:t>
            </w:r>
            <w:r>
              <w:rPr>
                <w:rFonts w:hint="eastAsia" w:ascii="宋体" w:hAnsi="宋体" w:cs="宋体"/>
                <w:i w:val="0"/>
                <w:kern w:val="0"/>
                <w:sz w:val="24"/>
                <w:szCs w:val="24"/>
                <w:u w:val="none"/>
                <w:lang w:val="en-US" w:eastAsia="zh-CN" w:bidi="ar"/>
              </w:rPr>
              <w:t>3.65万元</w:t>
            </w:r>
            <w:r>
              <w:rPr>
                <w:rFonts w:hint="eastAsia" w:ascii="宋体" w:hAnsi="宋体" w:eastAsia="宋体" w:cs="宋体"/>
                <w:i w:val="0"/>
                <w:color w:val="000000"/>
                <w:kern w:val="0"/>
                <w:sz w:val="24"/>
                <w:szCs w:val="24"/>
                <w:u w:val="none"/>
                <w:lang w:val="en-US" w:eastAsia="zh-CN" w:bidi="ar"/>
              </w:rPr>
              <w:t>元以下罚款</w:t>
            </w:r>
            <w:r>
              <w:rPr>
                <w:rFonts w:hint="eastAsia" w:ascii="宋体" w:hAnsi="宋体" w:cs="宋体"/>
                <w:i w:val="0"/>
                <w:kern w:val="0"/>
                <w:sz w:val="24"/>
                <w:szCs w:val="24"/>
                <w:u w:val="none"/>
                <w:lang w:val="en-US" w:eastAsia="zh-CN" w:bidi="ar"/>
              </w:rPr>
              <w:t>。</w:t>
            </w:r>
          </w:p>
        </w:tc>
      </w:tr>
      <w:tr w14:paraId="7AD6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250" w:type="pct"/>
            <w:vMerge w:val="continue"/>
            <w:noWrap w:val="0"/>
            <w:vAlign w:val="center"/>
          </w:tcPr>
          <w:p w14:paraId="55D8BD3C">
            <w:pPr>
              <w:widowControl/>
              <w:spacing w:line="400" w:lineRule="exact"/>
              <w:jc w:val="center"/>
              <w:rPr>
                <w:rFonts w:hint="eastAsia" w:ascii="宋体" w:hAnsi="宋体" w:eastAsia="宋体" w:cs="宋体"/>
                <w:kern w:val="0"/>
                <w:sz w:val="24"/>
                <w:szCs w:val="24"/>
                <w:lang w:val="en-US" w:eastAsia="zh-CN" w:bidi="ar"/>
              </w:rPr>
            </w:pPr>
          </w:p>
        </w:tc>
        <w:tc>
          <w:tcPr>
            <w:tcW w:w="598" w:type="pct"/>
            <w:vMerge w:val="continue"/>
            <w:noWrap w:val="0"/>
            <w:vAlign w:val="center"/>
          </w:tcPr>
          <w:p w14:paraId="0314FDE0">
            <w:pPr>
              <w:widowControl/>
              <w:spacing w:line="400" w:lineRule="exact"/>
              <w:jc w:val="left"/>
              <w:rPr>
                <w:rFonts w:hint="eastAsia" w:ascii="宋体" w:hAnsi="宋体" w:eastAsia="宋体" w:cs="宋体"/>
                <w:kern w:val="0"/>
                <w:sz w:val="24"/>
                <w:szCs w:val="24"/>
                <w:lang w:val="en-US" w:eastAsia="zh-CN" w:bidi="ar"/>
              </w:rPr>
            </w:pPr>
          </w:p>
        </w:tc>
        <w:tc>
          <w:tcPr>
            <w:tcW w:w="1458" w:type="pct"/>
            <w:vMerge w:val="continue"/>
            <w:noWrap w:val="0"/>
            <w:vAlign w:val="center"/>
          </w:tcPr>
          <w:p w14:paraId="3232FE33">
            <w:pPr>
              <w:widowControl/>
              <w:spacing w:line="400" w:lineRule="exact"/>
              <w:jc w:val="both"/>
              <w:rPr>
                <w:rFonts w:hint="eastAsia" w:ascii="宋体" w:hAnsi="宋体" w:eastAsia="宋体" w:cs="宋体"/>
                <w:kern w:val="0"/>
                <w:sz w:val="24"/>
                <w:szCs w:val="24"/>
                <w:lang w:val="en-US" w:eastAsia="zh-CN" w:bidi="ar"/>
              </w:rPr>
            </w:pPr>
          </w:p>
        </w:tc>
        <w:tc>
          <w:tcPr>
            <w:tcW w:w="413" w:type="pct"/>
            <w:noWrap w:val="0"/>
            <w:vAlign w:val="center"/>
          </w:tcPr>
          <w:p w14:paraId="5A07FD4C">
            <w:pPr>
              <w:keepNext w:val="0"/>
              <w:keepLines w:val="0"/>
              <w:widowControl/>
              <w:suppressLineNumbers w:val="0"/>
              <w:spacing w:line="400" w:lineRule="exact"/>
              <w:jc w:val="center"/>
              <w:textAlignment w:val="auto"/>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较重</w:t>
            </w:r>
          </w:p>
        </w:tc>
        <w:tc>
          <w:tcPr>
            <w:tcW w:w="1240" w:type="pct"/>
            <w:noWrap w:val="0"/>
            <w:vAlign w:val="center"/>
          </w:tcPr>
          <w:p w14:paraId="6DF693EF">
            <w:pPr>
              <w:keepNext w:val="0"/>
              <w:keepLines w:val="0"/>
              <w:widowControl/>
              <w:suppressLineNumbers w:val="0"/>
              <w:spacing w:line="400" w:lineRule="exact"/>
              <w:jc w:val="both"/>
              <w:textAlignment w:val="auto"/>
              <w:rPr>
                <w:rFonts w:hint="eastAsia" w:ascii="宋体" w:hAnsi="宋体" w:eastAsia="宋体" w:cs="宋体"/>
                <w:i w:val="0"/>
                <w:color w:val="000000"/>
                <w:kern w:val="0"/>
                <w:sz w:val="24"/>
                <w:szCs w:val="24"/>
                <w:u w:val="none"/>
                <w:lang w:val="en-US" w:eastAsia="zh-CN" w:bidi="ar"/>
              </w:rPr>
            </w:pPr>
            <w:r>
              <w:rPr>
                <w:rFonts w:hint="eastAsia" w:ascii="宋体" w:hAnsi="宋体" w:cs="宋体"/>
                <w:i w:val="0"/>
                <w:kern w:val="0"/>
                <w:sz w:val="24"/>
                <w:szCs w:val="24"/>
                <w:u w:val="none"/>
                <w:lang w:val="en-US" w:eastAsia="zh-CN" w:bidi="ar"/>
              </w:rPr>
              <w:t>货值金额</w:t>
            </w:r>
            <w:r>
              <w:rPr>
                <w:rFonts w:hint="eastAsia" w:ascii="宋体" w:hAnsi="宋体" w:eastAsia="宋体" w:cs="宋体"/>
                <w:i w:val="0"/>
                <w:color w:val="000000"/>
                <w:kern w:val="0"/>
                <w:sz w:val="24"/>
                <w:szCs w:val="24"/>
                <w:u w:val="none"/>
                <w:lang w:val="en-US" w:eastAsia="zh-CN" w:bidi="ar"/>
              </w:rPr>
              <w:t>10万元以上</w:t>
            </w:r>
            <w:r>
              <w:rPr>
                <w:rFonts w:hint="eastAsia" w:ascii="宋体" w:hAnsi="宋体" w:cs="宋体"/>
                <w:i w:val="0"/>
                <w:kern w:val="0"/>
                <w:sz w:val="24"/>
                <w:szCs w:val="24"/>
                <w:u w:val="none"/>
                <w:lang w:val="en-US" w:eastAsia="zh-CN" w:bidi="ar"/>
              </w:rPr>
              <w:t>。</w:t>
            </w:r>
          </w:p>
        </w:tc>
        <w:tc>
          <w:tcPr>
            <w:tcW w:w="1038" w:type="pct"/>
            <w:noWrap w:val="0"/>
            <w:vAlign w:val="center"/>
          </w:tcPr>
          <w:p w14:paraId="69B3B072">
            <w:pPr>
              <w:keepNext w:val="0"/>
              <w:keepLines w:val="0"/>
              <w:widowControl/>
              <w:spacing w:line="400" w:lineRule="exact"/>
              <w:textAlignment w:val="auto"/>
              <w:rPr>
                <w:rFonts w:hint="eastAsia" w:ascii="宋体" w:hAnsi="宋体" w:cs="宋体"/>
                <w:kern w:val="0"/>
                <w:sz w:val="24"/>
                <w:lang w:val="en-US" w:eastAsia="zh-CN" w:bidi="ar"/>
              </w:rPr>
            </w:pPr>
            <w:r>
              <w:rPr>
                <w:rFonts w:hint="eastAsia" w:ascii="宋体" w:hAnsi="宋体" w:cs="宋体"/>
                <w:kern w:val="0"/>
                <w:sz w:val="24"/>
                <w:lang w:val="en-US" w:eastAsia="zh-CN" w:bidi="ar"/>
              </w:rPr>
              <w:t>处3.65万元以上5万元以下罚款。</w:t>
            </w:r>
          </w:p>
        </w:tc>
      </w:tr>
      <w:tr w14:paraId="3B8C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250" w:type="pct"/>
            <w:vMerge w:val="restart"/>
            <w:noWrap w:val="0"/>
            <w:vAlign w:val="center"/>
          </w:tcPr>
          <w:p w14:paraId="66D7D7E7">
            <w:pPr>
              <w:keepNext w:val="0"/>
              <w:keepLines w:val="0"/>
              <w:widowControl/>
              <w:suppressLineNumbers w:val="0"/>
              <w:spacing w:line="400" w:lineRule="exact"/>
              <w:jc w:val="center"/>
              <w:textAlignment w:val="auto"/>
              <w:rPr>
                <w:rFonts w:hint="default" w:ascii="宋体" w:hAnsi="宋体" w:eastAsia="宋体" w:cs="宋体"/>
                <w:kern w:val="2"/>
                <w:sz w:val="24"/>
                <w:szCs w:val="24"/>
                <w:lang w:val="en-US" w:eastAsia="zh-CN" w:bidi="ar"/>
              </w:rPr>
            </w:pPr>
            <w:r>
              <w:rPr>
                <w:rFonts w:hint="eastAsia" w:ascii="宋体" w:hAnsi="宋体" w:cs="宋体"/>
                <w:color w:val="auto"/>
                <w:sz w:val="24"/>
                <w:szCs w:val="24"/>
                <w:highlight w:val="none"/>
                <w:lang w:val="en-US" w:eastAsia="zh-CN"/>
              </w:rPr>
              <w:t>390</w:t>
            </w:r>
          </w:p>
        </w:tc>
        <w:tc>
          <w:tcPr>
            <w:tcW w:w="598" w:type="pct"/>
            <w:vMerge w:val="restart"/>
            <w:noWrap w:val="0"/>
            <w:vAlign w:val="center"/>
          </w:tcPr>
          <w:p w14:paraId="416F2944">
            <w:pPr>
              <w:keepNext w:val="0"/>
              <w:keepLines w:val="0"/>
              <w:widowControl/>
              <w:suppressLineNumbers w:val="0"/>
              <w:spacing w:line="400" w:lineRule="exact"/>
              <w:jc w:val="left"/>
              <w:textAlignment w:val="auto"/>
              <w:outlineLvl w:val="2"/>
              <w:rPr>
                <w:rFonts w:hint="default" w:ascii="宋体" w:hAnsi="宋体" w:eastAsia="宋体" w:cs="宋体"/>
                <w:kern w:val="2"/>
                <w:sz w:val="24"/>
                <w:szCs w:val="24"/>
                <w:lang w:val="en-US" w:eastAsia="zh-CN" w:bidi="ar"/>
              </w:rPr>
            </w:pPr>
            <w:bookmarkStart w:id="497" w:name="_Toc32008"/>
            <w:bookmarkStart w:id="498" w:name="_Toc2007"/>
            <w:bookmarkStart w:id="499" w:name="_Toc27013"/>
            <w:bookmarkStart w:id="500" w:name="_Toc29078"/>
            <w:r>
              <w:rPr>
                <w:rFonts w:hint="eastAsia" w:ascii="宋体" w:hAnsi="宋体" w:eastAsia="宋体" w:cs="宋体"/>
                <w:color w:val="auto"/>
                <w:sz w:val="24"/>
                <w:szCs w:val="24"/>
                <w:highlight w:val="none"/>
                <w:lang w:val="en-US" w:eastAsia="zh-CN"/>
              </w:rPr>
              <w:t>《中华人民共和国烟草专卖法实施条例》</w:t>
            </w:r>
            <w:r>
              <w:rPr>
                <w:rFonts w:hint="default"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2023年7月20日</w:t>
            </w:r>
            <w:r>
              <w:rPr>
                <w:rFonts w:hint="eastAsia" w:ascii="宋体" w:hAnsi="宋体" w:cs="宋体"/>
                <w:color w:val="auto"/>
                <w:sz w:val="24"/>
                <w:szCs w:val="24"/>
                <w:highlight w:val="none"/>
                <w:lang w:val="en-US" w:eastAsia="zh-CN"/>
              </w:rPr>
              <w:t>起施行</w:t>
            </w:r>
            <w:r>
              <w:rPr>
                <w:rFonts w:hint="default" w:ascii="宋体" w:hAnsi="宋体" w:cs="宋体"/>
                <w:color w:val="auto"/>
                <w:sz w:val="24"/>
                <w:szCs w:val="24"/>
                <w:highlight w:val="none"/>
                <w:lang w:eastAsia="zh-CN"/>
              </w:rPr>
              <w:t>）</w:t>
            </w:r>
            <w:bookmarkEnd w:id="497"/>
            <w:bookmarkEnd w:id="498"/>
            <w:bookmarkEnd w:id="499"/>
            <w:bookmarkEnd w:id="500"/>
          </w:p>
        </w:tc>
        <w:tc>
          <w:tcPr>
            <w:tcW w:w="1458" w:type="pct"/>
            <w:vMerge w:val="restart"/>
            <w:noWrap w:val="0"/>
            <w:vAlign w:val="center"/>
          </w:tcPr>
          <w:p w14:paraId="64F94A67">
            <w:pPr>
              <w:keepNext w:val="0"/>
              <w:keepLines w:val="0"/>
              <w:widowControl/>
              <w:suppressLineNumbers w:val="0"/>
              <w:spacing w:line="400" w:lineRule="exact"/>
              <w:jc w:val="both"/>
              <w:textAlignment w:val="auto"/>
              <w:rPr>
                <w:rFonts w:hint="default" w:ascii="宋体" w:hAnsi="宋体" w:eastAsia="宋体" w:cs="宋体"/>
                <w:kern w:val="2"/>
                <w:sz w:val="24"/>
                <w:szCs w:val="24"/>
                <w:lang w:val="en-US" w:eastAsia="zh-CN" w:bidi="ar"/>
              </w:rPr>
            </w:pPr>
            <w:r>
              <w:rPr>
                <w:rFonts w:hint="eastAsia" w:ascii="宋体" w:hAnsi="宋体" w:eastAsia="宋体" w:cs="宋体"/>
                <w:color w:val="auto"/>
                <w:sz w:val="24"/>
                <w:szCs w:val="24"/>
                <w:highlight w:val="none"/>
                <w:lang w:val="en-US" w:eastAsia="zh-CN"/>
              </w:rPr>
              <w:t>第五十七条 无烟草专卖零售许可证经营烟草制品零售业务的，由工商行政管理部门或者由工商行政管理部门根据烟草专卖行政主管部门的意见，责令停止经营烟草制品零售业务，没收违法所得，处以违法经营总额20%以上50%以下的罚款。</w:t>
            </w:r>
          </w:p>
        </w:tc>
        <w:tc>
          <w:tcPr>
            <w:tcW w:w="413" w:type="pct"/>
            <w:noWrap w:val="0"/>
            <w:vAlign w:val="center"/>
          </w:tcPr>
          <w:p w14:paraId="41C9D56D">
            <w:pPr>
              <w:keepNext w:val="0"/>
              <w:keepLines w:val="0"/>
              <w:widowControl/>
              <w:suppressLineNumbers w:val="0"/>
              <w:spacing w:line="400" w:lineRule="exact"/>
              <w:jc w:val="center"/>
              <w:textAlignment w:val="auto"/>
              <w:rPr>
                <w:rFonts w:hint="default" w:ascii="宋体" w:hAnsi="宋体" w:eastAsia="宋体" w:cs="宋体"/>
                <w:i w:val="0"/>
                <w:color w:val="000000"/>
                <w:kern w:val="2"/>
                <w:sz w:val="24"/>
                <w:szCs w:val="24"/>
                <w:u w:val="none"/>
                <w:lang w:val="en-US" w:eastAsia="zh-CN" w:bidi="ar"/>
              </w:rPr>
            </w:pPr>
            <w:r>
              <w:rPr>
                <w:rFonts w:hint="eastAsia" w:ascii="宋体" w:hAnsi="宋体" w:eastAsia="宋体" w:cs="宋体"/>
                <w:color w:val="auto"/>
                <w:sz w:val="24"/>
                <w:szCs w:val="24"/>
                <w:highlight w:val="none"/>
                <w:lang w:val="en-US" w:eastAsia="zh-CN"/>
              </w:rPr>
              <w:t>较轻</w:t>
            </w:r>
          </w:p>
        </w:tc>
        <w:tc>
          <w:tcPr>
            <w:tcW w:w="1240" w:type="pct"/>
            <w:noWrap w:val="0"/>
            <w:vAlign w:val="center"/>
          </w:tcPr>
          <w:p w14:paraId="0519B454">
            <w:pPr>
              <w:keepNext w:val="0"/>
              <w:keepLines w:val="0"/>
              <w:widowControl w:val="0"/>
              <w:suppressLineNumbers w:val="0"/>
              <w:spacing w:line="400" w:lineRule="exact"/>
              <w:jc w:val="left"/>
              <w:textAlignment w:val="auto"/>
              <w:rPr>
                <w:rFonts w:hint="default" w:ascii="宋体" w:hAnsi="宋体" w:eastAsia="宋体" w:cs="宋体"/>
                <w:i w:val="0"/>
                <w:color w:val="000000"/>
                <w:kern w:val="2"/>
                <w:sz w:val="24"/>
                <w:szCs w:val="24"/>
                <w:u w:val="none"/>
                <w:lang w:val="en-US" w:eastAsia="zh-CN" w:bidi="ar"/>
              </w:rPr>
            </w:pPr>
            <w:r>
              <w:rPr>
                <w:rFonts w:hint="eastAsia" w:ascii="宋体" w:hAnsi="宋体" w:eastAsia="宋体" w:cs="宋体"/>
                <w:color w:val="auto"/>
                <w:sz w:val="24"/>
                <w:szCs w:val="24"/>
                <w:highlight w:val="none"/>
                <w:lang w:val="en-US" w:eastAsia="zh-CN"/>
              </w:rPr>
              <w:t>违法经营总额不足5000元</w:t>
            </w:r>
            <w:r>
              <w:rPr>
                <w:rFonts w:hint="eastAsia" w:ascii="宋体" w:hAnsi="宋体" w:cs="宋体"/>
                <w:color w:val="auto"/>
                <w:sz w:val="24"/>
                <w:szCs w:val="24"/>
                <w:highlight w:val="none"/>
                <w:lang w:val="en-US" w:eastAsia="zh-CN"/>
              </w:rPr>
              <w:t>。</w:t>
            </w:r>
          </w:p>
        </w:tc>
        <w:tc>
          <w:tcPr>
            <w:tcW w:w="1038" w:type="pct"/>
            <w:noWrap w:val="0"/>
            <w:vAlign w:val="center"/>
          </w:tcPr>
          <w:p w14:paraId="0C1A1F9F">
            <w:pPr>
              <w:keepNext w:val="0"/>
              <w:keepLines w:val="0"/>
              <w:widowControl w:val="0"/>
              <w:suppressLineNumbers w:val="0"/>
              <w:spacing w:line="400" w:lineRule="exact"/>
              <w:jc w:val="both"/>
              <w:textAlignment w:val="auto"/>
              <w:rPr>
                <w:rFonts w:hint="default" w:ascii="宋体" w:hAnsi="宋体" w:eastAsia="宋体" w:cs="宋体"/>
                <w:i w:val="0"/>
                <w:color w:val="000000"/>
                <w:kern w:val="2"/>
                <w:sz w:val="24"/>
                <w:szCs w:val="24"/>
                <w:u w:val="none"/>
                <w:lang w:val="en-US" w:eastAsia="zh-CN" w:bidi="ar"/>
              </w:rPr>
            </w:pPr>
            <w:r>
              <w:rPr>
                <w:rFonts w:hint="eastAsia" w:ascii="宋体" w:hAnsi="宋体" w:eastAsia="宋体" w:cs="宋体"/>
                <w:color w:val="auto"/>
                <w:sz w:val="24"/>
                <w:szCs w:val="24"/>
                <w:highlight w:val="none"/>
                <w:lang w:val="en-US" w:eastAsia="zh-CN"/>
              </w:rPr>
              <w:t>责令停止经营烟草制品零售业务，没收违法所得，处以违法经营总额20%以上29%以下的罚款</w:t>
            </w:r>
          </w:p>
        </w:tc>
      </w:tr>
      <w:tr w14:paraId="67FA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250" w:type="pct"/>
            <w:vMerge w:val="continue"/>
            <w:noWrap w:val="0"/>
            <w:vAlign w:val="center"/>
          </w:tcPr>
          <w:p w14:paraId="3EAEB4BB">
            <w:pPr>
              <w:spacing w:line="400" w:lineRule="exact"/>
              <w:jc w:val="center"/>
              <w:rPr>
                <w:rFonts w:hint="default" w:ascii="宋体" w:hAnsi="宋体" w:eastAsia="宋体" w:cs="宋体"/>
                <w:kern w:val="2"/>
                <w:sz w:val="24"/>
                <w:szCs w:val="24"/>
                <w:lang w:val="en-US" w:eastAsia="zh-CN" w:bidi="ar"/>
              </w:rPr>
            </w:pPr>
          </w:p>
        </w:tc>
        <w:tc>
          <w:tcPr>
            <w:tcW w:w="598" w:type="pct"/>
            <w:vMerge w:val="continue"/>
            <w:noWrap w:val="0"/>
            <w:vAlign w:val="center"/>
          </w:tcPr>
          <w:p w14:paraId="12CCB793">
            <w:pPr>
              <w:spacing w:line="400" w:lineRule="exact"/>
              <w:jc w:val="left"/>
              <w:rPr>
                <w:rFonts w:hint="default" w:ascii="宋体" w:hAnsi="宋体" w:eastAsia="宋体" w:cs="宋体"/>
                <w:kern w:val="2"/>
                <w:sz w:val="24"/>
                <w:szCs w:val="24"/>
                <w:lang w:val="en-US" w:eastAsia="zh-CN" w:bidi="ar"/>
              </w:rPr>
            </w:pPr>
          </w:p>
        </w:tc>
        <w:tc>
          <w:tcPr>
            <w:tcW w:w="1458" w:type="pct"/>
            <w:vMerge w:val="continue"/>
            <w:noWrap w:val="0"/>
            <w:vAlign w:val="center"/>
          </w:tcPr>
          <w:p w14:paraId="2911D617">
            <w:pPr>
              <w:spacing w:line="400" w:lineRule="exact"/>
              <w:jc w:val="both"/>
              <w:rPr>
                <w:rFonts w:hint="default" w:ascii="宋体" w:hAnsi="宋体" w:eastAsia="宋体" w:cs="宋体"/>
                <w:kern w:val="2"/>
                <w:sz w:val="24"/>
                <w:szCs w:val="24"/>
                <w:lang w:val="en-US" w:eastAsia="zh-CN" w:bidi="ar"/>
              </w:rPr>
            </w:pPr>
          </w:p>
        </w:tc>
        <w:tc>
          <w:tcPr>
            <w:tcW w:w="413" w:type="pct"/>
            <w:noWrap w:val="0"/>
            <w:vAlign w:val="center"/>
          </w:tcPr>
          <w:p w14:paraId="6C9EC839">
            <w:pPr>
              <w:keepNext w:val="0"/>
              <w:keepLines w:val="0"/>
              <w:widowControl/>
              <w:suppressLineNumbers w:val="0"/>
              <w:spacing w:line="400" w:lineRule="exact"/>
              <w:jc w:val="center"/>
              <w:textAlignment w:val="auto"/>
              <w:rPr>
                <w:rFonts w:hint="default" w:ascii="宋体" w:hAnsi="宋体" w:eastAsia="宋体" w:cs="宋体"/>
                <w:i w:val="0"/>
                <w:color w:val="000000"/>
                <w:kern w:val="2"/>
                <w:sz w:val="24"/>
                <w:szCs w:val="24"/>
                <w:u w:val="none"/>
                <w:lang w:val="en-US" w:eastAsia="zh-CN" w:bidi="ar"/>
              </w:rPr>
            </w:pPr>
            <w:r>
              <w:rPr>
                <w:rFonts w:hint="eastAsia" w:ascii="宋体" w:hAnsi="宋体" w:eastAsia="宋体" w:cs="宋体"/>
                <w:color w:val="auto"/>
                <w:sz w:val="24"/>
                <w:szCs w:val="24"/>
                <w:highlight w:val="none"/>
                <w:lang w:val="en-US" w:eastAsia="zh-CN"/>
              </w:rPr>
              <w:t>一般</w:t>
            </w:r>
          </w:p>
        </w:tc>
        <w:tc>
          <w:tcPr>
            <w:tcW w:w="1240" w:type="pct"/>
            <w:noWrap w:val="0"/>
            <w:vAlign w:val="center"/>
          </w:tcPr>
          <w:p w14:paraId="5EA6609A">
            <w:pPr>
              <w:keepNext w:val="0"/>
              <w:keepLines w:val="0"/>
              <w:widowControl w:val="0"/>
              <w:suppressLineNumbers w:val="0"/>
              <w:spacing w:line="400" w:lineRule="exact"/>
              <w:jc w:val="left"/>
              <w:textAlignment w:val="auto"/>
              <w:rPr>
                <w:rFonts w:hint="default" w:ascii="宋体" w:hAnsi="宋体" w:eastAsia="宋体" w:cs="宋体"/>
                <w:i w:val="0"/>
                <w:color w:val="000000"/>
                <w:kern w:val="2"/>
                <w:sz w:val="24"/>
                <w:szCs w:val="24"/>
                <w:u w:val="none"/>
                <w:lang w:val="en-US" w:eastAsia="zh-CN" w:bidi="ar"/>
              </w:rPr>
            </w:pPr>
            <w:r>
              <w:rPr>
                <w:rFonts w:hint="eastAsia" w:ascii="宋体" w:hAnsi="宋体" w:eastAsia="宋体" w:cs="宋体"/>
                <w:color w:val="auto"/>
                <w:sz w:val="24"/>
                <w:szCs w:val="24"/>
                <w:highlight w:val="none"/>
                <w:lang w:val="en-US" w:eastAsia="zh-CN"/>
              </w:rPr>
              <w:t>违法经营总额在5000元以上3万元以下的</w:t>
            </w:r>
            <w:r>
              <w:rPr>
                <w:rFonts w:hint="eastAsia" w:ascii="宋体" w:hAnsi="宋体" w:cs="宋体"/>
                <w:color w:val="auto"/>
                <w:sz w:val="24"/>
                <w:szCs w:val="24"/>
                <w:highlight w:val="none"/>
                <w:lang w:val="en-US" w:eastAsia="zh-CN"/>
              </w:rPr>
              <w:t>。</w:t>
            </w:r>
          </w:p>
        </w:tc>
        <w:tc>
          <w:tcPr>
            <w:tcW w:w="1038" w:type="pct"/>
            <w:noWrap w:val="0"/>
            <w:vAlign w:val="center"/>
          </w:tcPr>
          <w:p w14:paraId="700626FE">
            <w:pPr>
              <w:keepNext w:val="0"/>
              <w:keepLines w:val="0"/>
              <w:widowControl w:val="0"/>
              <w:suppressLineNumbers w:val="0"/>
              <w:spacing w:line="400" w:lineRule="exact"/>
              <w:jc w:val="both"/>
              <w:textAlignment w:val="auto"/>
              <w:rPr>
                <w:rFonts w:hint="default" w:ascii="宋体" w:hAnsi="宋体" w:eastAsia="宋体" w:cs="宋体"/>
                <w:i w:val="0"/>
                <w:color w:val="000000"/>
                <w:kern w:val="2"/>
                <w:sz w:val="24"/>
                <w:szCs w:val="24"/>
                <w:u w:val="none"/>
                <w:lang w:val="en-US" w:eastAsia="zh-CN" w:bidi="ar"/>
              </w:rPr>
            </w:pPr>
            <w:r>
              <w:rPr>
                <w:rFonts w:hint="eastAsia" w:ascii="宋体" w:hAnsi="宋体" w:eastAsia="宋体" w:cs="宋体"/>
                <w:color w:val="auto"/>
                <w:sz w:val="24"/>
                <w:szCs w:val="24"/>
                <w:highlight w:val="none"/>
                <w:lang w:val="en-US" w:eastAsia="zh-CN"/>
              </w:rPr>
              <w:t>责令停止经营烟草制品零售业务，没收违法所得，处以违法经营总额29%以上41%以下的罚款。</w:t>
            </w:r>
          </w:p>
        </w:tc>
      </w:tr>
      <w:tr w14:paraId="3ACA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jc w:val="center"/>
        </w:trPr>
        <w:tc>
          <w:tcPr>
            <w:tcW w:w="250" w:type="pct"/>
            <w:vMerge w:val="continue"/>
            <w:noWrap w:val="0"/>
            <w:vAlign w:val="center"/>
          </w:tcPr>
          <w:p w14:paraId="3CE2E6C8">
            <w:pPr>
              <w:spacing w:line="400" w:lineRule="exact"/>
              <w:jc w:val="center"/>
              <w:rPr>
                <w:rFonts w:hint="default" w:ascii="宋体" w:hAnsi="宋体" w:eastAsia="宋体" w:cs="宋体"/>
                <w:kern w:val="2"/>
                <w:sz w:val="24"/>
                <w:szCs w:val="24"/>
                <w:lang w:val="en-US" w:eastAsia="zh-CN" w:bidi="ar"/>
              </w:rPr>
            </w:pPr>
          </w:p>
        </w:tc>
        <w:tc>
          <w:tcPr>
            <w:tcW w:w="598" w:type="pct"/>
            <w:vMerge w:val="continue"/>
            <w:noWrap w:val="0"/>
            <w:vAlign w:val="center"/>
          </w:tcPr>
          <w:p w14:paraId="30070259">
            <w:pPr>
              <w:spacing w:line="400" w:lineRule="exact"/>
              <w:jc w:val="left"/>
              <w:rPr>
                <w:rFonts w:hint="default" w:ascii="宋体" w:hAnsi="宋体" w:eastAsia="宋体" w:cs="宋体"/>
                <w:kern w:val="2"/>
                <w:sz w:val="24"/>
                <w:szCs w:val="24"/>
                <w:lang w:val="en-US" w:eastAsia="zh-CN" w:bidi="ar"/>
              </w:rPr>
            </w:pPr>
          </w:p>
        </w:tc>
        <w:tc>
          <w:tcPr>
            <w:tcW w:w="1458" w:type="pct"/>
            <w:vMerge w:val="continue"/>
            <w:noWrap w:val="0"/>
            <w:vAlign w:val="center"/>
          </w:tcPr>
          <w:p w14:paraId="08E54BFB">
            <w:pPr>
              <w:spacing w:line="400" w:lineRule="exact"/>
              <w:jc w:val="both"/>
              <w:rPr>
                <w:rFonts w:hint="default" w:ascii="宋体" w:hAnsi="宋体" w:eastAsia="宋体" w:cs="宋体"/>
                <w:kern w:val="2"/>
                <w:sz w:val="24"/>
                <w:szCs w:val="24"/>
                <w:lang w:val="en-US" w:eastAsia="zh-CN" w:bidi="ar"/>
              </w:rPr>
            </w:pPr>
          </w:p>
        </w:tc>
        <w:tc>
          <w:tcPr>
            <w:tcW w:w="413" w:type="pct"/>
            <w:noWrap w:val="0"/>
            <w:vAlign w:val="center"/>
          </w:tcPr>
          <w:p w14:paraId="13F62690">
            <w:pPr>
              <w:keepNext w:val="0"/>
              <w:keepLines w:val="0"/>
              <w:widowControl/>
              <w:suppressLineNumbers w:val="0"/>
              <w:spacing w:line="400" w:lineRule="exact"/>
              <w:jc w:val="center"/>
              <w:textAlignment w:val="auto"/>
              <w:rPr>
                <w:rFonts w:hint="default" w:ascii="宋体" w:hAnsi="宋体" w:eastAsia="宋体" w:cs="宋体"/>
                <w:i w:val="0"/>
                <w:color w:val="000000"/>
                <w:kern w:val="2"/>
                <w:sz w:val="24"/>
                <w:szCs w:val="24"/>
                <w:u w:val="none"/>
                <w:lang w:val="en-US" w:eastAsia="zh-CN" w:bidi="ar"/>
              </w:rPr>
            </w:pPr>
            <w:r>
              <w:rPr>
                <w:rFonts w:hint="eastAsia" w:ascii="宋体" w:hAnsi="宋体" w:eastAsia="宋体" w:cs="宋体"/>
                <w:color w:val="auto"/>
                <w:sz w:val="24"/>
                <w:szCs w:val="24"/>
                <w:highlight w:val="none"/>
                <w:lang w:val="en-US" w:eastAsia="zh-CN"/>
              </w:rPr>
              <w:t>较重</w:t>
            </w:r>
          </w:p>
        </w:tc>
        <w:tc>
          <w:tcPr>
            <w:tcW w:w="1240" w:type="pct"/>
            <w:noWrap w:val="0"/>
            <w:vAlign w:val="center"/>
          </w:tcPr>
          <w:p w14:paraId="43732D93">
            <w:pPr>
              <w:keepNext w:val="0"/>
              <w:keepLines w:val="0"/>
              <w:widowControl w:val="0"/>
              <w:suppressLineNumbers w:val="0"/>
              <w:spacing w:line="400" w:lineRule="exact"/>
              <w:jc w:val="left"/>
              <w:textAlignment w:val="auto"/>
              <w:rPr>
                <w:rFonts w:hint="default" w:ascii="宋体" w:hAnsi="宋体" w:eastAsia="宋体" w:cs="宋体"/>
                <w:i w:val="0"/>
                <w:color w:val="000000"/>
                <w:kern w:val="2"/>
                <w:sz w:val="24"/>
                <w:szCs w:val="24"/>
                <w:u w:val="none"/>
                <w:lang w:val="en-US" w:eastAsia="zh-CN" w:bidi="ar"/>
              </w:rPr>
            </w:pPr>
            <w:r>
              <w:rPr>
                <w:rFonts w:hint="eastAsia" w:ascii="宋体" w:hAnsi="宋体" w:eastAsia="宋体" w:cs="宋体"/>
                <w:color w:val="auto"/>
                <w:sz w:val="24"/>
                <w:szCs w:val="24"/>
                <w:highlight w:val="none"/>
                <w:lang w:val="en-US" w:eastAsia="zh-CN"/>
              </w:rPr>
              <w:t>违法经营总额在3万元以上的</w:t>
            </w:r>
            <w:r>
              <w:rPr>
                <w:rFonts w:hint="eastAsia" w:ascii="宋体" w:hAnsi="宋体" w:cs="宋体"/>
                <w:color w:val="auto"/>
                <w:sz w:val="24"/>
                <w:szCs w:val="24"/>
                <w:highlight w:val="none"/>
                <w:lang w:val="en-US" w:eastAsia="zh-CN"/>
              </w:rPr>
              <w:t>。</w:t>
            </w:r>
          </w:p>
        </w:tc>
        <w:tc>
          <w:tcPr>
            <w:tcW w:w="1038" w:type="pct"/>
            <w:noWrap w:val="0"/>
            <w:vAlign w:val="center"/>
          </w:tcPr>
          <w:p w14:paraId="3A8795BD">
            <w:pPr>
              <w:keepNext w:val="0"/>
              <w:keepLines w:val="0"/>
              <w:widowControl w:val="0"/>
              <w:suppressLineNumbers w:val="0"/>
              <w:spacing w:line="400" w:lineRule="exact"/>
              <w:jc w:val="both"/>
              <w:textAlignment w:val="auto"/>
              <w:rPr>
                <w:rFonts w:hint="default" w:ascii="宋体" w:hAnsi="宋体" w:eastAsia="宋体" w:cs="宋体"/>
                <w:i w:val="0"/>
                <w:color w:val="000000"/>
                <w:kern w:val="2"/>
                <w:sz w:val="24"/>
                <w:szCs w:val="24"/>
                <w:u w:val="none"/>
                <w:lang w:val="en-US" w:eastAsia="zh-CN" w:bidi="ar"/>
              </w:rPr>
            </w:pPr>
            <w:r>
              <w:rPr>
                <w:rFonts w:hint="eastAsia" w:ascii="宋体" w:hAnsi="宋体" w:eastAsia="宋体" w:cs="宋体"/>
                <w:color w:val="auto"/>
                <w:sz w:val="24"/>
                <w:szCs w:val="24"/>
                <w:highlight w:val="none"/>
                <w:lang w:val="en-US" w:eastAsia="zh-CN"/>
              </w:rPr>
              <w:t>责令停止经营烟草制品零售业务，没收违法所得，处以违法经营总额41%以上50%以下的罚款。</w:t>
            </w:r>
          </w:p>
        </w:tc>
      </w:tr>
      <w:tr w14:paraId="2A621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250" w:type="pct"/>
            <w:vMerge w:val="restart"/>
            <w:noWrap w:val="0"/>
            <w:vAlign w:val="center"/>
          </w:tcPr>
          <w:p w14:paraId="12F6BBD7">
            <w:pPr>
              <w:jc w:val="center"/>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391</w:t>
            </w:r>
          </w:p>
        </w:tc>
        <w:tc>
          <w:tcPr>
            <w:tcW w:w="598" w:type="pct"/>
            <w:vMerge w:val="restart"/>
            <w:noWrap w:val="0"/>
            <w:vAlign w:val="center"/>
          </w:tcPr>
          <w:p w14:paraId="559243AB">
            <w:pPr>
              <w:jc w:val="left"/>
              <w:outlineLvl w:val="2"/>
              <w:rPr>
                <w:rFonts w:hint="default" w:ascii="宋体" w:hAnsi="宋体" w:eastAsia="宋体" w:cs="宋体"/>
                <w:kern w:val="0"/>
                <w:sz w:val="24"/>
                <w:szCs w:val="24"/>
                <w:lang w:val="en-US" w:eastAsia="zh-CN" w:bidi="ar"/>
              </w:rPr>
            </w:pPr>
            <w:bookmarkStart w:id="501" w:name="_Toc25908"/>
            <w:bookmarkStart w:id="502" w:name="_Toc661"/>
            <w:bookmarkStart w:id="503" w:name="_Toc28855"/>
            <w:bookmarkStart w:id="504" w:name="_Toc2551"/>
            <w:r>
              <w:rPr>
                <w:rFonts w:hint="eastAsia" w:ascii="宋体" w:hAnsi="宋体" w:cs="宋体"/>
                <w:kern w:val="0"/>
                <w:sz w:val="24"/>
                <w:szCs w:val="24"/>
                <w:lang w:val="en-US" w:eastAsia="zh-CN" w:bidi="ar"/>
              </w:rPr>
              <w:t>《中华人民共和反食品浪费法》（2021年4月29日起施行）</w:t>
            </w:r>
            <w:bookmarkEnd w:id="501"/>
            <w:bookmarkEnd w:id="502"/>
            <w:bookmarkEnd w:id="503"/>
            <w:bookmarkEnd w:id="504"/>
          </w:p>
        </w:tc>
        <w:tc>
          <w:tcPr>
            <w:tcW w:w="1458" w:type="pct"/>
            <w:vMerge w:val="restart"/>
            <w:noWrap w:val="0"/>
            <w:vAlign w:val="center"/>
          </w:tcPr>
          <w:p w14:paraId="4EE8CE6E">
            <w:pPr>
              <w:spacing w:line="400" w:lineRule="exact"/>
              <w:jc w:val="both"/>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 xml:space="preserve">第二十八条第二款 </w:t>
            </w:r>
            <w:r>
              <w:rPr>
                <w:rFonts w:ascii="宋体" w:hAnsi="宋体" w:eastAsia="宋体" w:cs="宋体"/>
                <w:sz w:val="24"/>
                <w:szCs w:val="24"/>
              </w:rPr>
              <w:t>违反本法规定，餐饮服务经营者诱导、误导消费者超量点餐造成明显浪费的，由县级以上地方人民政府市场监督管理部门或者县级以上地方人民政府指定的部门责令改正，给予警告；拒不改正的，处一千元以上一万元以下罚款。</w:t>
            </w:r>
          </w:p>
        </w:tc>
        <w:tc>
          <w:tcPr>
            <w:tcW w:w="413" w:type="pct"/>
            <w:noWrap w:val="0"/>
            <w:vAlign w:val="center"/>
          </w:tcPr>
          <w:p w14:paraId="3638D954">
            <w:pPr>
              <w:keepNext w:val="0"/>
              <w:keepLines w:val="0"/>
              <w:widowControl/>
              <w:suppressLineNumbers w:val="0"/>
              <w:spacing w:line="400" w:lineRule="exact"/>
              <w:jc w:val="center"/>
              <w:textAlignment w:val="auto"/>
              <w:rPr>
                <w:rFonts w:hint="eastAsia" w:ascii="宋体" w:hAnsi="宋体" w:eastAsia="宋体" w:cs="宋体"/>
                <w:i w:val="0"/>
                <w:kern w:val="2"/>
                <w:sz w:val="24"/>
                <w:szCs w:val="24"/>
                <w:u w:val="none"/>
                <w:lang w:val="en-US" w:eastAsia="zh-CN" w:bidi="ar"/>
              </w:rPr>
            </w:pPr>
            <w:r>
              <w:rPr>
                <w:rFonts w:hint="eastAsia" w:ascii="宋体" w:hAnsi="宋体" w:eastAsia="宋体" w:cs="宋体"/>
                <w:color w:val="auto"/>
                <w:sz w:val="24"/>
                <w:szCs w:val="24"/>
                <w:highlight w:val="none"/>
                <w:lang w:val="en-US" w:eastAsia="zh-CN"/>
              </w:rPr>
              <w:t>较轻</w:t>
            </w:r>
          </w:p>
        </w:tc>
        <w:tc>
          <w:tcPr>
            <w:tcW w:w="1240" w:type="pct"/>
            <w:noWrap w:val="0"/>
            <w:vAlign w:val="center"/>
          </w:tcPr>
          <w:p w14:paraId="2E40EC19">
            <w:pPr>
              <w:keepNext w:val="0"/>
              <w:keepLines w:val="0"/>
              <w:widowControl/>
              <w:suppressLineNumbers w:val="0"/>
              <w:jc w:val="left"/>
              <w:textAlignment w:val="auto"/>
              <w:rPr>
                <w:rFonts w:hint="default" w:ascii="宋体" w:hAnsi="宋体" w:eastAsia="宋体" w:cs="宋体"/>
                <w:i w:val="0"/>
                <w:color w:val="FF0000"/>
                <w:kern w:val="2"/>
                <w:sz w:val="24"/>
                <w:szCs w:val="24"/>
                <w:u w:val="none"/>
                <w:lang w:val="en-US" w:eastAsia="zh-CN" w:bidi="ar"/>
              </w:rPr>
            </w:pPr>
            <w:r>
              <w:rPr>
                <w:rFonts w:hint="default" w:ascii="宋体" w:hAnsi="宋体" w:eastAsia="宋体" w:cs="宋体"/>
                <w:i w:val="0"/>
                <w:kern w:val="2"/>
                <w:sz w:val="24"/>
                <w:szCs w:val="24"/>
                <w:u w:val="none"/>
                <w:lang w:val="en-US" w:eastAsia="zh-CN" w:bidi="ar"/>
              </w:rPr>
              <w:t>造成一定程度的浪费</w:t>
            </w:r>
            <w:r>
              <w:rPr>
                <w:rFonts w:hint="eastAsia" w:ascii="宋体" w:hAnsi="宋体" w:cs="宋体"/>
                <w:i w:val="0"/>
                <w:kern w:val="2"/>
                <w:sz w:val="24"/>
                <w:szCs w:val="24"/>
                <w:u w:val="none"/>
                <w:lang w:val="en-US" w:eastAsia="zh-CN" w:bidi="ar"/>
              </w:rPr>
              <w:t>。</w:t>
            </w:r>
          </w:p>
        </w:tc>
        <w:tc>
          <w:tcPr>
            <w:tcW w:w="1038" w:type="pct"/>
            <w:noWrap w:val="0"/>
            <w:vAlign w:val="center"/>
          </w:tcPr>
          <w:p w14:paraId="0DC0A7D1">
            <w:pPr>
              <w:keepNext w:val="0"/>
              <w:keepLines w:val="0"/>
              <w:widowControl/>
              <w:suppressLineNumbers w:val="0"/>
              <w:jc w:val="both"/>
              <w:textAlignment w:val="auto"/>
              <w:rPr>
                <w:rFonts w:hint="default" w:ascii="宋体" w:hAnsi="宋体" w:eastAsia="宋体" w:cs="宋体"/>
                <w:i w:val="0"/>
                <w:color w:val="FF0000"/>
                <w:kern w:val="2"/>
                <w:sz w:val="24"/>
                <w:szCs w:val="24"/>
                <w:u w:val="none"/>
                <w:lang w:val="en-US" w:eastAsia="zh-CN" w:bidi="ar"/>
              </w:rPr>
            </w:pPr>
            <w:r>
              <w:rPr>
                <w:rFonts w:hint="default" w:ascii="宋体" w:hAnsi="宋体" w:eastAsia="宋体" w:cs="宋体"/>
                <w:i w:val="0"/>
                <w:kern w:val="2"/>
                <w:sz w:val="24"/>
                <w:szCs w:val="24"/>
                <w:u w:val="none"/>
                <w:lang w:val="en-US" w:eastAsia="zh-CN" w:bidi="ar"/>
              </w:rPr>
              <w:t>处</w:t>
            </w:r>
            <w:r>
              <w:rPr>
                <w:rFonts w:hint="eastAsia" w:ascii="宋体" w:hAnsi="宋体" w:cs="宋体"/>
                <w:i w:val="0"/>
                <w:kern w:val="2"/>
                <w:sz w:val="24"/>
                <w:szCs w:val="24"/>
                <w:u w:val="none"/>
                <w:lang w:val="en-US" w:eastAsia="zh-CN" w:bidi="ar"/>
              </w:rPr>
              <w:t>1000</w:t>
            </w:r>
            <w:r>
              <w:rPr>
                <w:rFonts w:hint="default" w:ascii="宋体" w:hAnsi="宋体" w:eastAsia="宋体" w:cs="宋体"/>
                <w:i w:val="0"/>
                <w:kern w:val="2"/>
                <w:sz w:val="24"/>
                <w:szCs w:val="24"/>
                <w:u w:val="none"/>
                <w:lang w:val="en-US" w:eastAsia="zh-CN" w:bidi="ar"/>
              </w:rPr>
              <w:t>元以上</w:t>
            </w:r>
            <w:r>
              <w:rPr>
                <w:rFonts w:hint="eastAsia" w:ascii="宋体" w:hAnsi="宋体" w:cs="宋体"/>
                <w:i w:val="0"/>
                <w:kern w:val="2"/>
                <w:sz w:val="24"/>
                <w:szCs w:val="24"/>
                <w:u w:val="none"/>
                <w:lang w:val="en-US" w:eastAsia="zh-CN" w:bidi="ar"/>
              </w:rPr>
              <w:t>3700</w:t>
            </w:r>
            <w:r>
              <w:rPr>
                <w:rFonts w:hint="default" w:ascii="宋体" w:hAnsi="宋体" w:eastAsia="宋体" w:cs="宋体"/>
                <w:i w:val="0"/>
                <w:kern w:val="2"/>
                <w:sz w:val="24"/>
                <w:szCs w:val="24"/>
                <w:u w:val="none"/>
                <w:lang w:val="en-US" w:eastAsia="zh-CN" w:bidi="ar"/>
              </w:rPr>
              <w:t>元以下的罚款</w:t>
            </w:r>
            <w:r>
              <w:rPr>
                <w:rFonts w:hint="eastAsia" w:ascii="宋体" w:hAnsi="宋体" w:cs="宋体"/>
                <w:i w:val="0"/>
                <w:kern w:val="2"/>
                <w:sz w:val="24"/>
                <w:szCs w:val="24"/>
                <w:u w:val="none"/>
                <w:lang w:val="en-US" w:eastAsia="zh-CN" w:bidi="ar"/>
              </w:rPr>
              <w:t>。</w:t>
            </w:r>
          </w:p>
        </w:tc>
      </w:tr>
      <w:tr w14:paraId="68A7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250" w:type="pct"/>
            <w:vMerge w:val="continue"/>
            <w:noWrap w:val="0"/>
            <w:vAlign w:val="center"/>
          </w:tcPr>
          <w:p w14:paraId="7728A80A">
            <w:pPr>
              <w:jc w:val="center"/>
              <w:rPr>
                <w:rFonts w:hint="eastAsia" w:ascii="宋体" w:hAnsi="宋体" w:cs="宋体"/>
                <w:kern w:val="0"/>
                <w:sz w:val="24"/>
                <w:szCs w:val="24"/>
                <w:lang w:val="en-US" w:eastAsia="zh-CN" w:bidi="ar"/>
              </w:rPr>
            </w:pPr>
          </w:p>
        </w:tc>
        <w:tc>
          <w:tcPr>
            <w:tcW w:w="598" w:type="pct"/>
            <w:vMerge w:val="continue"/>
            <w:noWrap w:val="0"/>
            <w:vAlign w:val="center"/>
          </w:tcPr>
          <w:p w14:paraId="3D803B1D">
            <w:pPr>
              <w:jc w:val="left"/>
              <w:rPr>
                <w:rFonts w:hint="eastAsia" w:ascii="宋体" w:hAnsi="宋体" w:cs="宋体"/>
                <w:kern w:val="0"/>
                <w:sz w:val="24"/>
                <w:szCs w:val="24"/>
                <w:lang w:val="en-US" w:eastAsia="zh-CN" w:bidi="ar"/>
              </w:rPr>
            </w:pPr>
          </w:p>
        </w:tc>
        <w:tc>
          <w:tcPr>
            <w:tcW w:w="1458" w:type="pct"/>
            <w:vMerge w:val="continue"/>
            <w:noWrap w:val="0"/>
            <w:vAlign w:val="center"/>
          </w:tcPr>
          <w:p w14:paraId="2E8E7D30">
            <w:pPr>
              <w:jc w:val="left"/>
              <w:rPr>
                <w:rFonts w:hint="eastAsia" w:ascii="宋体" w:hAnsi="宋体" w:cs="宋体"/>
                <w:kern w:val="0"/>
                <w:sz w:val="24"/>
                <w:szCs w:val="24"/>
                <w:lang w:val="en-US" w:eastAsia="zh-CN" w:bidi="ar"/>
              </w:rPr>
            </w:pPr>
          </w:p>
        </w:tc>
        <w:tc>
          <w:tcPr>
            <w:tcW w:w="413" w:type="pct"/>
            <w:noWrap w:val="0"/>
            <w:vAlign w:val="center"/>
          </w:tcPr>
          <w:p w14:paraId="75F97DB2">
            <w:pPr>
              <w:keepNext w:val="0"/>
              <w:keepLines w:val="0"/>
              <w:widowControl/>
              <w:suppressLineNumbers w:val="0"/>
              <w:spacing w:line="400" w:lineRule="exact"/>
              <w:jc w:val="center"/>
              <w:textAlignment w:val="auto"/>
              <w:rPr>
                <w:rFonts w:hint="eastAsia" w:ascii="宋体" w:hAnsi="宋体" w:eastAsia="宋体" w:cs="宋体"/>
                <w:i w:val="0"/>
                <w:kern w:val="2"/>
                <w:sz w:val="24"/>
                <w:szCs w:val="24"/>
                <w:u w:val="none"/>
                <w:lang w:val="en-US" w:eastAsia="zh-CN" w:bidi="ar"/>
              </w:rPr>
            </w:pPr>
            <w:r>
              <w:rPr>
                <w:rFonts w:hint="eastAsia" w:ascii="宋体" w:hAnsi="宋体" w:eastAsia="宋体" w:cs="宋体"/>
                <w:color w:val="auto"/>
                <w:sz w:val="24"/>
                <w:szCs w:val="24"/>
                <w:highlight w:val="none"/>
                <w:lang w:val="en-US" w:eastAsia="zh-CN"/>
              </w:rPr>
              <w:t>一般</w:t>
            </w:r>
          </w:p>
        </w:tc>
        <w:tc>
          <w:tcPr>
            <w:tcW w:w="1240" w:type="pct"/>
            <w:noWrap w:val="0"/>
            <w:vAlign w:val="center"/>
          </w:tcPr>
          <w:p w14:paraId="4BC3C5D2">
            <w:pPr>
              <w:keepNext w:val="0"/>
              <w:keepLines w:val="0"/>
              <w:widowControl/>
              <w:suppressLineNumbers w:val="0"/>
              <w:jc w:val="left"/>
              <w:textAlignment w:val="auto"/>
              <w:rPr>
                <w:rFonts w:hint="default" w:ascii="宋体" w:hAnsi="宋体" w:eastAsia="宋体" w:cs="宋体"/>
                <w:i w:val="0"/>
                <w:color w:val="FF0000"/>
                <w:kern w:val="2"/>
                <w:sz w:val="24"/>
                <w:szCs w:val="24"/>
                <w:u w:val="none"/>
                <w:lang w:val="en-US" w:eastAsia="zh-CN" w:bidi="ar"/>
              </w:rPr>
            </w:pPr>
            <w:r>
              <w:rPr>
                <w:rFonts w:hint="default" w:ascii="宋体" w:hAnsi="宋体" w:eastAsia="宋体" w:cs="宋体"/>
                <w:i w:val="0"/>
                <w:kern w:val="2"/>
                <w:sz w:val="24"/>
                <w:szCs w:val="24"/>
                <w:u w:val="none"/>
                <w:lang w:val="en-US" w:eastAsia="zh-CN" w:bidi="ar"/>
              </w:rPr>
              <w:t>造成较大浪费</w:t>
            </w:r>
            <w:r>
              <w:rPr>
                <w:rFonts w:hint="eastAsia" w:ascii="宋体" w:hAnsi="宋体" w:cs="宋体"/>
                <w:i w:val="0"/>
                <w:kern w:val="2"/>
                <w:sz w:val="24"/>
                <w:szCs w:val="24"/>
                <w:u w:val="none"/>
                <w:lang w:val="en-US" w:eastAsia="zh-CN" w:bidi="ar"/>
              </w:rPr>
              <w:t>。</w:t>
            </w:r>
          </w:p>
        </w:tc>
        <w:tc>
          <w:tcPr>
            <w:tcW w:w="1038" w:type="pct"/>
            <w:noWrap w:val="0"/>
            <w:vAlign w:val="center"/>
          </w:tcPr>
          <w:p w14:paraId="2B18EA02">
            <w:pPr>
              <w:keepNext w:val="0"/>
              <w:keepLines w:val="0"/>
              <w:widowControl/>
              <w:suppressLineNumbers w:val="0"/>
              <w:jc w:val="both"/>
              <w:textAlignment w:val="auto"/>
              <w:rPr>
                <w:rFonts w:hint="default" w:ascii="宋体" w:hAnsi="宋体" w:eastAsia="宋体" w:cs="宋体"/>
                <w:i w:val="0"/>
                <w:color w:val="FF0000"/>
                <w:kern w:val="2"/>
                <w:sz w:val="24"/>
                <w:szCs w:val="24"/>
                <w:u w:val="none"/>
                <w:lang w:val="en-US" w:eastAsia="zh-CN" w:bidi="ar"/>
              </w:rPr>
            </w:pPr>
            <w:r>
              <w:rPr>
                <w:rFonts w:hint="default" w:ascii="宋体" w:hAnsi="宋体" w:eastAsia="宋体" w:cs="宋体"/>
                <w:i w:val="0"/>
                <w:kern w:val="2"/>
                <w:sz w:val="24"/>
                <w:szCs w:val="24"/>
                <w:u w:val="none"/>
                <w:lang w:val="en-US" w:eastAsia="zh-CN" w:bidi="ar"/>
              </w:rPr>
              <w:t>处</w:t>
            </w:r>
            <w:r>
              <w:rPr>
                <w:rFonts w:hint="eastAsia" w:ascii="宋体" w:hAnsi="宋体" w:cs="宋体"/>
                <w:i w:val="0"/>
                <w:kern w:val="2"/>
                <w:sz w:val="24"/>
                <w:szCs w:val="24"/>
                <w:u w:val="none"/>
                <w:lang w:val="en-US" w:eastAsia="zh-CN" w:bidi="ar"/>
              </w:rPr>
              <w:t>3700</w:t>
            </w:r>
            <w:r>
              <w:rPr>
                <w:rFonts w:hint="default" w:ascii="宋体" w:hAnsi="宋体" w:eastAsia="宋体" w:cs="宋体"/>
                <w:i w:val="0"/>
                <w:kern w:val="2"/>
                <w:sz w:val="24"/>
                <w:szCs w:val="24"/>
                <w:u w:val="none"/>
                <w:lang w:val="en-US" w:eastAsia="zh-CN" w:bidi="ar"/>
              </w:rPr>
              <w:t>元以上</w:t>
            </w:r>
            <w:r>
              <w:rPr>
                <w:rFonts w:hint="eastAsia" w:ascii="宋体" w:hAnsi="宋体" w:cs="宋体"/>
                <w:i w:val="0"/>
                <w:kern w:val="2"/>
                <w:sz w:val="24"/>
                <w:szCs w:val="24"/>
                <w:u w:val="none"/>
                <w:lang w:val="en-US" w:eastAsia="zh-CN" w:bidi="ar"/>
              </w:rPr>
              <w:t>7300</w:t>
            </w:r>
            <w:r>
              <w:rPr>
                <w:rFonts w:hint="default" w:ascii="宋体" w:hAnsi="宋体" w:eastAsia="宋体" w:cs="宋体"/>
                <w:i w:val="0"/>
                <w:kern w:val="2"/>
                <w:sz w:val="24"/>
                <w:szCs w:val="24"/>
                <w:u w:val="none"/>
                <w:lang w:val="en-US" w:eastAsia="zh-CN" w:bidi="ar"/>
              </w:rPr>
              <w:t>元以下的罚款</w:t>
            </w:r>
            <w:r>
              <w:rPr>
                <w:rFonts w:hint="eastAsia" w:ascii="宋体" w:hAnsi="宋体" w:cs="宋体"/>
                <w:i w:val="0"/>
                <w:kern w:val="2"/>
                <w:sz w:val="24"/>
                <w:szCs w:val="24"/>
                <w:u w:val="none"/>
                <w:lang w:val="en-US" w:eastAsia="zh-CN" w:bidi="ar"/>
              </w:rPr>
              <w:t>。</w:t>
            </w:r>
          </w:p>
        </w:tc>
      </w:tr>
      <w:tr w14:paraId="3AD2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50" w:type="pct"/>
            <w:vMerge w:val="continue"/>
            <w:noWrap w:val="0"/>
            <w:vAlign w:val="center"/>
          </w:tcPr>
          <w:p w14:paraId="244C05B6">
            <w:pPr>
              <w:jc w:val="center"/>
              <w:rPr>
                <w:rFonts w:hint="eastAsia" w:ascii="宋体" w:hAnsi="宋体" w:cs="宋体"/>
                <w:kern w:val="0"/>
                <w:sz w:val="24"/>
                <w:szCs w:val="24"/>
                <w:lang w:val="en-US" w:eastAsia="zh-CN" w:bidi="ar"/>
              </w:rPr>
            </w:pPr>
          </w:p>
        </w:tc>
        <w:tc>
          <w:tcPr>
            <w:tcW w:w="598" w:type="pct"/>
            <w:vMerge w:val="continue"/>
            <w:noWrap w:val="0"/>
            <w:vAlign w:val="center"/>
          </w:tcPr>
          <w:p w14:paraId="0209F46D">
            <w:pPr>
              <w:jc w:val="left"/>
              <w:rPr>
                <w:rFonts w:hint="eastAsia" w:ascii="宋体" w:hAnsi="宋体" w:cs="宋体"/>
                <w:kern w:val="0"/>
                <w:sz w:val="24"/>
                <w:szCs w:val="24"/>
                <w:lang w:val="en-US" w:eastAsia="zh-CN" w:bidi="ar"/>
              </w:rPr>
            </w:pPr>
          </w:p>
        </w:tc>
        <w:tc>
          <w:tcPr>
            <w:tcW w:w="1458" w:type="pct"/>
            <w:vMerge w:val="continue"/>
            <w:noWrap w:val="0"/>
            <w:vAlign w:val="center"/>
          </w:tcPr>
          <w:p w14:paraId="5F4F30AA">
            <w:pPr>
              <w:jc w:val="left"/>
              <w:rPr>
                <w:rFonts w:hint="eastAsia" w:ascii="宋体" w:hAnsi="宋体" w:cs="宋体"/>
                <w:kern w:val="0"/>
                <w:sz w:val="24"/>
                <w:szCs w:val="24"/>
                <w:lang w:val="en-US" w:eastAsia="zh-CN" w:bidi="ar"/>
              </w:rPr>
            </w:pPr>
          </w:p>
        </w:tc>
        <w:tc>
          <w:tcPr>
            <w:tcW w:w="413" w:type="pct"/>
            <w:noWrap w:val="0"/>
            <w:vAlign w:val="center"/>
          </w:tcPr>
          <w:p w14:paraId="092BE06D">
            <w:pPr>
              <w:keepNext w:val="0"/>
              <w:keepLines w:val="0"/>
              <w:widowControl/>
              <w:suppressLineNumbers w:val="0"/>
              <w:spacing w:line="400" w:lineRule="exact"/>
              <w:jc w:val="center"/>
              <w:textAlignment w:val="auto"/>
              <w:rPr>
                <w:rFonts w:hint="eastAsia" w:ascii="宋体" w:hAnsi="宋体" w:eastAsia="宋体" w:cs="宋体"/>
                <w:i w:val="0"/>
                <w:kern w:val="2"/>
                <w:sz w:val="24"/>
                <w:szCs w:val="24"/>
                <w:u w:val="none"/>
                <w:lang w:val="en-US" w:eastAsia="zh-CN" w:bidi="ar"/>
              </w:rPr>
            </w:pPr>
            <w:r>
              <w:rPr>
                <w:rFonts w:hint="eastAsia" w:ascii="宋体" w:hAnsi="宋体" w:eastAsia="宋体" w:cs="宋体"/>
                <w:color w:val="auto"/>
                <w:sz w:val="24"/>
                <w:szCs w:val="24"/>
                <w:highlight w:val="none"/>
                <w:lang w:val="en-US" w:eastAsia="zh-CN"/>
              </w:rPr>
              <w:t>较重</w:t>
            </w:r>
          </w:p>
        </w:tc>
        <w:tc>
          <w:tcPr>
            <w:tcW w:w="1240" w:type="pct"/>
            <w:noWrap w:val="0"/>
            <w:vAlign w:val="center"/>
          </w:tcPr>
          <w:p w14:paraId="18921106">
            <w:pPr>
              <w:keepNext w:val="0"/>
              <w:keepLines w:val="0"/>
              <w:widowControl/>
              <w:suppressLineNumbers w:val="0"/>
              <w:jc w:val="left"/>
              <w:textAlignment w:val="auto"/>
              <w:rPr>
                <w:rFonts w:hint="default" w:ascii="宋体" w:hAnsi="宋体" w:eastAsia="宋体" w:cs="宋体"/>
                <w:i w:val="0"/>
                <w:color w:val="FF0000"/>
                <w:kern w:val="2"/>
                <w:sz w:val="24"/>
                <w:szCs w:val="24"/>
                <w:u w:val="none"/>
                <w:lang w:val="en-US" w:eastAsia="zh-CN" w:bidi="ar"/>
              </w:rPr>
            </w:pPr>
            <w:r>
              <w:rPr>
                <w:rFonts w:hint="default" w:ascii="宋体" w:hAnsi="宋体" w:eastAsia="宋体" w:cs="宋体"/>
                <w:i w:val="0"/>
                <w:kern w:val="2"/>
                <w:sz w:val="24"/>
                <w:szCs w:val="24"/>
                <w:u w:val="none"/>
                <w:lang w:val="en-US" w:eastAsia="zh-CN" w:bidi="ar"/>
              </w:rPr>
              <w:t>造成严重浪费</w:t>
            </w:r>
            <w:r>
              <w:rPr>
                <w:rFonts w:hint="eastAsia" w:ascii="宋体" w:hAnsi="宋体" w:cs="宋体"/>
                <w:i w:val="0"/>
                <w:kern w:val="2"/>
                <w:sz w:val="24"/>
                <w:szCs w:val="24"/>
                <w:u w:val="none"/>
                <w:lang w:val="en-US" w:eastAsia="zh-CN" w:bidi="ar"/>
              </w:rPr>
              <w:t>。</w:t>
            </w:r>
          </w:p>
        </w:tc>
        <w:tc>
          <w:tcPr>
            <w:tcW w:w="1038" w:type="pct"/>
            <w:noWrap w:val="0"/>
            <w:vAlign w:val="center"/>
          </w:tcPr>
          <w:p w14:paraId="772B0AE3">
            <w:pPr>
              <w:keepNext w:val="0"/>
              <w:keepLines w:val="0"/>
              <w:widowControl/>
              <w:suppressLineNumbers w:val="0"/>
              <w:jc w:val="both"/>
              <w:textAlignment w:val="auto"/>
              <w:rPr>
                <w:rFonts w:hint="default" w:ascii="宋体" w:hAnsi="宋体" w:eastAsia="宋体" w:cs="宋体"/>
                <w:i w:val="0"/>
                <w:color w:val="FF0000"/>
                <w:kern w:val="2"/>
                <w:sz w:val="24"/>
                <w:szCs w:val="24"/>
                <w:u w:val="none"/>
                <w:lang w:val="en-US" w:eastAsia="zh-CN" w:bidi="ar"/>
              </w:rPr>
            </w:pPr>
            <w:r>
              <w:rPr>
                <w:rFonts w:hint="default" w:ascii="宋体" w:hAnsi="宋体" w:eastAsia="宋体" w:cs="宋体"/>
                <w:i w:val="0"/>
                <w:kern w:val="2"/>
                <w:sz w:val="24"/>
                <w:szCs w:val="24"/>
                <w:u w:val="none"/>
                <w:lang w:val="en-US" w:eastAsia="zh-CN" w:bidi="ar"/>
              </w:rPr>
              <w:t>处</w:t>
            </w:r>
            <w:r>
              <w:rPr>
                <w:rFonts w:hint="eastAsia" w:ascii="宋体" w:hAnsi="宋体" w:cs="宋体"/>
                <w:i w:val="0"/>
                <w:kern w:val="2"/>
                <w:sz w:val="24"/>
                <w:szCs w:val="24"/>
                <w:u w:val="none"/>
                <w:lang w:val="en-US" w:eastAsia="zh-CN" w:bidi="ar"/>
              </w:rPr>
              <w:t>7300</w:t>
            </w:r>
            <w:r>
              <w:rPr>
                <w:rFonts w:hint="default" w:ascii="宋体" w:hAnsi="宋体" w:eastAsia="宋体" w:cs="宋体"/>
                <w:i w:val="0"/>
                <w:kern w:val="2"/>
                <w:sz w:val="24"/>
                <w:szCs w:val="24"/>
                <w:u w:val="none"/>
                <w:lang w:val="en-US" w:eastAsia="zh-CN" w:bidi="ar"/>
              </w:rPr>
              <w:t>元以上</w:t>
            </w:r>
            <w:r>
              <w:rPr>
                <w:rFonts w:hint="eastAsia" w:ascii="宋体" w:hAnsi="宋体" w:cs="宋体"/>
                <w:i w:val="0"/>
                <w:kern w:val="2"/>
                <w:sz w:val="24"/>
                <w:szCs w:val="24"/>
                <w:u w:val="none"/>
                <w:lang w:val="en-US" w:eastAsia="zh-CN" w:bidi="ar"/>
              </w:rPr>
              <w:t>1万</w:t>
            </w:r>
            <w:r>
              <w:rPr>
                <w:rFonts w:hint="default" w:ascii="宋体" w:hAnsi="宋体" w:eastAsia="宋体" w:cs="宋体"/>
                <w:i w:val="0"/>
                <w:kern w:val="2"/>
                <w:sz w:val="24"/>
                <w:szCs w:val="24"/>
                <w:u w:val="none"/>
                <w:lang w:val="en-US" w:eastAsia="zh-CN" w:bidi="ar"/>
              </w:rPr>
              <w:t>元以下的罚款</w:t>
            </w:r>
            <w:r>
              <w:rPr>
                <w:rFonts w:hint="eastAsia" w:ascii="宋体" w:hAnsi="宋体" w:cs="宋体"/>
                <w:i w:val="0"/>
                <w:kern w:val="2"/>
                <w:sz w:val="24"/>
                <w:szCs w:val="24"/>
                <w:u w:val="none"/>
                <w:lang w:val="en-US" w:eastAsia="zh-CN" w:bidi="ar"/>
              </w:rPr>
              <w:t>。</w:t>
            </w:r>
          </w:p>
        </w:tc>
      </w:tr>
      <w:tr w14:paraId="39BB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1" w:hRule="atLeast"/>
          <w:jc w:val="center"/>
        </w:trPr>
        <w:tc>
          <w:tcPr>
            <w:tcW w:w="250" w:type="pct"/>
            <w:vMerge w:val="restart"/>
            <w:noWrap w:val="0"/>
            <w:vAlign w:val="center"/>
          </w:tcPr>
          <w:p w14:paraId="1DC6C96A">
            <w:pPr>
              <w:jc w:val="center"/>
              <w:rPr>
                <w:rFonts w:hint="default" w:ascii="宋体" w:hAnsi="宋体" w:cs="宋体"/>
                <w:kern w:val="0"/>
                <w:sz w:val="24"/>
                <w:szCs w:val="24"/>
                <w:lang w:val="en-US" w:eastAsia="zh-CN" w:bidi="ar"/>
              </w:rPr>
            </w:pPr>
            <w:r>
              <w:rPr>
                <w:rFonts w:hint="eastAsia" w:ascii="宋体" w:hAnsi="宋体" w:cs="宋体"/>
                <w:kern w:val="0"/>
                <w:sz w:val="24"/>
                <w:szCs w:val="24"/>
                <w:lang w:val="en-US" w:eastAsia="zh-CN" w:bidi="ar"/>
              </w:rPr>
              <w:t>392</w:t>
            </w:r>
          </w:p>
        </w:tc>
        <w:tc>
          <w:tcPr>
            <w:tcW w:w="598" w:type="pct"/>
            <w:vMerge w:val="restart"/>
            <w:noWrap w:val="0"/>
            <w:vAlign w:val="center"/>
          </w:tcPr>
          <w:p w14:paraId="78D2B8DE">
            <w:pPr>
              <w:jc w:val="left"/>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《中华人民共和反食品浪费法》</w:t>
            </w:r>
          </w:p>
        </w:tc>
        <w:tc>
          <w:tcPr>
            <w:tcW w:w="1458" w:type="pct"/>
            <w:vMerge w:val="restart"/>
            <w:noWrap w:val="0"/>
            <w:vAlign w:val="center"/>
          </w:tcPr>
          <w:p w14:paraId="2A404080">
            <w:pPr>
              <w:spacing w:line="400" w:lineRule="exact"/>
              <w:jc w:val="both"/>
              <w:rPr>
                <w:rFonts w:hint="default" w:ascii="宋体" w:hAnsi="宋体" w:cs="宋体"/>
                <w:kern w:val="0"/>
                <w:sz w:val="24"/>
                <w:szCs w:val="24"/>
                <w:lang w:val="en-US" w:eastAsia="zh-CN" w:bidi="ar"/>
              </w:rPr>
            </w:pPr>
            <w:r>
              <w:rPr>
                <w:rFonts w:hint="eastAsia" w:ascii="宋体" w:hAnsi="宋体" w:cs="宋体"/>
                <w:kern w:val="0"/>
                <w:sz w:val="24"/>
                <w:szCs w:val="24"/>
                <w:lang w:val="en-US" w:eastAsia="zh-CN" w:bidi="ar"/>
              </w:rPr>
              <w:t xml:space="preserve">第二十八条第三款 </w:t>
            </w:r>
            <w:r>
              <w:rPr>
                <w:rFonts w:ascii="宋体" w:hAnsi="宋体" w:eastAsia="宋体" w:cs="宋体"/>
                <w:sz w:val="24"/>
                <w:szCs w:val="24"/>
              </w:rPr>
              <w:t>违反本法规定，食品生产经营者在食品生产经营过程中造成严重食品浪费的，由县级以上地方人民政府市场监督管理部门或者县级以上地方人民政府指定的部门责令改正，拒不改正的，处五千元以上五万元以下罚款。</w:t>
            </w:r>
          </w:p>
        </w:tc>
        <w:tc>
          <w:tcPr>
            <w:tcW w:w="413" w:type="pct"/>
            <w:noWrap w:val="0"/>
            <w:vAlign w:val="center"/>
          </w:tcPr>
          <w:p w14:paraId="62ED0CFD">
            <w:pPr>
              <w:keepNext w:val="0"/>
              <w:keepLines w:val="0"/>
              <w:widowControl/>
              <w:suppressLineNumbers w:val="0"/>
              <w:spacing w:line="400" w:lineRule="exact"/>
              <w:jc w:val="center"/>
              <w:textAlignment w:val="auto"/>
              <w:rPr>
                <w:rFonts w:hint="eastAsia" w:ascii="宋体" w:hAnsi="宋体" w:eastAsia="宋体" w:cs="宋体"/>
                <w:i w:val="0"/>
                <w:kern w:val="2"/>
                <w:sz w:val="24"/>
                <w:szCs w:val="24"/>
                <w:u w:val="none"/>
                <w:lang w:val="en-US" w:eastAsia="zh-CN" w:bidi="ar"/>
              </w:rPr>
            </w:pPr>
            <w:r>
              <w:rPr>
                <w:rFonts w:hint="eastAsia" w:ascii="宋体" w:hAnsi="宋体" w:eastAsia="宋体" w:cs="宋体"/>
                <w:color w:val="auto"/>
                <w:sz w:val="24"/>
                <w:szCs w:val="24"/>
                <w:highlight w:val="none"/>
                <w:lang w:val="en-US" w:eastAsia="zh-CN"/>
              </w:rPr>
              <w:t>较轻</w:t>
            </w:r>
          </w:p>
        </w:tc>
        <w:tc>
          <w:tcPr>
            <w:tcW w:w="1240" w:type="pct"/>
            <w:noWrap w:val="0"/>
            <w:vAlign w:val="center"/>
          </w:tcPr>
          <w:p w14:paraId="7DB6C914">
            <w:pPr>
              <w:keepNext w:val="0"/>
              <w:keepLines w:val="0"/>
              <w:widowControl/>
              <w:suppressLineNumbers w:val="0"/>
              <w:spacing w:line="400" w:lineRule="exact"/>
              <w:jc w:val="left"/>
              <w:textAlignment w:val="auto"/>
              <w:rPr>
                <w:rFonts w:hint="default" w:ascii="宋体" w:hAnsi="宋体" w:eastAsia="宋体" w:cs="宋体"/>
                <w:i w:val="0"/>
                <w:color w:val="FF0000"/>
                <w:kern w:val="2"/>
                <w:sz w:val="24"/>
                <w:szCs w:val="24"/>
                <w:u w:val="none"/>
                <w:lang w:val="en-US" w:eastAsia="zh-CN" w:bidi="ar"/>
              </w:rPr>
            </w:pPr>
            <w:r>
              <w:rPr>
                <w:rFonts w:hint="default" w:ascii="宋体" w:hAnsi="宋体" w:cs="宋体"/>
                <w:i w:val="0"/>
                <w:kern w:val="2"/>
                <w:sz w:val="24"/>
                <w:szCs w:val="24"/>
                <w:u w:val="none"/>
                <w:lang w:val="en-US" w:eastAsia="zh-CN" w:bidi="ar"/>
              </w:rPr>
              <w:t>造成食品或者食品原料浪费，货值金额3000元</w:t>
            </w:r>
            <w:r>
              <w:rPr>
                <w:rFonts w:hint="eastAsia" w:ascii="宋体" w:hAnsi="宋体" w:cs="宋体"/>
                <w:i w:val="0"/>
                <w:kern w:val="2"/>
                <w:sz w:val="24"/>
                <w:szCs w:val="24"/>
                <w:u w:val="none"/>
                <w:lang w:val="en-US" w:eastAsia="zh-CN" w:bidi="ar"/>
              </w:rPr>
              <w:t>以下</w:t>
            </w:r>
            <w:r>
              <w:rPr>
                <w:rFonts w:hint="default" w:ascii="宋体" w:hAnsi="宋体" w:cs="宋体"/>
                <w:i w:val="0"/>
                <w:kern w:val="2"/>
                <w:sz w:val="24"/>
                <w:szCs w:val="24"/>
                <w:u w:val="none"/>
                <w:lang w:val="en-US" w:eastAsia="zh-CN" w:bidi="ar"/>
              </w:rPr>
              <w:t>，拒不改正的</w:t>
            </w:r>
            <w:r>
              <w:rPr>
                <w:rFonts w:hint="eastAsia" w:ascii="宋体" w:hAnsi="宋体" w:cs="宋体"/>
                <w:i w:val="0"/>
                <w:kern w:val="2"/>
                <w:sz w:val="24"/>
                <w:szCs w:val="24"/>
                <w:u w:val="none"/>
                <w:lang w:val="en-US" w:eastAsia="zh-CN" w:bidi="ar"/>
              </w:rPr>
              <w:t>。</w:t>
            </w:r>
          </w:p>
        </w:tc>
        <w:tc>
          <w:tcPr>
            <w:tcW w:w="1038" w:type="pct"/>
            <w:noWrap w:val="0"/>
            <w:vAlign w:val="center"/>
          </w:tcPr>
          <w:p w14:paraId="5FA7EB2E">
            <w:pPr>
              <w:keepNext w:val="0"/>
              <w:keepLines w:val="0"/>
              <w:widowControl/>
              <w:suppressLineNumbers w:val="0"/>
              <w:spacing w:line="400" w:lineRule="exact"/>
              <w:jc w:val="left"/>
              <w:textAlignment w:val="auto"/>
              <w:rPr>
                <w:rFonts w:hint="default" w:ascii="宋体" w:hAnsi="宋体" w:eastAsia="宋体" w:cs="宋体"/>
                <w:i w:val="0"/>
                <w:color w:val="FF0000"/>
                <w:kern w:val="2"/>
                <w:sz w:val="24"/>
                <w:szCs w:val="24"/>
                <w:u w:val="none"/>
                <w:lang w:val="en-US" w:eastAsia="zh-CN" w:bidi="ar"/>
              </w:rPr>
            </w:pPr>
            <w:r>
              <w:rPr>
                <w:rFonts w:hint="eastAsia" w:ascii="宋体" w:hAnsi="宋体" w:cs="宋体"/>
                <w:i w:val="0"/>
                <w:kern w:val="2"/>
                <w:sz w:val="24"/>
                <w:szCs w:val="24"/>
                <w:u w:val="none"/>
                <w:lang w:val="en-US" w:eastAsia="zh-CN" w:bidi="ar"/>
              </w:rPr>
              <w:t>处5000元以上1.85万元以下罚款。</w:t>
            </w:r>
          </w:p>
        </w:tc>
      </w:tr>
      <w:tr w14:paraId="1B5C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jc w:val="center"/>
        </w:trPr>
        <w:tc>
          <w:tcPr>
            <w:tcW w:w="250" w:type="pct"/>
            <w:vMerge w:val="continue"/>
            <w:noWrap w:val="0"/>
            <w:vAlign w:val="center"/>
          </w:tcPr>
          <w:p w14:paraId="58654A07">
            <w:pPr>
              <w:jc w:val="center"/>
              <w:rPr>
                <w:rFonts w:hint="eastAsia" w:ascii="宋体" w:hAnsi="宋体" w:cs="宋体"/>
                <w:kern w:val="0"/>
                <w:sz w:val="24"/>
                <w:szCs w:val="24"/>
                <w:lang w:val="en-US" w:eastAsia="zh-CN" w:bidi="ar"/>
              </w:rPr>
            </w:pPr>
          </w:p>
        </w:tc>
        <w:tc>
          <w:tcPr>
            <w:tcW w:w="598" w:type="pct"/>
            <w:vMerge w:val="continue"/>
            <w:noWrap w:val="0"/>
            <w:vAlign w:val="center"/>
          </w:tcPr>
          <w:p w14:paraId="48E9F9DE">
            <w:pPr>
              <w:jc w:val="left"/>
              <w:rPr>
                <w:rFonts w:hint="eastAsia" w:ascii="宋体" w:hAnsi="宋体" w:cs="宋体"/>
                <w:kern w:val="0"/>
                <w:sz w:val="24"/>
                <w:szCs w:val="24"/>
                <w:lang w:val="en-US" w:eastAsia="zh-CN" w:bidi="ar"/>
              </w:rPr>
            </w:pPr>
          </w:p>
        </w:tc>
        <w:tc>
          <w:tcPr>
            <w:tcW w:w="1458" w:type="pct"/>
            <w:vMerge w:val="continue"/>
            <w:noWrap w:val="0"/>
            <w:vAlign w:val="center"/>
          </w:tcPr>
          <w:p w14:paraId="3BA06570">
            <w:pPr>
              <w:spacing w:line="400" w:lineRule="exact"/>
              <w:jc w:val="left"/>
              <w:rPr>
                <w:rFonts w:hint="eastAsia" w:ascii="宋体" w:hAnsi="宋体" w:cs="宋体"/>
                <w:kern w:val="0"/>
                <w:sz w:val="24"/>
                <w:szCs w:val="24"/>
                <w:lang w:val="en-US" w:eastAsia="zh-CN" w:bidi="ar"/>
              </w:rPr>
            </w:pPr>
          </w:p>
        </w:tc>
        <w:tc>
          <w:tcPr>
            <w:tcW w:w="413" w:type="pct"/>
            <w:noWrap w:val="0"/>
            <w:vAlign w:val="center"/>
          </w:tcPr>
          <w:p w14:paraId="287F0D22">
            <w:pPr>
              <w:keepNext w:val="0"/>
              <w:keepLines w:val="0"/>
              <w:widowControl/>
              <w:suppressLineNumbers w:val="0"/>
              <w:spacing w:line="400" w:lineRule="exact"/>
              <w:jc w:val="center"/>
              <w:textAlignment w:val="auto"/>
              <w:rPr>
                <w:rFonts w:hint="eastAsia" w:ascii="宋体" w:hAnsi="宋体" w:eastAsia="宋体" w:cs="宋体"/>
                <w:i w:val="0"/>
                <w:kern w:val="2"/>
                <w:sz w:val="24"/>
                <w:szCs w:val="24"/>
                <w:u w:val="none"/>
                <w:lang w:val="en-US" w:eastAsia="zh-CN" w:bidi="ar"/>
              </w:rPr>
            </w:pPr>
            <w:r>
              <w:rPr>
                <w:rFonts w:hint="eastAsia" w:ascii="宋体" w:hAnsi="宋体" w:eastAsia="宋体" w:cs="宋体"/>
                <w:color w:val="auto"/>
                <w:sz w:val="24"/>
                <w:szCs w:val="24"/>
                <w:highlight w:val="none"/>
                <w:lang w:val="en-US" w:eastAsia="zh-CN"/>
              </w:rPr>
              <w:t>一般</w:t>
            </w:r>
          </w:p>
        </w:tc>
        <w:tc>
          <w:tcPr>
            <w:tcW w:w="1240" w:type="pct"/>
            <w:noWrap w:val="0"/>
            <w:vAlign w:val="center"/>
          </w:tcPr>
          <w:p w14:paraId="18F6E97A">
            <w:pPr>
              <w:keepNext w:val="0"/>
              <w:keepLines w:val="0"/>
              <w:widowControl/>
              <w:suppressLineNumbers w:val="0"/>
              <w:spacing w:line="400" w:lineRule="exact"/>
              <w:jc w:val="left"/>
              <w:textAlignment w:val="auto"/>
              <w:rPr>
                <w:rFonts w:hint="default" w:ascii="宋体" w:hAnsi="宋体" w:eastAsia="宋体" w:cs="宋体"/>
                <w:i w:val="0"/>
                <w:color w:val="FF0000"/>
                <w:kern w:val="2"/>
                <w:sz w:val="24"/>
                <w:szCs w:val="24"/>
                <w:u w:val="none"/>
                <w:lang w:val="en-US" w:eastAsia="zh-CN" w:bidi="ar"/>
              </w:rPr>
            </w:pPr>
            <w:r>
              <w:rPr>
                <w:rFonts w:hint="default" w:ascii="宋体" w:hAnsi="宋体" w:cs="宋体"/>
                <w:i w:val="0"/>
                <w:kern w:val="2"/>
                <w:sz w:val="24"/>
                <w:szCs w:val="24"/>
                <w:u w:val="none"/>
                <w:lang w:val="en-US" w:eastAsia="zh-CN" w:bidi="ar"/>
              </w:rPr>
              <w:t>造成食品或者食品原料浪费，货值金额3000元</w:t>
            </w:r>
            <w:r>
              <w:rPr>
                <w:rFonts w:hint="eastAsia" w:ascii="宋体" w:hAnsi="宋体" w:cs="宋体"/>
                <w:i w:val="0"/>
                <w:kern w:val="2"/>
                <w:sz w:val="24"/>
                <w:szCs w:val="24"/>
                <w:u w:val="none"/>
                <w:lang w:val="en-US" w:eastAsia="zh-CN" w:bidi="ar"/>
              </w:rPr>
              <w:t>以上1万元以下</w:t>
            </w:r>
            <w:r>
              <w:rPr>
                <w:rFonts w:hint="default" w:ascii="宋体" w:hAnsi="宋体" w:cs="宋体"/>
                <w:i w:val="0"/>
                <w:kern w:val="2"/>
                <w:sz w:val="24"/>
                <w:szCs w:val="24"/>
                <w:u w:val="none"/>
                <w:lang w:val="en-US" w:eastAsia="zh-CN" w:bidi="ar"/>
              </w:rPr>
              <w:t>，拒不改正的</w:t>
            </w:r>
            <w:r>
              <w:rPr>
                <w:rFonts w:hint="eastAsia" w:ascii="宋体" w:hAnsi="宋体" w:cs="宋体"/>
                <w:i w:val="0"/>
                <w:kern w:val="2"/>
                <w:sz w:val="24"/>
                <w:szCs w:val="24"/>
                <w:u w:val="none"/>
                <w:lang w:val="en-US" w:eastAsia="zh-CN" w:bidi="ar"/>
              </w:rPr>
              <w:t>。</w:t>
            </w:r>
          </w:p>
        </w:tc>
        <w:tc>
          <w:tcPr>
            <w:tcW w:w="1038" w:type="pct"/>
            <w:noWrap w:val="0"/>
            <w:vAlign w:val="center"/>
          </w:tcPr>
          <w:p w14:paraId="4C73E869">
            <w:pPr>
              <w:keepNext w:val="0"/>
              <w:keepLines w:val="0"/>
              <w:widowControl/>
              <w:suppressLineNumbers w:val="0"/>
              <w:spacing w:line="400" w:lineRule="exact"/>
              <w:jc w:val="left"/>
              <w:textAlignment w:val="auto"/>
              <w:rPr>
                <w:rFonts w:hint="default" w:ascii="宋体" w:hAnsi="宋体" w:eastAsia="宋体" w:cs="宋体"/>
                <w:i w:val="0"/>
                <w:color w:val="FF0000"/>
                <w:kern w:val="2"/>
                <w:sz w:val="24"/>
                <w:szCs w:val="24"/>
                <w:u w:val="none"/>
                <w:lang w:val="en-US" w:eastAsia="zh-CN" w:bidi="ar"/>
              </w:rPr>
            </w:pPr>
            <w:r>
              <w:rPr>
                <w:rFonts w:hint="eastAsia" w:ascii="宋体" w:hAnsi="宋体" w:cs="宋体"/>
                <w:i w:val="0"/>
                <w:kern w:val="2"/>
                <w:sz w:val="24"/>
                <w:szCs w:val="24"/>
                <w:u w:val="none"/>
                <w:lang w:val="en-US" w:eastAsia="zh-CN" w:bidi="ar"/>
              </w:rPr>
              <w:t>处1.85万元以上3.65万元以下罚款。</w:t>
            </w:r>
          </w:p>
        </w:tc>
      </w:tr>
      <w:tr w14:paraId="498F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250" w:type="pct"/>
            <w:vMerge w:val="continue"/>
            <w:noWrap w:val="0"/>
            <w:vAlign w:val="center"/>
          </w:tcPr>
          <w:p w14:paraId="4B7696DA">
            <w:pPr>
              <w:jc w:val="center"/>
              <w:rPr>
                <w:rFonts w:hint="eastAsia" w:ascii="宋体" w:hAnsi="宋体" w:cs="宋体"/>
                <w:kern w:val="0"/>
                <w:sz w:val="24"/>
                <w:szCs w:val="24"/>
                <w:lang w:val="en-US" w:eastAsia="zh-CN" w:bidi="ar"/>
              </w:rPr>
            </w:pPr>
          </w:p>
        </w:tc>
        <w:tc>
          <w:tcPr>
            <w:tcW w:w="598" w:type="pct"/>
            <w:vMerge w:val="continue"/>
            <w:noWrap w:val="0"/>
            <w:vAlign w:val="center"/>
          </w:tcPr>
          <w:p w14:paraId="694BE208">
            <w:pPr>
              <w:jc w:val="left"/>
              <w:rPr>
                <w:rFonts w:hint="eastAsia" w:ascii="宋体" w:hAnsi="宋体" w:cs="宋体"/>
                <w:kern w:val="0"/>
                <w:sz w:val="24"/>
                <w:szCs w:val="24"/>
                <w:lang w:val="en-US" w:eastAsia="zh-CN" w:bidi="ar"/>
              </w:rPr>
            </w:pPr>
          </w:p>
        </w:tc>
        <w:tc>
          <w:tcPr>
            <w:tcW w:w="1458" w:type="pct"/>
            <w:vMerge w:val="continue"/>
            <w:noWrap w:val="0"/>
            <w:vAlign w:val="center"/>
          </w:tcPr>
          <w:p w14:paraId="58A2ADDE">
            <w:pPr>
              <w:spacing w:line="400" w:lineRule="exact"/>
              <w:jc w:val="left"/>
              <w:rPr>
                <w:rFonts w:hint="eastAsia" w:ascii="宋体" w:hAnsi="宋体" w:cs="宋体"/>
                <w:kern w:val="0"/>
                <w:sz w:val="24"/>
                <w:szCs w:val="24"/>
                <w:lang w:val="en-US" w:eastAsia="zh-CN" w:bidi="ar"/>
              </w:rPr>
            </w:pPr>
          </w:p>
        </w:tc>
        <w:tc>
          <w:tcPr>
            <w:tcW w:w="413" w:type="pct"/>
            <w:noWrap w:val="0"/>
            <w:vAlign w:val="center"/>
          </w:tcPr>
          <w:p w14:paraId="7C08ED1D">
            <w:pPr>
              <w:keepNext w:val="0"/>
              <w:keepLines w:val="0"/>
              <w:widowControl/>
              <w:suppressLineNumbers w:val="0"/>
              <w:spacing w:line="400" w:lineRule="exact"/>
              <w:jc w:val="center"/>
              <w:textAlignment w:val="auto"/>
              <w:rPr>
                <w:rFonts w:hint="eastAsia" w:ascii="宋体" w:hAnsi="宋体" w:eastAsia="宋体" w:cs="宋体"/>
                <w:i w:val="0"/>
                <w:kern w:val="2"/>
                <w:sz w:val="24"/>
                <w:szCs w:val="24"/>
                <w:u w:val="none"/>
                <w:lang w:val="en-US" w:eastAsia="zh-CN" w:bidi="ar"/>
              </w:rPr>
            </w:pPr>
            <w:r>
              <w:rPr>
                <w:rFonts w:hint="eastAsia" w:ascii="宋体" w:hAnsi="宋体" w:eastAsia="宋体" w:cs="宋体"/>
                <w:color w:val="auto"/>
                <w:sz w:val="24"/>
                <w:szCs w:val="24"/>
                <w:highlight w:val="none"/>
                <w:lang w:val="en-US" w:eastAsia="zh-CN"/>
              </w:rPr>
              <w:t>较重</w:t>
            </w:r>
          </w:p>
        </w:tc>
        <w:tc>
          <w:tcPr>
            <w:tcW w:w="1240" w:type="pct"/>
            <w:noWrap w:val="0"/>
            <w:vAlign w:val="center"/>
          </w:tcPr>
          <w:p w14:paraId="7D9E9235">
            <w:pPr>
              <w:keepNext w:val="0"/>
              <w:keepLines w:val="0"/>
              <w:widowControl/>
              <w:suppressLineNumbers w:val="0"/>
              <w:spacing w:line="400" w:lineRule="exact"/>
              <w:jc w:val="left"/>
              <w:textAlignment w:val="auto"/>
              <w:rPr>
                <w:rFonts w:hint="default" w:ascii="宋体" w:hAnsi="宋体" w:eastAsia="宋体" w:cs="宋体"/>
                <w:i w:val="0"/>
                <w:color w:val="FF0000"/>
                <w:kern w:val="2"/>
                <w:sz w:val="24"/>
                <w:szCs w:val="24"/>
                <w:u w:val="none"/>
                <w:lang w:val="en-US" w:eastAsia="zh-CN" w:bidi="ar"/>
              </w:rPr>
            </w:pPr>
            <w:r>
              <w:rPr>
                <w:rFonts w:hint="default" w:ascii="宋体" w:hAnsi="宋体" w:cs="宋体"/>
                <w:i w:val="0"/>
                <w:kern w:val="2"/>
                <w:sz w:val="24"/>
                <w:szCs w:val="24"/>
                <w:u w:val="none"/>
                <w:lang w:val="en-US" w:eastAsia="zh-CN" w:bidi="ar"/>
              </w:rPr>
              <w:t>造成食品或者食品原料浪费，货值金额</w:t>
            </w:r>
            <w:r>
              <w:rPr>
                <w:rFonts w:hint="eastAsia" w:ascii="宋体" w:hAnsi="宋体" w:cs="宋体"/>
                <w:i w:val="0"/>
                <w:kern w:val="2"/>
                <w:sz w:val="24"/>
                <w:szCs w:val="24"/>
                <w:u w:val="none"/>
                <w:lang w:val="en-US" w:eastAsia="zh-CN" w:bidi="ar"/>
              </w:rPr>
              <w:t>1万元以上</w:t>
            </w:r>
            <w:r>
              <w:rPr>
                <w:rFonts w:hint="default" w:ascii="宋体" w:hAnsi="宋体" w:cs="宋体"/>
                <w:i w:val="0"/>
                <w:kern w:val="2"/>
                <w:sz w:val="24"/>
                <w:szCs w:val="24"/>
                <w:u w:val="none"/>
                <w:lang w:val="en-US" w:eastAsia="zh-CN" w:bidi="ar"/>
              </w:rPr>
              <w:t>，拒不改正的</w:t>
            </w:r>
            <w:r>
              <w:rPr>
                <w:rFonts w:hint="eastAsia" w:ascii="宋体" w:hAnsi="宋体" w:cs="宋体"/>
                <w:i w:val="0"/>
                <w:kern w:val="2"/>
                <w:sz w:val="24"/>
                <w:szCs w:val="24"/>
                <w:u w:val="none"/>
                <w:lang w:val="en-US" w:eastAsia="zh-CN" w:bidi="ar"/>
              </w:rPr>
              <w:t>。</w:t>
            </w:r>
          </w:p>
        </w:tc>
        <w:tc>
          <w:tcPr>
            <w:tcW w:w="1038" w:type="pct"/>
            <w:noWrap w:val="0"/>
            <w:vAlign w:val="center"/>
          </w:tcPr>
          <w:p w14:paraId="6723C9B5">
            <w:pPr>
              <w:keepNext w:val="0"/>
              <w:keepLines w:val="0"/>
              <w:widowControl/>
              <w:suppressLineNumbers w:val="0"/>
              <w:spacing w:line="400" w:lineRule="exact"/>
              <w:jc w:val="left"/>
              <w:textAlignment w:val="auto"/>
              <w:rPr>
                <w:rFonts w:hint="default" w:ascii="宋体" w:hAnsi="宋体" w:eastAsia="宋体" w:cs="宋体"/>
                <w:i w:val="0"/>
                <w:color w:val="FF0000"/>
                <w:kern w:val="2"/>
                <w:sz w:val="24"/>
                <w:szCs w:val="24"/>
                <w:u w:val="none"/>
                <w:lang w:val="en-US" w:eastAsia="zh-CN" w:bidi="ar"/>
              </w:rPr>
            </w:pPr>
            <w:r>
              <w:rPr>
                <w:rFonts w:hint="eastAsia" w:ascii="宋体" w:hAnsi="宋体" w:cs="宋体"/>
                <w:i w:val="0"/>
                <w:kern w:val="2"/>
                <w:sz w:val="24"/>
                <w:szCs w:val="24"/>
                <w:u w:val="none"/>
                <w:lang w:val="en-US" w:eastAsia="zh-CN" w:bidi="ar"/>
              </w:rPr>
              <w:t>处3.65万元以上5万元以下罚款。</w:t>
            </w:r>
          </w:p>
        </w:tc>
      </w:tr>
    </w:tbl>
    <w:p w14:paraId="0C868ECD"/>
    <w:p w14:paraId="282E7EB0">
      <w:pPr>
        <w:rPr>
          <w:rFonts w:hint="eastAsia" w:ascii="宋体" w:hAnsi="宋体" w:cs="宋体"/>
          <w:sz w:val="24"/>
        </w:rPr>
      </w:pPr>
    </w:p>
    <w:sectPr>
      <w:footerReference r:id="rId13" w:type="default"/>
      <w:pgSz w:w="16838" w:h="11906" w:orient="landscape"/>
      <w:pgMar w:top="1417" w:right="1417" w:bottom="1417" w:left="1417" w:header="851" w:footer="1077" w:gutter="0"/>
      <w:pgBorders>
        <w:top w:val="none" w:sz="0" w:space="0"/>
        <w:left w:val="none" w:sz="0" w:space="0"/>
        <w:bottom w:val="none" w:sz="0" w:space="0"/>
        <w:right w:val="none" w:sz="0" w:space="0"/>
      </w:pgBorders>
      <w:pgNumType w:fmt="decimal"/>
      <w:cols w:space="0" w:num="1"/>
      <w:rtlGutter w:val="0"/>
      <w:docGrid w:linePitch="31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9B95860-59CF-450D-A9FD-3FE0E061F41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2DDB50B3-1491-49FF-BE8C-75F425829092}"/>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3" w:fontKey="{865C350A-7407-4140-BC2D-488EB1513F8C}"/>
  </w:font>
  <w:font w:name="仿宋_GB2312">
    <w:panose1 w:val="02010609030101010101"/>
    <w:charset w:val="86"/>
    <w:family w:val="auto"/>
    <w:pitch w:val="default"/>
    <w:sig w:usb0="00000001" w:usb1="080E0000" w:usb2="00000000" w:usb3="00000000" w:csb0="00040000" w:csb1="00000000"/>
    <w:embedRegular r:id="rId4" w:fontKey="{1DADD405-E7B9-4165-8724-2BC1A1007627}"/>
  </w:font>
  <w:font w:name="Nimbus Roman No9 L">
    <w:altName w:val="微软雅黑"/>
    <w:panose1 w:val="00000000000000000000"/>
    <w:charset w:val="00"/>
    <w:family w:val="auto"/>
    <w:pitch w:val="default"/>
    <w:sig w:usb0="00000000" w:usb1="00000000" w:usb2="00000000" w:usb3="00000000" w:csb0="00040001" w:csb1="00000000"/>
    <w:embedRegular r:id="rId5" w:fontKey="{88623745-D64E-428D-83C0-FF202FD88D5A}"/>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3AD90">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1035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F1035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01306">
    <w:pPr>
      <w:pStyle w:val="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762A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F762A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9452E">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B6AF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0B6AF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101</w:t>
                    </w:r>
                    <w:r>
                      <w:rPr>
                        <w:rFonts w:hint="default" w:ascii="Times New Roman" w:hAnsi="Times New Roman" w:cs="Times New Roman"/>
                        <w:sz w:val="24"/>
                        <w:szCs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D4A33">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23784C">
                          <w:pPr>
                            <w:widowControl w:val="0"/>
                            <w:tabs>
                              <w:tab w:val="center" w:pos="4153"/>
                              <w:tab w:val="right" w:pos="8306"/>
                            </w:tabs>
                            <w:snapToGrid w:val="0"/>
                            <w:jc w:val="left"/>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fldChar w:fldCharType="begin"/>
                          </w:r>
                          <w:r>
                            <w:rPr>
                              <w:rFonts w:hint="default" w:ascii="Times New Roman" w:hAnsi="Times New Roman" w:eastAsia="宋体" w:cs="Times New Roman"/>
                              <w:kern w:val="2"/>
                              <w:sz w:val="24"/>
                              <w:szCs w:val="24"/>
                              <w:lang w:val="en-US" w:eastAsia="zh-CN" w:bidi="ar-SA"/>
                            </w:rPr>
                            <w:instrText xml:space="preserve">PAGE  </w:instrText>
                          </w:r>
                          <w:r>
                            <w:rPr>
                              <w:rFonts w:hint="default"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1</w:t>
                          </w:r>
                          <w:r>
                            <w:rPr>
                              <w:rFonts w:hint="default" w:ascii="Times New Roman" w:hAnsi="Times New Roman" w:eastAsia="宋体" w:cs="Times New Roman"/>
                              <w:kern w:val="2"/>
                              <w:sz w:val="24"/>
                              <w:szCs w:val="24"/>
                              <w:lang w:val="en-US" w:eastAsia="zh-CN" w:bidi="ar-SA"/>
                            </w:rPr>
                            <w:fldChar w:fldCharType="end"/>
                          </w:r>
                        </w:p>
                        <w:p w14:paraId="4B438403">
                          <w:pPr>
                            <w:rPr>
                              <w:rFonts w:hint="default" w:ascii="Times New Roman" w:hAnsi="Times New Roman" w:cs="Times New Roman"/>
                              <w:sz w:val="24"/>
                              <w:szCs w:val="24"/>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323784C">
                    <w:pPr>
                      <w:widowControl w:val="0"/>
                      <w:tabs>
                        <w:tab w:val="center" w:pos="4153"/>
                        <w:tab w:val="right" w:pos="8306"/>
                      </w:tabs>
                      <w:snapToGrid w:val="0"/>
                      <w:jc w:val="left"/>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fldChar w:fldCharType="begin"/>
                    </w:r>
                    <w:r>
                      <w:rPr>
                        <w:rFonts w:hint="default" w:ascii="Times New Roman" w:hAnsi="Times New Roman" w:eastAsia="宋体" w:cs="Times New Roman"/>
                        <w:kern w:val="2"/>
                        <w:sz w:val="24"/>
                        <w:szCs w:val="24"/>
                        <w:lang w:val="en-US" w:eastAsia="zh-CN" w:bidi="ar-SA"/>
                      </w:rPr>
                      <w:instrText xml:space="preserve">PAGE  </w:instrText>
                    </w:r>
                    <w:r>
                      <w:rPr>
                        <w:rFonts w:hint="default"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1</w:t>
                    </w:r>
                    <w:r>
                      <w:rPr>
                        <w:rFonts w:hint="default" w:ascii="Times New Roman" w:hAnsi="Times New Roman" w:eastAsia="宋体" w:cs="Times New Roman"/>
                        <w:kern w:val="2"/>
                        <w:sz w:val="24"/>
                        <w:szCs w:val="24"/>
                        <w:lang w:val="en-US" w:eastAsia="zh-CN" w:bidi="ar-SA"/>
                      </w:rPr>
                      <w:fldChar w:fldCharType="end"/>
                    </w:r>
                  </w:p>
                  <w:p w14:paraId="4B438403">
                    <w:pPr>
                      <w:rPr>
                        <w:rFonts w:hint="default" w:ascii="Times New Roman" w:hAnsi="Times New Roman" w:cs="Times New Roman"/>
                        <w:sz w:val="24"/>
                        <w:szCs w:val="24"/>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7ACC7">
    <w:pPr>
      <w:framePr w:wrap="around" w:vAnchor="text" w:hAnchor="margin" w:xAlign="center" w:y="1"/>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w:fldChar w:fldCharType="begin"/>
    </w:r>
    <w:r>
      <w:rPr>
        <w:rFonts w:ascii="Calibri" w:hAnsi="Calibri" w:eastAsia="宋体" w:cs="Times New Roman"/>
        <w:kern w:val="2"/>
        <w:sz w:val="18"/>
        <w:szCs w:val="18"/>
        <w:lang w:val="en-US" w:eastAsia="zh-CN" w:bidi="ar-SA"/>
      </w:rPr>
      <w:instrText xml:space="preserve">PAGE  </w:instrText>
    </w:r>
    <w:r>
      <w:rPr>
        <w:rFonts w:ascii="Calibri" w:hAnsi="Calibri" w:eastAsia="宋体" w:cs="Times New Roman"/>
        <w:kern w:val="2"/>
        <w:sz w:val="18"/>
        <w:szCs w:val="18"/>
        <w:lang w:val="en-US" w:eastAsia="zh-CN" w:bidi="ar-SA"/>
      </w:rPr>
      <w:fldChar w:fldCharType="end"/>
    </w:r>
  </w:p>
  <w:p w14:paraId="06E32CB6">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72933">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8A5E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179</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8A5E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179</w:t>
                    </w:r>
                    <w:r>
                      <w:rPr>
                        <w:rFonts w:hint="default" w:ascii="Times New Roman" w:hAnsi="Times New Roman" w:cs="Times New Roman"/>
                        <w:sz w:val="24"/>
                        <w:szCs w:val="24"/>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4002A">
    <w:pPr>
      <w:pStyle w:val="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D00A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237</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9D00A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237</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D15A6">
    <w:pPr>
      <w:pStyle w:val="6"/>
    </w:pPr>
    <w:r>
      <w:rPr>
        <w:sz w:val="18"/>
      </w:rPr>
      <w:pict>
        <v:shape id="PowerPlusWaterMarkObject658541" o:spid="_x0000_s2085" o:spt="136" type="#_x0000_t136" style="position:absolute;left:0pt;height:55.35pt;width:466.35pt;mso-position-horizontal:center;mso-position-horizontal-relative:margin;mso-position-vertical:center;mso-position-vertical-relative:margin;rotation:-2949120f;z-index:-251651072;mso-width-relative:page;mso-height-relative:page;" fillcolor="#C0C0C0" filled="t" stroked="f" coordsize="21600,21600" adj="10800">
          <v:path/>
          <v:fill on="t" opacity="32768f" focussize="0,0"/>
          <v:stroke on="f"/>
          <v:imagedata o:title=""/>
          <o:lock v:ext="edit" aspectratio="t"/>
          <v:textpath on="t" fitpath="t" trim="t" xscale="f" string="行政处罚裁量权适用规则" style="font-family:华文中宋;font-size:55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65287">
    <w:pPr>
      <w:widowControl w:val="0"/>
      <w:pBdr>
        <w:bottom w:val="none" w:color="auto" w:sz="0" w:space="0"/>
      </w:pBdr>
      <w:tabs>
        <w:tab w:val="center" w:pos="4153"/>
        <w:tab w:val="right" w:pos="8306"/>
      </w:tabs>
      <w:snapToGrid w:val="0"/>
      <w:jc w:val="center"/>
      <w:rPr>
        <w:rFonts w:ascii="Times New Roman" w:hAnsi="Times New Roman" w:eastAsia="宋体" w:cs="Times New Roman"/>
        <w:kern w:val="2"/>
        <w:sz w:val="18"/>
        <w:szCs w:val="18"/>
        <w:lang w:val="en-US" w:eastAsia="zh-CN" w:bidi="ar-SA"/>
      </w:rPr>
    </w:pPr>
    <w:r>
      <w:rPr>
        <w:sz w:val="18"/>
      </w:rPr>
      <w:pict>
        <v:shape id="PowerPlusWaterMarkObject692853" o:spid="_x0000_s2086" o:spt="136" type="#_x0000_t136" style="position:absolute;left:0pt;height:55.35pt;width:466.35pt;mso-position-horizontal:center;mso-position-horizontal-relative:margin;mso-position-vertical:center;mso-position-vertical-relative:margin;rotation:-2949120f;z-index:-251650048;mso-width-relative:page;mso-height-relative:page;" fillcolor="#C0C0C0" filled="t" stroked="f" coordsize="21600,21600" adj="10800">
          <v:path/>
          <v:fill on="t" opacity="32768f" focussize="0,0"/>
          <v:stroke on="f"/>
          <v:imagedata o:title=""/>
          <o:lock v:ext="edit" aspectratio="t"/>
          <v:textpath on="t" fitpath="t" trim="t" xscale="f" string="行政处罚裁量权适用规则" style="font-family:华文中宋;font-size:55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878F4">
    <w:pPr>
      <w:widowControl w:val="0"/>
      <w:pBdr>
        <w:bottom w:val="none" w:color="auto" w:sz="0" w:space="0"/>
      </w:pBdr>
      <w:tabs>
        <w:tab w:val="center" w:pos="4153"/>
        <w:tab w:val="right" w:pos="8306"/>
      </w:tabs>
      <w:snapToGrid w:val="0"/>
      <w:jc w:val="center"/>
      <w:rPr>
        <w:rFonts w:ascii="Times New Roman" w:hAnsi="Times New Roman" w:eastAsia="宋体" w:cs="Times New Roman"/>
        <w:kern w:val="2"/>
        <w:sz w:val="18"/>
        <w:szCs w:val="18"/>
        <w:lang w:val="en-US" w:eastAsia="zh-CN" w:bidi="ar-SA"/>
      </w:rPr>
    </w:pPr>
    <w:r>
      <w:rPr>
        <w:sz w:val="18"/>
      </w:rPr>
      <w:pict>
        <v:shape id="PowerPlusWaterMarkObject708142" o:spid="_x0000_s2087" o:spt="136" type="#_x0000_t136" style="position:absolute;left:0pt;height:55.35pt;width:466.35pt;mso-position-horizontal:center;mso-position-horizontal-relative:margin;mso-position-vertical:center;mso-position-vertical-relative:margin;rotation:-2949120f;z-index:-251649024;mso-width-relative:page;mso-height-relative:page;" fillcolor="#C0C0C0" filled="t" stroked="f" coordsize="21600,21600" adj="10800">
          <v:path/>
          <v:fill on="t" opacity="32768f" focussize="0,0"/>
          <v:stroke on="f"/>
          <v:imagedata o:title=""/>
          <o:lock v:ext="edit" aspectratio="t"/>
          <v:textpath on="t" fitpath="t" trim="t" xscale="f" string="行政处罚裁量权适用规则" style="font-family:华文中宋;font-size:55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92B23">
    <w:pPr>
      <w:widowControl w:val="0"/>
      <w:pBdr>
        <w:bottom w:val="none" w:color="auto" w:sz="0" w:space="0"/>
      </w:pBdr>
      <w:tabs>
        <w:tab w:val="center" w:pos="4153"/>
        <w:tab w:val="right" w:pos="8306"/>
      </w:tabs>
      <w:snapToGrid w:val="0"/>
      <w:jc w:val="center"/>
      <w:rPr>
        <w:rFonts w:ascii="Times New Roman" w:hAnsi="Times New Roman" w:eastAsia="宋体" w:cs="Times New Roman"/>
        <w:kern w:val="2"/>
        <w:sz w:val="18"/>
        <w:szCs w:val="18"/>
        <w:lang w:val="en-US" w:eastAsia="zh-CN" w:bidi="ar-SA"/>
      </w:rPr>
    </w:pPr>
    <w:r>
      <w:rPr>
        <w:sz w:val="18"/>
      </w:rPr>
      <w:pict>
        <v:shape id="PowerPlusWaterMarkObject740590" o:spid="_x0000_s2088" o:spt="136" type="#_x0000_t136" style="position:absolute;left:0pt;height:55.35pt;width:466.35pt;mso-position-horizontal:center;mso-position-horizontal-relative:margin;mso-position-vertical:center;mso-position-vertical-relative:margin;rotation:-2949120f;z-index:-251648000;mso-width-relative:page;mso-height-relative:page;" fillcolor="#C0C0C0" filled="t" stroked="f" coordsize="21600,21600" adj="10800">
          <v:path/>
          <v:fill on="t" opacity="32768f" focussize="0,0"/>
          <v:stroke on="f"/>
          <v:imagedata o:title=""/>
          <o:lock v:ext="edit" aspectratio="t"/>
          <v:textpath on="t" fitpath="t" trim="t" xscale="f" string="行政处罚裁量权适用规则" style="font-family:华文中宋;font-size:55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82A8DC"/>
    <w:multiLevelType w:val="singleLevel"/>
    <w:tmpl w:val="8482A8DC"/>
    <w:lvl w:ilvl="0" w:tentative="0">
      <w:start w:val="1"/>
      <w:numFmt w:val="chineseCounting"/>
      <w:suff w:val="nothing"/>
      <w:lvlText w:val="（%1）"/>
      <w:lvlJc w:val="left"/>
      <w:rPr>
        <w:rFonts w:hint="eastAsia"/>
      </w:rPr>
    </w:lvl>
  </w:abstractNum>
  <w:abstractNum w:abstractNumId="1">
    <w:nsid w:val="033C5270"/>
    <w:multiLevelType w:val="multilevel"/>
    <w:tmpl w:val="033C5270"/>
    <w:lvl w:ilvl="0" w:tentative="0">
      <w:start w:val="1"/>
      <w:numFmt w:val="decimalEnclosedParen"/>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4C63A07"/>
    <w:multiLevelType w:val="singleLevel"/>
    <w:tmpl w:val="14C63A07"/>
    <w:lvl w:ilvl="0" w:tentative="0">
      <w:start w:val="1"/>
      <w:numFmt w:val="chineseCounting"/>
      <w:suff w:val="nothing"/>
      <w:lvlText w:val="（%1）"/>
      <w:lvlJc w:val="left"/>
      <w:rPr>
        <w:rFonts w:hint="eastAsia"/>
      </w:rPr>
    </w:lvl>
  </w:abstractNum>
  <w:abstractNum w:abstractNumId="3">
    <w:nsid w:val="1B1C754D"/>
    <w:multiLevelType w:val="singleLevel"/>
    <w:tmpl w:val="1B1C754D"/>
    <w:lvl w:ilvl="0" w:tentative="0">
      <w:start w:val="1"/>
      <w:numFmt w:val="chineseCounting"/>
      <w:suff w:val="nothing"/>
      <w:lvlText w:val="（%1）"/>
      <w:lvlJc w:val="left"/>
      <w:rPr>
        <w:rFonts w:hint="eastAsia"/>
      </w:rPr>
    </w:lvl>
  </w:abstractNum>
  <w:abstractNum w:abstractNumId="4">
    <w:nsid w:val="653D4A98"/>
    <w:multiLevelType w:val="singleLevel"/>
    <w:tmpl w:val="653D4A98"/>
    <w:lvl w:ilvl="0" w:tentative="0">
      <w:start w:val="1"/>
      <w:numFmt w:val="chineseCounting"/>
      <w:suff w:val="nothing"/>
      <w:lvlText w:val="（%1）"/>
      <w:lvlJc w:val="left"/>
      <w:rPr>
        <w:rFonts w:hint="eastAsia"/>
      </w:rPr>
    </w:lvl>
  </w:abstractNum>
  <w:abstractNum w:abstractNumId="5">
    <w:nsid w:val="72608415"/>
    <w:multiLevelType w:val="singleLevel"/>
    <w:tmpl w:val="72608415"/>
    <w:lvl w:ilvl="0" w:tentative="0">
      <w:start w:val="1"/>
      <w:numFmt w:val="chineseCounting"/>
      <w:suff w:val="nothing"/>
      <w:lvlText w:val="（%1）"/>
      <w:lvlJc w:val="left"/>
      <w:rPr>
        <w:rFonts w:hint="eastAsia"/>
      </w:rPr>
    </w:lvl>
  </w:abstractNum>
  <w:abstractNum w:abstractNumId="6">
    <w:nsid w:val="7B7E9417"/>
    <w:multiLevelType w:val="singleLevel"/>
    <w:tmpl w:val="7B7E9417"/>
    <w:lvl w:ilvl="0" w:tentative="0">
      <w:start w:val="1"/>
      <w:numFmt w:val="chineseCounting"/>
      <w:suff w:val="space"/>
      <w:lvlText w:val="第%1章"/>
      <w:lvlJc w:val="left"/>
      <w:rPr>
        <w:rFonts w:hint="eastAsia"/>
      </w:rPr>
    </w:lvl>
  </w:abstractNum>
  <w:num w:numId="1">
    <w:abstractNumId w:val="6"/>
  </w:num>
  <w:num w:numId="2">
    <w:abstractNumId w:val="5"/>
  </w:num>
  <w:num w:numId="3">
    <w:abstractNumId w:val="3"/>
  </w:num>
  <w:num w:numId="4">
    <w:abstractNumId w:val="0"/>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dit="readOnly" w:formatting="1" w:enforcement="1" w:cryptProviderType="rsaFull" w:cryptAlgorithmClass="hash" w:cryptAlgorithmType="typeAny" w:cryptAlgorithmSid="4" w:cryptSpinCount="0" w:hash="hbOx71FKjpsps8gHlJHwyQnxq2w=" w:salt="1nvu1GQHR5hqv+xun1/qOA=="/>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xOTRlODBhMjY5NmM1MjkyNzk2MTdjYjE0NjM0ZmIifQ=="/>
  </w:docVars>
  <w:rsids>
    <w:rsidRoot w:val="00172A27"/>
    <w:rsid w:val="000825D2"/>
    <w:rsid w:val="00157EEA"/>
    <w:rsid w:val="001E1793"/>
    <w:rsid w:val="004313B3"/>
    <w:rsid w:val="01CA5480"/>
    <w:rsid w:val="02331ABF"/>
    <w:rsid w:val="029E6883"/>
    <w:rsid w:val="02A67906"/>
    <w:rsid w:val="02F84B7A"/>
    <w:rsid w:val="03735EBA"/>
    <w:rsid w:val="03FB660C"/>
    <w:rsid w:val="044D21D5"/>
    <w:rsid w:val="04F37321"/>
    <w:rsid w:val="051E0BD4"/>
    <w:rsid w:val="054D6EE5"/>
    <w:rsid w:val="05F35C4C"/>
    <w:rsid w:val="06141A4E"/>
    <w:rsid w:val="06321029"/>
    <w:rsid w:val="06400C4E"/>
    <w:rsid w:val="06A12314"/>
    <w:rsid w:val="072639A0"/>
    <w:rsid w:val="0746739A"/>
    <w:rsid w:val="0790350F"/>
    <w:rsid w:val="07A50D69"/>
    <w:rsid w:val="0808579C"/>
    <w:rsid w:val="081A6159"/>
    <w:rsid w:val="087F02A4"/>
    <w:rsid w:val="0995305F"/>
    <w:rsid w:val="09A137B2"/>
    <w:rsid w:val="09AF4121"/>
    <w:rsid w:val="09DE7AC9"/>
    <w:rsid w:val="0A00497C"/>
    <w:rsid w:val="0A337AB8"/>
    <w:rsid w:val="0A5C592B"/>
    <w:rsid w:val="0B397A56"/>
    <w:rsid w:val="0C7C707B"/>
    <w:rsid w:val="0CE2641C"/>
    <w:rsid w:val="0D1F5436"/>
    <w:rsid w:val="0D810A42"/>
    <w:rsid w:val="0DFF319D"/>
    <w:rsid w:val="0E255622"/>
    <w:rsid w:val="0EB45EBB"/>
    <w:rsid w:val="0ED174EF"/>
    <w:rsid w:val="0EFB1BB6"/>
    <w:rsid w:val="0F264E85"/>
    <w:rsid w:val="0FC1695C"/>
    <w:rsid w:val="109C4CD3"/>
    <w:rsid w:val="1108036E"/>
    <w:rsid w:val="112847B9"/>
    <w:rsid w:val="117874EE"/>
    <w:rsid w:val="11925667"/>
    <w:rsid w:val="11CC783A"/>
    <w:rsid w:val="12797E0D"/>
    <w:rsid w:val="12B4677B"/>
    <w:rsid w:val="13182BCB"/>
    <w:rsid w:val="131B58C0"/>
    <w:rsid w:val="133253C2"/>
    <w:rsid w:val="140416B0"/>
    <w:rsid w:val="14593607"/>
    <w:rsid w:val="14911A24"/>
    <w:rsid w:val="15086DDB"/>
    <w:rsid w:val="16491459"/>
    <w:rsid w:val="17BD5C5B"/>
    <w:rsid w:val="17F32578"/>
    <w:rsid w:val="18694035"/>
    <w:rsid w:val="18982224"/>
    <w:rsid w:val="19342C96"/>
    <w:rsid w:val="195A6195"/>
    <w:rsid w:val="199D7C7C"/>
    <w:rsid w:val="1A404631"/>
    <w:rsid w:val="1B0E3617"/>
    <w:rsid w:val="1B112B40"/>
    <w:rsid w:val="1B216501"/>
    <w:rsid w:val="1B8B6070"/>
    <w:rsid w:val="1B8C0BFB"/>
    <w:rsid w:val="1C815AAD"/>
    <w:rsid w:val="1D8056EC"/>
    <w:rsid w:val="1DA91AD1"/>
    <w:rsid w:val="1FA27C17"/>
    <w:rsid w:val="1FA85442"/>
    <w:rsid w:val="202645B9"/>
    <w:rsid w:val="20C507DE"/>
    <w:rsid w:val="20D20B4C"/>
    <w:rsid w:val="20F82978"/>
    <w:rsid w:val="2186530F"/>
    <w:rsid w:val="21C734C9"/>
    <w:rsid w:val="222114DC"/>
    <w:rsid w:val="225A0EC8"/>
    <w:rsid w:val="23493AF3"/>
    <w:rsid w:val="242B219E"/>
    <w:rsid w:val="25227A45"/>
    <w:rsid w:val="25465A38"/>
    <w:rsid w:val="265F73DB"/>
    <w:rsid w:val="26BA1011"/>
    <w:rsid w:val="27653443"/>
    <w:rsid w:val="278A752B"/>
    <w:rsid w:val="278D58F1"/>
    <w:rsid w:val="27E70274"/>
    <w:rsid w:val="282671AD"/>
    <w:rsid w:val="28A349F9"/>
    <w:rsid w:val="291E07E8"/>
    <w:rsid w:val="29885254"/>
    <w:rsid w:val="2A151926"/>
    <w:rsid w:val="2A224043"/>
    <w:rsid w:val="2A2B6A1C"/>
    <w:rsid w:val="2A57522E"/>
    <w:rsid w:val="2AFD7391"/>
    <w:rsid w:val="2B2F6A18"/>
    <w:rsid w:val="2B306B53"/>
    <w:rsid w:val="2B4104F9"/>
    <w:rsid w:val="2B585F6F"/>
    <w:rsid w:val="2C147010"/>
    <w:rsid w:val="2CE0789D"/>
    <w:rsid w:val="2D0A2489"/>
    <w:rsid w:val="2D2D08F5"/>
    <w:rsid w:val="2DBA26E9"/>
    <w:rsid w:val="2DF61C71"/>
    <w:rsid w:val="2E402DEC"/>
    <w:rsid w:val="2E567A36"/>
    <w:rsid w:val="2ED31DB0"/>
    <w:rsid w:val="2F4862FA"/>
    <w:rsid w:val="2F6C4748"/>
    <w:rsid w:val="2FCFC847"/>
    <w:rsid w:val="304C53A0"/>
    <w:rsid w:val="30656F2D"/>
    <w:rsid w:val="30B71989"/>
    <w:rsid w:val="30F57DBC"/>
    <w:rsid w:val="310B05C5"/>
    <w:rsid w:val="31886E82"/>
    <w:rsid w:val="32057FAF"/>
    <w:rsid w:val="32454D73"/>
    <w:rsid w:val="326E5ED6"/>
    <w:rsid w:val="32D05FFA"/>
    <w:rsid w:val="33036D4E"/>
    <w:rsid w:val="33823918"/>
    <w:rsid w:val="33845AEF"/>
    <w:rsid w:val="340334C8"/>
    <w:rsid w:val="340E1ED8"/>
    <w:rsid w:val="347C279D"/>
    <w:rsid w:val="34C332C2"/>
    <w:rsid w:val="351A70D9"/>
    <w:rsid w:val="35364DC0"/>
    <w:rsid w:val="35505F08"/>
    <w:rsid w:val="35AC6B04"/>
    <w:rsid w:val="35AD5109"/>
    <w:rsid w:val="361623BB"/>
    <w:rsid w:val="36527A5E"/>
    <w:rsid w:val="375401FF"/>
    <w:rsid w:val="37976071"/>
    <w:rsid w:val="37E01B24"/>
    <w:rsid w:val="384C6D45"/>
    <w:rsid w:val="38583842"/>
    <w:rsid w:val="3880055C"/>
    <w:rsid w:val="39A86313"/>
    <w:rsid w:val="3A62288E"/>
    <w:rsid w:val="3BAC7C11"/>
    <w:rsid w:val="3BAD7F75"/>
    <w:rsid w:val="3BC97B6B"/>
    <w:rsid w:val="3BD9707D"/>
    <w:rsid w:val="3BE36D25"/>
    <w:rsid w:val="3BE87BBC"/>
    <w:rsid w:val="3CE277AA"/>
    <w:rsid w:val="3D037D04"/>
    <w:rsid w:val="3D347EBE"/>
    <w:rsid w:val="3FAE21A9"/>
    <w:rsid w:val="3FD57736"/>
    <w:rsid w:val="40B304B6"/>
    <w:rsid w:val="40BA4FFC"/>
    <w:rsid w:val="40DD1BA7"/>
    <w:rsid w:val="40E17AB8"/>
    <w:rsid w:val="40F80D1D"/>
    <w:rsid w:val="41396232"/>
    <w:rsid w:val="41C9707C"/>
    <w:rsid w:val="41DE664A"/>
    <w:rsid w:val="423821FE"/>
    <w:rsid w:val="423B48AC"/>
    <w:rsid w:val="425F6C81"/>
    <w:rsid w:val="42B5384F"/>
    <w:rsid w:val="42DC6189"/>
    <w:rsid w:val="436000E9"/>
    <w:rsid w:val="44A25A57"/>
    <w:rsid w:val="44C73F93"/>
    <w:rsid w:val="454F7BC0"/>
    <w:rsid w:val="45A30FEF"/>
    <w:rsid w:val="45F5631C"/>
    <w:rsid w:val="46453FE0"/>
    <w:rsid w:val="4670640B"/>
    <w:rsid w:val="46F90FF1"/>
    <w:rsid w:val="47051512"/>
    <w:rsid w:val="479543C1"/>
    <w:rsid w:val="481D4BC7"/>
    <w:rsid w:val="48213833"/>
    <w:rsid w:val="489327D5"/>
    <w:rsid w:val="48AB0837"/>
    <w:rsid w:val="49C014F6"/>
    <w:rsid w:val="49EB2567"/>
    <w:rsid w:val="4C0069ED"/>
    <w:rsid w:val="4C1B6FEB"/>
    <w:rsid w:val="4CA87F80"/>
    <w:rsid w:val="4D242602"/>
    <w:rsid w:val="4D292E6F"/>
    <w:rsid w:val="4E3F7F96"/>
    <w:rsid w:val="4E467A51"/>
    <w:rsid w:val="4E805C4A"/>
    <w:rsid w:val="4E854906"/>
    <w:rsid w:val="4EFF5367"/>
    <w:rsid w:val="4F112B8A"/>
    <w:rsid w:val="4F7B60EA"/>
    <w:rsid w:val="4FD03A76"/>
    <w:rsid w:val="4FED2036"/>
    <w:rsid w:val="504A510F"/>
    <w:rsid w:val="507A3DC5"/>
    <w:rsid w:val="508F56DF"/>
    <w:rsid w:val="512D283B"/>
    <w:rsid w:val="51531C7D"/>
    <w:rsid w:val="515F1555"/>
    <w:rsid w:val="52287B99"/>
    <w:rsid w:val="52344790"/>
    <w:rsid w:val="527F01CB"/>
    <w:rsid w:val="52A82A88"/>
    <w:rsid w:val="53386245"/>
    <w:rsid w:val="537F430A"/>
    <w:rsid w:val="53D1600F"/>
    <w:rsid w:val="54B71F4C"/>
    <w:rsid w:val="54F82A3E"/>
    <w:rsid w:val="554A42CB"/>
    <w:rsid w:val="557D2BEB"/>
    <w:rsid w:val="55D1679A"/>
    <w:rsid w:val="56436613"/>
    <w:rsid w:val="56442DED"/>
    <w:rsid w:val="567A473C"/>
    <w:rsid w:val="57224AFB"/>
    <w:rsid w:val="57715B3F"/>
    <w:rsid w:val="579569BD"/>
    <w:rsid w:val="57A57CB0"/>
    <w:rsid w:val="57BE7443"/>
    <w:rsid w:val="58042588"/>
    <w:rsid w:val="58620CA6"/>
    <w:rsid w:val="590A0482"/>
    <w:rsid w:val="590D6E39"/>
    <w:rsid w:val="59271254"/>
    <w:rsid w:val="5951525B"/>
    <w:rsid w:val="595C3B97"/>
    <w:rsid w:val="59605E6B"/>
    <w:rsid w:val="5A0A231D"/>
    <w:rsid w:val="5A133032"/>
    <w:rsid w:val="5A14581C"/>
    <w:rsid w:val="5B0B7086"/>
    <w:rsid w:val="5B4C6D34"/>
    <w:rsid w:val="5BE07CF7"/>
    <w:rsid w:val="5C9A1A2A"/>
    <w:rsid w:val="5E0B4AD1"/>
    <w:rsid w:val="5E9D0310"/>
    <w:rsid w:val="5ED625D0"/>
    <w:rsid w:val="5F4319DC"/>
    <w:rsid w:val="5F4B3119"/>
    <w:rsid w:val="5FCA14BD"/>
    <w:rsid w:val="5FD21144"/>
    <w:rsid w:val="60A2320D"/>
    <w:rsid w:val="60A35B19"/>
    <w:rsid w:val="616218C1"/>
    <w:rsid w:val="62046FFE"/>
    <w:rsid w:val="621D6B4E"/>
    <w:rsid w:val="625D0965"/>
    <w:rsid w:val="62DE6052"/>
    <w:rsid w:val="63495A74"/>
    <w:rsid w:val="64362172"/>
    <w:rsid w:val="64A34065"/>
    <w:rsid w:val="66943931"/>
    <w:rsid w:val="672C1A82"/>
    <w:rsid w:val="67F44EF3"/>
    <w:rsid w:val="685B1A9D"/>
    <w:rsid w:val="68B25FB7"/>
    <w:rsid w:val="68B65AA7"/>
    <w:rsid w:val="69166546"/>
    <w:rsid w:val="6922095C"/>
    <w:rsid w:val="69531548"/>
    <w:rsid w:val="69AF0748"/>
    <w:rsid w:val="6A7214AF"/>
    <w:rsid w:val="6AE14931"/>
    <w:rsid w:val="6BFDE8B0"/>
    <w:rsid w:val="6C164AAF"/>
    <w:rsid w:val="6C4A0747"/>
    <w:rsid w:val="6C557385"/>
    <w:rsid w:val="6CB22A29"/>
    <w:rsid w:val="6CD73B89"/>
    <w:rsid w:val="6CF14580"/>
    <w:rsid w:val="6D795DE2"/>
    <w:rsid w:val="6D8F6EF9"/>
    <w:rsid w:val="6D927209"/>
    <w:rsid w:val="6DB67FFF"/>
    <w:rsid w:val="6E070B53"/>
    <w:rsid w:val="6E2C67EE"/>
    <w:rsid w:val="6E7066F8"/>
    <w:rsid w:val="6EE63D0E"/>
    <w:rsid w:val="6EF47329"/>
    <w:rsid w:val="70380103"/>
    <w:rsid w:val="70C85717"/>
    <w:rsid w:val="713B30CC"/>
    <w:rsid w:val="71537716"/>
    <w:rsid w:val="71810C1C"/>
    <w:rsid w:val="71A0073F"/>
    <w:rsid w:val="71D15351"/>
    <w:rsid w:val="71F11F65"/>
    <w:rsid w:val="725A681A"/>
    <w:rsid w:val="72874010"/>
    <w:rsid w:val="72903129"/>
    <w:rsid w:val="72B86CB2"/>
    <w:rsid w:val="72D428A9"/>
    <w:rsid w:val="72D87212"/>
    <w:rsid w:val="72DE60AC"/>
    <w:rsid w:val="73C53A91"/>
    <w:rsid w:val="73C60B68"/>
    <w:rsid w:val="749D4072"/>
    <w:rsid w:val="74A744F0"/>
    <w:rsid w:val="74C935CF"/>
    <w:rsid w:val="75C574E9"/>
    <w:rsid w:val="761F0191"/>
    <w:rsid w:val="76676EE7"/>
    <w:rsid w:val="76837D52"/>
    <w:rsid w:val="76FA74A7"/>
    <w:rsid w:val="77EA4549"/>
    <w:rsid w:val="77F43EF6"/>
    <w:rsid w:val="79523064"/>
    <w:rsid w:val="7A7632E8"/>
    <w:rsid w:val="7AF16E13"/>
    <w:rsid w:val="7B082B37"/>
    <w:rsid w:val="7BA479E1"/>
    <w:rsid w:val="7BFD04A7"/>
    <w:rsid w:val="7C9B5288"/>
    <w:rsid w:val="7D177B35"/>
    <w:rsid w:val="7DBA173E"/>
    <w:rsid w:val="7E5F22E5"/>
    <w:rsid w:val="7EA03F72"/>
    <w:rsid w:val="7EB513EB"/>
    <w:rsid w:val="7EC94F10"/>
    <w:rsid w:val="7EFC72CC"/>
    <w:rsid w:val="7F2A644F"/>
    <w:rsid w:val="7F682B6D"/>
    <w:rsid w:val="CFADF360"/>
    <w:rsid w:val="F796AAF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next w:val="1"/>
    <w:unhideWhenUsed/>
    <w:qFormat/>
    <w:uiPriority w:val="0"/>
    <w:pPr>
      <w:widowControl w:val="0"/>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Body Text"/>
    <w:qFormat/>
    <w:uiPriority w:val="1"/>
    <w:pPr>
      <w:widowControl w:val="0"/>
      <w:spacing w:before="9"/>
      <w:jc w:val="both"/>
    </w:pPr>
    <w:rPr>
      <w:rFonts w:ascii="宋体" w:hAnsi="宋体" w:eastAsia="宋体" w:cs="宋体"/>
      <w:kern w:val="2"/>
      <w:sz w:val="32"/>
      <w:szCs w:val="32"/>
      <w:lang w:val="zh-CN" w:eastAsia="zh-CN" w:bidi="zh-CN"/>
    </w:r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bCs/>
    </w:rPr>
  </w:style>
  <w:style w:type="character" w:customStyle="1" w:styleId="14">
    <w:name w:val="font11"/>
    <w:basedOn w:val="12"/>
    <w:qFormat/>
    <w:uiPriority w:val="0"/>
    <w:rPr>
      <w:rFonts w:hint="eastAsia" w:ascii="宋体" w:hAnsi="宋体" w:eastAsia="宋体" w:cs="宋体"/>
      <w:color w:val="000000"/>
      <w:sz w:val="24"/>
      <w:szCs w:val="24"/>
      <w:u w:val="none"/>
    </w:rPr>
  </w:style>
  <w:style w:type="character" w:customStyle="1" w:styleId="15">
    <w:name w:val="font01"/>
    <w:basedOn w:val="12"/>
    <w:qFormat/>
    <w:uiPriority w:val="0"/>
    <w:rPr>
      <w:rFonts w:hint="eastAsia" w:ascii="宋体" w:hAnsi="宋体" w:eastAsia="宋体" w:cs="宋体"/>
      <w:color w:val="000000"/>
      <w:sz w:val="24"/>
      <w:szCs w:val="24"/>
      <w:u w:val="none"/>
    </w:rPr>
  </w:style>
  <w:style w:type="paragraph" w:customStyle="1" w:styleId="16">
    <w:name w:val="Heading3"/>
    <w:basedOn w:val="1"/>
    <w:next w:val="1"/>
    <w:qFormat/>
    <w:uiPriority w:val="0"/>
    <w:pPr>
      <w:keepNext/>
      <w:keepLines/>
      <w:spacing w:line="560" w:lineRule="exact"/>
      <w:textAlignment w:val="baseline"/>
    </w:pPr>
    <w:rPr>
      <w:b/>
    </w:rPr>
  </w:style>
  <w:style w:type="paragraph" w:customStyle="1" w:styleId="17">
    <w:name w:val="Table Paragraph"/>
    <w:qFormat/>
    <w:uiPriority w:val="1"/>
    <w:pPr>
      <w:widowControl w:val="0"/>
      <w:jc w:val="both"/>
    </w:pPr>
    <w:rPr>
      <w:rFonts w:ascii="宋体" w:hAnsi="宋体" w:eastAsia="宋体" w:cs="宋体"/>
      <w:kern w:val="2"/>
      <w:sz w:val="21"/>
      <w:szCs w:val="24"/>
      <w:lang w:val="zh-CN" w:eastAsia="zh-CN" w:bidi="zh-CN"/>
    </w:rPr>
  </w:style>
  <w:style w:type="character" w:customStyle="1" w:styleId="18">
    <w:name w:val="font21"/>
    <w:qFormat/>
    <w:uiPriority w:val="0"/>
    <w:rPr>
      <w:rFonts w:ascii="Calibri" w:hAnsi="Calibri" w:cs="Calibri"/>
      <w:color w:val="000000"/>
      <w:sz w:val="24"/>
      <w:szCs w:val="24"/>
      <w:u w:val="none"/>
    </w:rPr>
  </w:style>
  <w:style w:type="character" w:customStyle="1" w:styleId="19">
    <w:name w:val="custom_unionstyle1"/>
    <w:basedOn w:val="12"/>
    <w:qFormat/>
    <w:uiPriority w:val="0"/>
  </w:style>
  <w:style w:type="paragraph" w:styleId="20">
    <w:name w:val="List Paragraph"/>
    <w:basedOn w:val="1"/>
    <w:qFormat/>
    <w:uiPriority w:val="99"/>
    <w:pPr>
      <w:ind w:firstLine="420" w:firstLineChars="200"/>
    </w:pPr>
    <w:rPr>
      <w:rFonts w:ascii="Calibri" w:hAnsi="Calibri"/>
      <w:sz w:val="22"/>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85"/>
    <customShpInfo spid="_x0000_s1026" textRotate="1"/>
    <customShpInfo spid="_x0000_s2086"/>
    <customShpInfo spid="_x0000_s2087"/>
    <customShpInfo spid="_x0000_s208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297</Pages>
  <Words>3293</Words>
  <Characters>3310</Characters>
  <Lines>0</Lines>
  <Paragraphs>0</Paragraphs>
  <TotalTime>39</TotalTime>
  <ScaleCrop>false</ScaleCrop>
  <LinksUpToDate>false</LinksUpToDate>
  <CharactersWithSpaces>3374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2025-03-19T10:07:00Z</dcterms:created>
  <dc:creator>user</dc:creator>
  <cp:lastModifiedBy>*^秀_波^*</cp:lastModifiedBy>
  <dcterms:modified xsi:type="dcterms:W3CDTF">2025-12-29T04:18:42Z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eyJoZGlkIjoiZTQyZWI5MmJlNmE2MWI4MzdjMGE1OGNmOTI1YzA1NzQiLCJ1c2VySWQiOiI1OTI0NjYxNTIifQ==</vt:lpwstr>
  </property>
  <property fmtid="{D5CDD505-2E9C-101B-9397-08002B2CF9AE}" pid="4" name="ICV">
    <vt:lpwstr>F31B1CE2121F44C2A833DB587469B6C4_13</vt:lpwstr>
  </property>
</Properties>
</file>