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320" w:lineRule="exact"/>
        <w:ind w:firstLine="320" w:firstLineChars="100"/>
        <w:textAlignment w:val="auto"/>
        <w:rPr>
          <w:rFonts w:hint="eastAsia" w:ascii="楷体" w:hAnsi="楷体" w:eastAsia="楷体" w:cs="楷体"/>
          <w:sz w:val="32"/>
          <w:szCs w:val="32"/>
        </w:rPr>
      </w:pPr>
    </w:p>
    <w:p>
      <w:pPr>
        <w:widowControl w:val="0"/>
        <w:wordWrap/>
        <w:adjustRightInd/>
        <w:snapToGrid/>
        <w:spacing w:line="576"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rPr>
        <w:t>关于申请</w:t>
      </w:r>
      <w:r>
        <w:rPr>
          <w:rFonts w:hint="eastAsia" w:ascii="方正公文小标宋" w:hAnsi="方正公文小标宋" w:eastAsia="方正公文小标宋" w:cs="方正公文小标宋"/>
          <w:sz w:val="44"/>
          <w:szCs w:val="44"/>
          <w:lang w:val="en-US" w:eastAsia="zh-CN"/>
        </w:rPr>
        <w:t>拨付</w:t>
      </w:r>
      <w:r>
        <w:rPr>
          <w:rFonts w:hint="eastAsia" w:ascii="方正公文小标宋" w:hAnsi="方正公文小标宋" w:eastAsia="方正公文小标宋" w:cs="方正公文小标宋"/>
          <w:sz w:val="44"/>
          <w:szCs w:val="44"/>
        </w:rPr>
        <w:t>202</w:t>
      </w:r>
      <w:r>
        <w:rPr>
          <w:rFonts w:hint="eastAsia" w:ascii="方正公文小标宋" w:hAnsi="方正公文小标宋" w:eastAsia="方正公文小标宋" w:cs="方正公文小标宋"/>
          <w:sz w:val="44"/>
          <w:szCs w:val="44"/>
          <w:lang w:val="en-US" w:eastAsia="zh-CN"/>
        </w:rPr>
        <w:t>4</w:t>
      </w:r>
      <w:r>
        <w:rPr>
          <w:rFonts w:hint="eastAsia" w:ascii="方正公文小标宋" w:hAnsi="方正公文小标宋" w:eastAsia="方正公文小标宋" w:cs="方正公文小标宋"/>
          <w:sz w:val="44"/>
          <w:szCs w:val="44"/>
        </w:rPr>
        <w:t>年</w:t>
      </w:r>
      <w:r>
        <w:rPr>
          <w:rFonts w:hint="eastAsia" w:ascii="方正公文小标宋" w:hAnsi="方正公文小标宋" w:eastAsia="方正公文小标宋" w:cs="方正公文小标宋"/>
          <w:sz w:val="44"/>
          <w:szCs w:val="44"/>
          <w:lang w:val="en-US" w:eastAsia="zh-CN"/>
        </w:rPr>
        <w:t>省级工业和信息化高质量发展专项资金</w:t>
      </w:r>
    </w:p>
    <w:p>
      <w:pPr>
        <w:widowControl w:val="0"/>
        <w:wordWrap/>
        <w:adjustRightInd/>
        <w:snapToGrid/>
        <w:spacing w:line="576" w:lineRule="exact"/>
        <w:ind w:firstLine="1760" w:firstLineChars="400"/>
        <w:jc w:val="both"/>
        <w:textAlignment w:val="auto"/>
        <w:rPr>
          <w:rFonts w:hint="default" w:ascii="黑体" w:hAnsi="黑体" w:eastAsia="方正公文小标宋"/>
          <w:sz w:val="32"/>
          <w:szCs w:val="32"/>
          <w:lang w:val="en-US" w:eastAsia="zh-CN"/>
        </w:rPr>
      </w:pPr>
      <w:r>
        <w:rPr>
          <w:rFonts w:hint="eastAsia" w:ascii="方正公文小标宋" w:hAnsi="方正公文小标宋" w:eastAsia="方正公文小标宋" w:cs="方正公文小标宋"/>
          <w:sz w:val="44"/>
          <w:szCs w:val="44"/>
          <w:lang w:val="en-US" w:eastAsia="zh-CN"/>
        </w:rPr>
        <w:t xml:space="preserve">（“智改数转”部分）的公示 </w:t>
      </w:r>
    </w:p>
    <w:p>
      <w:pPr>
        <w:widowControl w:val="0"/>
        <w:wordWrap/>
        <w:adjustRightInd/>
        <w:snapToGrid/>
        <w:spacing w:line="576" w:lineRule="exact"/>
        <w:textAlignment w:val="auto"/>
        <w:rPr>
          <w:rFonts w:hint="eastAsia" w:ascii="仿宋" w:hAnsi="仿宋" w:eastAsia="仿宋" w:cs="楷体"/>
          <w:bCs/>
          <w:sz w:val="32"/>
          <w:szCs w:val="32"/>
        </w:rPr>
      </w:pPr>
      <w:r>
        <w:rPr>
          <w:rFonts w:hint="eastAsia" w:ascii="仿宋" w:hAnsi="仿宋" w:eastAsia="仿宋" w:cs="楷体"/>
          <w:bCs/>
          <w:sz w:val="32"/>
          <w:szCs w:val="32"/>
        </w:rPr>
        <w:t xml:space="preserve"> </w:t>
      </w:r>
    </w:p>
    <w:p>
      <w:pPr>
        <w:widowControl w:val="0"/>
        <w:wordWrap/>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lang w:val="en-US" w:eastAsia="zh-CN"/>
        </w:rPr>
        <w:t>吉林</w:t>
      </w:r>
      <w:r>
        <w:rPr>
          <w:rFonts w:hint="eastAsia" w:ascii="仿宋_GB2312" w:hAnsi="仿宋_GB2312" w:eastAsia="仿宋_GB2312" w:cs="仿宋_GB2312"/>
          <w:sz w:val="32"/>
          <w:szCs w:val="32"/>
        </w:rPr>
        <w:t>省工信厅、</w:t>
      </w:r>
      <w:r>
        <w:rPr>
          <w:rFonts w:hint="eastAsia" w:ascii="仿宋_GB2312" w:hAnsi="仿宋_GB2312" w:eastAsia="仿宋_GB2312" w:cs="仿宋_GB2312"/>
          <w:sz w:val="32"/>
          <w:szCs w:val="32"/>
          <w:lang w:val="en-US" w:eastAsia="zh-CN"/>
        </w:rPr>
        <w:t>吉林</w:t>
      </w:r>
      <w:r>
        <w:rPr>
          <w:rFonts w:hint="eastAsia" w:ascii="仿宋_GB2312" w:hAnsi="仿宋_GB2312" w:eastAsia="仿宋_GB2312" w:cs="仿宋_GB2312"/>
          <w:sz w:val="32"/>
          <w:szCs w:val="32"/>
        </w:rPr>
        <w:t>省财政厅关于印发《</w:t>
      </w:r>
      <w:r>
        <w:rPr>
          <w:rFonts w:hint="eastAsia" w:ascii="仿宋_GB2312" w:hAnsi="仿宋_GB2312" w:eastAsia="仿宋_GB2312" w:cs="仿宋_GB2312"/>
          <w:sz w:val="32"/>
          <w:szCs w:val="32"/>
          <w:lang w:val="en-US" w:eastAsia="zh-CN"/>
        </w:rPr>
        <w:t>吉林省制造业“智改数转”项目、示范工厂（车间）、云平台和系统解决方案供应商奖补实施细则（暂行）》的通知</w:t>
      </w:r>
      <w:r>
        <w:rPr>
          <w:rFonts w:hint="eastAsia" w:ascii="仿宋_GB2312" w:hAnsi="仿宋_GB2312" w:eastAsia="仿宋_GB2312" w:cs="仿宋_GB2312"/>
          <w:sz w:val="32"/>
          <w:szCs w:val="32"/>
        </w:rPr>
        <w:t>（吉工信办联〔202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（吉财产业指〔2024〕960号）</w:t>
      </w:r>
      <w:r>
        <w:rPr>
          <w:rFonts w:hint="eastAsia" w:ascii="仿宋_GB2312" w:hAnsi="仿宋_GB2312" w:eastAsia="仿宋_GB2312" w:cs="仿宋_GB2312"/>
          <w:sz w:val="32"/>
          <w:szCs w:val="32"/>
        </w:rPr>
        <w:t>和《吉林省省级工业和信息化高质量发展专项资金管理办法》（吉财产业〔2021〕1056号）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对2024年</w:t>
      </w:r>
      <w:r>
        <w:rPr>
          <w:rFonts w:hint="eastAsia" w:ascii="仿宋_GB2312" w:hAnsi="仿宋_GB2312" w:eastAsia="仿宋_GB2312" w:cs="仿宋_GB2312"/>
          <w:sz w:val="32"/>
          <w:szCs w:val="32"/>
        </w:rPr>
        <w:t>农夫山泉吉林长白山有限公司</w:t>
      </w:r>
      <w:r>
        <w:rPr>
          <w:rFonts w:hint="eastAsia" w:ascii="仿宋_GB2312" w:hAnsi="仿宋_GB2312" w:eastAsia="仿宋_GB2312" w:cs="仿宋_GB2312"/>
          <w:sz w:val="32"/>
          <w:szCs w:val="32"/>
          <w:lang w:eastAsia="zh-CN"/>
        </w:rPr>
        <w:t>年产</w:t>
      </w:r>
      <w:r>
        <w:rPr>
          <w:rFonts w:hint="eastAsia" w:ascii="仿宋_GB2312" w:hAnsi="仿宋_GB2312" w:eastAsia="仿宋_GB2312" w:cs="仿宋_GB2312"/>
          <w:sz w:val="32"/>
          <w:szCs w:val="32"/>
          <w:lang w:val="en-US" w:eastAsia="zh-CN"/>
        </w:rPr>
        <w:t>34.38万吨饮料生产线技改</w:t>
      </w:r>
      <w:r>
        <w:rPr>
          <w:rFonts w:hint="eastAsia" w:ascii="仿宋_GB2312" w:hAnsi="仿宋_GB2312" w:eastAsia="仿宋_GB2312" w:cs="仿宋_GB2312"/>
          <w:sz w:val="32"/>
          <w:szCs w:val="32"/>
        </w:rPr>
        <w:t>项目</w:t>
      </w:r>
      <w:r>
        <w:rPr>
          <w:rFonts w:hint="eastAsia" w:ascii="仿宋_GB2312" w:hAnsi="仿宋_GB2312" w:eastAsia="仿宋_GB2312" w:cs="仿宋_GB2312"/>
          <w:snapToGrid w:val="0"/>
          <w:sz w:val="32"/>
          <w:szCs w:val="32"/>
          <w:lang w:val="en-US" w:eastAsia="zh-CN"/>
        </w:rPr>
        <w:t>获省级</w:t>
      </w:r>
      <w:r>
        <w:rPr>
          <w:rFonts w:hint="eastAsia" w:ascii="仿宋_GB2312" w:hAnsi="仿宋_GB2312" w:eastAsia="仿宋_GB2312" w:cs="仿宋_GB2312"/>
          <w:color w:val="000000"/>
          <w:sz w:val="32"/>
          <w:szCs w:val="32"/>
          <w:lang w:val="en-US" w:eastAsia="zh-CN"/>
        </w:rPr>
        <w:t>工业和信息化高质量发展专项</w:t>
      </w:r>
      <w:r>
        <w:rPr>
          <w:rFonts w:hint="eastAsia" w:ascii="仿宋_GB2312" w:hAnsi="仿宋_GB2312" w:eastAsia="仿宋_GB2312" w:cs="仿宋_GB2312"/>
          <w:sz w:val="32"/>
          <w:szCs w:val="32"/>
        </w:rPr>
        <w:t>资金</w:t>
      </w:r>
      <w:r>
        <w:rPr>
          <w:rFonts w:hint="eastAsia" w:ascii="仿宋_GB2312" w:hAnsi="仿宋_GB2312" w:eastAsia="仿宋_GB2312" w:cs="仿宋_GB2312"/>
          <w:snapToGrid w:val="0"/>
          <w:sz w:val="32"/>
          <w:szCs w:val="32"/>
          <w:lang w:val="en-US" w:eastAsia="zh-CN"/>
        </w:rPr>
        <w:t>“智改数转”部分支持项目，项目获省级奖补资金200万元。</w:t>
      </w:r>
    </w:p>
    <w:p>
      <w:pPr>
        <w:widowControl w:val="0"/>
        <w:wordWrap/>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adjustRightInd w:val="0"/>
        <w:spacing w:line="600" w:lineRule="exact"/>
        <w:ind w:left="1598" w:leftChars="304" w:hanging="960" w:hangingChars="300"/>
        <w:jc w:val="both"/>
        <w:rPr>
          <w:rFonts w:hint="default" w:ascii="黑体" w:hAnsi="黑体" w:eastAsia="黑体" w:cs="仿宋"/>
          <w:bCs/>
          <w:sz w:val="44"/>
          <w:szCs w:val="44"/>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color w:val="000000"/>
          <w:sz w:val="32"/>
          <w:szCs w:val="32"/>
          <w:lang w:val="en-US" w:eastAsia="zh-CN"/>
        </w:rPr>
        <w:t>工业和信息化高质量发展专项</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智改数转”部分）分配方案</w:t>
      </w:r>
    </w:p>
    <w:p>
      <w:pPr>
        <w:widowControl w:val="0"/>
        <w:wordWrap/>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pPr>
        <w:widowControl w:val="0"/>
        <w:wordWrap/>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靖宇县工业和信息化局</w:t>
      </w:r>
    </w:p>
    <w:p>
      <w:pPr>
        <w:widowControl w:val="0"/>
        <w:wordWrap/>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2025年2月10</w:t>
      </w:r>
      <w:bookmarkStart w:id="0" w:name="_GoBack"/>
      <w:bookmarkEnd w:id="0"/>
      <w:r>
        <w:rPr>
          <w:rFonts w:hint="eastAsia" w:ascii="仿宋_GB2312" w:hAnsi="仿宋_GB2312" w:eastAsia="仿宋_GB2312" w:cs="仿宋_GB2312"/>
          <w:sz w:val="32"/>
          <w:szCs w:val="32"/>
          <w:lang w:val="en-US" w:eastAsia="zh-CN"/>
        </w:rPr>
        <w:t>日</w:t>
      </w:r>
    </w:p>
    <w:p>
      <w:pPr>
        <w:widowControl w:val="0"/>
        <w:wordWrap/>
        <w:adjustRightInd/>
        <w:snapToGrid/>
        <w:spacing w:line="576" w:lineRule="exac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adjustRightInd w:val="0"/>
        <w:spacing w:line="600" w:lineRule="exact"/>
        <w:rPr>
          <w:rFonts w:ascii="仿宋" w:hAnsi="仿宋" w:eastAsia="仿宋" w:cs="仿宋"/>
          <w:b/>
          <w:bCs w:val="0"/>
          <w:sz w:val="32"/>
          <w:szCs w:val="32"/>
        </w:rPr>
      </w:pPr>
      <w:r>
        <w:rPr>
          <w:rFonts w:hint="eastAsia" w:ascii="仿宋" w:hAnsi="仿宋" w:eastAsia="仿宋" w:cs="仿宋"/>
          <w:bCs/>
          <w:sz w:val="32"/>
          <w:szCs w:val="32"/>
        </w:rPr>
        <w:t>附件1：</w:t>
      </w:r>
    </w:p>
    <w:p>
      <w:pPr>
        <w:adjustRightInd w:val="0"/>
        <w:spacing w:line="600" w:lineRule="exact"/>
        <w:jc w:val="center"/>
        <w:rPr>
          <w:rFonts w:hint="eastAsia" w:ascii="黑体" w:hAnsi="黑体" w:eastAsia="黑体" w:cs="仿宋"/>
          <w:bCs/>
          <w:sz w:val="44"/>
          <w:szCs w:val="44"/>
        </w:rPr>
      </w:pPr>
    </w:p>
    <w:p>
      <w:pPr>
        <w:adjustRightInd w:val="0"/>
        <w:spacing w:line="600" w:lineRule="exact"/>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r>
        <w:rPr>
          <w:rFonts w:hint="eastAsia" w:ascii="黑体" w:hAnsi="黑体" w:eastAsia="黑体" w:cs="黑体"/>
          <w:sz w:val="44"/>
          <w:szCs w:val="44"/>
          <w:lang w:val="en-US" w:eastAsia="zh-CN"/>
        </w:rPr>
        <w:t>省级</w:t>
      </w:r>
      <w:r>
        <w:rPr>
          <w:rFonts w:hint="eastAsia" w:ascii="黑体" w:hAnsi="黑体" w:eastAsia="黑体" w:cs="黑体"/>
          <w:color w:val="000000"/>
          <w:sz w:val="44"/>
          <w:szCs w:val="44"/>
          <w:lang w:val="en-US" w:eastAsia="zh-CN"/>
        </w:rPr>
        <w:t>工业和信息化高质量发展专项</w:t>
      </w:r>
      <w:r>
        <w:rPr>
          <w:rFonts w:hint="eastAsia" w:ascii="黑体" w:hAnsi="黑体" w:eastAsia="黑体" w:cs="黑体"/>
          <w:sz w:val="44"/>
          <w:szCs w:val="44"/>
        </w:rPr>
        <w:t>资金</w:t>
      </w:r>
    </w:p>
    <w:p>
      <w:pPr>
        <w:adjustRightInd w:val="0"/>
        <w:spacing w:line="600" w:lineRule="exact"/>
        <w:jc w:val="center"/>
        <w:rPr>
          <w:rFonts w:hint="eastAsia" w:ascii="黑体" w:hAnsi="黑体" w:eastAsia="黑体" w:cs="黑体"/>
          <w:bCs/>
          <w:sz w:val="44"/>
          <w:szCs w:val="44"/>
          <w:lang w:val="en-US"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智改数转”部分）分配方案</w:t>
      </w:r>
    </w:p>
    <w:tbl>
      <w:tblPr>
        <w:tblStyle w:val="10"/>
        <w:tblW w:w="12472"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73"/>
        <w:gridCol w:w="615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95" w:type="dxa"/>
            <w:vMerge w:val="restart"/>
            <w:vAlign w:val="center"/>
          </w:tcPr>
          <w:p>
            <w:pPr>
              <w:adjustRightInd w:val="0"/>
              <w:spacing w:line="400" w:lineRule="exact"/>
              <w:jc w:val="center"/>
              <w:rPr>
                <w:rFonts w:ascii="仿宋" w:hAnsi="仿宋" w:eastAsia="仿宋" w:cs="仿宋"/>
                <w:bCs/>
                <w:sz w:val="24"/>
              </w:rPr>
            </w:pPr>
            <w:r>
              <w:rPr>
                <w:rFonts w:hint="eastAsia" w:ascii="仿宋" w:hAnsi="仿宋" w:eastAsia="仿宋" w:cs="仿宋"/>
                <w:bCs/>
                <w:sz w:val="24"/>
              </w:rPr>
              <w:t>序号</w:t>
            </w:r>
          </w:p>
        </w:tc>
        <w:tc>
          <w:tcPr>
            <w:tcW w:w="3773" w:type="dxa"/>
            <w:vMerge w:val="restart"/>
            <w:vAlign w:val="center"/>
          </w:tcPr>
          <w:p>
            <w:pPr>
              <w:adjustRightInd w:val="0"/>
              <w:spacing w:line="400" w:lineRule="exact"/>
              <w:jc w:val="center"/>
              <w:rPr>
                <w:rFonts w:ascii="仿宋" w:hAnsi="仿宋" w:eastAsia="仿宋" w:cs="仿宋"/>
                <w:bCs/>
                <w:sz w:val="24"/>
              </w:rPr>
            </w:pPr>
            <w:r>
              <w:rPr>
                <w:rFonts w:hint="eastAsia" w:ascii="仿宋" w:hAnsi="仿宋" w:eastAsia="仿宋" w:cs="仿宋"/>
                <w:bCs/>
                <w:sz w:val="24"/>
                <w:lang w:val="en-US" w:eastAsia="zh-CN"/>
              </w:rPr>
              <w:t>企业</w:t>
            </w:r>
            <w:r>
              <w:rPr>
                <w:rFonts w:hint="eastAsia" w:ascii="仿宋" w:hAnsi="仿宋" w:eastAsia="仿宋" w:cs="仿宋"/>
                <w:bCs/>
                <w:sz w:val="24"/>
              </w:rPr>
              <w:t>组织</w:t>
            </w:r>
            <w:r>
              <w:rPr>
                <w:rFonts w:ascii="仿宋" w:hAnsi="仿宋" w:eastAsia="仿宋" w:cs="仿宋"/>
                <w:bCs/>
                <w:sz w:val="24"/>
              </w:rPr>
              <w:t>机构代码</w:t>
            </w:r>
          </w:p>
        </w:tc>
        <w:tc>
          <w:tcPr>
            <w:tcW w:w="6153" w:type="dxa"/>
            <w:vMerge w:val="restart"/>
            <w:vAlign w:val="center"/>
          </w:tcPr>
          <w:p>
            <w:pPr>
              <w:adjustRightInd w:val="0"/>
              <w:spacing w:line="400" w:lineRule="exact"/>
              <w:jc w:val="center"/>
              <w:rPr>
                <w:rFonts w:ascii="仿宋" w:hAnsi="仿宋" w:eastAsia="仿宋" w:cs="仿宋"/>
                <w:bCs/>
                <w:sz w:val="24"/>
              </w:rPr>
            </w:pPr>
            <w:r>
              <w:rPr>
                <w:rFonts w:hint="eastAsia" w:ascii="仿宋" w:hAnsi="仿宋" w:eastAsia="仿宋" w:cs="仿宋"/>
                <w:bCs/>
                <w:sz w:val="24"/>
              </w:rPr>
              <w:t>企业</w:t>
            </w:r>
            <w:r>
              <w:rPr>
                <w:rFonts w:hint="eastAsia" w:ascii="仿宋" w:hAnsi="仿宋" w:eastAsia="仿宋" w:cs="仿宋"/>
                <w:bCs/>
                <w:sz w:val="24"/>
                <w:lang w:val="en-US" w:eastAsia="zh-CN"/>
              </w:rPr>
              <w:t>项目</w:t>
            </w:r>
            <w:r>
              <w:rPr>
                <w:rFonts w:ascii="仿宋" w:hAnsi="仿宋" w:eastAsia="仿宋" w:cs="仿宋"/>
                <w:bCs/>
                <w:sz w:val="24"/>
              </w:rPr>
              <w:t>名称</w:t>
            </w:r>
          </w:p>
        </w:tc>
        <w:tc>
          <w:tcPr>
            <w:tcW w:w="1951" w:type="dxa"/>
            <w:vMerge w:val="restart"/>
            <w:vAlign w:val="center"/>
          </w:tcPr>
          <w:p>
            <w:pPr>
              <w:adjustRightInd w:val="0"/>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支持额度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95" w:type="dxa"/>
            <w:vMerge w:val="continue"/>
            <w:vAlign w:val="center"/>
          </w:tcPr>
          <w:p>
            <w:pPr>
              <w:adjustRightInd w:val="0"/>
              <w:spacing w:line="400" w:lineRule="exact"/>
              <w:jc w:val="center"/>
              <w:rPr>
                <w:rFonts w:ascii="仿宋" w:hAnsi="仿宋" w:eastAsia="仿宋" w:cs="仿宋"/>
                <w:bCs/>
                <w:sz w:val="24"/>
              </w:rPr>
            </w:pPr>
          </w:p>
        </w:tc>
        <w:tc>
          <w:tcPr>
            <w:tcW w:w="3773" w:type="dxa"/>
            <w:vMerge w:val="continue"/>
            <w:vAlign w:val="center"/>
          </w:tcPr>
          <w:p>
            <w:pPr>
              <w:adjustRightInd w:val="0"/>
              <w:spacing w:line="400" w:lineRule="exact"/>
              <w:jc w:val="center"/>
              <w:rPr>
                <w:rFonts w:ascii="仿宋" w:hAnsi="仿宋" w:eastAsia="仿宋" w:cs="仿宋"/>
                <w:bCs/>
                <w:sz w:val="24"/>
              </w:rPr>
            </w:pPr>
          </w:p>
        </w:tc>
        <w:tc>
          <w:tcPr>
            <w:tcW w:w="6153" w:type="dxa"/>
            <w:vMerge w:val="continue"/>
            <w:vAlign w:val="center"/>
          </w:tcPr>
          <w:p>
            <w:pPr>
              <w:adjustRightInd w:val="0"/>
              <w:spacing w:line="400" w:lineRule="exact"/>
              <w:jc w:val="center"/>
              <w:rPr>
                <w:rFonts w:ascii="仿宋" w:hAnsi="仿宋" w:eastAsia="仿宋" w:cs="仿宋"/>
                <w:bCs/>
                <w:sz w:val="24"/>
              </w:rPr>
            </w:pPr>
          </w:p>
        </w:tc>
        <w:tc>
          <w:tcPr>
            <w:tcW w:w="1951" w:type="dxa"/>
            <w:vMerge w:val="continue"/>
            <w:vAlign w:val="center"/>
          </w:tcPr>
          <w:p>
            <w:pPr>
              <w:adjustRightInd w:val="0"/>
              <w:spacing w:line="40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95" w:type="dxa"/>
            <w:vAlign w:val="center"/>
          </w:tcPr>
          <w:p>
            <w:pPr>
              <w:adjustRightInd w:val="0"/>
              <w:spacing w:line="400" w:lineRule="exact"/>
              <w:jc w:val="center"/>
              <w:rPr>
                <w:rFonts w:ascii="仿宋" w:hAnsi="仿宋" w:eastAsia="仿宋" w:cs="仿宋"/>
                <w:bCs/>
                <w:sz w:val="24"/>
              </w:rPr>
            </w:pPr>
            <w:r>
              <w:rPr>
                <w:rFonts w:hint="eastAsia" w:ascii="仿宋" w:hAnsi="仿宋" w:eastAsia="仿宋" w:cs="仿宋"/>
                <w:bCs/>
                <w:sz w:val="24"/>
              </w:rPr>
              <w:t>1</w:t>
            </w:r>
          </w:p>
        </w:tc>
        <w:tc>
          <w:tcPr>
            <w:tcW w:w="3773" w:type="dxa"/>
            <w:vAlign w:val="top"/>
          </w:tcPr>
          <w:p>
            <w:pPr>
              <w:widowControl/>
              <w:wordWrap/>
              <w:adjustRightInd w:val="0"/>
              <w:spacing w:line="400" w:lineRule="exact"/>
              <w:jc w:val="center"/>
              <w:rPr>
                <w:rFonts w:hint="default" w:ascii="仿宋" w:hAnsi="仿宋" w:eastAsia="仿宋" w:cs="仿宋"/>
                <w:bCs/>
                <w:kern w:val="2"/>
                <w:sz w:val="24"/>
                <w:szCs w:val="24"/>
                <w:lang w:val="en-US" w:eastAsia="zh-CN" w:bidi="ar-SA"/>
              </w:rPr>
            </w:pPr>
            <w:r>
              <w:rPr>
                <w:rFonts w:ascii="仿宋" w:hAnsi="仿宋" w:eastAsia="仿宋" w:cs="仿宋"/>
                <w:bCs/>
                <w:sz w:val="24"/>
              </w:rPr>
              <w:t>91220622729549241Y</w:t>
            </w:r>
          </w:p>
        </w:tc>
        <w:tc>
          <w:tcPr>
            <w:tcW w:w="6153" w:type="dxa"/>
            <w:vAlign w:val="top"/>
          </w:tcPr>
          <w:p>
            <w:pPr>
              <w:widowControl/>
              <w:wordWrap/>
              <w:adjustRightInd w:val="0"/>
              <w:spacing w:line="400" w:lineRule="exact"/>
              <w:jc w:val="center"/>
              <w:rPr>
                <w:rFonts w:hint="default" w:ascii="仿宋" w:hAnsi="仿宋" w:eastAsia="仿宋" w:cs="仿宋"/>
                <w:bCs/>
                <w:kern w:val="2"/>
                <w:sz w:val="24"/>
                <w:szCs w:val="24"/>
                <w:lang w:val="en-US" w:eastAsia="zh-CN" w:bidi="ar-SA"/>
              </w:rPr>
            </w:pPr>
            <w:r>
              <w:rPr>
                <w:rFonts w:hint="eastAsia" w:ascii="仿宋" w:hAnsi="仿宋" w:eastAsia="仿宋" w:cs="仿宋"/>
                <w:b w:val="0"/>
                <w:bCs/>
                <w:sz w:val="24"/>
                <w:szCs w:val="24"/>
                <w:lang w:val="en-US" w:eastAsia="zh-CN"/>
              </w:rPr>
              <w:t>农夫山泉吉林长白山有限公司</w:t>
            </w:r>
            <w:r>
              <w:rPr>
                <w:rFonts w:hint="eastAsia" w:ascii="仿宋" w:hAnsi="仿宋" w:eastAsia="仿宋" w:cs="仿宋"/>
                <w:b w:val="0"/>
                <w:bCs/>
                <w:snapToGrid w:val="0"/>
                <w:spacing w:val="-10"/>
                <w:sz w:val="24"/>
                <w:szCs w:val="24"/>
              </w:rPr>
              <w:t>年产34.</w:t>
            </w:r>
            <w:r>
              <w:rPr>
                <w:rFonts w:hint="eastAsia" w:ascii="仿宋" w:hAnsi="仿宋" w:eastAsia="仿宋" w:cs="仿宋"/>
                <w:b w:val="0"/>
                <w:bCs/>
                <w:snapToGrid w:val="0"/>
                <w:spacing w:val="-10"/>
                <w:sz w:val="24"/>
                <w:szCs w:val="24"/>
                <w:lang w:val="en-US" w:eastAsia="zh-CN"/>
              </w:rPr>
              <w:t>3</w:t>
            </w:r>
            <w:r>
              <w:rPr>
                <w:rFonts w:hint="eastAsia" w:ascii="仿宋" w:hAnsi="仿宋" w:eastAsia="仿宋" w:cs="仿宋"/>
                <w:b w:val="0"/>
                <w:bCs/>
                <w:snapToGrid w:val="0"/>
                <w:spacing w:val="-10"/>
                <w:sz w:val="24"/>
                <w:szCs w:val="24"/>
              </w:rPr>
              <w:t>8万吨饮料生产线技改项目</w:t>
            </w:r>
          </w:p>
        </w:tc>
        <w:tc>
          <w:tcPr>
            <w:tcW w:w="1951" w:type="dxa"/>
            <w:vAlign w:val="center"/>
          </w:tcPr>
          <w:p>
            <w:pPr>
              <w:adjustRightInd w:val="0"/>
              <w:spacing w:line="40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200万元</w:t>
            </w:r>
          </w:p>
        </w:tc>
      </w:tr>
    </w:tbl>
    <w:p>
      <w:pPr>
        <w:adjustRightInd w:val="0"/>
        <w:spacing w:line="600" w:lineRule="exact"/>
        <w:rPr>
          <w:rFonts w:ascii="仿宋" w:hAnsi="仿宋" w:eastAsia="仿宋" w:cs="仿宋"/>
          <w:bCs/>
          <w:sz w:val="32"/>
          <w:szCs w:val="32"/>
        </w:rPr>
        <w:sectPr>
          <w:pgSz w:w="16838" w:h="11906" w:orient="landscape"/>
          <w:pgMar w:top="1531" w:right="2041" w:bottom="1531" w:left="2041" w:header="851" w:footer="992" w:gutter="0"/>
          <w:cols w:space="720" w:num="1"/>
          <w:docGrid w:linePitch="312" w:charSpace="0"/>
        </w:sectPr>
      </w:pPr>
    </w:p>
    <w:p>
      <w:pPr>
        <w:widowControl w:val="0"/>
        <w:wordWrap/>
        <w:adjustRightInd/>
        <w:snapToGrid/>
        <w:spacing w:line="576" w:lineRule="exact"/>
        <w:textAlignment w:val="auto"/>
        <w:rPr>
          <w:rFonts w:hint="eastAsia" w:ascii="仿宋_GB2312" w:hAnsi="仿宋_GB2312" w:eastAsia="仿宋_GB2312" w:cs="仿宋_GB2312"/>
          <w:sz w:val="32"/>
          <w:szCs w:val="32"/>
          <w:lang w:val="en-US" w:eastAsia="zh-CN"/>
        </w:rPr>
      </w:pP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gzZTg2YTE4ZmViYzA2YmZlMWI3Zjk3Mzg2Yjg4OTQifQ=="/>
  </w:docVars>
  <w:rsids>
    <w:rsidRoot w:val="009A3824"/>
    <w:rsid w:val="000673E5"/>
    <w:rsid w:val="000C511C"/>
    <w:rsid w:val="001323BA"/>
    <w:rsid w:val="001E677B"/>
    <w:rsid w:val="002339D1"/>
    <w:rsid w:val="002B20D7"/>
    <w:rsid w:val="00350FFF"/>
    <w:rsid w:val="00382C31"/>
    <w:rsid w:val="003E0781"/>
    <w:rsid w:val="0042530A"/>
    <w:rsid w:val="00435212"/>
    <w:rsid w:val="00443122"/>
    <w:rsid w:val="00462295"/>
    <w:rsid w:val="00465A17"/>
    <w:rsid w:val="00476FDA"/>
    <w:rsid w:val="00487FDF"/>
    <w:rsid w:val="004A5841"/>
    <w:rsid w:val="004C1666"/>
    <w:rsid w:val="004E7B85"/>
    <w:rsid w:val="004F48F2"/>
    <w:rsid w:val="005260AE"/>
    <w:rsid w:val="00534D56"/>
    <w:rsid w:val="00546306"/>
    <w:rsid w:val="005550E2"/>
    <w:rsid w:val="00587369"/>
    <w:rsid w:val="00592A01"/>
    <w:rsid w:val="005B77CB"/>
    <w:rsid w:val="00645E7B"/>
    <w:rsid w:val="00676DBF"/>
    <w:rsid w:val="00692F03"/>
    <w:rsid w:val="006E42A7"/>
    <w:rsid w:val="007028D9"/>
    <w:rsid w:val="00715311"/>
    <w:rsid w:val="00731309"/>
    <w:rsid w:val="00736633"/>
    <w:rsid w:val="00740AEB"/>
    <w:rsid w:val="00747AB4"/>
    <w:rsid w:val="007663DD"/>
    <w:rsid w:val="007A5A62"/>
    <w:rsid w:val="00804355"/>
    <w:rsid w:val="008D720A"/>
    <w:rsid w:val="0090180E"/>
    <w:rsid w:val="009108F9"/>
    <w:rsid w:val="00916146"/>
    <w:rsid w:val="009217FC"/>
    <w:rsid w:val="00926611"/>
    <w:rsid w:val="00967A19"/>
    <w:rsid w:val="009A3824"/>
    <w:rsid w:val="00A32E2C"/>
    <w:rsid w:val="00AC15BF"/>
    <w:rsid w:val="00AE1719"/>
    <w:rsid w:val="00B029C1"/>
    <w:rsid w:val="00B176EE"/>
    <w:rsid w:val="00B454CF"/>
    <w:rsid w:val="00B958E3"/>
    <w:rsid w:val="00C12855"/>
    <w:rsid w:val="00C169E5"/>
    <w:rsid w:val="00C21FF4"/>
    <w:rsid w:val="00C71C17"/>
    <w:rsid w:val="00C73FBF"/>
    <w:rsid w:val="00C84121"/>
    <w:rsid w:val="00C870D2"/>
    <w:rsid w:val="00CB400D"/>
    <w:rsid w:val="00CB62BC"/>
    <w:rsid w:val="00CE00F2"/>
    <w:rsid w:val="00D51636"/>
    <w:rsid w:val="00D637B2"/>
    <w:rsid w:val="00D66B3B"/>
    <w:rsid w:val="00E724F9"/>
    <w:rsid w:val="00E76615"/>
    <w:rsid w:val="00ED385B"/>
    <w:rsid w:val="00F14AB4"/>
    <w:rsid w:val="00F85CB9"/>
    <w:rsid w:val="00F957B0"/>
    <w:rsid w:val="03D742E6"/>
    <w:rsid w:val="0469770F"/>
    <w:rsid w:val="04FE6429"/>
    <w:rsid w:val="0B21575A"/>
    <w:rsid w:val="0BF95CC0"/>
    <w:rsid w:val="0F8013D4"/>
    <w:rsid w:val="1047752D"/>
    <w:rsid w:val="10DA1BC8"/>
    <w:rsid w:val="13006FA0"/>
    <w:rsid w:val="13F73711"/>
    <w:rsid w:val="14611BAF"/>
    <w:rsid w:val="1553483E"/>
    <w:rsid w:val="17615D78"/>
    <w:rsid w:val="18926901"/>
    <w:rsid w:val="196D4BF2"/>
    <w:rsid w:val="1ACC63B0"/>
    <w:rsid w:val="237A1423"/>
    <w:rsid w:val="23BC2CD2"/>
    <w:rsid w:val="23FE4AED"/>
    <w:rsid w:val="25203C81"/>
    <w:rsid w:val="271C5F04"/>
    <w:rsid w:val="27EE3C0E"/>
    <w:rsid w:val="2D694612"/>
    <w:rsid w:val="2E715A66"/>
    <w:rsid w:val="33305A23"/>
    <w:rsid w:val="336E1BA1"/>
    <w:rsid w:val="364573A2"/>
    <w:rsid w:val="374725A2"/>
    <w:rsid w:val="378869DB"/>
    <w:rsid w:val="37D377A6"/>
    <w:rsid w:val="39E669AE"/>
    <w:rsid w:val="3FEA11E7"/>
    <w:rsid w:val="40A145F0"/>
    <w:rsid w:val="40EF4827"/>
    <w:rsid w:val="40F55FA3"/>
    <w:rsid w:val="435029AB"/>
    <w:rsid w:val="457D5EC3"/>
    <w:rsid w:val="487F0B87"/>
    <w:rsid w:val="4AD60ED3"/>
    <w:rsid w:val="4C12599E"/>
    <w:rsid w:val="4D8256A8"/>
    <w:rsid w:val="4EC146DF"/>
    <w:rsid w:val="52B0020B"/>
    <w:rsid w:val="54CF2C10"/>
    <w:rsid w:val="56951460"/>
    <w:rsid w:val="5C264DAA"/>
    <w:rsid w:val="5D985FAC"/>
    <w:rsid w:val="61650F6B"/>
    <w:rsid w:val="62754709"/>
    <w:rsid w:val="63244C94"/>
    <w:rsid w:val="63533CBD"/>
    <w:rsid w:val="66583DDD"/>
    <w:rsid w:val="673D3EDB"/>
    <w:rsid w:val="687235FF"/>
    <w:rsid w:val="6C943269"/>
    <w:rsid w:val="6DFA574C"/>
    <w:rsid w:val="6E3F6090"/>
    <w:rsid w:val="72AE3D77"/>
    <w:rsid w:val="72CA214F"/>
    <w:rsid w:val="73326672"/>
    <w:rsid w:val="755503F6"/>
    <w:rsid w:val="763553D0"/>
    <w:rsid w:val="77977F0F"/>
    <w:rsid w:val="77C52CF4"/>
    <w:rsid w:val="7B6D472E"/>
    <w:rsid w:val="7BAB3557"/>
    <w:rsid w:val="7D5763EC"/>
    <w:rsid w:val="7E2B461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2">
    <w:name w:val="Body Text First Indent 2"/>
    <w:basedOn w:val="3"/>
    <w:next w:val="1"/>
    <w:qFormat/>
    <w:uiPriority w:val="0"/>
    <w:pPr>
      <w:ind w:firstLine="960"/>
    </w:pPr>
    <w:rPr>
      <w:rFonts w:ascii="Calibri" w:hAnsi="Calibri"/>
      <w:sz w:val="32"/>
      <w:szCs w:val="24"/>
    </w:rPr>
  </w:style>
  <w:style w:type="paragraph" w:styleId="3">
    <w:name w:val="Body Text Indent"/>
    <w:basedOn w:val="1"/>
    <w:next w:val="4"/>
    <w:qFormat/>
    <w:uiPriority w:val="0"/>
    <w:pPr>
      <w:spacing w:line="360" w:lineRule="auto"/>
      <w:ind w:firstLine="480" w:firstLineChars="200"/>
    </w:pPr>
    <w:rPr>
      <w:rFonts w:ascii="宋体" w:hAnsi="宋体"/>
      <w:color w:val="000000"/>
      <w:sz w:val="24"/>
    </w:rPr>
  </w:style>
  <w:style w:type="paragraph" w:styleId="4">
    <w:name w:val="Normal Indent"/>
    <w:basedOn w:val="1"/>
    <w:qFormat/>
    <w:uiPriority w:val="0"/>
    <w:pPr>
      <w:ind w:firstLine="4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jc w:val="left"/>
    </w:pPr>
    <w:rPr>
      <w:rFonts w:ascii="宋体" w:hAnsi="宋体" w:cs="宋体"/>
      <w:kern w:val="0"/>
      <w:sz w:val="24"/>
    </w:rPr>
  </w:style>
  <w:style w:type="character" w:styleId="9">
    <w:name w:val="Strong"/>
    <w:qFormat/>
    <w:uiPriority w:val="0"/>
    <w:rPr>
      <w:b/>
      <w:bCs/>
    </w:rPr>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仿宋_GB2312"/>
      <w:sz w:val="32"/>
      <w:szCs w:val="32"/>
    </w:rPr>
  </w:style>
  <w:style w:type="paragraph" w:customStyle="1" w:styleId="12">
    <w:name w:val="正文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默认段落字体 Para Char Char Char Char Char Char Char Char Char Char Char Char Char"/>
    <w:basedOn w:val="1"/>
    <w:qFormat/>
    <w:uiPriority w:val="0"/>
    <w:pPr>
      <w:shd w:val="clear" w:color="auto" w:fill="000080"/>
    </w:pPr>
  </w:style>
  <w:style w:type="paragraph" w:customStyle="1" w:styleId="14">
    <w:name w:val="正文 New New"/>
    <w:qFormat/>
    <w:uiPriority w:val="0"/>
    <w:pPr>
      <w:widowControl w:val="0"/>
      <w:jc w:val="both"/>
    </w:pPr>
    <w:rPr>
      <w:rFonts w:ascii="Calibri" w:hAnsi="Calibri"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393</Words>
  <Characters>452</Characters>
  <Lines>5</Lines>
  <Paragraphs>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2017-11-23T01:56:00Z</dcterms:created>
  <dc:creator>微软用户</dc:creator>
  <cp:lastModifiedBy>Administrator</cp:lastModifiedBy>
  <cp:lastPrinted>2022-09-01T05:55:00Z</cp:lastPrinted>
  <dcterms:modified xsi:type="dcterms:W3CDTF">2025-02-28T04:06:55Z</dcterms:modified>
  <dc:title>省专项资金项目分配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523C5F7FC8CA4016923F945D76FB95D8_13</vt:lpwstr>
  </property>
</Properties>
</file>