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7C4B58">
      <w:pPr>
        <w:spacing w:beforeLines="50" w:afterLines="50"/>
        <w:jc w:val="center"/>
        <w:rPr>
          <w:rFonts w:hint="eastAsia" w:ascii="方正小标宋_GBK" w:hAnsi="方正小标宋_GBK" w:eastAsia="方正小标宋_GBK" w:cs="方正小标宋_GBK"/>
          <w:b w:val="0"/>
          <w:bCs w:val="0"/>
          <w:sz w:val="36"/>
          <w:szCs w:val="36"/>
        </w:rPr>
      </w:pPr>
      <w:r>
        <w:rPr>
          <w:rFonts w:hint="default" w:ascii="方正小标宋_GBK" w:hAnsi="方正小标宋_GBK" w:eastAsia="方正小标宋_GBK" w:cs="方正小标宋_GBK"/>
          <w:b w:val="0"/>
          <w:bCs w:val="0"/>
          <w:sz w:val="36"/>
          <w:szCs w:val="36"/>
          <w:lang w:eastAsia="zh-CN"/>
        </w:rPr>
        <w:t>靖宇县</w:t>
      </w:r>
      <w:r>
        <w:rPr>
          <w:rFonts w:hint="eastAsia" w:ascii="方正小标宋_GBK" w:hAnsi="方正小标宋_GBK" w:eastAsia="方正小标宋_GBK" w:cs="方正小标宋_GBK"/>
          <w:b w:val="0"/>
          <w:bCs w:val="0"/>
          <w:sz w:val="36"/>
          <w:szCs w:val="36"/>
          <w:lang w:val="en-US" w:eastAsia="zh-CN"/>
        </w:rPr>
        <w:t>2021</w:t>
      </w:r>
      <w:r>
        <w:rPr>
          <w:rFonts w:hint="default" w:ascii="方正小标宋_GBK" w:hAnsi="方正小标宋_GBK" w:eastAsia="方正小标宋_GBK" w:cs="方正小标宋_GBK"/>
          <w:b w:val="0"/>
          <w:bCs w:val="0"/>
          <w:sz w:val="36"/>
          <w:szCs w:val="36"/>
          <w:lang w:eastAsia="zh-CN"/>
        </w:rPr>
        <w:t>年</w:t>
      </w:r>
      <w:r>
        <w:rPr>
          <w:rFonts w:hint="default" w:ascii="方正小标宋_GBK" w:hAnsi="方正小标宋_GBK" w:eastAsia="方正小标宋_GBK" w:cs="方正小标宋_GBK"/>
          <w:b w:val="0"/>
          <w:bCs w:val="0"/>
          <w:sz w:val="36"/>
          <w:szCs w:val="36"/>
        </w:rPr>
        <w:t>土地征收成片开发</w:t>
      </w:r>
      <w:r>
        <w:rPr>
          <w:rFonts w:hint="eastAsia" w:ascii="方正小标宋_GBK" w:hAnsi="方正小标宋_GBK" w:eastAsia="方正小标宋_GBK" w:cs="方正小标宋_GBK"/>
          <w:b w:val="0"/>
          <w:bCs w:val="0"/>
          <w:sz w:val="36"/>
          <w:szCs w:val="36"/>
          <w:lang w:eastAsia="zh-CN"/>
        </w:rPr>
        <w:t>调整</w:t>
      </w:r>
      <w:r>
        <w:rPr>
          <w:rFonts w:hint="default" w:ascii="方正小标宋_GBK" w:hAnsi="方正小标宋_GBK" w:eastAsia="方正小标宋_GBK" w:cs="方正小标宋_GBK"/>
          <w:b w:val="0"/>
          <w:bCs w:val="0"/>
          <w:sz w:val="36"/>
          <w:szCs w:val="36"/>
        </w:rPr>
        <w:t>方案</w:t>
      </w:r>
    </w:p>
    <w:p w14:paraId="5D89AD25">
      <w:pPr>
        <w:jc w:val="center"/>
        <w:rPr>
          <w:rFonts w:hint="eastAsia" w:ascii="方正小标宋_GBK" w:hAnsi="方正小标宋_GBK" w:eastAsia="方正小标宋_GBK" w:cs="方正小标宋_GBK"/>
          <w:b w:val="0"/>
          <w:bCs w:val="0"/>
          <w:sz w:val="36"/>
          <w:szCs w:val="36"/>
        </w:rPr>
      </w:pPr>
      <w:r>
        <w:rPr>
          <w:rFonts w:hint="eastAsia" w:ascii="方正小标宋_GBK" w:hAnsi="方正小标宋_GBK" w:eastAsia="方正小标宋_GBK" w:cs="方正小标宋_GBK"/>
          <w:b w:val="0"/>
          <w:bCs w:val="0"/>
          <w:sz w:val="36"/>
          <w:szCs w:val="36"/>
        </w:rPr>
        <w:t>（公示草案）</w:t>
      </w:r>
    </w:p>
    <w:p w14:paraId="74F8537F">
      <w:pPr>
        <w:ind w:firstLine="560" w:firstLineChars="200"/>
        <w:rPr>
          <w:rFonts w:ascii="黑体" w:hAnsi="黑体" w:eastAsia="黑体"/>
          <w:sz w:val="28"/>
          <w:szCs w:val="28"/>
          <w:shd w:val="clear" w:color="auto" w:fill="FFFFFF"/>
        </w:rPr>
      </w:pPr>
      <w:r>
        <w:rPr>
          <w:rFonts w:hint="eastAsia" w:ascii="黑体" w:hAnsi="黑体" w:eastAsia="黑体"/>
          <w:sz w:val="28"/>
          <w:szCs w:val="28"/>
          <w:shd w:val="clear" w:color="auto" w:fill="FFFFFF"/>
        </w:rPr>
        <w:t>一、编制依据</w:t>
      </w:r>
    </w:p>
    <w:p w14:paraId="500A98B5">
      <w:pPr>
        <w:pStyle w:val="2"/>
        <w:bidi w:val="0"/>
      </w:pPr>
      <w:r>
        <w:t>1</w:t>
      </w:r>
      <w:r>
        <w:rPr>
          <w:rFonts w:hint="eastAsia"/>
          <w:lang w:eastAsia="zh-CN"/>
        </w:rPr>
        <w:t>、</w:t>
      </w:r>
      <w:r>
        <w:t>法律法规</w:t>
      </w:r>
    </w:p>
    <w:p w14:paraId="65A03CA6">
      <w:pPr>
        <w:ind w:left="567" w:leftChars="0" w:firstLine="151" w:firstLineChars="54"/>
        <w:jc w:val="left"/>
        <w:rPr>
          <w:rFonts w:eastAsia="仿宋_GB2312"/>
          <w:sz w:val="28"/>
          <w:szCs w:val="28"/>
        </w:rPr>
      </w:pPr>
      <w:r>
        <w:rPr>
          <w:rFonts w:eastAsia="仿宋_GB2312"/>
          <w:sz w:val="28"/>
          <w:szCs w:val="28"/>
        </w:rPr>
        <w:t>（1）《中华人民共和国土地管理法》（</w:t>
      </w:r>
      <w:r>
        <w:rPr>
          <w:rFonts w:hint="eastAsia" w:eastAsia="仿宋_GB2312"/>
          <w:sz w:val="28"/>
          <w:szCs w:val="28"/>
          <w:lang w:val="en-US" w:eastAsia="zh-CN"/>
        </w:rPr>
        <w:t>2020</w:t>
      </w:r>
      <w:r>
        <w:rPr>
          <w:rFonts w:eastAsia="仿宋_GB2312"/>
          <w:sz w:val="28"/>
          <w:szCs w:val="28"/>
        </w:rPr>
        <w:t>年）；</w:t>
      </w:r>
    </w:p>
    <w:p w14:paraId="74BA5915">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（2）《中华人民共和国黑土地保护法》（2022年）；</w:t>
      </w:r>
    </w:p>
    <w:p w14:paraId="7A101402">
      <w:pPr>
        <w:ind w:left="567" w:leftChars="0" w:firstLine="151" w:firstLineChars="54"/>
        <w:jc w:val="left"/>
        <w:rPr>
          <w:rFonts w:ascii="Times New Roman" w:hAnsi="Times New Roman" w:eastAsia="仿宋_GB2312" w:cs="Times New Roman"/>
          <w:sz w:val="28"/>
          <w:szCs w:val="28"/>
        </w:rPr>
      </w:pP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3</w:t>
      </w:r>
      <w:r>
        <w:rPr>
          <w:rFonts w:hint="eastAsia" w:ascii="Times New Roman" w:hAnsi="Times New Roman" w:eastAsia="仿宋_GB2312" w:cs="Times New Roman"/>
          <w:sz w:val="28"/>
          <w:szCs w:val="28"/>
          <w:lang w:eastAsia="zh-CN"/>
        </w:rPr>
        <w:t>）</w:t>
      </w:r>
      <w:r>
        <w:rPr>
          <w:rFonts w:ascii="Times New Roman" w:hAnsi="Times New Roman" w:eastAsia="仿宋_GB2312" w:cs="Times New Roman"/>
          <w:sz w:val="28"/>
          <w:szCs w:val="28"/>
        </w:rPr>
        <w:t>《中华人民共和国城乡规划法》（2019年修正版）；</w:t>
      </w:r>
    </w:p>
    <w:p w14:paraId="7E920D6A">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4</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《中华人民共和国土壤污染防治法》（2019年1月修订）；</w:t>
      </w:r>
    </w:p>
    <w:p w14:paraId="5B0B5B92">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5</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中华人民共和国大气污染防治法》</w:t>
      </w:r>
      <w:r>
        <w:rPr>
          <w:rFonts w:ascii="Times New Roman" w:hAnsi="Times New Roman" w:eastAsia="仿宋_GB2312" w:cs="Times New Roman"/>
          <w:sz w:val="28"/>
          <w:szCs w:val="28"/>
        </w:rPr>
        <w:t>（2018年1</w:t>
      </w:r>
      <w:r>
        <w:rPr>
          <w:rFonts w:hint="eastAsia" w:ascii="Times New Roman" w:hAnsi="Times New Roman" w:eastAsia="仿宋_GB2312" w:cs="Times New Roman"/>
          <w:sz w:val="28"/>
          <w:szCs w:val="28"/>
        </w:rPr>
        <w:t>0</w:t>
      </w:r>
      <w:r>
        <w:rPr>
          <w:rFonts w:ascii="Times New Roman" w:hAnsi="Times New Roman" w:eastAsia="仿宋_GB2312" w:cs="Times New Roman"/>
          <w:sz w:val="28"/>
          <w:szCs w:val="28"/>
        </w:rPr>
        <w:t>月修订）；</w:t>
      </w:r>
    </w:p>
    <w:p w14:paraId="1E6B41BB">
      <w:pPr>
        <w:ind w:left="567" w:leftChars="0" w:firstLine="151" w:firstLineChars="54"/>
        <w:jc w:val="left"/>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6</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中华人民共和国环境影响评价法》（2018年12月修订）；</w:t>
      </w:r>
    </w:p>
    <w:p w14:paraId="27488B65">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7</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《中华人民共和国水污染防治法》</w:t>
      </w:r>
      <w:r>
        <w:rPr>
          <w:rFonts w:ascii="Times New Roman" w:hAnsi="Times New Roman" w:eastAsia="仿宋_GB2312" w:cs="Times New Roman"/>
          <w:sz w:val="28"/>
          <w:szCs w:val="28"/>
        </w:rPr>
        <w:t>（201</w:t>
      </w:r>
      <w:r>
        <w:rPr>
          <w:rFonts w:hint="eastAsia" w:ascii="Times New Roman" w:hAnsi="Times New Roman" w:eastAsia="仿宋_GB2312" w:cs="Times New Roman"/>
          <w:sz w:val="28"/>
          <w:szCs w:val="28"/>
        </w:rPr>
        <w:t>7</w:t>
      </w:r>
      <w:r>
        <w:rPr>
          <w:rFonts w:ascii="Times New Roman" w:hAnsi="Times New Roman" w:eastAsia="仿宋_GB2312" w:cs="Times New Roman"/>
          <w:sz w:val="28"/>
          <w:szCs w:val="28"/>
        </w:rPr>
        <w:t>年</w:t>
      </w:r>
      <w:r>
        <w:rPr>
          <w:rFonts w:hint="eastAsia" w:ascii="Times New Roman" w:hAnsi="Times New Roman" w:eastAsia="仿宋_GB2312" w:cs="Times New Roman"/>
          <w:sz w:val="28"/>
          <w:szCs w:val="28"/>
        </w:rPr>
        <w:t>6</w:t>
      </w:r>
      <w:r>
        <w:rPr>
          <w:rFonts w:ascii="Times New Roman" w:hAnsi="Times New Roman" w:eastAsia="仿宋_GB2312" w:cs="Times New Roman"/>
          <w:sz w:val="28"/>
          <w:szCs w:val="28"/>
        </w:rPr>
        <w:t>月修订）；</w:t>
      </w:r>
    </w:p>
    <w:p w14:paraId="60B45C39">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8</w:t>
      </w:r>
      <w:r>
        <w:rPr>
          <w:rFonts w:ascii="Times New Roman" w:hAnsi="Times New Roman" w:eastAsia="仿宋_GB2312" w:cs="Times New Roman"/>
          <w:sz w:val="28"/>
          <w:szCs w:val="28"/>
        </w:rPr>
        <w:t>）《中华人民共和国环境保护法》（2014年修订）；</w:t>
      </w:r>
    </w:p>
    <w:p w14:paraId="08E1239F">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9</w:t>
      </w:r>
      <w:r>
        <w:rPr>
          <w:rFonts w:ascii="Times New Roman" w:hAnsi="Times New Roman" w:eastAsia="仿宋_GB2312" w:cs="Times New Roman"/>
          <w:sz w:val="28"/>
          <w:szCs w:val="28"/>
        </w:rPr>
        <w:t>）《中华人民共和国水土保持法》（2010年修订）；</w:t>
      </w:r>
    </w:p>
    <w:p w14:paraId="241DF290">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10</w:t>
      </w:r>
      <w:r>
        <w:rPr>
          <w:rFonts w:ascii="Times New Roman" w:hAnsi="Times New Roman" w:eastAsia="仿宋_GB2312" w:cs="Times New Roman"/>
          <w:sz w:val="28"/>
          <w:szCs w:val="28"/>
        </w:rPr>
        <w:t>）《中华人民共和国城市房地产管理法》（2009年修正版）；</w:t>
      </w:r>
    </w:p>
    <w:p w14:paraId="29C04B05">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11</w:t>
      </w:r>
      <w:r>
        <w:rPr>
          <w:rFonts w:ascii="Times New Roman" w:hAnsi="Times New Roman" w:eastAsia="仿宋_GB2312" w:cs="Times New Roman"/>
          <w:sz w:val="28"/>
          <w:szCs w:val="28"/>
        </w:rPr>
        <w:t>）《中华人民共和国土地管理法实施条例》（2021年9月）；</w:t>
      </w:r>
    </w:p>
    <w:p w14:paraId="1780DAAC">
      <w:pPr>
        <w:ind w:left="567" w:leftChars="0" w:firstLine="151" w:firstLineChars="54"/>
        <w:jc w:val="left"/>
        <w:rPr>
          <w:rFonts w:ascii="Times New Roman" w:hAnsi="Times New Roman" w:eastAsia="仿宋_GB2312" w:cs="Times New Roman"/>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12</w:t>
      </w:r>
      <w:r>
        <w:rPr>
          <w:rFonts w:ascii="Times New Roman" w:hAnsi="Times New Roman" w:eastAsia="仿宋_GB2312" w:cs="Times New Roman"/>
          <w:sz w:val="28"/>
          <w:szCs w:val="28"/>
        </w:rPr>
        <w:t>）</w:t>
      </w:r>
      <w:r>
        <w:rPr>
          <w:rFonts w:eastAsia="仿宋_GB2312"/>
          <w:sz w:val="28"/>
          <w:szCs w:val="28"/>
        </w:rPr>
        <w:t>《吉林省土地管理条例》（</w:t>
      </w:r>
      <w:r>
        <w:rPr>
          <w:rFonts w:hint="eastAsia" w:eastAsia="仿宋_GB2312"/>
          <w:sz w:val="28"/>
          <w:szCs w:val="28"/>
          <w:lang w:val="en-US" w:eastAsia="zh-CN"/>
        </w:rPr>
        <w:t>2023</w:t>
      </w:r>
      <w:r>
        <w:rPr>
          <w:rFonts w:eastAsia="仿宋_GB2312"/>
          <w:sz w:val="28"/>
          <w:szCs w:val="28"/>
        </w:rPr>
        <w:t>年）；</w:t>
      </w:r>
    </w:p>
    <w:p w14:paraId="5E50201F">
      <w:pPr>
        <w:ind w:left="567" w:leftChars="0" w:firstLine="151" w:firstLineChars="54"/>
        <w:jc w:val="left"/>
        <w:rPr>
          <w:rFonts w:eastAsia="仿宋_GB2312"/>
          <w:sz w:val="28"/>
          <w:szCs w:val="28"/>
        </w:rPr>
      </w:pPr>
      <w:r>
        <w:rPr>
          <w:rFonts w:eastAsia="仿宋_GB2312"/>
          <w:sz w:val="28"/>
          <w:szCs w:val="28"/>
        </w:rPr>
        <w:t>（</w:t>
      </w:r>
      <w:r>
        <w:rPr>
          <w:rFonts w:hint="eastAsia" w:eastAsia="仿宋_GB2312"/>
          <w:sz w:val="28"/>
          <w:szCs w:val="28"/>
          <w:lang w:val="en-US" w:eastAsia="zh-CN"/>
        </w:rPr>
        <w:t>13</w:t>
      </w:r>
      <w:r>
        <w:rPr>
          <w:rFonts w:eastAsia="仿宋_GB2312"/>
          <w:sz w:val="28"/>
          <w:szCs w:val="28"/>
        </w:rPr>
        <w:t>）</w:t>
      </w:r>
      <w:r>
        <w:rPr>
          <w:rFonts w:ascii="Times New Roman" w:hAnsi="Times New Roman" w:eastAsia="仿宋_GB2312" w:cs="Times New Roman"/>
          <w:sz w:val="28"/>
          <w:szCs w:val="28"/>
        </w:rPr>
        <w:t>《吉林省黑土地保护条例》（</w:t>
      </w:r>
      <w:r>
        <w:rPr>
          <w:rFonts w:hint="eastAsia" w:ascii="Times New Roman" w:hAnsi="Times New Roman" w:eastAsia="仿宋_GB2312" w:cs="Times New Roman"/>
          <w:sz w:val="28"/>
          <w:szCs w:val="28"/>
          <w:lang w:val="en-US" w:eastAsia="zh-CN"/>
        </w:rPr>
        <w:t>2023</w:t>
      </w:r>
      <w:r>
        <w:rPr>
          <w:rFonts w:ascii="Times New Roman" w:hAnsi="Times New Roman" w:eastAsia="仿宋_GB2312" w:cs="Times New Roman"/>
          <w:sz w:val="28"/>
          <w:szCs w:val="28"/>
        </w:rPr>
        <w:t>年）</w:t>
      </w:r>
      <w:r>
        <w:rPr>
          <w:rFonts w:hint="eastAsia" w:ascii="Times New Roman" w:hAnsi="Times New Roman" w:eastAsia="仿宋_GB2312" w:cs="Times New Roman"/>
          <w:sz w:val="28"/>
          <w:szCs w:val="28"/>
          <w:lang w:eastAsia="zh-CN"/>
        </w:rPr>
        <w:t>；</w:t>
      </w:r>
    </w:p>
    <w:p w14:paraId="19A2F6BA">
      <w:pPr>
        <w:ind w:left="567" w:leftChars="0" w:firstLine="151" w:firstLineChars="54"/>
        <w:jc w:val="left"/>
        <w:rPr>
          <w:rFonts w:hint="eastAsia" w:ascii="Times New Roman" w:hAnsi="Times New Roman" w:eastAsia="仿宋_GB2312" w:cs="Times New Roman"/>
          <w:sz w:val="28"/>
          <w:szCs w:val="28"/>
          <w:lang w:eastAsia="zh-CN"/>
        </w:rPr>
      </w:pPr>
      <w:r>
        <w:rPr>
          <w:rFonts w:ascii="Times New Roman" w:hAnsi="Times New Roman" w:eastAsia="仿宋_GB2312" w:cs="Times New Roman"/>
          <w:sz w:val="28"/>
          <w:szCs w:val="28"/>
        </w:rPr>
        <w:t>（1</w:t>
      </w:r>
      <w:r>
        <w:rPr>
          <w:rFonts w:hint="eastAsia" w:ascii="Times New Roman" w:hAnsi="Times New Roman" w:eastAsia="仿宋_GB2312" w:cs="Times New Roman"/>
          <w:sz w:val="28"/>
          <w:szCs w:val="28"/>
          <w:lang w:val="en-US" w:eastAsia="zh-CN"/>
        </w:rPr>
        <w:t>4</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《吉林省生态环境保护条例》（2021年）；</w:t>
      </w:r>
    </w:p>
    <w:p w14:paraId="677521A2">
      <w:pPr>
        <w:ind w:left="567" w:leftChars="0" w:firstLine="151" w:firstLineChars="54"/>
        <w:jc w:val="left"/>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（1</w:t>
      </w:r>
      <w:r>
        <w:rPr>
          <w:rFonts w:hint="eastAsia" w:ascii="Times New Roman" w:hAnsi="Times New Roman" w:eastAsia="仿宋_GB2312" w:cs="Times New Roman"/>
          <w:sz w:val="28"/>
          <w:szCs w:val="28"/>
          <w:lang w:val="en-US" w:eastAsia="zh-CN"/>
        </w:rPr>
        <w:t>5</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《节约集约利用土地规定》（2019年修正版）；</w:t>
      </w:r>
    </w:p>
    <w:p w14:paraId="340F132D">
      <w:pPr>
        <w:ind w:left="567" w:leftChars="0" w:firstLine="151" w:firstLineChars="54"/>
        <w:jc w:val="left"/>
        <w:rPr>
          <w:rFonts w:hint="eastAsia" w:eastAsia="仿宋_GB2312"/>
          <w:sz w:val="28"/>
          <w:szCs w:val="28"/>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1</w:t>
      </w:r>
      <w:r>
        <w:rPr>
          <w:rFonts w:hint="eastAsia" w:ascii="Times New Roman" w:hAnsi="Times New Roman" w:eastAsia="仿宋_GB2312" w:cs="Times New Roman"/>
          <w:sz w:val="28"/>
          <w:szCs w:val="28"/>
          <w:lang w:val="en-US" w:eastAsia="zh-CN"/>
        </w:rPr>
        <w:t>6</w:t>
      </w:r>
      <w:r>
        <w:rPr>
          <w:rFonts w:ascii="Times New Roman" w:hAnsi="Times New Roman" w:eastAsia="仿宋_GB2312" w:cs="Times New Roman"/>
          <w:sz w:val="28"/>
          <w:szCs w:val="28"/>
        </w:rPr>
        <w:t>）《基本农田保护条例》（2011年）</w:t>
      </w:r>
      <w:r>
        <w:rPr>
          <w:rFonts w:hint="eastAsia" w:eastAsia="仿宋_GB2312"/>
          <w:sz w:val="28"/>
          <w:szCs w:val="28"/>
        </w:rPr>
        <w:t>。</w:t>
      </w:r>
    </w:p>
    <w:p w14:paraId="4EDF8EA9">
      <w:pPr>
        <w:pStyle w:val="2"/>
        <w:bidi w:val="0"/>
      </w:pPr>
      <w:r>
        <w:t>2</w:t>
      </w:r>
      <w:r>
        <w:rPr>
          <w:rFonts w:hint="eastAsia"/>
          <w:lang w:eastAsia="zh-CN"/>
        </w:rPr>
        <w:t>、</w:t>
      </w:r>
      <w:r>
        <w:t>政策文件</w:t>
      </w:r>
    </w:p>
    <w:p w14:paraId="167B7954">
      <w:pPr>
        <w:ind w:left="567" w:leftChars="0" w:firstLine="151" w:firstLineChars="54"/>
        <w:jc w:val="left"/>
        <w:rPr>
          <w:rFonts w:hint="eastAsia" w:ascii="Times New Roman" w:hAnsi="Times New Roman" w:eastAsia="仿宋_GB2312" w:cs="Times New Roman"/>
          <w:sz w:val="28"/>
          <w:szCs w:val="28"/>
        </w:rPr>
      </w:pPr>
      <w:bookmarkStart w:id="0" w:name="_Hlk112418860"/>
      <w:r>
        <w:rPr>
          <w:rFonts w:hint="eastAsia" w:ascii="Times New Roman" w:hAnsi="Times New Roman" w:eastAsia="仿宋_GB2312" w:cs="Times New Roman"/>
          <w:sz w:val="28"/>
          <w:szCs w:val="28"/>
        </w:rPr>
        <w:t>（1）《中共中央办公厅国务院办公厅印发&lt;关于在国土空间总体规划中统筹划定落实三条控制线&gt;的指导意见》（厅字〔2019〕48号）；</w:t>
      </w:r>
    </w:p>
    <w:p w14:paraId="48C0B7F1">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（2）《中共中央办公厅国务院&lt;关于建立国土空间总体规划体系并监督实施的若干意见&gt;》（中发〔2019〕18号）；</w:t>
      </w:r>
    </w:p>
    <w:p w14:paraId="5A85E18C">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（3）《环境保护部&lt;关于印发生态保护红线划定技术指南的通知&gt;》（环发〔2015〕56号）；</w:t>
      </w:r>
    </w:p>
    <w:p w14:paraId="2BF1FAE0">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（4）《自然资源部农业农村部关于加强和改进永久基本农田保护工作的通知》（自然资规〔2019〕1号）；</w:t>
      </w:r>
    </w:p>
    <w:p w14:paraId="7D4DDE4B">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（5）《吉林省自然资源厅关于简化和规范建设用地审查报批工作的通知》（吉自然资发〔2020〕2号）；</w:t>
      </w:r>
    </w:p>
    <w:p w14:paraId="3862257E">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（6）《自然资源部国土空间用途管制司关于提供建设用地审查要点的函》（自然资用途管制函〔2020〕15号）；</w:t>
      </w:r>
    </w:p>
    <w:p w14:paraId="61AE80DC">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（7）《自然资源部农业农村部国家林业和草原局关于严格耕地用途管制的通知》（自然资发〔2021〕166号）；</w:t>
      </w:r>
    </w:p>
    <w:p w14:paraId="11467870">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（8）《自然资源部关于在全国开展“三区三线”划定工作的函》（自然资函〔2022〕47号）；</w:t>
      </w:r>
    </w:p>
    <w:p w14:paraId="19E97BF4">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（9）《自然资源部关于印发&lt;土地征收成片开发标准&gt;的通知》（自然资规〔2023〕7号）；</w:t>
      </w:r>
    </w:p>
    <w:p w14:paraId="56731629">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（10）根据《吉林省人民政府关于实施&lt;“三线一单”生态环境分区管控&gt;的意见》（吉政函〔2020〕101号）；</w:t>
      </w:r>
    </w:p>
    <w:p w14:paraId="1A5187C1">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（11）《吉林省自然资源厅关于印发&lt;2019年全省国土空间总体规划工作要点&gt;的通知》（吉自然资办发〔2019〕111号）；</w:t>
      </w:r>
    </w:p>
    <w:p w14:paraId="4A7C6D3F">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（12）《吉林省自然资源厅吉林省生态环境厅吉林省林业和草原局关于开展生态保护红线评估工作的通知》（吉自然资发〔2019〕7号）；</w:t>
      </w:r>
    </w:p>
    <w:p w14:paraId="78640F97">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（13）《吉林省自然资源厅关于印发&lt;吉林省城镇开发边界划定工作方案&gt;的通知》；</w:t>
      </w:r>
    </w:p>
    <w:p w14:paraId="226F2396">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（14）《吉林省自然资源厅关于做好近期国土空间总体规划有关工作的通知（吉自然资函〔2020〕815号）》；</w:t>
      </w:r>
    </w:p>
    <w:p w14:paraId="49E9AA4F">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（15）《吉林省人民政府关于实施&lt;“三线一单”生态环境分区管控&gt;的意见》（吉政函〔2020〕101号）；</w:t>
      </w:r>
    </w:p>
    <w:p w14:paraId="49393559">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（16）</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rPr>
        <w:t>白山市人民政府关于实施“三线一单”生态环境分区管控意见</w:t>
      </w:r>
      <w:r>
        <w:rPr>
          <w:rFonts w:hint="eastAsia" w:ascii="Times New Roman" w:hAnsi="Times New Roman" w:eastAsia="仿宋_GB2312" w:cs="Times New Roman"/>
          <w:sz w:val="28"/>
          <w:szCs w:val="28"/>
          <w:lang w:eastAsia="zh-CN"/>
        </w:rPr>
        <w:t>》（白山政函〔2021</w:t>
      </w: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eastAsia="zh-CN"/>
        </w:rPr>
        <w:t>107号）；</w:t>
      </w:r>
    </w:p>
    <w:p w14:paraId="497949D2">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（17）《吉林省人民政府关于授权和委托用地审批权的通知》（吉政函〔2021〕13号）；</w:t>
      </w:r>
    </w:p>
    <w:p w14:paraId="2D05B799">
      <w:pPr>
        <w:ind w:left="567" w:leftChars="0" w:firstLine="151" w:firstLineChars="54"/>
        <w:jc w:val="left"/>
        <w:rPr>
          <w:rFonts w:hint="eastAsia" w:eastAsia="仿宋_GB2312" w:cs="Times New Roman"/>
          <w:sz w:val="28"/>
          <w:szCs w:val="28"/>
          <w:lang w:eastAsia="zh-CN"/>
        </w:rPr>
      </w:pPr>
      <w:r>
        <w:rPr>
          <w:rFonts w:hint="eastAsia" w:ascii="Times New Roman" w:hAnsi="Times New Roman" w:eastAsia="仿宋_GB2312" w:cs="Times New Roman"/>
          <w:sz w:val="28"/>
          <w:szCs w:val="28"/>
        </w:rPr>
        <w:t>（1</w:t>
      </w:r>
      <w:r>
        <w:rPr>
          <w:rFonts w:hint="eastAsia" w:ascii="Times New Roman" w:hAnsi="Times New Roman" w:eastAsia="仿宋_GB2312" w:cs="Times New Roman"/>
          <w:sz w:val="28"/>
          <w:szCs w:val="28"/>
          <w:lang w:val="en-US" w:eastAsia="zh-CN"/>
        </w:rPr>
        <w:t>8</w:t>
      </w:r>
      <w:r>
        <w:rPr>
          <w:rFonts w:hint="eastAsia" w:ascii="Times New Roman" w:hAnsi="Times New Roman" w:eastAsia="仿宋_GB2312" w:cs="Times New Roman"/>
          <w:sz w:val="28"/>
          <w:szCs w:val="28"/>
        </w:rPr>
        <w:t>）《吉林省自然资源厅关于印发&lt;吉林省自然资源厅土地征收成片开发方案审查论证工作规则&gt;的通知》（吉自然资办发〔2023〕194号）</w:t>
      </w:r>
      <w:r>
        <w:rPr>
          <w:rFonts w:hint="eastAsia" w:eastAsia="仿宋_GB2312" w:cs="Times New Roman"/>
          <w:sz w:val="28"/>
          <w:szCs w:val="28"/>
          <w:lang w:eastAsia="zh-CN"/>
        </w:rPr>
        <w:t>；</w:t>
      </w:r>
    </w:p>
    <w:p w14:paraId="17001DAD">
      <w:pPr>
        <w:ind w:left="567" w:leftChars="0" w:firstLine="151" w:firstLineChars="54"/>
        <w:jc w:val="left"/>
        <w:rPr>
          <w:rFonts w:hint="eastAsia" w:ascii="Times New Roman" w:hAnsi="Times New Roman" w:eastAsia="仿宋_GB2312" w:cs="Times New Roman"/>
          <w:sz w:val="28"/>
          <w:szCs w:val="28"/>
        </w:rPr>
      </w:pPr>
      <w:r>
        <w:rPr>
          <w:rFonts w:hint="eastAsia" w:eastAsia="仿宋_GB2312" w:cs="Times New Roman"/>
          <w:sz w:val="28"/>
          <w:szCs w:val="28"/>
          <w:lang w:eastAsia="zh-CN"/>
        </w:rPr>
        <w:t>（</w:t>
      </w:r>
      <w:r>
        <w:rPr>
          <w:rFonts w:hint="eastAsia" w:eastAsia="仿宋_GB2312" w:cs="Times New Roman"/>
          <w:sz w:val="28"/>
          <w:szCs w:val="28"/>
          <w:lang w:val="en-US" w:eastAsia="zh-CN"/>
        </w:rPr>
        <w:t>19</w:t>
      </w:r>
      <w:r>
        <w:rPr>
          <w:rFonts w:hint="eastAsia" w:eastAsia="仿宋_GB2312" w:cs="Times New Roman"/>
          <w:sz w:val="28"/>
          <w:szCs w:val="28"/>
          <w:lang w:eastAsia="zh-CN"/>
        </w:rPr>
        <w:t>）《吉林省自然资源厅关于印发</w:t>
      </w:r>
      <w:r>
        <w:rPr>
          <w:rFonts w:hint="eastAsia" w:eastAsia="仿宋_GB2312" w:cs="Times New Roman"/>
          <w:sz w:val="28"/>
          <w:szCs w:val="28"/>
          <w:lang w:val="en-US" w:eastAsia="zh-CN"/>
        </w:rPr>
        <w:t>&lt;吉林省土地征收成片开发方案编制报批细则&gt;的通知》（吉自然资办发</w:t>
      </w:r>
      <w:r>
        <w:rPr>
          <w:rFonts w:hint="eastAsia" w:ascii="Times New Roman" w:hAnsi="Times New Roman" w:eastAsia="仿宋_GB2312" w:cs="Times New Roman"/>
          <w:sz w:val="28"/>
          <w:szCs w:val="28"/>
        </w:rPr>
        <w:t>〔202</w:t>
      </w:r>
      <w:r>
        <w:rPr>
          <w:rFonts w:hint="eastAsia" w:eastAsia="仿宋_GB2312" w:cs="Times New Roman"/>
          <w:sz w:val="28"/>
          <w:szCs w:val="28"/>
          <w:lang w:val="en-US" w:eastAsia="zh-CN"/>
        </w:rPr>
        <w:t>4</w:t>
      </w:r>
      <w:r>
        <w:rPr>
          <w:rFonts w:hint="eastAsia" w:ascii="Times New Roman" w:hAnsi="Times New Roman" w:eastAsia="仿宋_GB2312" w:cs="Times New Roman"/>
          <w:sz w:val="28"/>
          <w:szCs w:val="28"/>
        </w:rPr>
        <w:t>〕</w:t>
      </w:r>
      <w:r>
        <w:rPr>
          <w:rFonts w:hint="eastAsia" w:eastAsia="仿宋_GB2312" w:cs="Times New Roman"/>
          <w:sz w:val="28"/>
          <w:szCs w:val="28"/>
          <w:lang w:val="en-US" w:eastAsia="zh-CN"/>
        </w:rPr>
        <w:t>313</w:t>
      </w:r>
      <w:r>
        <w:rPr>
          <w:rFonts w:hint="eastAsia" w:ascii="Times New Roman" w:hAnsi="Times New Roman" w:eastAsia="仿宋_GB2312" w:cs="Times New Roman"/>
          <w:sz w:val="28"/>
          <w:szCs w:val="28"/>
        </w:rPr>
        <w:t>号</w:t>
      </w:r>
      <w:r>
        <w:rPr>
          <w:rFonts w:hint="eastAsia" w:eastAsia="仿宋_GB2312" w:cs="Times New Roman"/>
          <w:sz w:val="28"/>
          <w:szCs w:val="28"/>
          <w:lang w:val="en-US" w:eastAsia="zh-CN"/>
        </w:rPr>
        <w:t>）</w:t>
      </w:r>
      <w:r>
        <w:rPr>
          <w:rFonts w:hint="eastAsia" w:ascii="Times New Roman" w:hAnsi="Times New Roman" w:eastAsia="仿宋_GB2312" w:cs="Times New Roman"/>
          <w:sz w:val="28"/>
          <w:szCs w:val="28"/>
        </w:rPr>
        <w:t>。</w:t>
      </w:r>
    </w:p>
    <w:bookmarkEnd w:id="0"/>
    <w:p w14:paraId="33A8982E">
      <w:pPr>
        <w:pStyle w:val="2"/>
        <w:bidi w:val="0"/>
      </w:pPr>
      <w:r>
        <w:t>3</w:t>
      </w:r>
      <w:r>
        <w:rPr>
          <w:rFonts w:hint="eastAsia"/>
          <w:lang w:eastAsia="zh-CN"/>
        </w:rPr>
        <w:t>、</w:t>
      </w:r>
      <w:r>
        <w:t>规范性引用文件</w:t>
      </w:r>
    </w:p>
    <w:p w14:paraId="398FEB3D">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（1）《土地利用现状分类》（GB/T 21010-2017）；</w:t>
      </w:r>
    </w:p>
    <w:p w14:paraId="7AB413EB">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（2）《量和单位》（GB3100-3102-1993）；</w:t>
      </w:r>
    </w:p>
    <w:p w14:paraId="6E091D6D">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（3）《土地基本术语》（GB/T 19231-2003）；</w:t>
      </w:r>
    </w:p>
    <w:p w14:paraId="5CB0FDFF">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4</w:t>
      </w:r>
      <w:r>
        <w:rPr>
          <w:rFonts w:hint="eastAsia" w:ascii="Times New Roman" w:hAnsi="Times New Roman" w:eastAsia="仿宋_GB2312" w:cs="Times New Roman"/>
          <w:sz w:val="28"/>
          <w:szCs w:val="28"/>
        </w:rPr>
        <w:t>）《农用地定级规程》（GB/T 28405-2012）；</w:t>
      </w:r>
    </w:p>
    <w:p w14:paraId="2B2FCBA3">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5</w:t>
      </w:r>
      <w:r>
        <w:rPr>
          <w:rFonts w:hint="eastAsia" w:ascii="Times New Roman" w:hAnsi="Times New Roman" w:eastAsia="仿宋_GB2312" w:cs="Times New Roman"/>
          <w:sz w:val="28"/>
          <w:szCs w:val="28"/>
        </w:rPr>
        <w:t>）《农用地质量分等规程》（GB/T 28407-2012）；</w:t>
      </w:r>
    </w:p>
    <w:p w14:paraId="58E121A2">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6</w:t>
      </w:r>
      <w:r>
        <w:rPr>
          <w:rFonts w:hint="eastAsia" w:ascii="Times New Roman" w:hAnsi="Times New Roman" w:eastAsia="仿宋_GB2312" w:cs="Times New Roman"/>
          <w:sz w:val="28"/>
          <w:szCs w:val="28"/>
        </w:rPr>
        <w:t>）《城市公共设施规划规范》（GB50442-2008）；</w:t>
      </w:r>
    </w:p>
    <w:p w14:paraId="29C8E3DF">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7</w:t>
      </w:r>
      <w:r>
        <w:rPr>
          <w:rFonts w:hint="eastAsia" w:ascii="Times New Roman" w:hAnsi="Times New Roman" w:eastAsia="仿宋_GB2312" w:cs="Times New Roman"/>
          <w:sz w:val="28"/>
          <w:szCs w:val="28"/>
        </w:rPr>
        <w:t>）《建设用地节约集约利用评价规程》（TD/T 1018-2008）；</w:t>
      </w:r>
    </w:p>
    <w:p w14:paraId="2C7AC35A">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8</w:t>
      </w:r>
      <w:r>
        <w:rPr>
          <w:rFonts w:hint="eastAsia" w:ascii="Times New Roman" w:hAnsi="Times New Roman" w:eastAsia="仿宋_GB2312" w:cs="Times New Roman"/>
          <w:sz w:val="28"/>
          <w:szCs w:val="28"/>
        </w:rPr>
        <w:t>）《国土空间调查、规划、用途管制用地用海分类指南（试行）》；</w:t>
      </w:r>
    </w:p>
    <w:p w14:paraId="04086188">
      <w:pPr>
        <w:ind w:left="567" w:leftChars="0" w:firstLine="151" w:firstLineChars="54"/>
        <w:jc w:val="left"/>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9</w:t>
      </w:r>
      <w:r>
        <w:rPr>
          <w:rFonts w:hint="eastAsia" w:ascii="Times New Roman" w:hAnsi="Times New Roman" w:eastAsia="仿宋_GB2312" w:cs="Times New Roman"/>
          <w:sz w:val="28"/>
          <w:szCs w:val="28"/>
        </w:rPr>
        <w:t>）《城市居住区规划设计标准》（GB50180-2018）</w:t>
      </w:r>
      <w:r>
        <w:rPr>
          <w:rFonts w:hint="eastAsia" w:ascii="Times New Roman" w:hAnsi="Times New Roman" w:eastAsia="仿宋_GB2312" w:cs="Times New Roman"/>
          <w:sz w:val="28"/>
          <w:szCs w:val="28"/>
          <w:lang w:eastAsia="zh-CN"/>
        </w:rPr>
        <w:t>；</w:t>
      </w:r>
    </w:p>
    <w:p w14:paraId="64FC4DBC">
      <w:pPr>
        <w:ind w:left="567" w:leftChars="0" w:firstLine="151" w:firstLineChars="54"/>
        <w:jc w:val="left"/>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10</w:t>
      </w:r>
      <w:r>
        <w:rPr>
          <w:rFonts w:hint="eastAsia" w:ascii="Times New Roman" w:hAnsi="Times New Roman" w:eastAsia="仿宋_GB2312" w:cs="Times New Roman"/>
          <w:sz w:val="28"/>
          <w:szCs w:val="28"/>
          <w:lang w:eastAsia="zh-CN"/>
        </w:rPr>
        <w:t>）《土壤环境质量标准》（GB 15618-2018）。</w:t>
      </w:r>
    </w:p>
    <w:p w14:paraId="2ED02628">
      <w:pPr>
        <w:pStyle w:val="2"/>
        <w:bidi w:val="0"/>
      </w:pPr>
      <w:r>
        <w:t>4</w:t>
      </w:r>
      <w:r>
        <w:rPr>
          <w:rFonts w:hint="eastAsia"/>
          <w:lang w:eastAsia="zh-CN"/>
        </w:rPr>
        <w:t>、</w:t>
      </w:r>
      <w:r>
        <w:t>相关技术资料</w:t>
      </w:r>
    </w:p>
    <w:p w14:paraId="7132A4B7">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（1）《靖宇县国民经济和社会发展第十四个五年规划和2035年远景目标纲要》；</w:t>
      </w:r>
    </w:p>
    <w:p w14:paraId="58A4C2FC">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2</w:t>
      </w:r>
      <w:r>
        <w:rPr>
          <w:rFonts w:hint="eastAsia" w:ascii="Times New Roman" w:hAnsi="Times New Roman" w:eastAsia="仿宋_GB2312" w:cs="Times New Roman"/>
          <w:sz w:val="28"/>
          <w:szCs w:val="28"/>
        </w:rPr>
        <w:t>）《靖宇县国土空间</w:t>
      </w:r>
      <w:r>
        <w:rPr>
          <w:rFonts w:hint="eastAsia" w:ascii="Times New Roman" w:hAnsi="Times New Roman" w:eastAsia="仿宋_GB2312" w:cs="Times New Roman"/>
          <w:sz w:val="28"/>
          <w:szCs w:val="28"/>
          <w:lang w:eastAsia="zh-CN"/>
        </w:rPr>
        <w:t>总体</w:t>
      </w:r>
      <w:r>
        <w:rPr>
          <w:rFonts w:hint="eastAsia" w:ascii="Times New Roman" w:hAnsi="Times New Roman" w:eastAsia="仿宋_GB2312" w:cs="Times New Roman"/>
          <w:sz w:val="28"/>
          <w:szCs w:val="28"/>
        </w:rPr>
        <w:t>规划（2021-2035年）》</w:t>
      </w:r>
      <w:r>
        <w:rPr>
          <w:rFonts w:hint="eastAsia" w:ascii="Times New Roman" w:hAnsi="Times New Roman" w:eastAsia="仿宋_GB2312" w:cs="Times New Roman"/>
          <w:sz w:val="28"/>
          <w:szCs w:val="28"/>
          <w:lang w:eastAsia="zh-CN"/>
        </w:rPr>
        <w:t>报批稿</w:t>
      </w:r>
      <w:r>
        <w:rPr>
          <w:rFonts w:hint="eastAsia" w:ascii="Times New Roman" w:hAnsi="Times New Roman" w:eastAsia="仿宋_GB2312" w:cs="Times New Roman"/>
          <w:sz w:val="28"/>
          <w:szCs w:val="28"/>
        </w:rPr>
        <w:t>；</w:t>
      </w:r>
    </w:p>
    <w:p w14:paraId="662D09EA">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（3）靖宇县202</w:t>
      </w:r>
      <w:r>
        <w:rPr>
          <w:rFonts w:hint="eastAsia" w:ascii="Times New Roman" w:hAnsi="Times New Roman" w:eastAsia="仿宋_GB2312" w:cs="Times New Roman"/>
          <w:sz w:val="28"/>
          <w:szCs w:val="28"/>
          <w:lang w:val="en-US" w:eastAsia="zh-CN"/>
        </w:rPr>
        <w:t>3</w:t>
      </w:r>
      <w:r>
        <w:rPr>
          <w:rFonts w:hint="eastAsia" w:ascii="Times New Roman" w:hAnsi="Times New Roman" w:eastAsia="仿宋_GB2312" w:cs="Times New Roman"/>
          <w:sz w:val="28"/>
          <w:szCs w:val="28"/>
        </w:rPr>
        <w:t>年</w:t>
      </w:r>
      <w:r>
        <w:rPr>
          <w:rFonts w:hint="eastAsia" w:ascii="Times New Roman" w:hAnsi="Times New Roman" w:eastAsia="仿宋_GB2312" w:cs="Times New Roman"/>
          <w:sz w:val="28"/>
          <w:szCs w:val="28"/>
          <w:lang w:eastAsia="zh-CN"/>
        </w:rPr>
        <w:t>国土</w:t>
      </w:r>
      <w:r>
        <w:rPr>
          <w:rFonts w:hint="eastAsia" w:ascii="Times New Roman" w:hAnsi="Times New Roman" w:eastAsia="仿宋_GB2312" w:cs="Times New Roman"/>
          <w:sz w:val="28"/>
          <w:szCs w:val="28"/>
        </w:rPr>
        <w:t>变更调查成果</w:t>
      </w:r>
      <w:r>
        <w:rPr>
          <w:rFonts w:hint="eastAsia" w:ascii="Times New Roman" w:hAnsi="Times New Roman" w:eastAsia="仿宋_GB2312" w:cs="Times New Roman"/>
          <w:sz w:val="28"/>
          <w:szCs w:val="28"/>
          <w:lang w:eastAsia="zh-CN"/>
        </w:rPr>
        <w:t>、最新遥感影像</w:t>
      </w:r>
      <w:r>
        <w:rPr>
          <w:rFonts w:hint="eastAsia" w:ascii="Times New Roman" w:hAnsi="Times New Roman" w:eastAsia="仿宋_GB2312" w:cs="Times New Roman"/>
          <w:sz w:val="28"/>
          <w:szCs w:val="28"/>
        </w:rPr>
        <w:t>；</w:t>
      </w:r>
    </w:p>
    <w:p w14:paraId="071001A1">
      <w:pPr>
        <w:ind w:left="567" w:leftChars="0" w:firstLine="151" w:firstLineChars="54"/>
        <w:jc w:val="left"/>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4</w:t>
      </w:r>
      <w:r>
        <w:rPr>
          <w:rFonts w:hint="eastAsia" w:ascii="Times New Roman" w:hAnsi="Times New Roman" w:eastAsia="仿宋_GB2312" w:cs="Times New Roman"/>
          <w:sz w:val="28"/>
          <w:szCs w:val="28"/>
        </w:rPr>
        <w:t>）靖宇县永久基本农田</w:t>
      </w:r>
      <w:r>
        <w:rPr>
          <w:rFonts w:hint="eastAsia" w:ascii="Times New Roman" w:hAnsi="Times New Roman" w:eastAsia="仿宋_GB2312" w:cs="Times New Roman"/>
          <w:sz w:val="28"/>
          <w:szCs w:val="28"/>
          <w:lang w:eastAsia="zh-CN"/>
        </w:rPr>
        <w:t>核实处置</w:t>
      </w:r>
      <w:r>
        <w:rPr>
          <w:rFonts w:hint="eastAsia" w:eastAsia="仿宋_GB2312" w:cs="Times New Roman"/>
          <w:sz w:val="28"/>
          <w:szCs w:val="28"/>
          <w:lang w:eastAsia="zh-CN"/>
        </w:rPr>
        <w:t>后数据</w:t>
      </w:r>
      <w:r>
        <w:rPr>
          <w:rFonts w:hint="eastAsia" w:ascii="Times New Roman" w:hAnsi="Times New Roman" w:eastAsia="仿宋_GB2312" w:cs="Times New Roman"/>
          <w:sz w:val="28"/>
          <w:szCs w:val="28"/>
        </w:rPr>
        <w:t>成果</w:t>
      </w:r>
      <w:r>
        <w:rPr>
          <w:rFonts w:hint="eastAsia" w:ascii="Times New Roman" w:hAnsi="Times New Roman" w:eastAsia="仿宋_GB2312" w:cs="Times New Roman"/>
          <w:sz w:val="28"/>
          <w:szCs w:val="28"/>
          <w:lang w:eastAsia="zh-CN"/>
        </w:rPr>
        <w:t>；</w:t>
      </w:r>
    </w:p>
    <w:p w14:paraId="33EC7BA9">
      <w:pPr>
        <w:ind w:left="567" w:leftChars="0" w:firstLine="151" w:firstLineChars="54"/>
        <w:jc w:val="left"/>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5</w:t>
      </w:r>
      <w:r>
        <w:rPr>
          <w:rFonts w:hint="eastAsia" w:ascii="Times New Roman" w:hAnsi="Times New Roman" w:eastAsia="仿宋_GB2312" w:cs="Times New Roman"/>
          <w:sz w:val="28"/>
          <w:szCs w:val="28"/>
        </w:rPr>
        <w:t>）靖宇县</w:t>
      </w:r>
      <w:r>
        <w:rPr>
          <w:rFonts w:hint="eastAsia" w:ascii="Times New Roman" w:hAnsi="Times New Roman" w:eastAsia="仿宋_GB2312" w:cs="Times New Roman"/>
          <w:sz w:val="28"/>
          <w:szCs w:val="28"/>
          <w:lang w:eastAsia="zh-CN"/>
        </w:rPr>
        <w:t>“三区三线”划定数据</w:t>
      </w:r>
      <w:r>
        <w:rPr>
          <w:rFonts w:hint="eastAsia" w:ascii="Times New Roman" w:hAnsi="Times New Roman" w:eastAsia="仿宋_GB2312" w:cs="Times New Roman"/>
          <w:sz w:val="28"/>
          <w:szCs w:val="28"/>
        </w:rPr>
        <w:t>成果；</w:t>
      </w:r>
    </w:p>
    <w:p w14:paraId="00F5B20E">
      <w:pPr>
        <w:ind w:left="567" w:leftChars="0" w:firstLine="151" w:firstLineChars="54"/>
        <w:jc w:val="left"/>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6</w:t>
      </w:r>
      <w:r>
        <w:rPr>
          <w:rFonts w:hint="eastAsia" w:ascii="Times New Roman" w:hAnsi="Times New Roman" w:eastAsia="仿宋_GB2312" w:cs="Times New Roman"/>
          <w:sz w:val="28"/>
          <w:szCs w:val="28"/>
        </w:rPr>
        <w:t>）靖宇县</w:t>
      </w:r>
      <w:r>
        <w:rPr>
          <w:rFonts w:hint="eastAsia" w:ascii="Times New Roman" w:hAnsi="Times New Roman" w:eastAsia="仿宋_GB2312" w:cs="Times New Roman"/>
          <w:sz w:val="28"/>
          <w:szCs w:val="28"/>
          <w:lang w:val="en-US" w:eastAsia="zh-CN"/>
        </w:rPr>
        <w:t>2019年耕地质量等别更新</w:t>
      </w:r>
      <w:r>
        <w:rPr>
          <w:rFonts w:hint="eastAsia" w:ascii="Times New Roman" w:hAnsi="Times New Roman" w:eastAsia="仿宋_GB2312" w:cs="Times New Roman"/>
          <w:sz w:val="28"/>
          <w:szCs w:val="28"/>
        </w:rPr>
        <w:t>成果</w:t>
      </w:r>
      <w:r>
        <w:rPr>
          <w:rFonts w:hint="eastAsia" w:ascii="Times New Roman" w:hAnsi="Times New Roman" w:eastAsia="仿宋_GB2312" w:cs="Times New Roman"/>
          <w:sz w:val="28"/>
          <w:szCs w:val="28"/>
          <w:lang w:eastAsia="zh-CN"/>
        </w:rPr>
        <w:t>；</w:t>
      </w:r>
    </w:p>
    <w:p w14:paraId="69394129">
      <w:pPr>
        <w:ind w:left="567" w:leftChars="0" w:firstLine="151" w:firstLineChars="54"/>
        <w:jc w:val="left"/>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7</w:t>
      </w:r>
      <w:r>
        <w:rPr>
          <w:rFonts w:hint="eastAsia" w:ascii="Times New Roman" w:hAnsi="Times New Roman" w:eastAsia="仿宋_GB2312" w:cs="Times New Roman"/>
          <w:sz w:val="28"/>
          <w:szCs w:val="28"/>
          <w:lang w:eastAsia="zh-CN"/>
        </w:rPr>
        <w:t>）白山市生态环境准入清单；</w:t>
      </w:r>
    </w:p>
    <w:p w14:paraId="390D6F90">
      <w:pPr>
        <w:ind w:left="567" w:leftChars="0" w:firstLine="151" w:firstLineChars="54"/>
        <w:jc w:val="left"/>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8</w:t>
      </w:r>
      <w:r>
        <w:rPr>
          <w:rFonts w:hint="eastAsia" w:ascii="Times New Roman" w:hAnsi="Times New Roman" w:eastAsia="仿宋_GB2312" w:cs="Times New Roman"/>
          <w:sz w:val="28"/>
          <w:szCs w:val="28"/>
          <w:lang w:eastAsia="zh-CN"/>
        </w:rPr>
        <w:t>）白山市环境管控单元划定情况一览表；</w:t>
      </w:r>
    </w:p>
    <w:p w14:paraId="2B87DF11">
      <w:pPr>
        <w:ind w:left="567" w:leftChars="0" w:firstLine="151" w:firstLineChars="54"/>
        <w:jc w:val="left"/>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9</w:t>
      </w:r>
      <w:r>
        <w:rPr>
          <w:rFonts w:hint="eastAsia" w:ascii="Times New Roman" w:hAnsi="Times New Roman" w:eastAsia="仿宋_GB2312" w:cs="Times New Roman"/>
          <w:sz w:val="28"/>
          <w:szCs w:val="28"/>
          <w:lang w:eastAsia="zh-CN"/>
        </w:rPr>
        <w:t>）白山市环境管控单元分布图；</w:t>
      </w:r>
    </w:p>
    <w:p w14:paraId="08B8BE04">
      <w:pPr>
        <w:ind w:left="567" w:leftChars="0" w:firstLine="151" w:firstLineChars="54"/>
        <w:jc w:val="left"/>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10</w:t>
      </w:r>
      <w:r>
        <w:rPr>
          <w:rFonts w:hint="eastAsia" w:ascii="Times New Roman" w:hAnsi="Times New Roman" w:eastAsia="仿宋_GB2312" w:cs="Times New Roman"/>
          <w:sz w:val="28"/>
          <w:szCs w:val="28"/>
          <w:lang w:eastAsia="zh-CN"/>
        </w:rPr>
        <w:t>）《白山市人民政府关于公布实施白山市征收农用地区片综合地价标准的通知》（白山政函</w:t>
      </w:r>
      <w:r>
        <w:rPr>
          <w:rFonts w:hint="eastAsia" w:ascii="Times New Roman" w:hAnsi="Times New Roman" w:eastAsia="仿宋_GB2312" w:cs="Times New Roman"/>
          <w:sz w:val="28"/>
          <w:szCs w:val="28"/>
        </w:rPr>
        <w:t>〔2020〕</w:t>
      </w:r>
      <w:r>
        <w:rPr>
          <w:rFonts w:hint="eastAsia" w:ascii="Times New Roman" w:hAnsi="Times New Roman" w:eastAsia="仿宋_GB2312" w:cs="Times New Roman"/>
          <w:sz w:val="28"/>
          <w:szCs w:val="28"/>
          <w:lang w:eastAsia="zh-CN"/>
        </w:rPr>
        <w:t>246号）；</w:t>
      </w:r>
    </w:p>
    <w:p w14:paraId="5881B753">
      <w:pPr>
        <w:ind w:left="567" w:leftChars="0" w:firstLine="151" w:firstLineChars="54"/>
        <w:jc w:val="left"/>
        <w:rPr>
          <w:rFonts w:ascii="Times New Roman" w:hAnsi="Times New Roman" w:eastAsia="仿宋_GB2312" w:cs="Times New Roman"/>
          <w:sz w:val="28"/>
          <w:szCs w:val="28"/>
        </w:rPr>
      </w:pP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11</w:t>
      </w:r>
      <w:r>
        <w:rPr>
          <w:rFonts w:hint="eastAsia" w:ascii="Times New Roman" w:hAnsi="Times New Roman" w:eastAsia="仿宋_GB2312" w:cs="Times New Roman"/>
          <w:sz w:val="28"/>
          <w:szCs w:val="28"/>
          <w:lang w:eastAsia="zh-CN"/>
        </w:rPr>
        <w:t>）成片开发</w:t>
      </w:r>
      <w:r>
        <w:rPr>
          <w:rFonts w:hint="eastAsia" w:eastAsia="仿宋_GB2312" w:cs="Times New Roman"/>
          <w:sz w:val="28"/>
          <w:szCs w:val="28"/>
          <w:lang w:eastAsia="zh-CN"/>
        </w:rPr>
        <w:t>调整</w:t>
      </w:r>
      <w:r>
        <w:rPr>
          <w:rFonts w:hint="eastAsia" w:ascii="Times New Roman" w:hAnsi="Times New Roman" w:eastAsia="仿宋_GB2312" w:cs="Times New Roman"/>
          <w:sz w:val="28"/>
          <w:szCs w:val="28"/>
          <w:lang w:eastAsia="zh-CN"/>
        </w:rPr>
        <w:t>方案建设项目的相关资料等</w:t>
      </w:r>
      <w:r>
        <w:rPr>
          <w:rFonts w:hint="eastAsia" w:ascii="Times New Roman" w:hAnsi="Times New Roman" w:eastAsia="仿宋_GB2312" w:cs="Times New Roman"/>
          <w:sz w:val="28"/>
          <w:szCs w:val="28"/>
        </w:rPr>
        <w:t>。</w:t>
      </w:r>
    </w:p>
    <w:p w14:paraId="02F84DF9">
      <w:pPr>
        <w:ind w:firstLine="560" w:firstLineChars="200"/>
        <w:rPr>
          <w:rFonts w:ascii="黑体" w:hAnsi="黑体" w:eastAsia="黑体"/>
          <w:sz w:val="28"/>
          <w:szCs w:val="28"/>
          <w:shd w:val="clear" w:color="auto" w:fill="FFFFFF"/>
        </w:rPr>
      </w:pPr>
      <w:r>
        <w:rPr>
          <w:rFonts w:hint="eastAsia" w:ascii="黑体" w:hAnsi="黑体" w:eastAsia="黑体"/>
          <w:sz w:val="28"/>
          <w:szCs w:val="28"/>
          <w:shd w:val="clear" w:color="auto" w:fill="FFFFFF"/>
        </w:rPr>
        <w:t>二、基本情况</w:t>
      </w:r>
    </w:p>
    <w:p w14:paraId="7154F183">
      <w:pPr>
        <w:spacing w:line="560" w:lineRule="exact"/>
        <w:ind w:firstLine="560" w:firstLineChars="200"/>
        <w:rPr>
          <w:rFonts w:hint="eastAsia" w:ascii="Times New Roman" w:hAnsi="Times New Roman" w:eastAsia="仿宋_GB2312" w:cs="Times New Roman"/>
          <w:bCs/>
          <w:sz w:val="28"/>
          <w:szCs w:val="28"/>
          <w:lang w:val="en-US" w:eastAsia="zh-CN"/>
        </w:rPr>
      </w:pPr>
      <w:r>
        <w:rPr>
          <w:rFonts w:hint="eastAsia" w:ascii="Times New Roman" w:hAnsi="Times New Roman" w:eastAsia="仿宋_GB2312" w:cs="Times New Roman"/>
          <w:color w:val="000000"/>
          <w:sz w:val="28"/>
        </w:rPr>
        <w:t>原调整方案成片开发总面积</w:t>
      </w:r>
      <w:r>
        <w:rPr>
          <w:rFonts w:hint="eastAsia" w:ascii="Times New Roman" w:hAnsi="Times New Roman" w:eastAsia="仿宋_GB2312" w:cs="Times New Roman"/>
          <w:color w:val="000000"/>
          <w:sz w:val="28"/>
          <w:lang w:val="en-US" w:eastAsia="zh-CN"/>
        </w:rPr>
        <w:t>266.1101</w:t>
      </w:r>
      <w:r>
        <w:rPr>
          <w:rFonts w:hint="eastAsia" w:ascii="Times New Roman" w:hAnsi="Times New Roman" w:eastAsia="仿宋_GB2312" w:cs="Times New Roman"/>
          <w:color w:val="000000"/>
          <w:sz w:val="28"/>
        </w:rPr>
        <w:t>公顷，拟征地面积</w:t>
      </w:r>
      <w:r>
        <w:rPr>
          <w:rFonts w:hint="eastAsia" w:ascii="Times New Roman" w:hAnsi="Times New Roman" w:eastAsia="仿宋_GB2312" w:cs="Times New Roman"/>
          <w:color w:val="000000"/>
          <w:sz w:val="28"/>
          <w:lang w:val="en-US" w:eastAsia="zh-CN"/>
        </w:rPr>
        <w:t>210.4740</w:t>
      </w:r>
      <w:r>
        <w:rPr>
          <w:rFonts w:hint="eastAsia" w:ascii="Times New Roman" w:hAnsi="Times New Roman" w:eastAsia="仿宋_GB2312" w:cs="Times New Roman"/>
          <w:color w:val="000000"/>
          <w:sz w:val="28"/>
        </w:rPr>
        <w:t>公顷，本次《调整</w:t>
      </w:r>
      <w:r>
        <w:rPr>
          <w:rFonts w:hint="eastAsia" w:ascii="Times New Roman" w:hAnsi="Times New Roman" w:eastAsia="仿宋_GB2312" w:cs="Times New Roman"/>
          <w:color w:val="auto"/>
          <w:sz w:val="28"/>
          <w:highlight w:val="none"/>
        </w:rPr>
        <w:t>方案》</w:t>
      </w:r>
      <w:r>
        <w:rPr>
          <w:rFonts w:hint="eastAsia" w:ascii="Times New Roman" w:hAnsi="Times New Roman" w:eastAsia="仿宋_GB2312" w:cs="Times New Roman"/>
          <w:color w:val="000000"/>
          <w:sz w:val="28"/>
          <w:lang w:eastAsia="zh-CN"/>
        </w:rPr>
        <w:t>共调整</w:t>
      </w:r>
      <w:r>
        <w:rPr>
          <w:rFonts w:hint="eastAsia" w:ascii="Times New Roman" w:hAnsi="Times New Roman" w:eastAsia="仿宋_GB2312" w:cs="Times New Roman"/>
          <w:color w:val="000000"/>
          <w:sz w:val="28"/>
          <w:lang w:val="en-US" w:eastAsia="zh-CN"/>
        </w:rPr>
        <w:t>194.7590</w:t>
      </w:r>
      <w:r>
        <w:rPr>
          <w:rFonts w:hint="eastAsia" w:ascii="Times New Roman" w:hAnsi="Times New Roman" w:eastAsia="仿宋_GB2312" w:cs="Times New Roman"/>
          <w:color w:val="000000"/>
          <w:sz w:val="28"/>
        </w:rPr>
        <w:t>公顷，其中调入</w:t>
      </w:r>
      <w:r>
        <w:rPr>
          <w:rFonts w:hint="eastAsia" w:ascii="Times New Roman" w:hAnsi="Times New Roman" w:eastAsia="仿宋_GB2312" w:cs="Times New Roman"/>
          <w:color w:val="000000"/>
          <w:sz w:val="28"/>
          <w:lang w:val="en-US" w:eastAsia="zh-CN"/>
        </w:rPr>
        <w:t>10.3902</w:t>
      </w:r>
      <w:r>
        <w:rPr>
          <w:rFonts w:hint="eastAsia" w:ascii="Times New Roman" w:hAnsi="Times New Roman" w:eastAsia="仿宋_GB2312" w:cs="Times New Roman"/>
          <w:color w:val="000000"/>
          <w:sz w:val="28"/>
        </w:rPr>
        <w:t>公顷全部为公益性用地，权属全部为国有土地；调出面积</w:t>
      </w:r>
      <w:r>
        <w:rPr>
          <w:rFonts w:hint="eastAsia" w:ascii="Times New Roman" w:hAnsi="Times New Roman" w:eastAsia="仿宋_GB2312" w:cs="Times New Roman"/>
          <w:color w:val="000000"/>
          <w:sz w:val="28"/>
          <w:lang w:val="en-US" w:eastAsia="zh-CN"/>
        </w:rPr>
        <w:t>184.3688</w:t>
      </w:r>
      <w:r>
        <w:rPr>
          <w:rFonts w:hint="eastAsia" w:ascii="Times New Roman" w:hAnsi="Times New Roman" w:eastAsia="仿宋_GB2312" w:cs="Times New Roman"/>
          <w:color w:val="000000"/>
          <w:sz w:val="28"/>
        </w:rPr>
        <w:t>公顷（其中集体土地</w:t>
      </w:r>
      <w:r>
        <w:rPr>
          <w:rFonts w:hint="eastAsia" w:ascii="Times New Roman" w:hAnsi="Times New Roman" w:eastAsia="仿宋_GB2312" w:cs="Times New Roman"/>
          <w:color w:val="000000"/>
          <w:sz w:val="28"/>
          <w:lang w:val="en-US" w:eastAsia="zh-CN"/>
        </w:rPr>
        <w:t>144.7361</w:t>
      </w:r>
      <w:r>
        <w:rPr>
          <w:rFonts w:hint="eastAsia" w:ascii="Times New Roman" w:hAnsi="Times New Roman" w:eastAsia="仿宋_GB2312" w:cs="Times New Roman"/>
          <w:color w:val="000000"/>
          <w:sz w:val="28"/>
        </w:rPr>
        <w:t>公顷，国有土地39.6327公顷）。调整后土地征收成片开发总面积</w:t>
      </w:r>
      <w:bookmarkStart w:id="1" w:name="_Hlk111488396"/>
      <w:r>
        <w:rPr>
          <w:rFonts w:hint="eastAsia" w:ascii="Times New Roman" w:hAnsi="Times New Roman" w:eastAsia="仿宋_GB2312" w:cs="Times New Roman"/>
          <w:color w:val="000000"/>
          <w:sz w:val="28"/>
        </w:rPr>
        <w:t>为</w:t>
      </w:r>
      <w:r>
        <w:rPr>
          <w:rFonts w:hint="eastAsia" w:ascii="Times New Roman" w:hAnsi="Times New Roman" w:eastAsia="仿宋_GB2312" w:cs="Times New Roman"/>
          <w:color w:val="000000"/>
          <w:sz w:val="28"/>
          <w:lang w:val="en-US" w:eastAsia="zh-CN"/>
        </w:rPr>
        <w:t>92.1315</w:t>
      </w:r>
      <w:r>
        <w:rPr>
          <w:rFonts w:hint="eastAsia" w:ascii="Times New Roman" w:hAnsi="Times New Roman" w:eastAsia="仿宋_GB2312" w:cs="Times New Roman"/>
          <w:color w:val="000000"/>
          <w:sz w:val="28"/>
        </w:rPr>
        <w:t>公顷，减少了</w:t>
      </w:r>
      <w:r>
        <w:rPr>
          <w:rFonts w:hint="eastAsia" w:ascii="Times New Roman" w:hAnsi="Times New Roman" w:eastAsia="仿宋_GB2312" w:cs="Times New Roman"/>
          <w:color w:val="000000"/>
          <w:sz w:val="28"/>
          <w:lang w:val="en-US" w:eastAsia="zh-CN"/>
        </w:rPr>
        <w:t>173.9786</w:t>
      </w:r>
      <w:r>
        <w:rPr>
          <w:rFonts w:hint="eastAsia" w:ascii="Times New Roman" w:hAnsi="Times New Roman" w:eastAsia="仿宋_GB2312" w:cs="Times New Roman"/>
          <w:color w:val="000000"/>
          <w:sz w:val="28"/>
        </w:rPr>
        <w:t>公顷</w:t>
      </w:r>
      <w:bookmarkEnd w:id="1"/>
      <w:r>
        <w:rPr>
          <w:rFonts w:hint="eastAsia" w:ascii="Times New Roman" w:hAnsi="Times New Roman" w:eastAsia="仿宋_GB2312" w:cs="Times New Roman"/>
          <w:color w:val="000000"/>
          <w:sz w:val="28"/>
        </w:rPr>
        <w:t>；拟征地面积</w:t>
      </w:r>
      <w:r>
        <w:rPr>
          <w:rFonts w:hint="eastAsia" w:ascii="Times New Roman" w:hAnsi="Times New Roman" w:eastAsia="仿宋_GB2312" w:cs="Times New Roman"/>
          <w:color w:val="000000"/>
          <w:sz w:val="28"/>
          <w:lang w:val="en-US" w:eastAsia="zh-CN"/>
        </w:rPr>
        <w:t>65.7379</w:t>
      </w:r>
      <w:r>
        <w:rPr>
          <w:rFonts w:hint="eastAsia" w:ascii="Times New Roman" w:hAnsi="Times New Roman" w:eastAsia="仿宋_GB2312" w:cs="Times New Roman"/>
          <w:color w:val="000000"/>
          <w:sz w:val="28"/>
        </w:rPr>
        <w:t>公顷，较原方案减少了</w:t>
      </w:r>
      <w:r>
        <w:rPr>
          <w:rFonts w:hint="eastAsia" w:ascii="Times New Roman" w:hAnsi="Times New Roman" w:eastAsia="仿宋_GB2312" w:cs="Times New Roman"/>
          <w:color w:val="000000"/>
          <w:sz w:val="28"/>
          <w:lang w:val="en-US" w:eastAsia="zh-CN"/>
        </w:rPr>
        <w:t>144.7361</w:t>
      </w:r>
      <w:r>
        <w:rPr>
          <w:rFonts w:hint="eastAsia" w:ascii="Times New Roman" w:hAnsi="Times New Roman" w:eastAsia="仿宋_GB2312" w:cs="Times New Roman"/>
          <w:color w:val="000000"/>
          <w:sz w:val="28"/>
        </w:rPr>
        <w:t>公顷。</w:t>
      </w:r>
      <w:r>
        <w:rPr>
          <w:rFonts w:hint="eastAsia" w:ascii="Times New Roman" w:hAnsi="Times New Roman" w:eastAsia="仿宋_GB2312" w:cs="Times New Roman"/>
          <w:color w:val="000000"/>
          <w:sz w:val="28"/>
          <w:lang w:eastAsia="zh-CN"/>
        </w:rPr>
        <w:t>全部为</w:t>
      </w:r>
      <w:r>
        <w:rPr>
          <w:rFonts w:hint="eastAsia" w:ascii="Times New Roman" w:hAnsi="Times New Roman" w:eastAsia="仿宋_GB2312" w:cs="Times New Roman"/>
          <w:color w:val="000000"/>
          <w:sz w:val="28"/>
        </w:rPr>
        <w:t>已</w:t>
      </w:r>
      <w:r>
        <w:rPr>
          <w:rFonts w:hint="eastAsia" w:ascii="Times New Roman" w:hAnsi="Times New Roman" w:eastAsia="仿宋_GB2312" w:cs="Times New Roman"/>
          <w:color w:val="000000"/>
          <w:sz w:val="28"/>
          <w:lang w:eastAsia="zh-CN"/>
        </w:rPr>
        <w:t>征用地，</w:t>
      </w:r>
      <w:r>
        <w:rPr>
          <w:rFonts w:hint="eastAsia" w:ascii="Times New Roman" w:hAnsi="Times New Roman" w:eastAsia="仿宋_GB2312" w:cs="Times New Roman"/>
          <w:color w:val="000000"/>
          <w:sz w:val="28"/>
        </w:rPr>
        <w:t>实施面积</w:t>
      </w:r>
      <w:r>
        <w:rPr>
          <w:rFonts w:hint="eastAsia" w:ascii="Times New Roman" w:hAnsi="Times New Roman" w:eastAsia="仿宋_GB2312" w:cs="Times New Roman"/>
          <w:color w:val="000000"/>
          <w:sz w:val="28"/>
          <w:lang w:val="en-US" w:eastAsia="zh-CN"/>
        </w:rPr>
        <w:t>65.7379</w:t>
      </w:r>
      <w:r>
        <w:rPr>
          <w:rFonts w:hint="eastAsia" w:ascii="Times New Roman" w:hAnsi="Times New Roman" w:eastAsia="仿宋_GB2312" w:cs="Times New Roman"/>
          <w:color w:val="000000"/>
          <w:sz w:val="28"/>
        </w:rPr>
        <w:t>公顷。各成片开发范围内基础设施、公共服务设施和其他公益性用地的比例要求、涉及调整地块征求意见情况等均符合有关规定。</w:t>
      </w:r>
    </w:p>
    <w:p w14:paraId="27AFC0FF">
      <w:pPr>
        <w:spacing w:line="560" w:lineRule="exact"/>
        <w:ind w:firstLine="560" w:firstLineChars="200"/>
        <w:rPr>
          <w:rFonts w:hint="eastAsia" w:ascii="Times New Roman" w:hAnsi="Times New Roman" w:eastAsia="仿宋_GB2312" w:cs="Times New Roman"/>
          <w:sz w:val="28"/>
          <w:szCs w:val="28"/>
        </w:rPr>
      </w:pPr>
      <w:r>
        <w:rPr>
          <w:rFonts w:hint="eastAsia" w:ascii="Times New Roman" w:hAnsi="Times New Roman" w:eastAsia="仿宋_GB2312" w:cs="Times New Roman"/>
          <w:bCs/>
          <w:sz w:val="28"/>
          <w:szCs w:val="28"/>
          <w:lang w:val="en-US" w:eastAsia="zh-CN"/>
        </w:rPr>
        <w:t>本方案整体调出片区3、片区5、片区13，并对原有片区优化调整，调整后成片开发总面积为92.1315公顷；</w:t>
      </w:r>
      <w:r>
        <w:rPr>
          <w:rFonts w:hint="default" w:ascii="Times New Roman" w:hAnsi="Times New Roman" w:eastAsia="仿宋_GB2312" w:cs="Times New Roman"/>
          <w:sz w:val="28"/>
          <w:szCs w:val="28"/>
          <w:lang w:val="en-US" w:eastAsia="zh-CN"/>
        </w:rPr>
        <w:t>本方案涉及靖宇县靖宇镇、龙泉镇、濛江乡、三道湖镇4个乡镇9个村，</w:t>
      </w:r>
      <w:r>
        <w:rPr>
          <w:rFonts w:hint="eastAsia" w:ascii="Times New Roman" w:hAnsi="Times New Roman" w:eastAsia="仿宋_GB2312" w:cs="Times New Roman"/>
          <w:bCs/>
          <w:sz w:val="28"/>
          <w:szCs w:val="28"/>
          <w:lang w:val="en-US" w:eastAsia="zh-CN"/>
        </w:rPr>
        <w:t>拟征地面积66.1681公顷，其中耕地面积17.6056公顷</w:t>
      </w:r>
      <w:r>
        <w:rPr>
          <w:rFonts w:hint="eastAsia" w:ascii="Times New Roman" w:hAnsi="Times New Roman" w:eastAsia="仿宋_GB2312" w:cs="Times New Roman"/>
          <w:sz w:val="28"/>
          <w:szCs w:val="28"/>
        </w:rPr>
        <w:t>。（成片开发范围以最终批复为准）</w:t>
      </w:r>
    </w:p>
    <w:p w14:paraId="197CE8EC">
      <w:pPr>
        <w:spacing w:line="560" w:lineRule="exact"/>
        <w:ind w:firstLine="560" w:firstLineChars="200"/>
        <w:rPr>
          <w:rFonts w:hint="eastAsia" w:ascii="Times New Roman" w:hAnsi="Times New Roman" w:eastAsia="仿宋_GB2312" w:cs="Times New Roman"/>
          <w:bCs/>
          <w:sz w:val="28"/>
          <w:szCs w:val="28"/>
          <w:lang w:val="en-US" w:eastAsia="zh-CN"/>
        </w:rPr>
      </w:pPr>
      <w:r>
        <w:rPr>
          <w:rFonts w:hint="eastAsia" w:ascii="Times New Roman" w:hAnsi="Times New Roman" w:eastAsia="仿宋_GB2312" w:cs="Times New Roman"/>
          <w:bCs/>
          <w:sz w:val="28"/>
          <w:szCs w:val="28"/>
          <w:lang w:val="en-US" w:eastAsia="zh-CN"/>
        </w:rPr>
        <w:t>土地征收成片开发计划实施周期为3年即2022年3月—2025年3月三年内实施完毕。</w:t>
      </w:r>
    </w:p>
    <w:p w14:paraId="2969EE3B">
      <w:pPr>
        <w:spacing w:line="288" w:lineRule="auto"/>
        <w:jc w:val="center"/>
        <w:rPr>
          <w:rFonts w:hint="eastAsia" w:ascii="黑体" w:hAnsi="黑体" w:eastAsia="黑体" w:cs="黑体"/>
          <w:b w:val="0"/>
          <w:bCs w:val="0"/>
          <w:sz w:val="24"/>
          <w:szCs w:val="24"/>
        </w:rPr>
        <w:sectPr>
          <w:footerReference r:id="rId3" w:type="default"/>
          <w:pgSz w:w="11906" w:h="16838"/>
          <w:pgMar w:top="1440" w:right="1800" w:bottom="1440" w:left="1800" w:header="851" w:footer="992" w:gutter="0"/>
          <w:cols w:space="425" w:num="1"/>
          <w:docGrid w:type="lines" w:linePitch="312" w:charSpace="0"/>
        </w:sectPr>
      </w:pPr>
    </w:p>
    <w:p w14:paraId="2556409E">
      <w:pPr>
        <w:adjustRightInd w:val="0"/>
        <w:snapToGrid w:val="0"/>
        <w:spacing w:line="360" w:lineRule="auto"/>
        <w:jc w:val="center"/>
        <w:rPr>
          <w:rFonts w:ascii="Times New Roman" w:hAnsi="Times New Roman" w:eastAsia="仿宋" w:cs="Times New Roman"/>
          <w:b/>
          <w:sz w:val="24"/>
          <w:szCs w:val="24"/>
        </w:rPr>
      </w:pPr>
      <w:r>
        <w:rPr>
          <w:rFonts w:hint="eastAsia" w:ascii="Times New Roman" w:hAnsi="Times New Roman" w:eastAsia="仿宋" w:cs="Times New Roman"/>
          <w:b/>
          <w:sz w:val="24"/>
          <w:szCs w:val="24"/>
        </w:rPr>
        <w:t>调整前后</w:t>
      </w:r>
      <w:r>
        <w:rPr>
          <w:rFonts w:ascii="Times New Roman" w:hAnsi="Times New Roman" w:eastAsia="仿宋" w:cs="Times New Roman"/>
          <w:b/>
          <w:sz w:val="24"/>
          <w:szCs w:val="24"/>
        </w:rPr>
        <w:t>实施计划</w:t>
      </w:r>
      <w:r>
        <w:rPr>
          <w:rFonts w:hint="eastAsia" w:ascii="Times New Roman" w:hAnsi="Times New Roman" w:eastAsia="仿宋" w:cs="Times New Roman"/>
          <w:b/>
          <w:sz w:val="24"/>
          <w:szCs w:val="24"/>
        </w:rPr>
        <w:t>变化情况</w:t>
      </w:r>
    </w:p>
    <w:p w14:paraId="4196364F">
      <w:pPr>
        <w:ind w:firstLine="422" w:firstLineChars="200"/>
        <w:jc w:val="right"/>
        <w:rPr>
          <w:rFonts w:ascii="Times New Roman" w:hAnsi="Times New Roman" w:eastAsia="仿宋" w:cs="Times New Roman"/>
          <w:b/>
          <w:bCs/>
          <w:szCs w:val="21"/>
        </w:rPr>
      </w:pPr>
      <w:r>
        <w:rPr>
          <w:rFonts w:ascii="Times New Roman" w:hAnsi="Times New Roman" w:eastAsia="仿宋" w:cs="Times New Roman"/>
          <w:b/>
          <w:bCs/>
          <w:szCs w:val="21"/>
        </w:rPr>
        <w:t>单位：公顷</w:t>
      </w:r>
    </w:p>
    <w:tbl>
      <w:tblPr>
        <w:tblStyle w:val="6"/>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6"/>
        <w:gridCol w:w="1004"/>
        <w:gridCol w:w="899"/>
        <w:gridCol w:w="1004"/>
        <w:gridCol w:w="1556"/>
        <w:gridCol w:w="1109"/>
        <w:gridCol w:w="1216"/>
        <w:gridCol w:w="1113"/>
        <w:gridCol w:w="2753"/>
        <w:gridCol w:w="2453"/>
      </w:tblGrid>
      <w:tr w14:paraId="16E4B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365" w:type="pct"/>
            <w:gridSpan w:val="4"/>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B40C46">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调整前</w:t>
            </w:r>
          </w:p>
        </w:tc>
        <w:tc>
          <w:tcPr>
            <w:tcW w:w="1786" w:type="pct"/>
            <w:gridSpan w:val="4"/>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D7838A">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调整后</w:t>
            </w:r>
          </w:p>
        </w:tc>
        <w:tc>
          <w:tcPr>
            <w:tcW w:w="977"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8E5A291">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已完成征收               涉及批次</w:t>
            </w:r>
          </w:p>
        </w:tc>
        <w:tc>
          <w:tcPr>
            <w:tcW w:w="87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3BC7744">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批准文号</w:t>
            </w:r>
          </w:p>
        </w:tc>
      </w:tr>
      <w:tr w14:paraId="758793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37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F9E4FC">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时序</w:t>
            </w: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B8F247">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任务量</w:t>
            </w: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850BF3">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已完成</w:t>
            </w:r>
          </w:p>
        </w:tc>
        <w:tc>
          <w:tcPr>
            <w:tcW w:w="35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7D2114">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未完成</w:t>
            </w:r>
          </w:p>
        </w:tc>
        <w:tc>
          <w:tcPr>
            <w:tcW w:w="55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CC7A43">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时序</w:t>
            </w:r>
          </w:p>
        </w:tc>
        <w:tc>
          <w:tcPr>
            <w:tcW w:w="39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77F529">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任务量</w:t>
            </w:r>
          </w:p>
        </w:tc>
        <w:tc>
          <w:tcPr>
            <w:tcW w:w="43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009D11">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已完成</w:t>
            </w:r>
          </w:p>
        </w:tc>
        <w:tc>
          <w:tcPr>
            <w:tcW w:w="39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98870E">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未完成</w:t>
            </w:r>
          </w:p>
        </w:tc>
        <w:tc>
          <w:tcPr>
            <w:tcW w:w="977"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5C4519F">
            <w:pPr>
              <w:jc w:val="center"/>
              <w:rPr>
                <w:rFonts w:hint="default" w:ascii="Times New Roman" w:hAnsi="Times New Roman" w:eastAsia="仿宋_GB2312" w:cs="Times New Roman"/>
                <w:b/>
                <w:bCs/>
                <w:i w:val="0"/>
                <w:iCs w:val="0"/>
                <w:color w:val="000000"/>
                <w:sz w:val="21"/>
                <w:szCs w:val="21"/>
                <w:u w:val="none"/>
              </w:rPr>
            </w:pPr>
          </w:p>
        </w:tc>
        <w:tc>
          <w:tcPr>
            <w:tcW w:w="87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AB2E190">
            <w:pPr>
              <w:jc w:val="center"/>
              <w:rPr>
                <w:rFonts w:hint="default" w:ascii="Times New Roman" w:hAnsi="Times New Roman" w:eastAsia="仿宋_GB2312" w:cs="Times New Roman"/>
                <w:b/>
                <w:bCs/>
                <w:i w:val="0"/>
                <w:iCs w:val="0"/>
                <w:color w:val="000000"/>
                <w:sz w:val="21"/>
                <w:szCs w:val="21"/>
                <w:u w:val="none"/>
              </w:rPr>
            </w:pPr>
          </w:p>
        </w:tc>
      </w:tr>
      <w:tr w14:paraId="0AB39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372"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58D2F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第一年度</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CA6B0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93.2352</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6116A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42.5197</w:t>
            </w:r>
          </w:p>
        </w:tc>
        <w:tc>
          <w:tcPr>
            <w:tcW w:w="35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F1C95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50.7155</w:t>
            </w:r>
          </w:p>
        </w:tc>
        <w:tc>
          <w:tcPr>
            <w:tcW w:w="5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081EB7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第一年度           （2022年3月-2023年3月）</w:t>
            </w:r>
          </w:p>
        </w:tc>
        <w:tc>
          <w:tcPr>
            <w:tcW w:w="39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67F76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62.5045</w:t>
            </w:r>
          </w:p>
        </w:tc>
        <w:tc>
          <w:tcPr>
            <w:tcW w:w="435"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A0C12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62.5045</w:t>
            </w:r>
          </w:p>
        </w:tc>
        <w:tc>
          <w:tcPr>
            <w:tcW w:w="396"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8D675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c>
          <w:tcPr>
            <w:tcW w:w="977" w:type="pct"/>
            <w:vMerge w:val="restart"/>
            <w:tcBorders>
              <w:top w:val="single" w:color="000000" w:sz="4" w:space="0"/>
              <w:left w:val="single" w:color="000000" w:sz="4" w:space="0"/>
              <w:bottom w:val="single" w:color="000000" w:sz="4" w:space="0"/>
              <w:right w:val="single" w:color="000000" w:sz="4" w:space="0"/>
            </w:tcBorders>
            <w:shd w:val="clear" w:color="auto" w:fill="FFFFFF"/>
            <w:vAlign w:val="top"/>
          </w:tcPr>
          <w:p w14:paraId="050DD11A">
            <w:pPr>
              <w:keepNext w:val="0"/>
              <w:keepLines w:val="0"/>
              <w:widowControl/>
              <w:suppressLineNumbers w:val="0"/>
              <w:jc w:val="both"/>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靖宇县人民政府2020年第1批次、靖宇县人民政府2021年第1批次、靖宇县人民政府2021年第2批次、靖宇县人民政府2021年第3批次、靖宇县人民政府2022年第2批次、靖宇县人民政府2022年第5批次</w:t>
            </w:r>
          </w:p>
        </w:tc>
        <w:tc>
          <w:tcPr>
            <w:tcW w:w="871" w:type="pct"/>
            <w:vMerge w:val="restart"/>
            <w:tcBorders>
              <w:top w:val="single" w:color="000000" w:sz="4" w:space="0"/>
              <w:left w:val="single" w:color="000000" w:sz="4" w:space="0"/>
              <w:bottom w:val="single" w:color="000000" w:sz="4" w:space="0"/>
              <w:right w:val="single" w:color="000000" w:sz="4" w:space="0"/>
            </w:tcBorders>
            <w:shd w:val="clear" w:color="auto" w:fill="FFFFFF"/>
            <w:vAlign w:val="top"/>
          </w:tcPr>
          <w:p w14:paraId="52A9E89A">
            <w:pPr>
              <w:keepNext w:val="0"/>
              <w:keepLines w:val="0"/>
              <w:widowControl/>
              <w:suppressLineNumbers w:val="0"/>
              <w:jc w:val="both"/>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吉自然资耕函[2020]715号、吉自然资耕函[2021]194号、吉自然资耕函[2022]148号、吉自然资耕函[2022]219号、吉自然资耕函[2022]367号、吉自然资耕函[2022]397号</w:t>
            </w:r>
          </w:p>
        </w:tc>
      </w:tr>
      <w:tr w14:paraId="7E8CD2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372"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8F77F0">
            <w:pPr>
              <w:jc w:val="center"/>
              <w:rPr>
                <w:rFonts w:hint="default" w:ascii="Times New Roman" w:hAnsi="Times New Roman" w:eastAsia="仿宋_GB2312" w:cs="Times New Roman"/>
                <w:i w:val="0"/>
                <w:iCs w:val="0"/>
                <w:color w:val="000000"/>
                <w:sz w:val="21"/>
                <w:szCs w:val="21"/>
                <w:u w:val="none"/>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2D2D25">
            <w:pPr>
              <w:jc w:val="center"/>
              <w:rPr>
                <w:rFonts w:hint="default" w:ascii="Times New Roman" w:hAnsi="Times New Roman" w:eastAsia="仿宋_GB2312" w:cs="Times New Roman"/>
                <w:i w:val="0"/>
                <w:iCs w:val="0"/>
                <w:color w:val="000000"/>
                <w:sz w:val="21"/>
                <w:szCs w:val="21"/>
                <w:u w:val="none"/>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A23486">
            <w:pPr>
              <w:jc w:val="center"/>
              <w:rPr>
                <w:rFonts w:hint="default" w:ascii="Times New Roman" w:hAnsi="Times New Roman" w:eastAsia="仿宋_GB2312" w:cs="Times New Roman"/>
                <w:i w:val="0"/>
                <w:iCs w:val="0"/>
                <w:color w:val="000000"/>
                <w:sz w:val="21"/>
                <w:szCs w:val="21"/>
                <w:u w:val="none"/>
              </w:rPr>
            </w:pPr>
          </w:p>
        </w:tc>
        <w:tc>
          <w:tcPr>
            <w:tcW w:w="35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3189DC">
            <w:pPr>
              <w:jc w:val="center"/>
              <w:rPr>
                <w:rFonts w:hint="default" w:ascii="Times New Roman" w:hAnsi="Times New Roman" w:eastAsia="仿宋_GB2312" w:cs="Times New Roman"/>
                <w:i w:val="0"/>
                <w:iCs w:val="0"/>
                <w:color w:val="000000"/>
                <w:sz w:val="21"/>
                <w:szCs w:val="21"/>
                <w:u w:val="none"/>
              </w:rPr>
            </w:pP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12B76E9">
            <w:pPr>
              <w:jc w:val="center"/>
              <w:rPr>
                <w:rFonts w:hint="default" w:ascii="Times New Roman" w:hAnsi="Times New Roman" w:eastAsia="仿宋_GB2312" w:cs="Times New Roman"/>
                <w:i w:val="0"/>
                <w:iCs w:val="0"/>
                <w:color w:val="000000"/>
                <w:sz w:val="21"/>
                <w:szCs w:val="21"/>
                <w:u w:val="none"/>
              </w:rPr>
            </w:pPr>
          </w:p>
        </w:tc>
        <w:tc>
          <w:tcPr>
            <w:tcW w:w="39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43D4CA">
            <w:pPr>
              <w:jc w:val="center"/>
              <w:rPr>
                <w:rFonts w:hint="default" w:ascii="Times New Roman" w:hAnsi="Times New Roman" w:eastAsia="仿宋_GB2312" w:cs="Times New Roman"/>
                <w:i w:val="0"/>
                <w:iCs w:val="0"/>
                <w:color w:val="000000"/>
                <w:sz w:val="21"/>
                <w:szCs w:val="21"/>
                <w:u w:val="none"/>
              </w:rPr>
            </w:pPr>
          </w:p>
        </w:tc>
        <w:tc>
          <w:tcPr>
            <w:tcW w:w="435"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0CBE3D">
            <w:pPr>
              <w:jc w:val="center"/>
              <w:rPr>
                <w:rFonts w:hint="default" w:ascii="Times New Roman" w:hAnsi="Times New Roman" w:eastAsia="仿宋_GB2312" w:cs="Times New Roman"/>
                <w:i w:val="0"/>
                <w:iCs w:val="0"/>
                <w:color w:val="000000"/>
                <w:sz w:val="21"/>
                <w:szCs w:val="21"/>
                <w:u w:val="none"/>
              </w:rPr>
            </w:pPr>
          </w:p>
        </w:tc>
        <w:tc>
          <w:tcPr>
            <w:tcW w:w="396"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2EA45B">
            <w:pPr>
              <w:jc w:val="center"/>
              <w:rPr>
                <w:rFonts w:hint="default" w:ascii="Times New Roman" w:hAnsi="Times New Roman" w:eastAsia="仿宋_GB2312" w:cs="Times New Roman"/>
                <w:i w:val="0"/>
                <w:iCs w:val="0"/>
                <w:color w:val="000000"/>
                <w:sz w:val="21"/>
                <w:szCs w:val="21"/>
                <w:u w:val="none"/>
              </w:rPr>
            </w:pPr>
          </w:p>
        </w:tc>
        <w:tc>
          <w:tcPr>
            <w:tcW w:w="977" w:type="pct"/>
            <w:vMerge w:val="continue"/>
            <w:tcBorders>
              <w:top w:val="single" w:color="000000" w:sz="4" w:space="0"/>
              <w:left w:val="single" w:color="000000" w:sz="4" w:space="0"/>
              <w:bottom w:val="single" w:color="000000" w:sz="4" w:space="0"/>
              <w:right w:val="single" w:color="000000" w:sz="4" w:space="0"/>
            </w:tcBorders>
            <w:shd w:val="clear" w:color="auto" w:fill="FFFFFF"/>
            <w:vAlign w:val="top"/>
          </w:tcPr>
          <w:p w14:paraId="1D9317AD">
            <w:pPr>
              <w:jc w:val="both"/>
              <w:rPr>
                <w:rFonts w:hint="default" w:ascii="Times New Roman" w:hAnsi="Times New Roman" w:eastAsia="仿宋_GB2312" w:cs="Times New Roman"/>
                <w:i w:val="0"/>
                <w:iCs w:val="0"/>
                <w:color w:val="000000"/>
                <w:sz w:val="21"/>
                <w:szCs w:val="21"/>
                <w:u w:val="none"/>
              </w:rPr>
            </w:pPr>
          </w:p>
        </w:tc>
        <w:tc>
          <w:tcPr>
            <w:tcW w:w="871" w:type="pct"/>
            <w:vMerge w:val="continue"/>
            <w:tcBorders>
              <w:top w:val="single" w:color="000000" w:sz="4" w:space="0"/>
              <w:left w:val="single" w:color="000000" w:sz="4" w:space="0"/>
              <w:bottom w:val="single" w:color="000000" w:sz="4" w:space="0"/>
              <w:right w:val="single" w:color="000000" w:sz="4" w:space="0"/>
            </w:tcBorders>
            <w:shd w:val="clear" w:color="auto" w:fill="FFFFFF"/>
            <w:vAlign w:val="top"/>
          </w:tcPr>
          <w:p w14:paraId="554EC52A">
            <w:pPr>
              <w:jc w:val="both"/>
              <w:rPr>
                <w:rFonts w:hint="default" w:ascii="Times New Roman" w:hAnsi="Times New Roman" w:eastAsia="仿宋_GB2312" w:cs="Times New Roman"/>
                <w:i w:val="0"/>
                <w:iCs w:val="0"/>
                <w:color w:val="000000"/>
                <w:sz w:val="21"/>
                <w:szCs w:val="21"/>
                <w:u w:val="none"/>
              </w:rPr>
            </w:pPr>
          </w:p>
        </w:tc>
      </w:tr>
      <w:tr w14:paraId="662CAE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372"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9F3F1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第二年度</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10204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71.0646</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1083B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22.3206</w:t>
            </w:r>
          </w:p>
        </w:tc>
        <w:tc>
          <w:tcPr>
            <w:tcW w:w="35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677A7C">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48.744</w:t>
            </w:r>
          </w:p>
        </w:tc>
        <w:tc>
          <w:tcPr>
            <w:tcW w:w="5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66CDC2C">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第二年度            （2023年3月-2024年3月）</w:t>
            </w:r>
          </w:p>
        </w:tc>
        <w:tc>
          <w:tcPr>
            <w:tcW w:w="39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5D39A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1.6518</w:t>
            </w:r>
          </w:p>
        </w:tc>
        <w:tc>
          <w:tcPr>
            <w:tcW w:w="435"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0D954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1.6518</w:t>
            </w:r>
          </w:p>
        </w:tc>
        <w:tc>
          <w:tcPr>
            <w:tcW w:w="396"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93A05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c>
          <w:tcPr>
            <w:tcW w:w="977" w:type="pct"/>
            <w:vMerge w:val="restart"/>
            <w:tcBorders>
              <w:top w:val="single" w:color="000000" w:sz="4" w:space="0"/>
              <w:left w:val="single" w:color="000000" w:sz="4" w:space="0"/>
              <w:bottom w:val="single" w:color="000000" w:sz="4" w:space="0"/>
              <w:right w:val="single" w:color="000000" w:sz="4" w:space="0"/>
            </w:tcBorders>
            <w:shd w:val="clear" w:color="auto" w:fill="FFFFFF"/>
            <w:vAlign w:val="top"/>
          </w:tcPr>
          <w:p w14:paraId="08586A80">
            <w:pPr>
              <w:keepNext w:val="0"/>
              <w:keepLines w:val="0"/>
              <w:widowControl/>
              <w:suppressLineNumbers w:val="0"/>
              <w:jc w:val="both"/>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靖宇县人民政府2022年第1批次、靖宇县人民政府2022年第7批次</w:t>
            </w:r>
          </w:p>
        </w:tc>
        <w:tc>
          <w:tcPr>
            <w:tcW w:w="871" w:type="pct"/>
            <w:vMerge w:val="restart"/>
            <w:tcBorders>
              <w:top w:val="single" w:color="000000" w:sz="4" w:space="0"/>
              <w:left w:val="single" w:color="000000" w:sz="4" w:space="0"/>
              <w:bottom w:val="single" w:color="000000" w:sz="4" w:space="0"/>
              <w:right w:val="single" w:color="000000" w:sz="4" w:space="0"/>
            </w:tcBorders>
            <w:shd w:val="clear" w:color="auto" w:fill="FFFFFF"/>
            <w:vAlign w:val="top"/>
          </w:tcPr>
          <w:p w14:paraId="7F2E8FF8">
            <w:pPr>
              <w:keepNext w:val="0"/>
              <w:keepLines w:val="0"/>
              <w:widowControl/>
              <w:suppressLineNumbers w:val="0"/>
              <w:jc w:val="both"/>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吉自然资耕函[2023]130号、吉自然资耕函[2023]169号</w:t>
            </w:r>
          </w:p>
        </w:tc>
      </w:tr>
      <w:tr w14:paraId="2B7428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0" w:hRule="atLeast"/>
        </w:trPr>
        <w:tc>
          <w:tcPr>
            <w:tcW w:w="372"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1F230E">
            <w:pPr>
              <w:jc w:val="center"/>
              <w:rPr>
                <w:rFonts w:hint="default" w:ascii="Times New Roman" w:hAnsi="Times New Roman" w:eastAsia="仿宋_GB2312" w:cs="Times New Roman"/>
                <w:i w:val="0"/>
                <w:iCs w:val="0"/>
                <w:color w:val="000000"/>
                <w:sz w:val="21"/>
                <w:szCs w:val="21"/>
                <w:u w:val="none"/>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1AB5FC">
            <w:pPr>
              <w:jc w:val="center"/>
              <w:rPr>
                <w:rFonts w:hint="default" w:ascii="Times New Roman" w:hAnsi="Times New Roman" w:eastAsia="仿宋_GB2312" w:cs="Times New Roman"/>
                <w:i w:val="0"/>
                <w:iCs w:val="0"/>
                <w:color w:val="000000"/>
                <w:sz w:val="21"/>
                <w:szCs w:val="21"/>
                <w:u w:val="none"/>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D80EC5">
            <w:pPr>
              <w:jc w:val="center"/>
              <w:rPr>
                <w:rFonts w:hint="default" w:ascii="Times New Roman" w:hAnsi="Times New Roman" w:eastAsia="仿宋_GB2312" w:cs="Times New Roman"/>
                <w:i w:val="0"/>
                <w:iCs w:val="0"/>
                <w:color w:val="000000"/>
                <w:sz w:val="21"/>
                <w:szCs w:val="21"/>
                <w:u w:val="none"/>
              </w:rPr>
            </w:pPr>
          </w:p>
        </w:tc>
        <w:tc>
          <w:tcPr>
            <w:tcW w:w="35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36485D">
            <w:pPr>
              <w:jc w:val="center"/>
              <w:rPr>
                <w:rFonts w:hint="default" w:ascii="Times New Roman" w:hAnsi="Times New Roman" w:eastAsia="仿宋_GB2312" w:cs="Times New Roman"/>
                <w:i w:val="0"/>
                <w:iCs w:val="0"/>
                <w:color w:val="000000"/>
                <w:sz w:val="21"/>
                <w:szCs w:val="21"/>
                <w:u w:val="none"/>
              </w:rPr>
            </w:pP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1326C44">
            <w:pPr>
              <w:jc w:val="center"/>
              <w:rPr>
                <w:rFonts w:hint="default" w:ascii="Times New Roman" w:hAnsi="Times New Roman" w:eastAsia="仿宋_GB2312" w:cs="Times New Roman"/>
                <w:i w:val="0"/>
                <w:iCs w:val="0"/>
                <w:color w:val="000000"/>
                <w:sz w:val="21"/>
                <w:szCs w:val="21"/>
                <w:u w:val="none"/>
              </w:rPr>
            </w:pPr>
          </w:p>
        </w:tc>
        <w:tc>
          <w:tcPr>
            <w:tcW w:w="39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9A3160">
            <w:pPr>
              <w:jc w:val="center"/>
              <w:rPr>
                <w:rFonts w:hint="default" w:ascii="Times New Roman" w:hAnsi="Times New Roman" w:eastAsia="仿宋_GB2312" w:cs="Times New Roman"/>
                <w:i w:val="0"/>
                <w:iCs w:val="0"/>
                <w:color w:val="000000"/>
                <w:sz w:val="21"/>
                <w:szCs w:val="21"/>
                <w:u w:val="none"/>
              </w:rPr>
            </w:pPr>
          </w:p>
        </w:tc>
        <w:tc>
          <w:tcPr>
            <w:tcW w:w="435"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EEA747">
            <w:pPr>
              <w:jc w:val="center"/>
              <w:rPr>
                <w:rFonts w:hint="default" w:ascii="Times New Roman" w:hAnsi="Times New Roman" w:eastAsia="仿宋_GB2312" w:cs="Times New Roman"/>
                <w:i w:val="0"/>
                <w:iCs w:val="0"/>
                <w:color w:val="000000"/>
                <w:sz w:val="21"/>
                <w:szCs w:val="21"/>
                <w:u w:val="none"/>
              </w:rPr>
            </w:pPr>
          </w:p>
        </w:tc>
        <w:tc>
          <w:tcPr>
            <w:tcW w:w="396"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8ED4DC">
            <w:pPr>
              <w:jc w:val="center"/>
              <w:rPr>
                <w:rFonts w:hint="default" w:ascii="Times New Roman" w:hAnsi="Times New Roman" w:eastAsia="仿宋_GB2312" w:cs="Times New Roman"/>
                <w:i w:val="0"/>
                <w:iCs w:val="0"/>
                <w:color w:val="000000"/>
                <w:sz w:val="21"/>
                <w:szCs w:val="21"/>
                <w:u w:val="none"/>
              </w:rPr>
            </w:pPr>
          </w:p>
        </w:tc>
        <w:tc>
          <w:tcPr>
            <w:tcW w:w="977" w:type="pct"/>
            <w:vMerge w:val="continue"/>
            <w:tcBorders>
              <w:top w:val="single" w:color="000000" w:sz="4" w:space="0"/>
              <w:left w:val="single" w:color="000000" w:sz="4" w:space="0"/>
              <w:bottom w:val="single" w:color="000000" w:sz="4" w:space="0"/>
              <w:right w:val="single" w:color="000000" w:sz="4" w:space="0"/>
            </w:tcBorders>
            <w:shd w:val="clear" w:color="auto" w:fill="FFFFFF"/>
            <w:vAlign w:val="top"/>
          </w:tcPr>
          <w:p w14:paraId="6C3641B6">
            <w:pPr>
              <w:jc w:val="both"/>
              <w:rPr>
                <w:rFonts w:hint="default" w:ascii="Times New Roman" w:hAnsi="Times New Roman" w:eastAsia="仿宋_GB2312" w:cs="Times New Roman"/>
                <w:i w:val="0"/>
                <w:iCs w:val="0"/>
                <w:color w:val="000000"/>
                <w:sz w:val="21"/>
                <w:szCs w:val="21"/>
                <w:u w:val="none"/>
              </w:rPr>
            </w:pPr>
          </w:p>
        </w:tc>
        <w:tc>
          <w:tcPr>
            <w:tcW w:w="871" w:type="pct"/>
            <w:vMerge w:val="continue"/>
            <w:tcBorders>
              <w:top w:val="single" w:color="000000" w:sz="4" w:space="0"/>
              <w:left w:val="single" w:color="000000" w:sz="4" w:space="0"/>
              <w:bottom w:val="single" w:color="000000" w:sz="4" w:space="0"/>
              <w:right w:val="single" w:color="000000" w:sz="4" w:space="0"/>
            </w:tcBorders>
            <w:shd w:val="clear" w:color="auto" w:fill="FFFFFF"/>
            <w:vAlign w:val="top"/>
          </w:tcPr>
          <w:p w14:paraId="1AA947F6">
            <w:pPr>
              <w:jc w:val="both"/>
              <w:rPr>
                <w:rFonts w:hint="default" w:ascii="Times New Roman" w:hAnsi="Times New Roman" w:eastAsia="仿宋_GB2312" w:cs="Times New Roman"/>
                <w:i w:val="0"/>
                <w:iCs w:val="0"/>
                <w:color w:val="000000"/>
                <w:sz w:val="21"/>
                <w:szCs w:val="21"/>
                <w:u w:val="none"/>
              </w:rPr>
            </w:pPr>
          </w:p>
        </w:tc>
      </w:tr>
      <w:tr w14:paraId="77A09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372"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663B1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第三年度</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E79BD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46.1742</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8C99D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0.8975</w:t>
            </w:r>
          </w:p>
        </w:tc>
        <w:tc>
          <w:tcPr>
            <w:tcW w:w="35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FEDE1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45.2767</w:t>
            </w:r>
          </w:p>
        </w:tc>
        <w:tc>
          <w:tcPr>
            <w:tcW w:w="55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077AC3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第三年度           （2024年3月-2025年3月）</w:t>
            </w:r>
          </w:p>
        </w:tc>
        <w:tc>
          <w:tcPr>
            <w:tcW w:w="397"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64447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2.0118</w:t>
            </w:r>
          </w:p>
        </w:tc>
        <w:tc>
          <w:tcPr>
            <w:tcW w:w="435"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7BE1B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2.0118</w:t>
            </w:r>
          </w:p>
        </w:tc>
        <w:tc>
          <w:tcPr>
            <w:tcW w:w="396"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F59BC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c>
          <w:tcPr>
            <w:tcW w:w="977" w:type="pct"/>
            <w:vMerge w:val="restart"/>
            <w:tcBorders>
              <w:top w:val="single" w:color="000000" w:sz="4" w:space="0"/>
              <w:left w:val="single" w:color="000000" w:sz="4" w:space="0"/>
              <w:bottom w:val="single" w:color="000000" w:sz="4" w:space="0"/>
              <w:right w:val="single" w:color="000000" w:sz="4" w:space="0"/>
            </w:tcBorders>
            <w:shd w:val="clear" w:color="auto" w:fill="FFFFFF"/>
            <w:vAlign w:val="top"/>
          </w:tcPr>
          <w:p w14:paraId="3075B721">
            <w:pPr>
              <w:keepNext w:val="0"/>
              <w:keepLines w:val="0"/>
              <w:widowControl/>
              <w:suppressLineNumbers w:val="0"/>
              <w:jc w:val="both"/>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靖宇县人民政府2024年第2批次</w:t>
            </w:r>
          </w:p>
        </w:tc>
        <w:tc>
          <w:tcPr>
            <w:tcW w:w="871" w:type="pct"/>
            <w:vMerge w:val="restart"/>
            <w:tcBorders>
              <w:top w:val="single" w:color="000000" w:sz="4" w:space="0"/>
              <w:left w:val="single" w:color="000000" w:sz="4" w:space="0"/>
              <w:bottom w:val="single" w:color="000000" w:sz="4" w:space="0"/>
              <w:right w:val="single" w:color="000000" w:sz="4" w:space="0"/>
            </w:tcBorders>
            <w:shd w:val="clear" w:color="auto" w:fill="FFFFFF"/>
            <w:vAlign w:val="top"/>
          </w:tcPr>
          <w:p w14:paraId="37866DAC">
            <w:pPr>
              <w:keepNext w:val="0"/>
              <w:keepLines w:val="0"/>
              <w:widowControl/>
              <w:suppressLineNumbers w:val="0"/>
              <w:jc w:val="both"/>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吉自然资耕函[2024]129号</w:t>
            </w:r>
          </w:p>
        </w:tc>
      </w:tr>
      <w:tr w14:paraId="080DF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372"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386620">
            <w:pPr>
              <w:jc w:val="center"/>
              <w:rPr>
                <w:rFonts w:hint="default" w:ascii="Times New Roman" w:hAnsi="Times New Roman" w:eastAsia="仿宋_GB2312" w:cs="Times New Roman"/>
                <w:i w:val="0"/>
                <w:iCs w:val="0"/>
                <w:color w:val="000000"/>
                <w:sz w:val="21"/>
                <w:szCs w:val="21"/>
                <w:u w:val="none"/>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A0E6A8">
            <w:pPr>
              <w:jc w:val="center"/>
              <w:rPr>
                <w:rFonts w:hint="default" w:ascii="Times New Roman" w:hAnsi="Times New Roman" w:eastAsia="仿宋_GB2312" w:cs="Times New Roman"/>
                <w:i w:val="0"/>
                <w:iCs w:val="0"/>
                <w:color w:val="000000"/>
                <w:sz w:val="21"/>
                <w:szCs w:val="21"/>
                <w:u w:val="none"/>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364092">
            <w:pPr>
              <w:jc w:val="center"/>
              <w:rPr>
                <w:rFonts w:hint="default" w:ascii="Times New Roman" w:hAnsi="Times New Roman" w:eastAsia="仿宋_GB2312" w:cs="Times New Roman"/>
                <w:i w:val="0"/>
                <w:iCs w:val="0"/>
                <w:color w:val="000000"/>
                <w:sz w:val="21"/>
                <w:szCs w:val="21"/>
                <w:u w:val="none"/>
              </w:rPr>
            </w:pPr>
          </w:p>
        </w:tc>
        <w:tc>
          <w:tcPr>
            <w:tcW w:w="35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40F442">
            <w:pPr>
              <w:jc w:val="center"/>
              <w:rPr>
                <w:rFonts w:hint="default" w:ascii="Times New Roman" w:hAnsi="Times New Roman" w:eastAsia="仿宋_GB2312" w:cs="Times New Roman"/>
                <w:i w:val="0"/>
                <w:iCs w:val="0"/>
                <w:color w:val="000000"/>
                <w:sz w:val="21"/>
                <w:szCs w:val="21"/>
                <w:u w:val="none"/>
              </w:rPr>
            </w:pP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ABCCCDB">
            <w:pPr>
              <w:jc w:val="center"/>
              <w:rPr>
                <w:rFonts w:hint="default" w:ascii="Times New Roman" w:hAnsi="Times New Roman" w:eastAsia="仿宋_GB2312" w:cs="Times New Roman"/>
                <w:i w:val="0"/>
                <w:iCs w:val="0"/>
                <w:color w:val="000000"/>
                <w:sz w:val="21"/>
                <w:szCs w:val="21"/>
                <w:u w:val="none"/>
              </w:rPr>
            </w:pPr>
          </w:p>
        </w:tc>
        <w:tc>
          <w:tcPr>
            <w:tcW w:w="397"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A8AB2F">
            <w:pPr>
              <w:jc w:val="center"/>
              <w:rPr>
                <w:rFonts w:hint="default" w:ascii="Times New Roman" w:hAnsi="Times New Roman" w:eastAsia="仿宋_GB2312" w:cs="Times New Roman"/>
                <w:i w:val="0"/>
                <w:iCs w:val="0"/>
                <w:color w:val="000000"/>
                <w:sz w:val="21"/>
                <w:szCs w:val="21"/>
                <w:u w:val="none"/>
              </w:rPr>
            </w:pPr>
          </w:p>
        </w:tc>
        <w:tc>
          <w:tcPr>
            <w:tcW w:w="435"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96C0BC">
            <w:pPr>
              <w:jc w:val="center"/>
              <w:rPr>
                <w:rFonts w:hint="default" w:ascii="Times New Roman" w:hAnsi="Times New Roman" w:eastAsia="仿宋_GB2312" w:cs="Times New Roman"/>
                <w:i w:val="0"/>
                <w:iCs w:val="0"/>
                <w:color w:val="000000"/>
                <w:sz w:val="21"/>
                <w:szCs w:val="21"/>
                <w:u w:val="none"/>
              </w:rPr>
            </w:pPr>
          </w:p>
        </w:tc>
        <w:tc>
          <w:tcPr>
            <w:tcW w:w="396"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5EC5C9">
            <w:pPr>
              <w:jc w:val="center"/>
              <w:rPr>
                <w:rFonts w:hint="default" w:ascii="Times New Roman" w:hAnsi="Times New Roman" w:eastAsia="仿宋_GB2312" w:cs="Times New Roman"/>
                <w:i w:val="0"/>
                <w:iCs w:val="0"/>
                <w:color w:val="000000"/>
                <w:sz w:val="21"/>
                <w:szCs w:val="21"/>
                <w:u w:val="none"/>
              </w:rPr>
            </w:pPr>
          </w:p>
        </w:tc>
        <w:tc>
          <w:tcPr>
            <w:tcW w:w="977"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A4473E">
            <w:pPr>
              <w:jc w:val="center"/>
              <w:rPr>
                <w:rFonts w:hint="default" w:ascii="Times New Roman" w:hAnsi="Times New Roman" w:eastAsia="仿宋_GB2312" w:cs="Times New Roman"/>
                <w:i w:val="0"/>
                <w:iCs w:val="0"/>
                <w:color w:val="000000"/>
                <w:sz w:val="21"/>
                <w:szCs w:val="21"/>
                <w:u w:val="none"/>
              </w:rPr>
            </w:pPr>
          </w:p>
        </w:tc>
        <w:tc>
          <w:tcPr>
            <w:tcW w:w="87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4EC8DD6">
            <w:pPr>
              <w:jc w:val="center"/>
              <w:rPr>
                <w:rFonts w:hint="default" w:ascii="Times New Roman" w:hAnsi="Times New Roman" w:eastAsia="仿宋_GB2312" w:cs="Times New Roman"/>
                <w:i w:val="0"/>
                <w:iCs w:val="0"/>
                <w:color w:val="000000"/>
                <w:sz w:val="21"/>
                <w:szCs w:val="21"/>
                <w:u w:val="none"/>
              </w:rPr>
            </w:pPr>
          </w:p>
        </w:tc>
      </w:tr>
      <w:tr w14:paraId="5B48F0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37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331C8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合计</w:t>
            </w: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714CB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lang w:val="en-US"/>
              </w:rPr>
            </w:pPr>
            <w:r>
              <w:rPr>
                <w:rFonts w:hint="default" w:ascii="Times New Roman" w:hAnsi="Times New Roman" w:eastAsia="仿宋_GB2312" w:cs="Times New Roman"/>
                <w:i w:val="0"/>
                <w:iCs w:val="0"/>
                <w:color w:val="000000"/>
                <w:kern w:val="0"/>
                <w:sz w:val="21"/>
                <w:szCs w:val="21"/>
                <w:u w:val="none"/>
                <w:lang w:val="en-US" w:eastAsia="zh-CN" w:bidi="ar"/>
              </w:rPr>
              <w:t>210.474</w:t>
            </w:r>
            <w:r>
              <w:rPr>
                <w:rFonts w:hint="eastAsia" w:ascii="Times New Roman" w:hAnsi="Times New Roman" w:eastAsia="仿宋_GB2312" w:cs="Times New Roman"/>
                <w:i w:val="0"/>
                <w:iCs w:val="0"/>
                <w:color w:val="000000"/>
                <w:kern w:val="0"/>
                <w:sz w:val="21"/>
                <w:szCs w:val="21"/>
                <w:u w:val="none"/>
                <w:lang w:val="en-US" w:eastAsia="zh-CN" w:bidi="ar"/>
              </w:rPr>
              <w:t>0</w:t>
            </w: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04813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65.7378</w:t>
            </w:r>
          </w:p>
        </w:tc>
        <w:tc>
          <w:tcPr>
            <w:tcW w:w="35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649EC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144.7362</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472D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w:t>
            </w:r>
          </w:p>
        </w:tc>
        <w:tc>
          <w:tcPr>
            <w:tcW w:w="39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8DF7B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66.1681</w:t>
            </w:r>
          </w:p>
        </w:tc>
        <w:tc>
          <w:tcPr>
            <w:tcW w:w="43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3305E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66.1681</w:t>
            </w:r>
          </w:p>
        </w:tc>
        <w:tc>
          <w:tcPr>
            <w:tcW w:w="39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9FFE6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c>
          <w:tcPr>
            <w:tcW w:w="9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5053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9B21E">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w:t>
            </w:r>
          </w:p>
        </w:tc>
      </w:tr>
    </w:tbl>
    <w:p w14:paraId="73978DA7">
      <w:pPr>
        <w:spacing w:line="288" w:lineRule="auto"/>
        <w:jc w:val="center"/>
        <w:rPr>
          <w:rFonts w:hint="eastAsia" w:ascii="黑体" w:hAnsi="黑体" w:eastAsia="黑体" w:cs="黑体"/>
          <w:b w:val="0"/>
          <w:bCs w:val="0"/>
          <w:sz w:val="24"/>
          <w:szCs w:val="24"/>
        </w:rPr>
        <w:sectPr>
          <w:pgSz w:w="16838" w:h="11906" w:orient="landscape"/>
          <w:pgMar w:top="1800" w:right="1440" w:bottom="1800" w:left="1440" w:header="851" w:footer="992" w:gutter="0"/>
          <w:cols w:space="425" w:num="1"/>
          <w:docGrid w:type="lines" w:linePitch="312" w:charSpace="0"/>
        </w:sectPr>
      </w:pPr>
    </w:p>
    <w:p w14:paraId="3071C043">
      <w:pPr>
        <w:adjustRightInd w:val="0"/>
        <w:snapToGrid w:val="0"/>
        <w:spacing w:line="360" w:lineRule="auto"/>
        <w:jc w:val="center"/>
        <w:rPr>
          <w:rFonts w:ascii="Times New Roman" w:hAnsi="Times New Roman" w:eastAsia="仿宋" w:cs="Times New Roman"/>
          <w:b/>
          <w:sz w:val="24"/>
          <w:szCs w:val="24"/>
        </w:rPr>
      </w:pPr>
      <w:r>
        <w:rPr>
          <w:rFonts w:ascii="Times New Roman" w:hAnsi="Times New Roman" w:eastAsia="仿宋" w:cs="Times New Roman"/>
          <w:b/>
          <w:sz w:val="24"/>
          <w:szCs w:val="24"/>
        </w:rPr>
        <w:t>土地征收实施计划安排</w:t>
      </w:r>
    </w:p>
    <w:p w14:paraId="60F65875">
      <w:pPr>
        <w:ind w:firstLine="422" w:firstLineChars="200"/>
        <w:jc w:val="right"/>
        <w:rPr>
          <w:rFonts w:ascii="Times New Roman" w:hAnsi="Times New Roman" w:eastAsia="仿宋" w:cs="Times New Roman"/>
          <w:szCs w:val="21"/>
        </w:rPr>
      </w:pPr>
      <w:r>
        <w:rPr>
          <w:rFonts w:ascii="Times New Roman" w:hAnsi="Times New Roman" w:eastAsia="仿宋" w:cs="Times New Roman"/>
          <w:b/>
          <w:bCs/>
          <w:szCs w:val="21"/>
        </w:rPr>
        <w:t>单位：公顷</w:t>
      </w:r>
    </w:p>
    <w:tbl>
      <w:tblPr>
        <w:tblStyle w:val="6"/>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9"/>
        <w:gridCol w:w="1347"/>
        <w:gridCol w:w="1347"/>
        <w:gridCol w:w="1347"/>
        <w:gridCol w:w="2300"/>
        <w:gridCol w:w="1089"/>
      </w:tblGrid>
      <w:tr w14:paraId="37105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1D767">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片区</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CEADF">
            <w:pPr>
              <w:keepNext w:val="0"/>
              <w:keepLines w:val="0"/>
              <w:widowControl/>
              <w:suppressLineNumbers w:val="0"/>
              <w:jc w:val="center"/>
              <w:textAlignment w:val="top"/>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总面积</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40757">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拟征地</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24A77">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已实施</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B8C477">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已实施征地</w:t>
            </w:r>
            <w:r>
              <w:rPr>
                <w:rFonts w:hint="eastAsia" w:eastAsia="仿宋_GB2312" w:cs="Times New Roman"/>
                <w:b/>
                <w:bCs/>
                <w:i w:val="0"/>
                <w:iCs w:val="0"/>
                <w:color w:val="000000"/>
                <w:kern w:val="0"/>
                <w:sz w:val="21"/>
                <w:szCs w:val="21"/>
                <w:u w:val="none"/>
                <w:lang w:val="en-US" w:eastAsia="zh-CN" w:bidi="ar"/>
              </w:rPr>
              <w:t>时间</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3D7569">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剩余征地面积</w:t>
            </w:r>
          </w:p>
        </w:tc>
      </w:tr>
      <w:tr w14:paraId="6CE216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DB7F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片区1</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42DD2">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2.1630</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42AB9">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2.1620</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B9C6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2.1620</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6BD77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2021年6月、2022年7月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87987">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58102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3005C">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片区2</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6AC78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37.1425</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2DE1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26.0240</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92EC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26.0240</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B7633">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2021年6月、2022年11月、2023年5月、2024年5月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C8E6E">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747FFE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C03BE">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片区4</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62CC5">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2.8399</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09DF7">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0.8359</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C761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0.8359</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82A4F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2023年6月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2036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366E0B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9696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片区6</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FB4B2">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0.9952</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1AAC8">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0.5142</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861AB">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0.5142</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2CCD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2022年4月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4EFC8">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1F0B6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7425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片区7</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2DE1A">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0.5620</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848D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0.2558</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66EFC">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0.2558</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D33BF3">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2023年5月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EF4DB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133AA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43EFB">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片区8</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9D19A">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12.7563</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75C83">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11.4826</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1517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11.4826</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1BC0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2020年11月、2021年6月、2022年11月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8DA3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0C6BD5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4529B">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片区9</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062827">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10.4652</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7067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8.3293</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ED98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8.3293</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76B6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2022年7月、2022年11月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8B894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5FA95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C71FC">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片区10</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EA4DA1">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0.8105</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ABB3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0.4461</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DA6B8">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0.4461</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ECA52B">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2020年11月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23FD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4388FA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2B13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片区11</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61564">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0.6243</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2C8C7">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0.2477</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38F1B">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0.2477</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10714">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2023年5月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8D63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593D57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9D5B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片区12</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6A007B">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8.1200</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EA45C">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4.1328</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89E1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4.1328</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59AE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2020年11月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9172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5AE30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8EAB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片区14</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9C1AB7">
            <w:pPr>
              <w:keepNext w:val="0"/>
              <w:keepLines w:val="0"/>
              <w:widowControl/>
              <w:suppressLineNumbers w:val="0"/>
              <w:jc w:val="center"/>
              <w:textAlignment w:val="top"/>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15.6527</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880C3">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11.7377</w:t>
            </w:r>
          </w:p>
        </w:tc>
        <w:tc>
          <w:tcPr>
            <w:tcW w:w="7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FA90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11.7377</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D320F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2022年12月</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174C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1"/>
                <w:szCs w:val="21"/>
                <w:u w:val="none"/>
              </w:rPr>
            </w:pPr>
            <w:r>
              <w:rPr>
                <w:rFonts w:hint="default" w:ascii="Times New Roman" w:hAnsi="Times New Roman" w:eastAsia="仿宋_GB2312" w:cs="Times New Roman"/>
                <w:i w:val="0"/>
                <w:iCs w:val="0"/>
                <w:color w:val="000000"/>
                <w:kern w:val="0"/>
                <w:sz w:val="21"/>
                <w:szCs w:val="21"/>
                <w:u w:val="none"/>
                <w:lang w:val="en-US" w:eastAsia="zh-CN" w:bidi="ar"/>
              </w:rPr>
              <w:t>0</w:t>
            </w:r>
          </w:p>
        </w:tc>
      </w:tr>
      <w:tr w14:paraId="62E064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B83FB">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总计</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5C619B">
            <w:pPr>
              <w:keepNext w:val="0"/>
              <w:keepLines w:val="0"/>
              <w:widowControl/>
              <w:suppressLineNumbers w:val="0"/>
              <w:jc w:val="center"/>
              <w:textAlignment w:val="top"/>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92.1315</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A5D145">
            <w:pPr>
              <w:keepNext w:val="0"/>
              <w:keepLines w:val="0"/>
              <w:widowControl/>
              <w:suppressLineNumbers w:val="0"/>
              <w:jc w:val="center"/>
              <w:textAlignment w:val="top"/>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66.1681</w:t>
            </w:r>
          </w:p>
        </w:tc>
        <w:tc>
          <w:tcPr>
            <w:tcW w:w="7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F8992">
            <w:pPr>
              <w:keepNext w:val="0"/>
              <w:keepLines w:val="0"/>
              <w:widowControl/>
              <w:suppressLineNumbers w:val="0"/>
              <w:jc w:val="center"/>
              <w:textAlignment w:val="top"/>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66.1681</w:t>
            </w:r>
          </w:p>
        </w:tc>
        <w:tc>
          <w:tcPr>
            <w:tcW w:w="1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1592A">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4709F">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1"/>
                <w:szCs w:val="21"/>
                <w:u w:val="none"/>
              </w:rPr>
            </w:pPr>
            <w:r>
              <w:rPr>
                <w:rFonts w:hint="default" w:ascii="Times New Roman" w:hAnsi="Times New Roman" w:eastAsia="仿宋_GB2312" w:cs="Times New Roman"/>
                <w:b/>
                <w:bCs/>
                <w:i w:val="0"/>
                <w:iCs w:val="0"/>
                <w:color w:val="000000"/>
                <w:kern w:val="0"/>
                <w:sz w:val="21"/>
                <w:szCs w:val="21"/>
                <w:u w:val="none"/>
                <w:lang w:val="en-US" w:eastAsia="zh-CN" w:bidi="ar"/>
              </w:rPr>
              <w:t>0</w:t>
            </w:r>
          </w:p>
        </w:tc>
      </w:tr>
    </w:tbl>
    <w:p w14:paraId="5D971F5D">
      <w:pPr>
        <w:spacing w:line="288" w:lineRule="auto"/>
        <w:jc w:val="center"/>
        <w:rPr>
          <w:rFonts w:hint="eastAsia" w:ascii="黑体" w:hAnsi="黑体" w:eastAsia="黑体" w:cs="黑体"/>
          <w:b w:val="0"/>
          <w:bCs w:val="0"/>
          <w:sz w:val="24"/>
          <w:szCs w:val="24"/>
        </w:rPr>
      </w:pPr>
    </w:p>
    <w:p w14:paraId="10065FD8">
      <w:pPr>
        <w:ind w:firstLine="560" w:firstLineChars="200"/>
        <w:rPr>
          <w:rFonts w:ascii="黑体" w:hAnsi="黑体" w:eastAsia="黑体"/>
          <w:sz w:val="28"/>
          <w:szCs w:val="28"/>
          <w:shd w:val="clear" w:color="auto" w:fill="FFFFFF"/>
        </w:rPr>
      </w:pPr>
      <w:r>
        <w:rPr>
          <w:rFonts w:hint="eastAsia" w:ascii="黑体" w:hAnsi="黑体" w:eastAsia="黑体"/>
          <w:sz w:val="28"/>
          <w:szCs w:val="28"/>
          <w:shd w:val="clear" w:color="auto" w:fill="FFFFFF"/>
        </w:rPr>
        <w:t>三、成片开发的必要性</w:t>
      </w:r>
    </w:p>
    <w:p w14:paraId="1F9607AA">
      <w:pPr>
        <w:ind w:firstLine="560" w:firstLineChars="200"/>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根据</w:t>
      </w:r>
      <w:r>
        <w:rPr>
          <w:rFonts w:hint="eastAsia" w:ascii="Times New Roman" w:hAnsi="Times New Roman" w:eastAsia="仿宋_GB2312" w:cs="Times New Roman"/>
          <w:sz w:val="28"/>
          <w:szCs w:val="28"/>
          <w:lang w:eastAsia="zh-CN"/>
        </w:rPr>
        <w:t>《自然资源部关于</w:t>
      </w:r>
      <w:r>
        <w:rPr>
          <w:rFonts w:hint="eastAsia" w:ascii="Times New Roman" w:hAnsi="Times New Roman" w:eastAsia="仿宋_GB2312" w:cs="Times New Roman"/>
          <w:sz w:val="28"/>
          <w:szCs w:val="28"/>
        </w:rPr>
        <w:t>&lt;土地征收成片开发标准&gt;的通知</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rPr>
        <w:t>（自然资规〔2023〕7号）和</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吉林省自然资源厅关于印发&lt;</w:t>
      </w:r>
      <w:r>
        <w:rPr>
          <w:rFonts w:hint="eastAsia" w:ascii="Times New Roman" w:hAnsi="Times New Roman" w:eastAsia="仿宋_GB2312" w:cs="Times New Roman"/>
          <w:sz w:val="28"/>
          <w:szCs w:val="28"/>
        </w:rPr>
        <w:t>吉林省土地征收成片开发方案编制报批细则</w:t>
      </w:r>
      <w:r>
        <w:rPr>
          <w:rFonts w:hint="eastAsia" w:ascii="Times New Roman" w:hAnsi="Times New Roman" w:eastAsia="仿宋_GB2312" w:cs="Times New Roman"/>
          <w:sz w:val="28"/>
          <w:szCs w:val="28"/>
          <w:lang w:val="en-US" w:eastAsia="zh-CN"/>
        </w:rPr>
        <w:t>&gt;</w:t>
      </w:r>
      <w:r>
        <w:rPr>
          <w:rFonts w:hint="eastAsia" w:ascii="Times New Roman" w:hAnsi="Times New Roman" w:eastAsia="仿宋_GB2312" w:cs="Times New Roman"/>
          <w:sz w:val="28"/>
          <w:szCs w:val="28"/>
        </w:rPr>
        <w:t>的通知</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rPr>
        <w:t>（吉自然资办发〔2024〕313号）等文件</w:t>
      </w:r>
      <w:r>
        <w:rPr>
          <w:rFonts w:hint="eastAsia" w:ascii="Times New Roman" w:hAnsi="Times New Roman" w:eastAsia="仿宋_GB2312" w:cs="Times New Roman"/>
          <w:sz w:val="28"/>
          <w:szCs w:val="28"/>
          <w:lang w:eastAsia="zh-CN"/>
        </w:rPr>
        <w:t>“已批准的成片开发方案实施满</w:t>
      </w:r>
      <w:r>
        <w:rPr>
          <w:rFonts w:hint="eastAsia" w:ascii="Times New Roman" w:hAnsi="Times New Roman" w:eastAsia="仿宋_GB2312" w:cs="Times New Roman"/>
          <w:sz w:val="28"/>
          <w:szCs w:val="28"/>
          <w:lang w:val="en-US" w:eastAsia="zh-CN"/>
        </w:rPr>
        <w:t>1年后，每年可调整1次，直至实施期满</w:t>
      </w:r>
      <w:r>
        <w:rPr>
          <w:rFonts w:hint="eastAsia" w:ascii="Times New Roman" w:hAnsi="Times New Roman" w:eastAsia="仿宋_GB2312" w:cs="Times New Roman"/>
          <w:sz w:val="28"/>
          <w:szCs w:val="28"/>
        </w:rPr>
        <w:t>。</w:t>
      </w:r>
      <w:r>
        <w:rPr>
          <w:rFonts w:hint="eastAsia" w:ascii="Times New Roman" w:hAnsi="Times New Roman" w:eastAsia="仿宋_GB2312" w:cs="Times New Roman"/>
          <w:sz w:val="28"/>
          <w:szCs w:val="28"/>
          <w:lang w:eastAsia="zh-CN"/>
        </w:rPr>
        <w:t>”靖宇县</w:t>
      </w:r>
      <w:r>
        <w:rPr>
          <w:rFonts w:hint="eastAsia" w:ascii="Times New Roman" w:hAnsi="Times New Roman" w:eastAsia="仿宋_GB2312" w:cs="Times New Roman"/>
          <w:sz w:val="28"/>
          <w:szCs w:val="28"/>
        </w:rPr>
        <w:t>组织开展本次成片开发调整工作，同时与</w:t>
      </w:r>
      <w:bookmarkStart w:id="2" w:name="_Hlk111815585"/>
      <w:r>
        <w:rPr>
          <w:rFonts w:hint="eastAsia" w:ascii="Times New Roman" w:hAnsi="Times New Roman" w:eastAsia="仿宋_GB2312" w:cs="Times New Roman"/>
          <w:sz w:val="28"/>
          <w:szCs w:val="28"/>
        </w:rPr>
        <w:t>“三区三线”</w:t>
      </w:r>
      <w:bookmarkEnd w:id="2"/>
      <w:r>
        <w:rPr>
          <w:rFonts w:hint="eastAsia" w:ascii="Times New Roman" w:hAnsi="Times New Roman" w:eastAsia="仿宋_GB2312" w:cs="Times New Roman"/>
          <w:sz w:val="28"/>
          <w:szCs w:val="28"/>
        </w:rPr>
        <w:t>成果</w:t>
      </w:r>
      <w:r>
        <w:rPr>
          <w:rFonts w:hint="eastAsia" w:ascii="Times New Roman" w:hAnsi="Times New Roman" w:eastAsia="仿宋_GB2312" w:cs="Times New Roman"/>
          <w:sz w:val="28"/>
          <w:szCs w:val="28"/>
          <w:lang w:eastAsia="zh-CN"/>
        </w:rPr>
        <w:t>及永久基本农田核实处置数据成果</w:t>
      </w:r>
      <w:r>
        <w:rPr>
          <w:rFonts w:hint="eastAsia" w:ascii="Times New Roman" w:hAnsi="Times New Roman" w:eastAsia="仿宋_GB2312" w:cs="Times New Roman"/>
          <w:sz w:val="28"/>
          <w:szCs w:val="28"/>
        </w:rPr>
        <w:t>相衔接，为规范征地程序、</w:t>
      </w:r>
      <w:r>
        <w:rPr>
          <w:rFonts w:hint="eastAsia" w:ascii="Times New Roman" w:hAnsi="Times New Roman" w:eastAsia="仿宋_GB2312" w:cs="Times New Roman"/>
          <w:sz w:val="28"/>
          <w:szCs w:val="28"/>
          <w:lang w:eastAsia="zh-CN"/>
        </w:rPr>
        <w:t>推进项目的顺利落实</w:t>
      </w:r>
      <w:r>
        <w:rPr>
          <w:rFonts w:hint="eastAsia" w:ascii="Times New Roman" w:hAnsi="Times New Roman" w:eastAsia="仿宋_GB2312" w:cs="Times New Roman"/>
          <w:sz w:val="28"/>
          <w:szCs w:val="28"/>
        </w:rPr>
        <w:t>提供保障。</w:t>
      </w:r>
    </w:p>
    <w:p w14:paraId="40531D56">
      <w:pPr>
        <w:ind w:firstLine="560" w:firstLineChars="200"/>
        <w:rPr>
          <w:rFonts w:hint="eastAsia" w:ascii="Times New Roman" w:hAnsi="Times New Roman" w:eastAsia="仿宋_GB2312" w:cs="Times New Roman"/>
          <w:sz w:val="28"/>
          <w:szCs w:val="28"/>
        </w:rPr>
      </w:pPr>
    </w:p>
    <w:p w14:paraId="05503C51">
      <w:pPr>
        <w:spacing w:line="560" w:lineRule="exact"/>
        <w:ind w:firstLine="560" w:firstLineChars="200"/>
        <w:rPr>
          <w:rFonts w:ascii="黑体" w:hAnsi="黑体" w:eastAsia="黑体"/>
          <w:sz w:val="28"/>
          <w:szCs w:val="28"/>
          <w:shd w:val="clear" w:color="auto" w:fill="FFFFFF"/>
        </w:rPr>
      </w:pPr>
      <w:r>
        <w:rPr>
          <w:rFonts w:hint="eastAsia" w:ascii="黑体" w:hAnsi="黑体" w:eastAsia="黑体"/>
          <w:sz w:val="28"/>
          <w:szCs w:val="28"/>
          <w:shd w:val="clear" w:color="auto" w:fill="FFFFFF"/>
        </w:rPr>
        <w:t>四、公益性用地</w:t>
      </w:r>
    </w:p>
    <w:p w14:paraId="3F68D94D">
      <w:pPr>
        <w:ind w:firstLine="560" w:firstLineChars="200"/>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本方案拟用地总面积</w:t>
      </w:r>
      <w:r>
        <w:rPr>
          <w:rFonts w:hint="eastAsia" w:ascii="Times New Roman" w:hAnsi="Times New Roman" w:eastAsia="仿宋_GB2312" w:cs="Times New Roman"/>
          <w:sz w:val="28"/>
          <w:szCs w:val="28"/>
          <w:lang w:val="en-US" w:eastAsia="zh-CN"/>
        </w:rPr>
        <w:t>92.1315</w:t>
      </w:r>
      <w:r>
        <w:rPr>
          <w:rFonts w:hint="eastAsia" w:ascii="Times New Roman" w:hAnsi="Times New Roman" w:eastAsia="仿宋_GB2312" w:cs="Times New Roman"/>
          <w:sz w:val="28"/>
          <w:szCs w:val="28"/>
          <w:lang w:eastAsia="zh-CN"/>
        </w:rPr>
        <w:t>公顷，其中，公益性用地</w:t>
      </w:r>
      <w:r>
        <w:rPr>
          <w:rFonts w:hint="eastAsia" w:ascii="Times New Roman" w:hAnsi="Times New Roman" w:eastAsia="仿宋_GB2312" w:cs="Times New Roman"/>
          <w:sz w:val="28"/>
          <w:szCs w:val="28"/>
          <w:lang w:val="en-US" w:eastAsia="zh-CN"/>
        </w:rPr>
        <w:t>63.2922</w:t>
      </w:r>
      <w:r>
        <w:rPr>
          <w:rFonts w:hint="eastAsia" w:ascii="Times New Roman" w:hAnsi="Times New Roman" w:eastAsia="仿宋_GB2312" w:cs="Times New Roman"/>
          <w:sz w:val="28"/>
          <w:szCs w:val="28"/>
          <w:lang w:eastAsia="zh-CN"/>
        </w:rPr>
        <w:t>公顷，占总用地面积</w:t>
      </w:r>
      <w:r>
        <w:rPr>
          <w:rFonts w:hint="eastAsia" w:ascii="Times New Roman" w:hAnsi="Times New Roman" w:eastAsia="仿宋_GB2312" w:cs="Times New Roman"/>
          <w:sz w:val="28"/>
          <w:szCs w:val="28"/>
          <w:lang w:val="en-US" w:eastAsia="zh-CN"/>
        </w:rPr>
        <w:t>68.70</w:t>
      </w:r>
      <w:r>
        <w:rPr>
          <w:rFonts w:hint="eastAsia" w:ascii="Times New Roman" w:hAnsi="Times New Roman" w:eastAsia="仿宋_GB2312" w:cs="Times New Roman"/>
          <w:sz w:val="28"/>
          <w:szCs w:val="28"/>
          <w:lang w:eastAsia="zh-CN"/>
        </w:rPr>
        <w:t>%，符合《土地征收成片开发标准的通知》（自然资规〔2023〕7号）和《吉林省自然资源厅关于印发&lt;吉林省土地征收成片开发方案编制报批细则&gt;》的通知（吉自然资办发〔2024〕313号）文件中公益性用地占比一般不低于40%的规定。</w:t>
      </w:r>
    </w:p>
    <w:p w14:paraId="034653ED">
      <w:pPr>
        <w:numPr>
          <w:ilvl w:val="0"/>
          <w:numId w:val="2"/>
        </w:numPr>
        <w:ind w:firstLine="560" w:firstLineChars="200"/>
        <w:rPr>
          <w:rFonts w:hint="eastAsia" w:ascii="黑体" w:hAnsi="黑体" w:eastAsia="黑体"/>
          <w:sz w:val="28"/>
          <w:szCs w:val="28"/>
          <w:shd w:val="clear" w:color="auto" w:fill="FFFFFF"/>
          <w:lang w:eastAsia="zh-CN"/>
        </w:rPr>
      </w:pPr>
      <w:r>
        <w:rPr>
          <w:rFonts w:hint="eastAsia" w:ascii="黑体" w:hAnsi="黑体" w:eastAsia="黑体"/>
          <w:sz w:val="28"/>
          <w:szCs w:val="28"/>
          <w:shd w:val="clear" w:color="auto" w:fill="FFFFFF"/>
          <w:lang w:eastAsia="zh-CN"/>
        </w:rPr>
        <w:t>合法合规性</w:t>
      </w:r>
    </w:p>
    <w:p w14:paraId="2C44FF66">
      <w:pPr>
        <w:pStyle w:val="2"/>
        <w:spacing w:before="120" w:after="120"/>
        <w:ind w:firstLine="602"/>
        <w:rPr>
          <w:rFonts w:eastAsia="仿宋"/>
          <w:color w:val="auto"/>
          <w:szCs w:val="30"/>
        </w:rPr>
      </w:pPr>
      <w:r>
        <w:rPr>
          <w:rFonts w:eastAsia="仿宋"/>
          <w:color w:val="auto"/>
          <w:szCs w:val="30"/>
        </w:rPr>
        <w:t>1、位于城镇开发边界</w:t>
      </w:r>
      <w:r>
        <w:rPr>
          <w:rFonts w:hint="eastAsia" w:eastAsia="仿宋"/>
          <w:color w:val="auto"/>
          <w:szCs w:val="30"/>
        </w:rPr>
        <w:t>内</w:t>
      </w:r>
    </w:p>
    <w:p w14:paraId="6E06C837">
      <w:pPr>
        <w:adjustRightInd w:val="0"/>
        <w:snapToGrid w:val="0"/>
        <w:spacing w:line="360" w:lineRule="auto"/>
        <w:ind w:firstLine="560" w:firstLineChars="200"/>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本次靖宇县土地征收成片开发调整方案的编制与国土空间总体规划的编制进行了充分衔接，已与城镇开发边界进行套合，未存在冲突，本方案确定的成片开发范围均位于《靖宇县国土空间总体规划（2021-2035年）》确定的城镇开发边界内。</w:t>
      </w:r>
    </w:p>
    <w:p w14:paraId="153BCFDB">
      <w:pPr>
        <w:pStyle w:val="2"/>
        <w:spacing w:before="120" w:after="120"/>
        <w:ind w:firstLine="602"/>
        <w:rPr>
          <w:rFonts w:eastAsia="仿宋"/>
          <w:color w:val="auto"/>
          <w:szCs w:val="30"/>
        </w:rPr>
      </w:pPr>
      <w:r>
        <w:rPr>
          <w:rFonts w:eastAsia="仿宋"/>
          <w:color w:val="auto"/>
          <w:szCs w:val="30"/>
        </w:rPr>
        <w:t>2、不占用永久基本农田</w:t>
      </w:r>
    </w:p>
    <w:p w14:paraId="32A1D15C">
      <w:pPr>
        <w:adjustRightInd w:val="0"/>
        <w:snapToGrid w:val="0"/>
        <w:spacing w:line="360" w:lineRule="auto"/>
        <w:ind w:firstLine="560" w:firstLineChars="200"/>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将本次靖宇县调整后土地征收成片开发范围与靖宇县永久基本农田</w:t>
      </w:r>
      <w:r>
        <w:rPr>
          <w:rFonts w:hint="eastAsia" w:eastAsia="仿宋_GB2312" w:cs="Times New Roman"/>
          <w:sz w:val="28"/>
          <w:szCs w:val="28"/>
          <w:lang w:eastAsia="zh-CN"/>
        </w:rPr>
        <w:t>核实处置</w:t>
      </w:r>
      <w:r>
        <w:rPr>
          <w:rFonts w:hint="eastAsia" w:ascii="Times New Roman" w:hAnsi="Times New Roman" w:eastAsia="仿宋_GB2312" w:cs="Times New Roman"/>
          <w:sz w:val="28"/>
          <w:szCs w:val="28"/>
          <w:lang w:eastAsia="zh-CN"/>
        </w:rPr>
        <w:t>划定成果进行</w:t>
      </w:r>
      <w:r>
        <w:rPr>
          <w:rFonts w:hint="eastAsia" w:eastAsia="仿宋_GB2312" w:cs="Times New Roman"/>
          <w:sz w:val="28"/>
          <w:szCs w:val="28"/>
          <w:lang w:eastAsia="zh-CN"/>
        </w:rPr>
        <w:t>套合</w:t>
      </w:r>
      <w:r>
        <w:rPr>
          <w:rFonts w:hint="eastAsia" w:ascii="Times New Roman" w:hAnsi="Times New Roman" w:eastAsia="仿宋_GB2312" w:cs="Times New Roman"/>
          <w:sz w:val="28"/>
          <w:szCs w:val="28"/>
          <w:lang w:eastAsia="zh-CN"/>
        </w:rPr>
        <w:t>分析，成片开发范围不占用永久基本农田。</w:t>
      </w:r>
    </w:p>
    <w:p w14:paraId="04E9973C">
      <w:pPr>
        <w:pStyle w:val="2"/>
        <w:spacing w:before="120" w:after="120"/>
        <w:ind w:firstLine="602"/>
        <w:rPr>
          <w:rFonts w:eastAsia="仿宋"/>
          <w:color w:val="auto"/>
          <w:szCs w:val="30"/>
        </w:rPr>
      </w:pPr>
      <w:r>
        <w:rPr>
          <w:rFonts w:eastAsia="仿宋"/>
          <w:color w:val="auto"/>
          <w:szCs w:val="30"/>
        </w:rPr>
        <w:t>3、不在生态保护红线内</w:t>
      </w:r>
      <w:r>
        <w:rPr>
          <w:rFonts w:hint="eastAsia" w:eastAsia="仿宋"/>
          <w:color w:val="auto"/>
          <w:szCs w:val="30"/>
        </w:rPr>
        <w:t>、</w:t>
      </w:r>
      <w:bookmarkStart w:id="3" w:name="_Hlk167045254"/>
      <w:r>
        <w:rPr>
          <w:rFonts w:hint="eastAsia" w:eastAsia="仿宋"/>
          <w:color w:val="auto"/>
          <w:szCs w:val="30"/>
        </w:rPr>
        <w:t>不涉及各类保护区和自然保护地</w:t>
      </w:r>
      <w:bookmarkEnd w:id="3"/>
    </w:p>
    <w:p w14:paraId="2149C050">
      <w:pPr>
        <w:adjustRightInd w:val="0"/>
        <w:snapToGrid w:val="0"/>
        <w:spacing w:line="360" w:lineRule="auto"/>
        <w:ind w:firstLine="560" w:firstLineChars="200"/>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lang w:eastAsia="zh-CN"/>
        </w:rPr>
        <w:t>将本次成片开发调整后范围与靖宇县生态保护红线成果进行分析，成片开发范围不在生态保护红线内。本次成片开发地块位于靖宇县靖宇县内建成区，距离保护区较远，因此在土地征收及项目建设过程中均不会对不涉及各类保护区和自然保护地产生影响。</w:t>
      </w:r>
    </w:p>
    <w:p w14:paraId="3B226D32">
      <w:pPr>
        <w:numPr>
          <w:numId w:val="0"/>
        </w:numPr>
        <w:rPr>
          <w:rFonts w:hint="eastAsia" w:ascii="黑体" w:hAnsi="黑体" w:eastAsia="黑体"/>
          <w:sz w:val="28"/>
          <w:szCs w:val="28"/>
          <w:shd w:val="clear" w:color="auto" w:fill="FFFFFF"/>
          <w:lang w:eastAsia="zh-CN"/>
        </w:rPr>
      </w:pPr>
    </w:p>
    <w:p w14:paraId="5C40215F">
      <w:pPr>
        <w:ind w:firstLine="560" w:firstLineChars="200"/>
        <w:rPr>
          <w:rFonts w:ascii="黑体" w:hAnsi="黑体" w:eastAsia="黑体"/>
          <w:sz w:val="28"/>
          <w:szCs w:val="28"/>
          <w:shd w:val="clear" w:color="auto" w:fill="FFFFFF"/>
        </w:rPr>
      </w:pPr>
      <w:r>
        <w:rPr>
          <w:rFonts w:hint="eastAsia" w:ascii="黑体" w:hAnsi="黑体" w:eastAsia="黑体"/>
          <w:sz w:val="28"/>
          <w:szCs w:val="28"/>
          <w:shd w:val="clear" w:color="auto" w:fill="FFFFFF"/>
          <w:lang w:eastAsia="zh-CN"/>
        </w:rPr>
        <w:t>六</w:t>
      </w:r>
      <w:r>
        <w:rPr>
          <w:rFonts w:hint="eastAsia" w:ascii="黑体" w:hAnsi="黑体" w:eastAsia="黑体"/>
          <w:sz w:val="28"/>
          <w:szCs w:val="28"/>
          <w:shd w:val="clear" w:color="auto" w:fill="FFFFFF"/>
        </w:rPr>
        <w:t>、落实被征地群众安置补偿、维护群众利益的计划措施</w:t>
      </w:r>
    </w:p>
    <w:p w14:paraId="0D1EE282">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w:t>
      </w:r>
      <w:r>
        <w:rPr>
          <w:rFonts w:hint="eastAsia" w:ascii="Times New Roman" w:hAnsi="Times New Roman" w:eastAsia="仿宋_GB2312" w:cs="Times New Roman"/>
          <w:bCs/>
          <w:sz w:val="28"/>
          <w:szCs w:val="28"/>
        </w:rPr>
        <w:t>、征地补偿标准：参照</w:t>
      </w:r>
      <w:r>
        <w:rPr>
          <w:rFonts w:eastAsia="仿宋_GB2312"/>
          <w:sz w:val="28"/>
          <w:szCs w:val="28"/>
        </w:rPr>
        <w:t>《</w:t>
      </w:r>
      <w:r>
        <w:rPr>
          <w:rFonts w:hint="eastAsia" w:eastAsia="仿宋_GB2312"/>
          <w:sz w:val="28"/>
          <w:szCs w:val="28"/>
        </w:rPr>
        <w:t>白山市人民政府关于公布实施白山市</w:t>
      </w:r>
      <w:r>
        <w:rPr>
          <w:rFonts w:eastAsia="仿宋_GB2312"/>
          <w:sz w:val="28"/>
          <w:szCs w:val="28"/>
        </w:rPr>
        <w:t>征收农用地区片综合地价</w:t>
      </w:r>
      <w:r>
        <w:rPr>
          <w:rFonts w:hint="eastAsia" w:eastAsia="仿宋_GB2312"/>
          <w:sz w:val="28"/>
          <w:szCs w:val="28"/>
        </w:rPr>
        <w:t>标准</w:t>
      </w:r>
      <w:r>
        <w:rPr>
          <w:rFonts w:eastAsia="仿宋_GB2312"/>
          <w:sz w:val="28"/>
          <w:szCs w:val="28"/>
        </w:rPr>
        <w:t>的通知》（</w:t>
      </w:r>
      <w:r>
        <w:rPr>
          <w:rFonts w:hint="eastAsia" w:eastAsia="仿宋_GB2312"/>
          <w:sz w:val="28"/>
          <w:szCs w:val="28"/>
        </w:rPr>
        <w:t>白山政函</w:t>
      </w:r>
      <w:r>
        <w:rPr>
          <w:rFonts w:eastAsia="仿宋_GB2312"/>
          <w:sz w:val="28"/>
          <w:szCs w:val="28"/>
        </w:rPr>
        <w:t>〔2020〕</w:t>
      </w:r>
      <w:r>
        <w:rPr>
          <w:rFonts w:hint="eastAsia" w:eastAsia="仿宋_GB2312"/>
          <w:sz w:val="28"/>
          <w:szCs w:val="28"/>
        </w:rPr>
        <w:t>246</w:t>
      </w:r>
      <w:r>
        <w:rPr>
          <w:rFonts w:eastAsia="仿宋_GB2312"/>
          <w:sz w:val="28"/>
          <w:szCs w:val="28"/>
        </w:rPr>
        <w:t>号）</w:t>
      </w:r>
      <w:r>
        <w:rPr>
          <w:rFonts w:hint="eastAsia" w:ascii="Times New Roman" w:hAnsi="Times New Roman" w:eastAsia="仿宋_GB2312" w:cs="Times New Roman"/>
          <w:bCs/>
          <w:sz w:val="28"/>
          <w:szCs w:val="28"/>
        </w:rPr>
        <w:t>。</w:t>
      </w:r>
    </w:p>
    <w:p w14:paraId="6AEDDDB8">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w:t>
      </w:r>
      <w:r>
        <w:rPr>
          <w:rFonts w:hint="eastAsia" w:ascii="Times New Roman" w:hAnsi="Times New Roman" w:eastAsia="仿宋_GB2312" w:cs="Times New Roman"/>
          <w:bCs/>
          <w:sz w:val="28"/>
          <w:szCs w:val="28"/>
        </w:rPr>
        <w:t>、征地安置：</w:t>
      </w:r>
      <w:r>
        <w:rPr>
          <w:rFonts w:hint="eastAsia" w:ascii="Times New Roman" w:hAnsi="Times New Roman" w:eastAsia="仿宋_GB2312" w:cs="Times New Roman"/>
          <w:bCs/>
          <w:sz w:val="28"/>
          <w:szCs w:val="28"/>
          <w:lang w:eastAsia="zh-CN"/>
        </w:rPr>
        <w:t>靖宇县</w:t>
      </w:r>
      <w:r>
        <w:rPr>
          <w:rFonts w:hint="eastAsia" w:ascii="Times New Roman" w:hAnsi="Times New Roman" w:eastAsia="仿宋_GB2312" w:cs="Times New Roman"/>
          <w:bCs/>
          <w:sz w:val="28"/>
          <w:szCs w:val="28"/>
        </w:rPr>
        <w:t>人民政府计划通过货币安置、社保安置、搬迁安置相结合的安置方式，可以妥善解决被征地农民的生产和生活。</w:t>
      </w:r>
    </w:p>
    <w:p w14:paraId="1472D99E">
      <w:pPr>
        <w:spacing w:line="560" w:lineRule="exact"/>
        <w:ind w:firstLine="560" w:firstLineChars="200"/>
      </w:pPr>
      <w:r>
        <w:rPr>
          <w:rFonts w:ascii="Times New Roman" w:hAnsi="Times New Roman" w:eastAsia="仿宋_GB2312" w:cs="Times New Roman"/>
          <w:bCs/>
          <w:sz w:val="28"/>
          <w:szCs w:val="28"/>
        </w:rPr>
        <w:t>3</w:t>
      </w:r>
      <w:r>
        <w:rPr>
          <w:rFonts w:hint="eastAsia" w:ascii="Times New Roman" w:hAnsi="Times New Roman" w:eastAsia="仿宋_GB2312" w:cs="Times New Roman"/>
          <w:bCs/>
          <w:sz w:val="28"/>
          <w:szCs w:val="28"/>
        </w:rPr>
        <w:t>、征地程序：将严格按规定履行征地报批前告知、现状调查及确认、听证、公告等程序。</w:t>
      </w:r>
    </w:p>
    <w:p w14:paraId="09D34B94">
      <w:pPr>
        <w:ind w:firstLine="560" w:firstLineChars="200"/>
        <w:rPr>
          <w:rFonts w:ascii="黑体" w:hAnsi="黑体" w:eastAsia="黑体"/>
          <w:sz w:val="28"/>
          <w:szCs w:val="28"/>
          <w:shd w:val="clear" w:color="auto" w:fill="FFFFFF"/>
        </w:rPr>
      </w:pPr>
      <w:r>
        <w:rPr>
          <w:rFonts w:hint="eastAsia" w:ascii="黑体" w:hAnsi="黑体" w:eastAsia="黑体"/>
          <w:sz w:val="28"/>
          <w:szCs w:val="28"/>
          <w:shd w:val="clear" w:color="auto" w:fill="FFFFFF"/>
          <w:lang w:eastAsia="zh-CN"/>
        </w:rPr>
        <w:t>七</w:t>
      </w:r>
      <w:r>
        <w:rPr>
          <w:rFonts w:hint="eastAsia" w:ascii="黑体" w:hAnsi="黑体" w:eastAsia="黑体"/>
          <w:sz w:val="28"/>
          <w:szCs w:val="28"/>
          <w:shd w:val="clear" w:color="auto" w:fill="FFFFFF"/>
        </w:rPr>
        <w:t>、结论</w:t>
      </w:r>
    </w:p>
    <w:p w14:paraId="68DDF56A">
      <w:pPr>
        <w:pStyle w:val="5"/>
        <w:shd w:val="clear" w:color="auto" w:fill="FFFFFF"/>
        <w:spacing w:before="0" w:beforeAutospacing="0" w:after="0" w:afterAutospacing="0"/>
        <w:ind w:firstLine="560" w:firstLineChars="200"/>
        <w:rPr>
          <w:rFonts w:hint="eastAsia" w:ascii="Times New Roman" w:hAnsi="Times New Roman" w:eastAsia="仿宋_GB2312" w:cs="Times New Roman"/>
          <w:bCs/>
          <w:sz w:val="28"/>
          <w:szCs w:val="28"/>
          <w:lang w:val="en-US" w:eastAsia="zh-CN"/>
        </w:rPr>
      </w:pPr>
      <w:r>
        <w:rPr>
          <w:rFonts w:hint="eastAsia" w:ascii="Times New Roman" w:hAnsi="Times New Roman" w:eastAsia="仿宋_GB2312" w:cs="Times New Roman"/>
          <w:sz w:val="28"/>
          <w:szCs w:val="28"/>
          <w:lang w:eastAsia="zh-CN"/>
        </w:rPr>
        <w:t>本次调整充分征求了人大代表、政协委员以及相关部门专家意见，</w:t>
      </w:r>
      <w:r>
        <w:rPr>
          <w:rFonts w:hint="eastAsia" w:ascii="Times New Roman" w:hAnsi="Times New Roman" w:eastAsia="仿宋_GB2312" w:cs="Times New Roman"/>
          <w:bCs/>
          <w:sz w:val="28"/>
          <w:szCs w:val="28"/>
          <w:lang w:val="en-US" w:eastAsia="zh-CN"/>
        </w:rPr>
        <w:t>满足公众参与的要求。</w:t>
      </w:r>
      <w:r>
        <w:rPr>
          <w:rFonts w:hint="eastAsia" w:ascii="Times New Roman" w:hAnsi="Times New Roman" w:eastAsia="仿宋_GB2312" w:cs="Times New Roman"/>
          <w:sz w:val="28"/>
          <w:szCs w:val="28"/>
          <w:lang w:val="en-US" w:eastAsia="zh-CN"/>
        </w:rPr>
        <w:t>本次成片开发调整区域内的规划用途、时序等均符合</w:t>
      </w:r>
      <w:r>
        <w:rPr>
          <w:rFonts w:ascii="Times New Roman" w:hAnsi="Times New Roman" w:eastAsia="仿宋_GB2312" w:cs="Times New Roman"/>
          <w:sz w:val="28"/>
          <w:szCs w:val="28"/>
        </w:rPr>
        <w:t>靖宇县国土空间总体规划，</w:t>
      </w:r>
      <w:r>
        <w:rPr>
          <w:rFonts w:hint="eastAsia" w:ascii="Times New Roman" w:hAnsi="Times New Roman" w:eastAsia="仿宋_GB2312" w:cs="Times New Roman"/>
          <w:sz w:val="28"/>
          <w:szCs w:val="28"/>
          <w:lang w:eastAsia="zh-CN"/>
        </w:rPr>
        <w:t>符合实际情况，调整后成片开发在土地利用、经济、社会、生态等方面产生了明显的效益。</w:t>
      </w:r>
    </w:p>
    <w:p w14:paraId="261CD5DA">
      <w:pPr>
        <w:pStyle w:val="5"/>
        <w:shd w:val="clear" w:color="auto" w:fill="FFFFFF"/>
        <w:spacing w:before="0" w:beforeAutospacing="0" w:after="0" w:afterAutospacing="0"/>
        <w:ind w:firstLine="560" w:firstLineChars="200"/>
        <w:rPr>
          <w:rFonts w:hint="eastAsia" w:ascii="Times New Roman" w:hAnsi="Times New Roman" w:eastAsia="仿宋_GB2312" w:cs="Times New Roman"/>
          <w:bCs/>
          <w:sz w:val="28"/>
          <w:szCs w:val="28"/>
          <w:lang w:val="en-US" w:eastAsia="zh-CN"/>
        </w:rPr>
      </w:pPr>
      <w:r>
        <w:rPr>
          <w:rFonts w:hint="eastAsia" w:ascii="Times New Roman" w:hAnsi="Times New Roman" w:eastAsia="仿宋_GB2312" w:cs="Times New Roman"/>
          <w:bCs/>
          <w:sz w:val="28"/>
          <w:szCs w:val="28"/>
          <w:lang w:val="en-US" w:eastAsia="zh-CN"/>
        </w:rPr>
        <w:t>综上，本成片开发方案符合相关要求，切实可行。</w:t>
      </w:r>
    </w:p>
    <w:p w14:paraId="68286A16"/>
    <w:p w14:paraId="6B1AFF5E">
      <w:pPr>
        <w:sectPr>
          <w:pgSz w:w="11906" w:h="16838"/>
          <w:pgMar w:top="1440" w:right="1800" w:bottom="1440" w:left="1800" w:header="851" w:footer="992" w:gutter="0"/>
          <w:cols w:space="425" w:num="1"/>
          <w:docGrid w:type="lines" w:linePitch="312" w:charSpace="0"/>
        </w:sectPr>
      </w:pPr>
    </w:p>
    <w:p w14:paraId="412BB595">
      <w:pPr>
        <w:rPr>
          <w:rFonts w:hint="eastAsia" w:eastAsia="等线"/>
          <w:lang w:eastAsia="zh-CN"/>
        </w:rPr>
      </w:pPr>
      <w:r>
        <w:rPr>
          <w:rFonts w:hint="eastAsia" w:eastAsia="等线"/>
          <w:lang w:eastAsia="zh-CN"/>
        </w:rPr>
        <w:drawing>
          <wp:anchor distT="0" distB="0" distL="114300" distR="114300" simplePos="0" relativeHeight="251659264" behindDoc="1" locked="0" layoutInCell="1" allowOverlap="1">
            <wp:simplePos x="0" y="0"/>
            <wp:positionH relativeFrom="column">
              <wp:posOffset>678815</wp:posOffset>
            </wp:positionH>
            <wp:positionV relativeFrom="paragraph">
              <wp:posOffset>-426085</wp:posOffset>
            </wp:positionV>
            <wp:extent cx="7452360" cy="5273040"/>
            <wp:effectExtent l="0" t="0" r="15240" b="3810"/>
            <wp:wrapNone/>
            <wp:docPr id="2" name="图片 2" descr="调整后开发范围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调整后开发范围示意图"/>
                    <pic:cNvPicPr>
                      <a:picLocks noChangeAspect="1"/>
                    </pic:cNvPicPr>
                  </pic:nvPicPr>
                  <pic:blipFill>
                    <a:blip r:embed="rId5"/>
                    <a:stretch>
                      <a:fillRect/>
                    </a:stretch>
                  </pic:blipFill>
                  <pic:spPr>
                    <a:xfrm>
                      <a:off x="0" y="0"/>
                      <a:ext cx="7452360" cy="5273040"/>
                    </a:xfrm>
                    <a:prstGeom prst="rect">
                      <a:avLst/>
                    </a:prstGeom>
                  </pic:spPr>
                </pic:pic>
              </a:graphicData>
            </a:graphic>
          </wp:anchor>
        </w:drawing>
      </w:r>
    </w:p>
    <w:p w14:paraId="683426DA">
      <w:pPr>
        <w:rPr>
          <w:rFonts w:hint="eastAsia" w:eastAsia="等线"/>
          <w:lang w:eastAsia="zh-CN"/>
        </w:rPr>
      </w:pPr>
    </w:p>
    <w:p w14:paraId="5C351CAD">
      <w:pPr>
        <w:rPr>
          <w:rFonts w:hint="eastAsia" w:eastAsia="等线"/>
          <w:lang w:eastAsia="zh-CN"/>
        </w:rPr>
      </w:pPr>
    </w:p>
    <w:p w14:paraId="57361E0E">
      <w:pPr>
        <w:rPr>
          <w:rFonts w:hint="eastAsia" w:eastAsia="等线"/>
          <w:lang w:eastAsia="zh-CN"/>
        </w:rPr>
      </w:pPr>
    </w:p>
    <w:p w14:paraId="4B0A1959">
      <w:pPr>
        <w:rPr>
          <w:rFonts w:hint="eastAsia" w:eastAsia="等线"/>
          <w:lang w:eastAsia="zh-CN"/>
        </w:rPr>
      </w:pPr>
    </w:p>
    <w:p w14:paraId="17DAE4E6">
      <w:pPr>
        <w:rPr>
          <w:rFonts w:hint="eastAsia" w:eastAsia="等线"/>
          <w:lang w:eastAsia="zh-CN"/>
        </w:rPr>
      </w:pPr>
    </w:p>
    <w:p w14:paraId="0B101175">
      <w:pPr>
        <w:rPr>
          <w:rFonts w:hint="eastAsia" w:eastAsia="等线"/>
          <w:lang w:eastAsia="zh-CN"/>
        </w:rPr>
      </w:pPr>
    </w:p>
    <w:p w14:paraId="5A7E400C">
      <w:pPr>
        <w:rPr>
          <w:rFonts w:hint="eastAsia" w:eastAsia="等线"/>
          <w:lang w:eastAsia="zh-CN"/>
        </w:rPr>
      </w:pPr>
    </w:p>
    <w:p w14:paraId="66E85E1B">
      <w:pPr>
        <w:rPr>
          <w:rFonts w:hint="eastAsia" w:eastAsia="等线"/>
          <w:lang w:eastAsia="zh-CN"/>
        </w:rPr>
      </w:pPr>
    </w:p>
    <w:p w14:paraId="4CD4F84C">
      <w:pPr>
        <w:rPr>
          <w:rFonts w:hint="eastAsia" w:eastAsia="等线"/>
          <w:lang w:eastAsia="zh-CN"/>
        </w:rPr>
      </w:pPr>
    </w:p>
    <w:p w14:paraId="58F7665D">
      <w:pPr>
        <w:rPr>
          <w:rFonts w:hint="eastAsia" w:eastAsia="等线"/>
          <w:lang w:eastAsia="zh-CN"/>
        </w:rPr>
      </w:pPr>
    </w:p>
    <w:p w14:paraId="15891B2D">
      <w:pPr>
        <w:rPr>
          <w:rFonts w:hint="eastAsia" w:eastAsia="等线"/>
          <w:lang w:eastAsia="zh-CN"/>
        </w:rPr>
      </w:pPr>
    </w:p>
    <w:p w14:paraId="08871424">
      <w:pPr>
        <w:rPr>
          <w:rFonts w:hint="eastAsia" w:eastAsia="等线"/>
          <w:lang w:eastAsia="zh-CN"/>
        </w:rPr>
      </w:pPr>
    </w:p>
    <w:p w14:paraId="3B21F57E">
      <w:pPr>
        <w:rPr>
          <w:rFonts w:hint="eastAsia" w:eastAsia="等线"/>
          <w:lang w:eastAsia="zh-CN"/>
        </w:rPr>
      </w:pPr>
    </w:p>
    <w:p w14:paraId="1EBAE94D">
      <w:pPr>
        <w:rPr>
          <w:rFonts w:hint="eastAsia" w:eastAsia="等线"/>
          <w:lang w:eastAsia="zh-CN"/>
        </w:rPr>
      </w:pPr>
    </w:p>
    <w:p w14:paraId="341B81AC">
      <w:pPr>
        <w:rPr>
          <w:rFonts w:hint="eastAsia" w:eastAsia="等线"/>
          <w:lang w:eastAsia="zh-CN"/>
        </w:rPr>
      </w:pPr>
    </w:p>
    <w:p w14:paraId="216B6486">
      <w:pPr>
        <w:rPr>
          <w:rFonts w:hint="eastAsia" w:eastAsia="等线"/>
          <w:lang w:eastAsia="zh-CN"/>
        </w:rPr>
      </w:pPr>
    </w:p>
    <w:p w14:paraId="26CA9115">
      <w:pPr>
        <w:rPr>
          <w:rFonts w:hint="eastAsia" w:eastAsia="等线"/>
          <w:lang w:eastAsia="zh-CN"/>
        </w:rPr>
      </w:pPr>
    </w:p>
    <w:p w14:paraId="2806B0CF">
      <w:pPr>
        <w:rPr>
          <w:rFonts w:hint="eastAsia" w:eastAsia="等线"/>
          <w:lang w:eastAsia="zh-CN"/>
        </w:rPr>
      </w:pPr>
    </w:p>
    <w:p w14:paraId="057C6975">
      <w:pPr>
        <w:rPr>
          <w:rFonts w:hint="eastAsia" w:eastAsia="等线"/>
          <w:lang w:eastAsia="zh-CN"/>
        </w:rPr>
      </w:pPr>
    </w:p>
    <w:p w14:paraId="2E72516B">
      <w:pPr>
        <w:rPr>
          <w:rFonts w:hint="eastAsia" w:eastAsia="等线"/>
          <w:lang w:eastAsia="zh-CN"/>
        </w:rPr>
      </w:pPr>
    </w:p>
    <w:p w14:paraId="6E22007B">
      <w:pPr>
        <w:rPr>
          <w:rFonts w:hint="eastAsia" w:eastAsia="等线"/>
          <w:lang w:eastAsia="zh-CN"/>
        </w:rPr>
      </w:pPr>
    </w:p>
    <w:p w14:paraId="05C2E110">
      <w:pPr>
        <w:rPr>
          <w:rFonts w:hint="eastAsia" w:eastAsia="等线"/>
          <w:lang w:eastAsia="zh-CN"/>
        </w:rPr>
      </w:pPr>
    </w:p>
    <w:p w14:paraId="0B98473D">
      <w:pPr>
        <w:rPr>
          <w:rFonts w:hint="eastAsia" w:eastAsia="等线"/>
          <w:lang w:eastAsia="zh-CN"/>
        </w:rPr>
      </w:pPr>
    </w:p>
    <w:p w14:paraId="432851DE">
      <w:pPr>
        <w:rPr>
          <w:rFonts w:hint="eastAsia" w:eastAsia="等线"/>
          <w:lang w:eastAsia="zh-CN"/>
        </w:rPr>
      </w:pPr>
    </w:p>
    <w:p w14:paraId="6C472919">
      <w:pPr>
        <w:jc w:val="center"/>
        <w:rPr>
          <w:sz w:val="20"/>
        </w:rPr>
      </w:pPr>
      <w:r>
        <w:rPr>
          <w:rFonts w:hint="eastAsia" w:ascii="Times New Roman" w:hAnsi="Times New Roman" w:eastAsia="仿宋_GB2312" w:cs="Times New Roman"/>
          <w:sz w:val="24"/>
          <w:szCs w:val="28"/>
        </w:rPr>
        <w:t>（成片开发范围以最终批复为准）</w:t>
      </w:r>
    </w:p>
    <w:p w14:paraId="53F48EC4">
      <w:pPr>
        <w:rPr>
          <w:rFonts w:hint="eastAsia" w:eastAsia="等线"/>
          <w:lang w:eastAsia="zh-CN"/>
        </w:rPr>
        <w:sectPr>
          <w:pgSz w:w="16838" w:h="11906" w:orient="landscape"/>
          <w:pgMar w:top="1800" w:right="1440" w:bottom="1800" w:left="1440" w:header="851" w:footer="992" w:gutter="0"/>
          <w:cols w:space="425" w:num="1"/>
          <w:docGrid w:type="lines" w:linePitch="312" w:charSpace="0"/>
        </w:sectPr>
      </w:pPr>
    </w:p>
    <w:p w14:paraId="5429AFEF">
      <w:pPr>
        <w:jc w:val="center"/>
        <w:rPr>
          <w:rFonts w:ascii="黑体" w:hAnsi="黑体" w:eastAsia="黑体"/>
          <w:sz w:val="36"/>
          <w:szCs w:val="44"/>
        </w:rPr>
      </w:pPr>
      <w:bookmarkStart w:id="4" w:name="_GoBack"/>
      <w:bookmarkEnd w:id="4"/>
      <w:r>
        <w:rPr>
          <w:rFonts w:hint="eastAsia" w:ascii="黑体" w:hAnsi="黑体" w:eastAsia="黑体"/>
          <w:sz w:val="36"/>
          <w:szCs w:val="44"/>
        </w:rPr>
        <w:t>征求意见表</w:t>
      </w:r>
    </w:p>
    <w:tbl>
      <w:tblPr>
        <w:tblStyle w:val="6"/>
        <w:tblW w:w="8648"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1"/>
        <w:gridCol w:w="2441"/>
        <w:gridCol w:w="1707"/>
        <w:gridCol w:w="2829"/>
      </w:tblGrid>
      <w:tr w14:paraId="0633D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14:paraId="7A81AED1">
            <w:pPr>
              <w:jc w:val="center"/>
              <w:rPr>
                <w:rFonts w:ascii="仿宋_GB2312" w:eastAsia="仿宋_GB2312"/>
                <w:sz w:val="28"/>
                <w:szCs w:val="28"/>
              </w:rPr>
            </w:pPr>
            <w:r>
              <w:rPr>
                <w:rFonts w:hint="eastAsia" w:ascii="仿宋_GB2312" w:eastAsia="仿宋_GB2312"/>
                <w:sz w:val="28"/>
                <w:szCs w:val="28"/>
              </w:rPr>
              <w:t>项目名称</w:t>
            </w:r>
          </w:p>
        </w:tc>
        <w:tc>
          <w:tcPr>
            <w:tcW w:w="6977" w:type="dxa"/>
            <w:gridSpan w:val="3"/>
            <w:vAlign w:val="center"/>
          </w:tcPr>
          <w:p w14:paraId="741204A1">
            <w:pPr>
              <w:jc w:val="center"/>
              <w:rPr>
                <w:rFonts w:ascii="Times New Roman" w:hAnsi="Times New Roman" w:eastAsia="仿宋_GB2312" w:cs="Times New Roman"/>
                <w:sz w:val="28"/>
                <w:szCs w:val="28"/>
              </w:rPr>
            </w:pPr>
            <w:r>
              <w:rPr>
                <w:rFonts w:hint="eastAsia" w:ascii="Times New Roman" w:hAnsi="Times New Roman" w:eastAsia="仿宋_GB2312" w:cs="Times New Roman"/>
                <w:sz w:val="28"/>
                <w:szCs w:val="28"/>
                <w:lang w:eastAsia="zh-CN"/>
              </w:rPr>
              <w:t>靖宇县</w:t>
            </w:r>
            <w:r>
              <w:rPr>
                <w:rFonts w:hint="eastAsia" w:ascii="Times New Roman" w:hAnsi="Times New Roman" w:eastAsia="仿宋_GB2312" w:cs="Times New Roman"/>
                <w:sz w:val="28"/>
                <w:szCs w:val="28"/>
                <w:lang w:val="en-US" w:eastAsia="zh-CN"/>
              </w:rPr>
              <w:t>2021</w:t>
            </w:r>
            <w:r>
              <w:rPr>
                <w:rFonts w:hint="eastAsia" w:ascii="Times New Roman" w:hAnsi="Times New Roman" w:eastAsia="仿宋_GB2312" w:cs="Times New Roman"/>
                <w:sz w:val="28"/>
                <w:szCs w:val="28"/>
              </w:rPr>
              <w:t>年土地征收成片开发</w:t>
            </w:r>
            <w:r>
              <w:rPr>
                <w:rFonts w:hint="eastAsia" w:ascii="Times New Roman" w:hAnsi="Times New Roman" w:eastAsia="仿宋_GB2312" w:cs="Times New Roman"/>
                <w:sz w:val="28"/>
                <w:szCs w:val="28"/>
                <w:lang w:eastAsia="zh-CN"/>
              </w:rPr>
              <w:t>调整</w:t>
            </w:r>
            <w:r>
              <w:rPr>
                <w:rFonts w:hint="eastAsia" w:ascii="Times New Roman" w:hAnsi="Times New Roman" w:eastAsia="仿宋_GB2312" w:cs="Times New Roman"/>
                <w:sz w:val="28"/>
                <w:szCs w:val="28"/>
              </w:rPr>
              <w:t>方案</w:t>
            </w:r>
          </w:p>
        </w:tc>
      </w:tr>
      <w:tr w14:paraId="10E58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14:paraId="18719430">
            <w:pPr>
              <w:jc w:val="center"/>
              <w:rPr>
                <w:rFonts w:ascii="仿宋_GB2312" w:eastAsia="仿宋_GB2312"/>
                <w:sz w:val="28"/>
                <w:szCs w:val="28"/>
              </w:rPr>
            </w:pPr>
            <w:r>
              <w:rPr>
                <w:rFonts w:hint="eastAsia" w:ascii="仿宋_GB2312" w:eastAsia="仿宋_GB2312"/>
                <w:sz w:val="28"/>
                <w:szCs w:val="28"/>
              </w:rPr>
              <w:t>姓</w:t>
            </w:r>
            <w:r>
              <w:rPr>
                <w:rFonts w:ascii="仿宋_GB2312" w:eastAsia="仿宋_GB2312"/>
                <w:sz w:val="28"/>
                <w:szCs w:val="28"/>
              </w:rPr>
              <w:t xml:space="preserve">   </w:t>
            </w:r>
            <w:r>
              <w:rPr>
                <w:rFonts w:hint="eastAsia" w:ascii="仿宋_GB2312" w:eastAsia="仿宋_GB2312"/>
                <w:sz w:val="28"/>
                <w:szCs w:val="28"/>
              </w:rPr>
              <w:t>名</w:t>
            </w:r>
          </w:p>
        </w:tc>
        <w:tc>
          <w:tcPr>
            <w:tcW w:w="2441" w:type="dxa"/>
            <w:vAlign w:val="center"/>
          </w:tcPr>
          <w:p w14:paraId="726225F8">
            <w:pPr>
              <w:jc w:val="center"/>
              <w:rPr>
                <w:rFonts w:ascii="仿宋_GB2312" w:eastAsia="仿宋_GB2312"/>
                <w:sz w:val="28"/>
                <w:szCs w:val="28"/>
              </w:rPr>
            </w:pPr>
          </w:p>
        </w:tc>
        <w:tc>
          <w:tcPr>
            <w:tcW w:w="1707" w:type="dxa"/>
            <w:vAlign w:val="center"/>
          </w:tcPr>
          <w:p w14:paraId="7361CE7D">
            <w:pPr>
              <w:jc w:val="center"/>
              <w:rPr>
                <w:rFonts w:ascii="仿宋_GB2312" w:eastAsia="仿宋_GB2312"/>
                <w:sz w:val="28"/>
                <w:szCs w:val="28"/>
              </w:rPr>
            </w:pPr>
            <w:r>
              <w:rPr>
                <w:rFonts w:hint="eastAsia" w:ascii="仿宋_GB2312" w:eastAsia="仿宋_GB2312"/>
                <w:sz w:val="28"/>
                <w:szCs w:val="28"/>
              </w:rPr>
              <w:t>职务</w:t>
            </w:r>
            <w:r>
              <w:rPr>
                <w:rFonts w:ascii="仿宋_GB2312" w:eastAsia="仿宋_GB2312"/>
                <w:sz w:val="28"/>
                <w:szCs w:val="28"/>
              </w:rPr>
              <w:t>/</w:t>
            </w:r>
            <w:r>
              <w:rPr>
                <w:rFonts w:hint="eastAsia" w:ascii="仿宋_GB2312" w:eastAsia="仿宋_GB2312"/>
                <w:sz w:val="28"/>
                <w:szCs w:val="28"/>
              </w:rPr>
              <w:t>职称</w:t>
            </w:r>
          </w:p>
        </w:tc>
        <w:tc>
          <w:tcPr>
            <w:tcW w:w="2829" w:type="dxa"/>
            <w:vAlign w:val="center"/>
          </w:tcPr>
          <w:p w14:paraId="353836E0">
            <w:pPr>
              <w:jc w:val="center"/>
              <w:rPr>
                <w:rFonts w:ascii="仿宋_GB2312" w:eastAsia="仿宋_GB2312"/>
                <w:sz w:val="28"/>
                <w:szCs w:val="28"/>
              </w:rPr>
            </w:pPr>
          </w:p>
        </w:tc>
      </w:tr>
      <w:tr w14:paraId="63F80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14:paraId="253F1608">
            <w:pPr>
              <w:jc w:val="center"/>
              <w:rPr>
                <w:rFonts w:ascii="仿宋_GB2312" w:eastAsia="仿宋_GB2312"/>
                <w:sz w:val="28"/>
                <w:szCs w:val="28"/>
              </w:rPr>
            </w:pPr>
            <w:r>
              <w:rPr>
                <w:rFonts w:hint="eastAsia" w:ascii="仿宋_GB2312" w:eastAsia="仿宋_GB2312"/>
                <w:sz w:val="28"/>
                <w:szCs w:val="28"/>
              </w:rPr>
              <w:t>专</w:t>
            </w:r>
            <w:r>
              <w:rPr>
                <w:rFonts w:ascii="仿宋_GB2312" w:eastAsia="仿宋_GB2312"/>
                <w:sz w:val="28"/>
                <w:szCs w:val="28"/>
              </w:rPr>
              <w:t xml:space="preserve">    </w:t>
            </w:r>
            <w:r>
              <w:rPr>
                <w:rFonts w:hint="eastAsia" w:ascii="仿宋_GB2312" w:eastAsia="仿宋_GB2312"/>
                <w:sz w:val="28"/>
                <w:szCs w:val="28"/>
              </w:rPr>
              <w:t>业</w:t>
            </w:r>
          </w:p>
        </w:tc>
        <w:tc>
          <w:tcPr>
            <w:tcW w:w="2441" w:type="dxa"/>
            <w:vAlign w:val="center"/>
          </w:tcPr>
          <w:p w14:paraId="17FBE104">
            <w:pPr>
              <w:jc w:val="center"/>
              <w:rPr>
                <w:rFonts w:ascii="仿宋_GB2312" w:eastAsia="仿宋_GB2312"/>
                <w:sz w:val="28"/>
                <w:szCs w:val="28"/>
              </w:rPr>
            </w:pPr>
          </w:p>
        </w:tc>
        <w:tc>
          <w:tcPr>
            <w:tcW w:w="1707" w:type="dxa"/>
            <w:vAlign w:val="center"/>
          </w:tcPr>
          <w:p w14:paraId="3E52DB3E">
            <w:pPr>
              <w:jc w:val="center"/>
              <w:rPr>
                <w:rFonts w:ascii="仿宋_GB2312" w:eastAsia="仿宋_GB2312"/>
                <w:sz w:val="28"/>
                <w:szCs w:val="28"/>
              </w:rPr>
            </w:pPr>
            <w:r>
              <w:rPr>
                <w:rFonts w:hint="eastAsia" w:ascii="仿宋_GB2312" w:eastAsia="仿宋_GB2312"/>
                <w:sz w:val="28"/>
                <w:szCs w:val="28"/>
              </w:rPr>
              <w:t>联系方式</w:t>
            </w:r>
          </w:p>
        </w:tc>
        <w:tc>
          <w:tcPr>
            <w:tcW w:w="2829" w:type="dxa"/>
            <w:vAlign w:val="center"/>
          </w:tcPr>
          <w:p w14:paraId="1948148D">
            <w:pPr>
              <w:jc w:val="center"/>
              <w:rPr>
                <w:rFonts w:ascii="仿宋_GB2312" w:eastAsia="仿宋_GB2312"/>
                <w:sz w:val="28"/>
                <w:szCs w:val="28"/>
              </w:rPr>
            </w:pPr>
          </w:p>
        </w:tc>
      </w:tr>
      <w:tr w14:paraId="6BF3E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14:paraId="356BF645">
            <w:pPr>
              <w:jc w:val="center"/>
              <w:rPr>
                <w:rFonts w:ascii="仿宋_GB2312" w:eastAsia="仿宋_GB2312"/>
                <w:sz w:val="28"/>
                <w:szCs w:val="28"/>
              </w:rPr>
            </w:pPr>
            <w:r>
              <w:rPr>
                <w:rFonts w:hint="eastAsia" w:ascii="仿宋_GB2312" w:eastAsia="仿宋_GB2312"/>
                <w:sz w:val="28"/>
                <w:szCs w:val="28"/>
              </w:rPr>
              <w:t>工作单位</w:t>
            </w:r>
          </w:p>
        </w:tc>
        <w:tc>
          <w:tcPr>
            <w:tcW w:w="6977" w:type="dxa"/>
            <w:gridSpan w:val="3"/>
            <w:vAlign w:val="center"/>
          </w:tcPr>
          <w:p w14:paraId="4A8DB472">
            <w:pPr>
              <w:jc w:val="center"/>
              <w:rPr>
                <w:rFonts w:ascii="仿宋_GB2312" w:eastAsia="仿宋_GB2312"/>
                <w:sz w:val="28"/>
                <w:szCs w:val="28"/>
              </w:rPr>
            </w:pPr>
          </w:p>
        </w:tc>
      </w:tr>
      <w:tr w14:paraId="2A90F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1" w:type="dxa"/>
            <w:vAlign w:val="center"/>
          </w:tcPr>
          <w:p w14:paraId="4B8CC587">
            <w:pPr>
              <w:jc w:val="center"/>
              <w:rPr>
                <w:rFonts w:ascii="仿宋_GB2312" w:eastAsia="仿宋_GB2312"/>
                <w:sz w:val="28"/>
                <w:szCs w:val="28"/>
              </w:rPr>
            </w:pPr>
            <w:r>
              <w:rPr>
                <w:rFonts w:hint="eastAsia" w:ascii="仿宋_GB2312" w:eastAsia="仿宋_GB2312"/>
                <w:sz w:val="28"/>
                <w:szCs w:val="28"/>
              </w:rPr>
              <w:t>意</w:t>
            </w:r>
          </w:p>
          <w:p w14:paraId="0B2EF65A">
            <w:pPr>
              <w:jc w:val="center"/>
              <w:rPr>
                <w:rFonts w:ascii="仿宋_GB2312" w:eastAsia="仿宋_GB2312"/>
                <w:sz w:val="28"/>
                <w:szCs w:val="28"/>
              </w:rPr>
            </w:pPr>
          </w:p>
          <w:p w14:paraId="6D325339">
            <w:pPr>
              <w:jc w:val="center"/>
              <w:rPr>
                <w:rFonts w:ascii="仿宋_GB2312" w:eastAsia="仿宋_GB2312"/>
                <w:sz w:val="28"/>
                <w:szCs w:val="28"/>
              </w:rPr>
            </w:pPr>
            <w:r>
              <w:rPr>
                <w:rFonts w:hint="eastAsia" w:ascii="仿宋_GB2312" w:eastAsia="仿宋_GB2312"/>
                <w:sz w:val="28"/>
                <w:szCs w:val="28"/>
              </w:rPr>
              <w:t>见</w:t>
            </w:r>
          </w:p>
          <w:p w14:paraId="459A918E">
            <w:pPr>
              <w:jc w:val="center"/>
              <w:rPr>
                <w:rFonts w:ascii="仿宋_GB2312" w:eastAsia="仿宋_GB2312"/>
                <w:sz w:val="28"/>
                <w:szCs w:val="28"/>
              </w:rPr>
            </w:pPr>
          </w:p>
          <w:p w14:paraId="7057FE92">
            <w:pPr>
              <w:jc w:val="center"/>
              <w:rPr>
                <w:rFonts w:ascii="仿宋_GB2312" w:eastAsia="仿宋_GB2312"/>
                <w:sz w:val="28"/>
                <w:szCs w:val="28"/>
              </w:rPr>
            </w:pPr>
            <w:r>
              <w:rPr>
                <w:rFonts w:hint="eastAsia" w:ascii="仿宋_GB2312" w:eastAsia="仿宋_GB2312"/>
                <w:sz w:val="28"/>
                <w:szCs w:val="28"/>
              </w:rPr>
              <w:t>内</w:t>
            </w:r>
          </w:p>
          <w:p w14:paraId="4BF020A8">
            <w:pPr>
              <w:jc w:val="center"/>
              <w:rPr>
                <w:rFonts w:ascii="仿宋_GB2312" w:eastAsia="仿宋_GB2312"/>
                <w:sz w:val="28"/>
                <w:szCs w:val="28"/>
              </w:rPr>
            </w:pPr>
          </w:p>
          <w:p w14:paraId="650F4759">
            <w:pPr>
              <w:jc w:val="center"/>
              <w:rPr>
                <w:rFonts w:ascii="仿宋_GB2312" w:eastAsia="仿宋_GB2312"/>
                <w:sz w:val="28"/>
                <w:szCs w:val="28"/>
              </w:rPr>
            </w:pPr>
            <w:r>
              <w:rPr>
                <w:rFonts w:hint="eastAsia" w:ascii="仿宋_GB2312" w:eastAsia="仿宋_GB2312"/>
                <w:sz w:val="28"/>
                <w:szCs w:val="28"/>
              </w:rPr>
              <w:t>容</w:t>
            </w:r>
          </w:p>
        </w:tc>
        <w:tc>
          <w:tcPr>
            <w:tcW w:w="6977" w:type="dxa"/>
            <w:gridSpan w:val="3"/>
            <w:vAlign w:val="center"/>
          </w:tcPr>
          <w:p w14:paraId="1DCA51D1">
            <w:pPr>
              <w:jc w:val="center"/>
              <w:rPr>
                <w:rFonts w:ascii="仿宋_GB2312" w:eastAsia="仿宋_GB2312"/>
                <w:sz w:val="28"/>
                <w:szCs w:val="28"/>
              </w:rPr>
            </w:pPr>
          </w:p>
          <w:p w14:paraId="46928A67">
            <w:pPr>
              <w:jc w:val="center"/>
              <w:rPr>
                <w:rFonts w:ascii="仿宋_GB2312" w:eastAsia="仿宋_GB2312"/>
                <w:sz w:val="28"/>
                <w:szCs w:val="28"/>
              </w:rPr>
            </w:pPr>
          </w:p>
          <w:p w14:paraId="320348F4">
            <w:pPr>
              <w:jc w:val="center"/>
              <w:rPr>
                <w:rFonts w:ascii="仿宋_GB2312" w:eastAsia="仿宋_GB2312"/>
                <w:sz w:val="28"/>
                <w:szCs w:val="28"/>
              </w:rPr>
            </w:pPr>
          </w:p>
          <w:p w14:paraId="7ED63568">
            <w:pPr>
              <w:jc w:val="center"/>
              <w:rPr>
                <w:rFonts w:ascii="仿宋_GB2312" w:eastAsia="仿宋_GB2312"/>
                <w:sz w:val="28"/>
                <w:szCs w:val="28"/>
              </w:rPr>
            </w:pPr>
          </w:p>
          <w:p w14:paraId="263FC3AC">
            <w:pPr>
              <w:jc w:val="center"/>
              <w:rPr>
                <w:rFonts w:ascii="仿宋_GB2312" w:eastAsia="仿宋_GB2312"/>
                <w:sz w:val="28"/>
                <w:szCs w:val="28"/>
              </w:rPr>
            </w:pPr>
          </w:p>
          <w:p w14:paraId="20EA1126">
            <w:pPr>
              <w:jc w:val="center"/>
              <w:rPr>
                <w:rFonts w:ascii="仿宋_GB2312" w:eastAsia="仿宋_GB2312"/>
                <w:sz w:val="28"/>
                <w:szCs w:val="28"/>
              </w:rPr>
            </w:pPr>
          </w:p>
          <w:p w14:paraId="0DFA5C6D">
            <w:pPr>
              <w:jc w:val="center"/>
              <w:rPr>
                <w:rFonts w:ascii="仿宋_GB2312" w:eastAsia="仿宋_GB2312"/>
                <w:sz w:val="28"/>
                <w:szCs w:val="28"/>
              </w:rPr>
            </w:pPr>
          </w:p>
          <w:p w14:paraId="7C73CE89">
            <w:pPr>
              <w:jc w:val="center"/>
              <w:rPr>
                <w:rFonts w:ascii="仿宋_GB2312" w:eastAsia="仿宋_GB2312"/>
                <w:sz w:val="28"/>
                <w:szCs w:val="28"/>
              </w:rPr>
            </w:pPr>
          </w:p>
          <w:p w14:paraId="65EDA475">
            <w:pPr>
              <w:jc w:val="center"/>
              <w:rPr>
                <w:rFonts w:ascii="仿宋_GB2312" w:eastAsia="仿宋_GB2312"/>
                <w:sz w:val="28"/>
                <w:szCs w:val="28"/>
              </w:rPr>
            </w:pPr>
          </w:p>
          <w:p w14:paraId="433D8BDD">
            <w:pPr>
              <w:jc w:val="center"/>
              <w:rPr>
                <w:rFonts w:ascii="仿宋_GB2312" w:eastAsia="仿宋_GB2312"/>
                <w:sz w:val="28"/>
                <w:szCs w:val="28"/>
              </w:rPr>
            </w:pPr>
          </w:p>
          <w:p w14:paraId="5AF9ABD0">
            <w:pPr>
              <w:jc w:val="center"/>
              <w:rPr>
                <w:rFonts w:ascii="仿宋_GB2312" w:eastAsia="仿宋_GB2312"/>
                <w:sz w:val="28"/>
                <w:szCs w:val="28"/>
              </w:rPr>
            </w:pPr>
          </w:p>
          <w:p w14:paraId="49211771">
            <w:pPr>
              <w:jc w:val="center"/>
              <w:rPr>
                <w:rFonts w:ascii="仿宋_GB2312" w:eastAsia="仿宋_GB2312"/>
                <w:sz w:val="28"/>
                <w:szCs w:val="28"/>
              </w:rPr>
            </w:pPr>
          </w:p>
          <w:p w14:paraId="5678C9DF">
            <w:pPr>
              <w:jc w:val="center"/>
              <w:rPr>
                <w:rFonts w:ascii="仿宋_GB2312" w:eastAsia="仿宋_GB2312"/>
                <w:sz w:val="28"/>
                <w:szCs w:val="28"/>
              </w:rPr>
            </w:pPr>
          </w:p>
          <w:p w14:paraId="4B08D2BC">
            <w:pPr>
              <w:jc w:val="center"/>
              <w:rPr>
                <w:rFonts w:ascii="仿宋_GB2312" w:eastAsia="仿宋_GB2312"/>
                <w:sz w:val="32"/>
                <w:szCs w:val="28"/>
              </w:rPr>
            </w:pPr>
            <w:r>
              <w:rPr>
                <w:rFonts w:ascii="仿宋_GB2312" w:eastAsia="仿宋_GB2312"/>
                <w:sz w:val="28"/>
                <w:szCs w:val="28"/>
              </w:rPr>
              <w:t xml:space="preserve">         </w:t>
            </w:r>
            <w:r>
              <w:rPr>
                <w:rFonts w:hint="eastAsia" w:ascii="仿宋_GB2312" w:eastAsia="仿宋_GB2312"/>
                <w:sz w:val="32"/>
                <w:szCs w:val="28"/>
              </w:rPr>
              <w:t>签名：</w:t>
            </w:r>
          </w:p>
          <w:p w14:paraId="2508A19F">
            <w:pPr>
              <w:jc w:val="center"/>
              <w:rPr>
                <w:rFonts w:ascii="仿宋_GB2312" w:eastAsia="仿宋_GB2312"/>
                <w:sz w:val="28"/>
                <w:szCs w:val="28"/>
              </w:rPr>
            </w:pPr>
            <w:r>
              <w:rPr>
                <w:rFonts w:ascii="仿宋_GB2312" w:eastAsia="仿宋_GB2312"/>
                <w:sz w:val="32"/>
                <w:szCs w:val="28"/>
              </w:rPr>
              <w:t xml:space="preserve">                       </w:t>
            </w:r>
            <w:r>
              <w:rPr>
                <w:rFonts w:hint="eastAsia" w:ascii="仿宋_GB2312" w:eastAsia="仿宋_GB2312"/>
                <w:sz w:val="32"/>
                <w:szCs w:val="28"/>
              </w:rPr>
              <w:t>年</w:t>
            </w:r>
            <w:r>
              <w:rPr>
                <w:rFonts w:ascii="仿宋_GB2312" w:eastAsia="仿宋_GB2312"/>
                <w:sz w:val="32"/>
                <w:szCs w:val="28"/>
              </w:rPr>
              <w:t xml:space="preserve">    </w:t>
            </w:r>
            <w:r>
              <w:rPr>
                <w:rFonts w:hint="eastAsia" w:ascii="仿宋_GB2312" w:eastAsia="仿宋_GB2312"/>
                <w:sz w:val="32"/>
                <w:szCs w:val="28"/>
              </w:rPr>
              <w:t>月</w:t>
            </w:r>
            <w:r>
              <w:rPr>
                <w:rFonts w:ascii="仿宋_GB2312" w:eastAsia="仿宋_GB2312"/>
                <w:sz w:val="32"/>
                <w:szCs w:val="28"/>
              </w:rPr>
              <w:t xml:space="preserve">    </w:t>
            </w:r>
            <w:r>
              <w:rPr>
                <w:rFonts w:hint="eastAsia" w:ascii="仿宋_GB2312" w:eastAsia="仿宋_GB2312"/>
                <w:sz w:val="32"/>
                <w:szCs w:val="28"/>
              </w:rPr>
              <w:t>日</w:t>
            </w:r>
          </w:p>
        </w:tc>
      </w:tr>
    </w:tbl>
    <w:p w14:paraId="0C47F2A0"/>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小标宋_GBK">
    <w:altName w:val="Arial Unicode MS"/>
    <w:panose1 w:val="03000509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2D6AAB">
    <w:pPr>
      <w:pStyle w:val="3"/>
      <w:jc w:val="center"/>
    </w:pPr>
    <w:r>
      <w:fldChar w:fldCharType="begin"/>
    </w:r>
    <w:r>
      <w:instrText xml:space="preserve">PAGE   \* MERGEFORMAT</w:instrText>
    </w:r>
    <w:r>
      <w:fldChar w:fldCharType="separate"/>
    </w:r>
    <w:r>
      <w:rPr>
        <w:lang w:val="zh-CN"/>
      </w:rPr>
      <w:t>2</w:t>
    </w:r>
    <w:r>
      <w:rPr>
        <w:lang w:val="zh-CN"/>
      </w:rPr>
      <w:fldChar w:fldCharType="end"/>
    </w:r>
  </w:p>
  <w:p w14:paraId="2193F50D">
    <w:pPr>
      <w:pStyle w:val="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3"/>
    <w:multiLevelType w:val="multilevel"/>
    <w:tmpl w:val="00000003"/>
    <w:lvl w:ilvl="0" w:tentative="0">
      <w:start w:val="1"/>
      <w:numFmt w:val="chineseCountingThousand"/>
      <w:pStyle w:val="12"/>
      <w:suff w:val="nothing"/>
      <w:lvlText w:val="%1、"/>
      <w:lvlJc w:val="left"/>
      <w:pPr>
        <w:ind w:left="846" w:hanging="420"/>
      </w:pPr>
      <w:rPr>
        <w:rFonts w:hint="eastAsia" w:cs="Times New Roman"/>
        <w:b/>
        <w:bCs w:val="0"/>
        <w:i w:val="0"/>
        <w:iCs w:val="0"/>
        <w:caps w:val="0"/>
        <w:smallCaps w:val="0"/>
        <w:outline w:val="0"/>
        <w:emboss w:val="0"/>
        <w:imprint w:val="0"/>
        <w:vanish w:val="0"/>
        <w:spacing w:val="0"/>
        <w:position w:val="0"/>
        <w:u w:val="none"/>
        <w:vertAlign w:val="baseline"/>
      </w:rPr>
    </w:lvl>
    <w:lvl w:ilvl="1" w:tentative="0">
      <w:start w:val="1"/>
      <w:numFmt w:val="lowerLetter"/>
      <w:lvlText w:val="%2)"/>
      <w:lvlJc w:val="left"/>
      <w:pPr>
        <w:ind w:left="1266" w:hanging="420"/>
      </w:pPr>
      <w:rPr>
        <w:rFonts w:cs="Times New Roman"/>
      </w:rPr>
    </w:lvl>
    <w:lvl w:ilvl="2" w:tentative="0">
      <w:start w:val="1"/>
      <w:numFmt w:val="lowerRoman"/>
      <w:lvlText w:val="%3."/>
      <w:lvlJc w:val="right"/>
      <w:pPr>
        <w:ind w:left="1686" w:hanging="420"/>
      </w:pPr>
      <w:rPr>
        <w:rFonts w:cs="Times New Roman"/>
      </w:rPr>
    </w:lvl>
    <w:lvl w:ilvl="3" w:tentative="0">
      <w:start w:val="1"/>
      <w:numFmt w:val="decimal"/>
      <w:lvlText w:val="%4."/>
      <w:lvlJc w:val="left"/>
      <w:pPr>
        <w:ind w:left="2106" w:hanging="420"/>
      </w:pPr>
      <w:rPr>
        <w:rFonts w:cs="Times New Roman"/>
      </w:rPr>
    </w:lvl>
    <w:lvl w:ilvl="4" w:tentative="0">
      <w:start w:val="1"/>
      <w:numFmt w:val="lowerLetter"/>
      <w:lvlText w:val="%5)"/>
      <w:lvlJc w:val="left"/>
      <w:pPr>
        <w:ind w:left="2526" w:hanging="420"/>
      </w:pPr>
      <w:rPr>
        <w:rFonts w:cs="Times New Roman"/>
      </w:rPr>
    </w:lvl>
    <w:lvl w:ilvl="5" w:tentative="0">
      <w:start w:val="1"/>
      <w:numFmt w:val="lowerRoman"/>
      <w:lvlText w:val="%6."/>
      <w:lvlJc w:val="right"/>
      <w:pPr>
        <w:ind w:left="2946" w:hanging="420"/>
      </w:pPr>
      <w:rPr>
        <w:rFonts w:cs="Times New Roman"/>
      </w:rPr>
    </w:lvl>
    <w:lvl w:ilvl="6" w:tentative="0">
      <w:start w:val="1"/>
      <w:numFmt w:val="decimal"/>
      <w:lvlText w:val="%7."/>
      <w:lvlJc w:val="left"/>
      <w:pPr>
        <w:ind w:left="3366" w:hanging="420"/>
      </w:pPr>
      <w:rPr>
        <w:rFonts w:cs="Times New Roman"/>
      </w:rPr>
    </w:lvl>
    <w:lvl w:ilvl="7" w:tentative="0">
      <w:start w:val="1"/>
      <w:numFmt w:val="lowerLetter"/>
      <w:lvlText w:val="%8)"/>
      <w:lvlJc w:val="left"/>
      <w:pPr>
        <w:ind w:left="3786" w:hanging="420"/>
      </w:pPr>
      <w:rPr>
        <w:rFonts w:cs="Times New Roman"/>
      </w:rPr>
    </w:lvl>
    <w:lvl w:ilvl="8" w:tentative="0">
      <w:start w:val="1"/>
      <w:numFmt w:val="lowerRoman"/>
      <w:lvlText w:val="%9."/>
      <w:lvlJc w:val="right"/>
      <w:pPr>
        <w:ind w:left="4206" w:hanging="420"/>
      </w:pPr>
      <w:rPr>
        <w:rFonts w:cs="Times New Roman"/>
      </w:rPr>
    </w:lvl>
  </w:abstractNum>
  <w:abstractNum w:abstractNumId="1">
    <w:nsid w:val="1FB0200C"/>
    <w:multiLevelType w:val="singleLevel"/>
    <w:tmpl w:val="1FB0200C"/>
    <w:lvl w:ilvl="0" w:tentative="0">
      <w:start w:val="5"/>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k0YmZjZWVkZWNiYTMwN2QwNjRjYjI5Yzg5MTk2ZjQifQ=="/>
  </w:docVars>
  <w:rsids>
    <w:rsidRoot w:val="00840A39"/>
    <w:rsid w:val="00017255"/>
    <w:rsid w:val="00096EDA"/>
    <w:rsid w:val="000D3390"/>
    <w:rsid w:val="002322C5"/>
    <w:rsid w:val="00241251"/>
    <w:rsid w:val="002936E2"/>
    <w:rsid w:val="002E699B"/>
    <w:rsid w:val="002F1D52"/>
    <w:rsid w:val="0032442D"/>
    <w:rsid w:val="00365437"/>
    <w:rsid w:val="003810E6"/>
    <w:rsid w:val="003D46AF"/>
    <w:rsid w:val="003F78DF"/>
    <w:rsid w:val="004656E5"/>
    <w:rsid w:val="00482016"/>
    <w:rsid w:val="004F2BCB"/>
    <w:rsid w:val="00537EA8"/>
    <w:rsid w:val="0055620D"/>
    <w:rsid w:val="005B684F"/>
    <w:rsid w:val="00615C91"/>
    <w:rsid w:val="00664AD1"/>
    <w:rsid w:val="00667866"/>
    <w:rsid w:val="006D0CAE"/>
    <w:rsid w:val="006D360A"/>
    <w:rsid w:val="00775700"/>
    <w:rsid w:val="007B1C3C"/>
    <w:rsid w:val="00807E19"/>
    <w:rsid w:val="008178CF"/>
    <w:rsid w:val="00823133"/>
    <w:rsid w:val="00840A39"/>
    <w:rsid w:val="0087263C"/>
    <w:rsid w:val="00887150"/>
    <w:rsid w:val="008B0D46"/>
    <w:rsid w:val="008D3470"/>
    <w:rsid w:val="008F0DFC"/>
    <w:rsid w:val="008F1FB2"/>
    <w:rsid w:val="009218B1"/>
    <w:rsid w:val="0093375D"/>
    <w:rsid w:val="0094450C"/>
    <w:rsid w:val="00950BEC"/>
    <w:rsid w:val="009A35B4"/>
    <w:rsid w:val="009C357C"/>
    <w:rsid w:val="00A36F18"/>
    <w:rsid w:val="00A4115C"/>
    <w:rsid w:val="00A753F9"/>
    <w:rsid w:val="00A96CC8"/>
    <w:rsid w:val="00AD1AC0"/>
    <w:rsid w:val="00B442AE"/>
    <w:rsid w:val="00B70976"/>
    <w:rsid w:val="00B973A6"/>
    <w:rsid w:val="00BF0518"/>
    <w:rsid w:val="00BF0B66"/>
    <w:rsid w:val="00CA4D30"/>
    <w:rsid w:val="00CB55A8"/>
    <w:rsid w:val="00D12BB6"/>
    <w:rsid w:val="00D37127"/>
    <w:rsid w:val="00D620D9"/>
    <w:rsid w:val="00D8115C"/>
    <w:rsid w:val="00E03B76"/>
    <w:rsid w:val="00F5084D"/>
    <w:rsid w:val="00F65C44"/>
    <w:rsid w:val="00FC4BC2"/>
    <w:rsid w:val="05E90CB3"/>
    <w:rsid w:val="1D992CC6"/>
    <w:rsid w:val="216B3BD7"/>
    <w:rsid w:val="3E5123A8"/>
    <w:rsid w:val="42A47CE4"/>
    <w:rsid w:val="4D906A5D"/>
    <w:rsid w:val="61453B98"/>
    <w:rsid w:val="742C5187"/>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nhideWhenUsed="0" w:uiPriority="9"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nhideWhenUsed="0" w:uiPriority="99"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99" w:semiHidden="0" w:name="Strong"/>
    <w:lsdException w:qFormat="1" w:unhideWhenUsed="0" w:uiPriority="0" w:semiHidden="0" w:name="Emphasis" w:locked="1"/>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eastAsia="等线" w:cs="等线"/>
      <w:kern w:val="2"/>
      <w:sz w:val="21"/>
      <w:szCs w:val="21"/>
      <w:lang w:val="en-US" w:eastAsia="zh-CN" w:bidi="ar-SA"/>
    </w:rPr>
  </w:style>
  <w:style w:type="paragraph" w:styleId="2">
    <w:name w:val="heading 3"/>
    <w:basedOn w:val="1"/>
    <w:next w:val="1"/>
    <w:qFormat/>
    <w:locked/>
    <w:uiPriority w:val="9"/>
    <w:pPr>
      <w:keepNext/>
      <w:keepLines/>
      <w:spacing w:before="20" w:after="20" w:line="240" w:lineRule="auto"/>
      <w:ind w:firstLine="880" w:firstLineChars="200"/>
      <w:outlineLvl w:val="2"/>
    </w:pPr>
    <w:rPr>
      <w:rFonts w:ascii="Times New Roman" w:hAnsi="Times New Roman" w:eastAsia="仿宋_GB2312"/>
      <w:b/>
      <w:bCs/>
      <w:sz w:val="28"/>
      <w:szCs w:val="32"/>
    </w:rPr>
  </w:style>
  <w:style w:type="character" w:default="1" w:styleId="8">
    <w:name w:val="Default Paragraph Font"/>
    <w:semiHidden/>
    <w:uiPriority w:val="99"/>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11"/>
    <w:uiPriority w:val="99"/>
    <w:pPr>
      <w:tabs>
        <w:tab w:val="center" w:pos="4153"/>
        <w:tab w:val="right" w:pos="8306"/>
      </w:tabs>
      <w:snapToGrid w:val="0"/>
      <w:jc w:val="left"/>
    </w:pPr>
    <w:rPr>
      <w:sz w:val="18"/>
      <w:szCs w:val="18"/>
    </w:rPr>
  </w:style>
  <w:style w:type="paragraph" w:styleId="4">
    <w:name w:val="header"/>
    <w:basedOn w:val="1"/>
    <w:link w:val="10"/>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7">
    <w:name w:val="Table Grid"/>
    <w:basedOn w:val="6"/>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Strong"/>
    <w:basedOn w:val="8"/>
    <w:qFormat/>
    <w:uiPriority w:val="99"/>
    <w:rPr>
      <w:rFonts w:cs="Times New Roman"/>
      <w:b/>
      <w:bCs/>
    </w:rPr>
  </w:style>
  <w:style w:type="character" w:customStyle="1" w:styleId="10">
    <w:name w:val="Header Char"/>
    <w:basedOn w:val="8"/>
    <w:link w:val="4"/>
    <w:qFormat/>
    <w:locked/>
    <w:uiPriority w:val="99"/>
    <w:rPr>
      <w:rFonts w:cs="Times New Roman"/>
      <w:sz w:val="18"/>
      <w:szCs w:val="18"/>
    </w:rPr>
  </w:style>
  <w:style w:type="character" w:customStyle="1" w:styleId="11">
    <w:name w:val="Footer Char"/>
    <w:basedOn w:val="8"/>
    <w:link w:val="3"/>
    <w:locked/>
    <w:uiPriority w:val="99"/>
    <w:rPr>
      <w:rFonts w:cs="Times New Roman"/>
      <w:sz w:val="18"/>
      <w:szCs w:val="18"/>
    </w:rPr>
  </w:style>
  <w:style w:type="paragraph" w:customStyle="1" w:styleId="12">
    <w:name w:val="三调标题1"/>
    <w:link w:val="13"/>
    <w:qFormat/>
    <w:uiPriority w:val="99"/>
    <w:pPr>
      <w:numPr>
        <w:ilvl w:val="0"/>
        <w:numId w:val="1"/>
      </w:numPr>
      <w:spacing w:line="500" w:lineRule="exact"/>
      <w:outlineLvl w:val="0"/>
    </w:pPr>
    <w:rPr>
      <w:rFonts w:ascii="宋体" w:hAnsi="宋体" w:eastAsia="宋体" w:cs="楷体_GB2312"/>
      <w:b/>
      <w:bCs/>
      <w:kern w:val="2"/>
      <w:sz w:val="32"/>
      <w:szCs w:val="32"/>
      <w:lang w:val="en-US" w:eastAsia="zh-CN" w:bidi="ar-SA"/>
    </w:rPr>
  </w:style>
  <w:style w:type="character" w:customStyle="1" w:styleId="13">
    <w:name w:val="三调标题1 字符"/>
    <w:basedOn w:val="8"/>
    <w:link w:val="12"/>
    <w:qFormat/>
    <w:locked/>
    <w:uiPriority w:val="99"/>
    <w:rPr>
      <w:rFonts w:ascii="宋体" w:hAnsi="宋体" w:eastAsia="宋体" w:cs="楷体_GB2312"/>
      <w:b/>
      <w:bCs/>
      <w:kern w:val="2"/>
      <w:sz w:val="32"/>
      <w:szCs w:val="32"/>
      <w:lang w:val="en-US" w:eastAsia="zh-CN" w:bidi="ar-SA"/>
    </w:rPr>
  </w:style>
  <w:style w:type="paragraph" w:customStyle="1" w:styleId="14">
    <w:name w:val="三调正文"/>
    <w:link w:val="15"/>
    <w:qFormat/>
    <w:uiPriority w:val="99"/>
    <w:pPr>
      <w:spacing w:line="500" w:lineRule="exact"/>
      <w:ind w:firstLine="200" w:firstLineChars="200"/>
    </w:pPr>
    <w:rPr>
      <w:rFonts w:ascii="宋体" w:hAnsi="宋体" w:eastAsia="宋体" w:cs="仿宋_GB2312"/>
      <w:kern w:val="0"/>
      <w:sz w:val="28"/>
      <w:szCs w:val="28"/>
      <w:lang w:val="en-US" w:eastAsia="zh-CN" w:bidi="ar-SA"/>
    </w:rPr>
  </w:style>
  <w:style w:type="character" w:customStyle="1" w:styleId="15">
    <w:name w:val="三调正文 字符"/>
    <w:basedOn w:val="8"/>
    <w:link w:val="14"/>
    <w:qFormat/>
    <w:locked/>
    <w:uiPriority w:val="99"/>
    <w:rPr>
      <w:rFonts w:ascii="宋体" w:hAnsi="宋体" w:eastAsia="宋体" w:cs="仿宋_GB2312"/>
      <w:sz w:val="28"/>
      <w:szCs w:val="28"/>
      <w:lang w:val="en-US" w:eastAsia="zh-CN" w:bidi="ar-SA"/>
    </w:rPr>
  </w:style>
  <w:style w:type="character" w:customStyle="1" w:styleId="16">
    <w:name w:val="font01"/>
    <w:basedOn w:val="8"/>
    <w:qFormat/>
    <w:uiPriority w:val="0"/>
    <w:rPr>
      <w:rFonts w:hint="eastAsia" w:ascii="宋体" w:hAnsi="宋体" w:eastAsia="宋体" w:cs="宋体"/>
      <w:b/>
      <w:bCs/>
      <w:color w:val="000000"/>
      <w:sz w:val="21"/>
      <w:szCs w:val="21"/>
      <w:u w:val="none"/>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Normal_Wordconv.dotm</Template>
  <Pages>11</Pages>
  <Words>1476</Words>
  <Characters>1642</Characters>
  <Lines>0</Lines>
  <Paragraphs>0</Paragraphs>
  <TotalTime>6</TotalTime>
  <ScaleCrop>false</ScaleCrop>
  <LinksUpToDate>false</LinksUpToDate>
  <CharactersWithSpaces>1700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2021-06-03T07:46:00Z</dcterms:created>
  <dc:creator>wAnguo</dc:creator>
  <cp:lastModifiedBy>.</cp:lastModifiedBy>
  <dcterms:modified xsi:type="dcterms:W3CDTF">2025-02-06T09:31:12Z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3CCA2D2C6845465A904DEEC6F90B80C9_13</vt:lpwstr>
  </property>
  <property fmtid="{D5CDD505-2E9C-101B-9397-08002B2CF9AE}" pid="4" name="KSOTemplateDocerSaveRecord">
    <vt:lpwstr>eyJoZGlkIjoiMTk0YmZjZWVkZWNiYTMwN2QwNjRjYjI5Yzg5MTk2ZjQiLCJ1c2VySWQiOiIzMzkzNjc2NjYifQ==</vt:lpwstr>
  </property>
</Properties>
</file>