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靖宇县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w w:val="1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w w:val="100"/>
          <w:sz w:val="44"/>
          <w:szCs w:val="44"/>
        </w:rPr>
        <w:t>重大行政决策事项的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w w:val="100"/>
          <w:sz w:val="44"/>
          <w:szCs w:val="44"/>
          <w:lang w:val="en-US"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w w:val="100"/>
          <w:sz w:val="44"/>
          <w:szCs w:val="44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各乡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镇人民政府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，县政府各办局、事业单位，中省直单位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：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根据《靖宇县重大行政决策程序实施办法》（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靖政办发〔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23号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）等文件要求，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对照《靖宇县重大行政决策事项目录标准》（靖政办发〔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），报送涉及本单位、本行业、本区域等重大行政决策事项名称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。请各单位于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4月26日（周一）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上午下班前将重大行政决策事项统计表（附件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）纸质版报送至政府办公室综合科。（纸质版需主要领导签字、盖章）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1.靖宇县重大行政决策程序实施办法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2.靖宇县重大行政决策事项统计表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靖宇县人民政府办公室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2021年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靖宇县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重大行政决策事项目录标准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一、编制全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国民经济和社会发展纲要、中长期规划、重点领域专项规划。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二、编制或修改国土空间总体规划和重要区域规划。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三、编制或修订全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产业发展规划或产业园区规划。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四、编制其他涉及重大公共利益的规划。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五、制定和完善促进社会就业重大支持措施或优惠政策。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六、调整和完善公共医疗保障政策、城乡居民基本养老保险政策、公共政策、社会救助政策以及征地补偿和被征地农民社会保障政策。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七、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县城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规划区内重大建设项目规划选址及公共保障性住房建设。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八、制定市场监管、科教文卫等方面重大政策和措施。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九、制定推进大气污染综合治理工作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环境保护重大政策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措施，划定禁止采挖、禁止砍伐、禁止建设、禁止养殖等生态保护区域。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十、研究国有自然资源开发利用重大事项。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十一、研究1000万元以上重大基础设施建设项目、城市建设项目、公共设施建设项目和农村拆迁安置项目。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十二、研究项目建设以外的1000万元以上财政资金支出（工资类及落实国家具体政策性资金除外）。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十三、研究重大国企投资、参股、合资、合作的产业项目。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十四、研究全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性重大战略实施、重要活动的部署。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十五、需要报告省、白山市政府审议的重大事项。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十六、研究对经济社会发展有重大影响、涉及重大公共利益或者社会公众切身利益的其他重大事项。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十七、法律、法规、规章和国家、省、市规定或确定的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重大行政决策事项以及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政府决定按照重大行政决策程序进行决策的事项。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有关突发事件应对的行政决策，适用《中华人民共和国突发事件应对法》等有关法律、法规、规章的规定。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461" w:tblpY="1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600"/>
        <w:gridCol w:w="3345"/>
        <w:gridCol w:w="1275"/>
        <w:gridCol w:w="250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重大事项名称</w:t>
            </w:r>
          </w:p>
        </w:tc>
        <w:tc>
          <w:tcPr>
            <w:tcW w:w="33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3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重大行政决策事项统计表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5D1657"/>
    <w:rsid w:val="1DB6C40E"/>
    <w:rsid w:val="1FAD2083"/>
    <w:rsid w:val="3BDF398A"/>
    <w:rsid w:val="3FDF7CBC"/>
    <w:rsid w:val="4A1947CF"/>
    <w:rsid w:val="57D7F687"/>
    <w:rsid w:val="5F17F782"/>
    <w:rsid w:val="5F371490"/>
    <w:rsid w:val="67339B6B"/>
    <w:rsid w:val="6F6F15C2"/>
    <w:rsid w:val="71F2892D"/>
    <w:rsid w:val="77FB2DE2"/>
    <w:rsid w:val="7AE78EE2"/>
    <w:rsid w:val="7B5F0A58"/>
    <w:rsid w:val="7FCF1F29"/>
    <w:rsid w:val="7FFD6362"/>
    <w:rsid w:val="8CFFBDAB"/>
    <w:rsid w:val="97D4B7E2"/>
    <w:rsid w:val="B56E815C"/>
    <w:rsid w:val="BED5F874"/>
    <w:rsid w:val="D9FF69EB"/>
    <w:rsid w:val="DB7BD55D"/>
    <w:rsid w:val="E3D7D0CD"/>
    <w:rsid w:val="E795FE1B"/>
    <w:rsid w:val="EFF7845E"/>
    <w:rsid w:val="F67750EC"/>
    <w:rsid w:val="FFB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可樂</cp:lastModifiedBy>
  <dcterms:modified xsi:type="dcterms:W3CDTF">2021-04-26T09:39:06Z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